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62C5F" w14:textId="17736469" w:rsidR="00855485" w:rsidRPr="00DE102C" w:rsidRDefault="00855485" w:rsidP="00DE102C">
      <w:pPr>
        <w:jc w:val="center"/>
        <w:rPr>
          <w:rFonts w:ascii="Arial" w:hAnsi="Arial" w:cs="Arial"/>
        </w:rPr>
      </w:pPr>
      <w:r w:rsidRPr="00DE102C">
        <w:rPr>
          <w:rStyle w:val="Strong"/>
          <w:rFonts w:ascii="Arial" w:hAnsi="Arial" w:cs="Arial"/>
        </w:rPr>
        <w:t>A Strategic Change Plan for Tesco PLC</w:t>
      </w:r>
    </w:p>
    <w:p w14:paraId="78310084" w14:textId="77777777" w:rsidR="00855485" w:rsidRPr="00DE102C" w:rsidRDefault="00855485" w:rsidP="00C75B77">
      <w:pPr>
        <w:spacing w:after="0" w:line="360" w:lineRule="auto"/>
        <w:contextualSpacing/>
        <w:jc w:val="center"/>
        <w:rPr>
          <w:rFonts w:ascii="Arial" w:hAnsi="Arial" w:cs="Arial"/>
        </w:rPr>
      </w:pPr>
    </w:p>
    <w:p w14:paraId="0AEDB726" w14:textId="77777777" w:rsidR="00855485" w:rsidRPr="00DE102C" w:rsidRDefault="00855485" w:rsidP="00C75B77">
      <w:pPr>
        <w:pStyle w:val="NormalWeb"/>
        <w:spacing w:before="0" w:beforeAutospacing="0" w:after="0" w:afterAutospacing="0" w:line="360" w:lineRule="auto"/>
        <w:contextualSpacing/>
        <w:jc w:val="center"/>
        <w:rPr>
          <w:rFonts w:ascii="Arial" w:hAnsi="Arial" w:cs="Arial"/>
          <w:sz w:val="22"/>
          <w:szCs w:val="22"/>
        </w:rPr>
      </w:pPr>
      <w:r w:rsidRPr="00DE102C">
        <w:rPr>
          <w:rStyle w:val="Strong"/>
          <w:rFonts w:ascii="Arial" w:hAnsi="Arial" w:cs="Arial"/>
          <w:sz w:val="22"/>
          <w:szCs w:val="22"/>
        </w:rPr>
        <w:t>Module Title:</w:t>
      </w:r>
      <w:r w:rsidRPr="00DE102C">
        <w:rPr>
          <w:rFonts w:ascii="Arial" w:hAnsi="Arial" w:cs="Arial"/>
          <w:sz w:val="22"/>
          <w:szCs w:val="22"/>
        </w:rPr>
        <w:t xml:space="preserve"> Leading and Implementing Change (LIC)</w:t>
      </w:r>
      <w:r w:rsidRPr="00DE102C">
        <w:rPr>
          <w:rFonts w:ascii="Arial" w:hAnsi="Arial" w:cs="Arial"/>
          <w:sz w:val="22"/>
          <w:szCs w:val="22"/>
        </w:rPr>
        <w:br/>
      </w:r>
      <w:r w:rsidRPr="00DE102C">
        <w:rPr>
          <w:rStyle w:val="Strong"/>
          <w:rFonts w:ascii="Arial" w:hAnsi="Arial" w:cs="Arial"/>
          <w:sz w:val="22"/>
          <w:szCs w:val="22"/>
        </w:rPr>
        <w:t>Module Code:</w:t>
      </w:r>
      <w:r w:rsidRPr="00DE102C">
        <w:rPr>
          <w:rFonts w:ascii="Arial" w:hAnsi="Arial" w:cs="Arial"/>
          <w:sz w:val="22"/>
          <w:szCs w:val="22"/>
        </w:rPr>
        <w:t xml:space="preserve"> LCLM6003</w:t>
      </w:r>
      <w:r w:rsidRPr="00DE102C">
        <w:rPr>
          <w:rFonts w:ascii="Arial" w:hAnsi="Arial" w:cs="Arial"/>
          <w:sz w:val="22"/>
          <w:szCs w:val="22"/>
        </w:rPr>
        <w:br/>
      </w:r>
      <w:r w:rsidRPr="00DE102C">
        <w:rPr>
          <w:rStyle w:val="Strong"/>
          <w:rFonts w:ascii="Arial" w:hAnsi="Arial" w:cs="Arial"/>
          <w:sz w:val="22"/>
          <w:szCs w:val="22"/>
        </w:rPr>
        <w:t>Programme:</w:t>
      </w:r>
      <w:r w:rsidRPr="00DE102C">
        <w:rPr>
          <w:rFonts w:ascii="Arial" w:hAnsi="Arial" w:cs="Arial"/>
          <w:sz w:val="22"/>
          <w:szCs w:val="22"/>
        </w:rPr>
        <w:t xml:space="preserve"> BA (Hons) Leadership and Management Skills for the Workplace</w:t>
      </w:r>
      <w:r w:rsidRPr="00DE102C">
        <w:rPr>
          <w:rFonts w:ascii="Arial" w:hAnsi="Arial" w:cs="Arial"/>
          <w:sz w:val="22"/>
          <w:szCs w:val="22"/>
        </w:rPr>
        <w:br/>
      </w:r>
      <w:r w:rsidRPr="00DE102C">
        <w:rPr>
          <w:rStyle w:val="Strong"/>
          <w:rFonts w:ascii="Arial" w:hAnsi="Arial" w:cs="Arial"/>
          <w:sz w:val="22"/>
          <w:szCs w:val="22"/>
        </w:rPr>
        <w:t>Assignment Title:</w:t>
      </w:r>
      <w:r w:rsidRPr="00DE102C">
        <w:rPr>
          <w:rFonts w:ascii="Arial" w:hAnsi="Arial" w:cs="Arial"/>
          <w:sz w:val="22"/>
          <w:szCs w:val="22"/>
        </w:rPr>
        <w:t xml:space="preserve"> A Strategic Change Plan</w:t>
      </w:r>
    </w:p>
    <w:p w14:paraId="5C97F58F" w14:textId="77777777" w:rsidR="00936326" w:rsidRPr="00DE102C" w:rsidRDefault="00936326" w:rsidP="00C75B77">
      <w:pPr>
        <w:pStyle w:val="NormalWeb"/>
        <w:spacing w:before="0" w:beforeAutospacing="0" w:after="0" w:afterAutospacing="0" w:line="360" w:lineRule="auto"/>
        <w:contextualSpacing/>
        <w:jc w:val="center"/>
        <w:rPr>
          <w:rFonts w:ascii="Arial" w:hAnsi="Arial" w:cs="Arial"/>
          <w:sz w:val="22"/>
          <w:szCs w:val="22"/>
        </w:rPr>
      </w:pPr>
    </w:p>
    <w:p w14:paraId="4CB45719" w14:textId="77777777" w:rsidR="00936326" w:rsidRPr="00DE102C" w:rsidRDefault="00936326" w:rsidP="00C75B77">
      <w:pPr>
        <w:pStyle w:val="NormalWeb"/>
        <w:spacing w:before="0" w:beforeAutospacing="0" w:after="0" w:afterAutospacing="0" w:line="360" w:lineRule="auto"/>
        <w:contextualSpacing/>
        <w:jc w:val="center"/>
        <w:rPr>
          <w:rFonts w:ascii="Arial" w:hAnsi="Arial" w:cs="Arial"/>
          <w:sz w:val="22"/>
          <w:szCs w:val="22"/>
        </w:rPr>
      </w:pPr>
    </w:p>
    <w:p w14:paraId="3D7E465B" w14:textId="77777777" w:rsidR="00936326" w:rsidRPr="00DE102C" w:rsidRDefault="00936326" w:rsidP="00C75B77">
      <w:pPr>
        <w:pStyle w:val="NormalWeb"/>
        <w:spacing w:before="0" w:beforeAutospacing="0" w:after="0" w:afterAutospacing="0" w:line="360" w:lineRule="auto"/>
        <w:contextualSpacing/>
        <w:jc w:val="center"/>
        <w:rPr>
          <w:rFonts w:ascii="Arial" w:hAnsi="Arial" w:cs="Arial"/>
          <w:sz w:val="22"/>
          <w:szCs w:val="22"/>
        </w:rPr>
      </w:pPr>
    </w:p>
    <w:p w14:paraId="305DD698" w14:textId="77777777" w:rsidR="00936326" w:rsidRPr="00DE102C" w:rsidRDefault="00936326" w:rsidP="00C75B77">
      <w:pPr>
        <w:pStyle w:val="NormalWeb"/>
        <w:spacing w:before="0" w:beforeAutospacing="0" w:after="0" w:afterAutospacing="0" w:line="360" w:lineRule="auto"/>
        <w:contextualSpacing/>
        <w:jc w:val="center"/>
        <w:rPr>
          <w:rFonts w:ascii="Arial" w:hAnsi="Arial" w:cs="Arial"/>
          <w:sz w:val="22"/>
          <w:szCs w:val="22"/>
        </w:rPr>
      </w:pPr>
    </w:p>
    <w:p w14:paraId="1AFE4E47" w14:textId="3462C4B6" w:rsidR="007B4C93" w:rsidRPr="00DE102C" w:rsidRDefault="001D04EB" w:rsidP="00C75B77">
      <w:pPr>
        <w:pStyle w:val="NormalWeb"/>
        <w:spacing w:before="0" w:beforeAutospacing="0" w:after="0" w:afterAutospacing="0" w:line="360" w:lineRule="auto"/>
        <w:contextualSpacing/>
        <w:jc w:val="center"/>
        <w:rPr>
          <w:rFonts w:ascii="Arial" w:hAnsi="Arial" w:cs="Arial"/>
          <w:sz w:val="22"/>
          <w:szCs w:val="22"/>
        </w:rPr>
      </w:pPr>
      <w:r w:rsidRPr="00DE102C">
        <w:rPr>
          <w:rFonts w:ascii="Arial" w:hAnsi="Arial" w:cs="Arial"/>
          <w:sz w:val="22"/>
          <w:szCs w:val="22"/>
        </w:rPr>
        <w:br/>
      </w:r>
      <w:r w:rsidRPr="00DE102C">
        <w:rPr>
          <w:rStyle w:val="Strong"/>
          <w:rFonts w:ascii="Arial" w:hAnsi="Arial" w:cs="Arial"/>
          <w:sz w:val="22"/>
          <w:szCs w:val="22"/>
        </w:rPr>
        <w:t>Student Name:</w:t>
      </w:r>
      <w:r w:rsidRPr="00DE102C">
        <w:rPr>
          <w:rFonts w:ascii="Arial" w:hAnsi="Arial" w:cs="Arial"/>
          <w:sz w:val="22"/>
          <w:szCs w:val="22"/>
        </w:rPr>
        <w:t xml:space="preserve"> </w:t>
      </w:r>
      <w:r w:rsidR="00DE102C">
        <w:rPr>
          <w:rFonts w:ascii="Arial" w:hAnsi="Arial" w:cs="Arial"/>
          <w:sz w:val="22"/>
          <w:szCs w:val="22"/>
        </w:rPr>
        <w:t>Alexandru Anton</w:t>
      </w:r>
      <w:r w:rsidRPr="00DE102C">
        <w:rPr>
          <w:rFonts w:ascii="Arial" w:hAnsi="Arial" w:cs="Arial"/>
          <w:sz w:val="22"/>
          <w:szCs w:val="22"/>
        </w:rPr>
        <w:br/>
      </w:r>
      <w:r w:rsidRPr="00DE102C">
        <w:rPr>
          <w:rStyle w:val="Strong"/>
          <w:rFonts w:ascii="Arial" w:hAnsi="Arial" w:cs="Arial"/>
          <w:sz w:val="22"/>
          <w:szCs w:val="22"/>
        </w:rPr>
        <w:t>Student ID:</w:t>
      </w:r>
      <w:r w:rsidRPr="00DE102C">
        <w:rPr>
          <w:rFonts w:ascii="Arial" w:hAnsi="Arial" w:cs="Arial"/>
          <w:sz w:val="22"/>
          <w:szCs w:val="22"/>
        </w:rPr>
        <w:t xml:space="preserve"> </w:t>
      </w:r>
      <w:r w:rsidR="00DE102C">
        <w:rPr>
          <w:rFonts w:ascii="Arial" w:hAnsi="Arial" w:cs="Arial"/>
          <w:sz w:val="22"/>
          <w:szCs w:val="22"/>
        </w:rPr>
        <w:t>2241511</w:t>
      </w:r>
      <w:r w:rsidRPr="00DE102C">
        <w:rPr>
          <w:rFonts w:ascii="Arial" w:hAnsi="Arial" w:cs="Arial"/>
          <w:sz w:val="22"/>
          <w:szCs w:val="22"/>
        </w:rPr>
        <w:br/>
      </w:r>
      <w:r w:rsidRPr="00DE102C">
        <w:rPr>
          <w:rStyle w:val="Strong"/>
          <w:rFonts w:ascii="Arial" w:hAnsi="Arial" w:cs="Arial"/>
          <w:sz w:val="22"/>
          <w:szCs w:val="22"/>
        </w:rPr>
        <w:t>Lecturer:</w:t>
      </w:r>
      <w:r w:rsidRPr="00DE102C">
        <w:rPr>
          <w:rFonts w:ascii="Arial" w:hAnsi="Arial" w:cs="Arial"/>
          <w:sz w:val="22"/>
          <w:szCs w:val="22"/>
        </w:rPr>
        <w:t xml:space="preserve"> </w:t>
      </w:r>
      <w:r w:rsidR="000A51EB">
        <w:rPr>
          <w:rFonts w:ascii="Arial" w:hAnsi="Arial" w:cs="Arial"/>
          <w:sz w:val="22"/>
          <w:szCs w:val="22"/>
        </w:rPr>
        <w:t>Nadeem Mirza</w:t>
      </w:r>
      <w:r w:rsidRPr="00DE102C">
        <w:rPr>
          <w:rFonts w:ascii="Arial" w:hAnsi="Arial" w:cs="Arial"/>
          <w:sz w:val="22"/>
          <w:szCs w:val="22"/>
        </w:rPr>
        <w:br/>
      </w:r>
    </w:p>
    <w:p w14:paraId="290DB117" w14:textId="77777777" w:rsidR="007B4C93" w:rsidRPr="00DE102C" w:rsidRDefault="007B4C93">
      <w:pPr>
        <w:rPr>
          <w:rFonts w:ascii="Arial" w:eastAsia="Times New Roman" w:hAnsi="Arial" w:cs="Arial"/>
        </w:rPr>
      </w:pPr>
      <w:r w:rsidRPr="00DE102C">
        <w:rPr>
          <w:rFonts w:ascii="Arial" w:hAnsi="Arial" w:cs="Arial"/>
        </w:rPr>
        <w:br w:type="page"/>
      </w:r>
    </w:p>
    <w:sdt>
      <w:sdtPr>
        <w:rPr>
          <w:rFonts w:ascii="Arial" w:eastAsiaTheme="minorHAnsi" w:hAnsi="Arial" w:cs="Arial"/>
          <w:color w:val="auto"/>
          <w:sz w:val="22"/>
          <w:szCs w:val="22"/>
        </w:rPr>
        <w:id w:val="1351918126"/>
        <w:docPartObj>
          <w:docPartGallery w:val="Table of Contents"/>
          <w:docPartUnique/>
        </w:docPartObj>
      </w:sdtPr>
      <w:sdtEndPr>
        <w:rPr>
          <w:b/>
          <w:bCs/>
          <w:noProof/>
        </w:rPr>
      </w:sdtEndPr>
      <w:sdtContent>
        <w:p w14:paraId="0D4F9B25" w14:textId="77777777" w:rsidR="007B4C93" w:rsidRPr="00DE102C" w:rsidRDefault="007B4C93" w:rsidP="007B4C93">
          <w:pPr>
            <w:pStyle w:val="TOCHeading"/>
            <w:spacing w:before="0" w:line="360" w:lineRule="auto"/>
            <w:contextualSpacing/>
            <w:jc w:val="center"/>
            <w:rPr>
              <w:rFonts w:ascii="Arial" w:hAnsi="Arial" w:cs="Arial"/>
              <w:b/>
              <w:color w:val="auto"/>
              <w:sz w:val="22"/>
              <w:szCs w:val="22"/>
            </w:rPr>
          </w:pPr>
          <w:r w:rsidRPr="00DE102C">
            <w:rPr>
              <w:rFonts w:ascii="Arial" w:hAnsi="Arial" w:cs="Arial"/>
              <w:b/>
              <w:color w:val="auto"/>
              <w:sz w:val="22"/>
              <w:szCs w:val="22"/>
            </w:rPr>
            <w:t>Table of Contents</w:t>
          </w:r>
        </w:p>
        <w:p w14:paraId="41FFA179" w14:textId="2EA908E8" w:rsidR="007B4C93" w:rsidRPr="00DE102C" w:rsidRDefault="007B4C93" w:rsidP="007B4C93">
          <w:pPr>
            <w:pStyle w:val="TOC1"/>
            <w:tabs>
              <w:tab w:val="right" w:leader="dot" w:pos="9350"/>
            </w:tabs>
            <w:spacing w:after="0" w:line="360" w:lineRule="auto"/>
            <w:contextualSpacing/>
            <w:rPr>
              <w:rFonts w:ascii="Arial" w:hAnsi="Arial" w:cs="Arial"/>
              <w:noProof/>
            </w:rPr>
          </w:pPr>
          <w:r w:rsidRPr="00DE102C">
            <w:rPr>
              <w:rFonts w:ascii="Arial" w:hAnsi="Arial" w:cs="Arial"/>
              <w:bCs/>
              <w:noProof/>
            </w:rPr>
            <w:fldChar w:fldCharType="begin"/>
          </w:r>
          <w:r w:rsidRPr="00DE102C">
            <w:rPr>
              <w:rFonts w:ascii="Arial" w:hAnsi="Arial" w:cs="Arial"/>
              <w:bCs/>
              <w:noProof/>
            </w:rPr>
            <w:instrText xml:space="preserve"> TOC \o "1-3" \h \z \u </w:instrText>
          </w:r>
          <w:r w:rsidRPr="00DE102C">
            <w:rPr>
              <w:rFonts w:ascii="Arial" w:hAnsi="Arial" w:cs="Arial"/>
              <w:bCs/>
              <w:noProof/>
            </w:rPr>
            <w:fldChar w:fldCharType="separate"/>
          </w:r>
          <w:hyperlink w:anchor="_Toc214209771" w:history="1">
            <w:r w:rsidRPr="00DE102C">
              <w:rPr>
                <w:rStyle w:val="Hyperlink"/>
                <w:rFonts w:ascii="Arial" w:hAnsi="Arial" w:cs="Arial"/>
                <w:noProof/>
                <w:color w:val="auto"/>
              </w:rPr>
              <w:t>E</w:t>
            </w:r>
            <w:r w:rsidR="000A51EB">
              <w:rPr>
                <w:rStyle w:val="Hyperlink"/>
                <w:rFonts w:ascii="Arial" w:hAnsi="Arial" w:cs="Arial"/>
                <w:noProof/>
                <w:color w:val="auto"/>
              </w:rPr>
              <w:t>xecutive</w:t>
            </w:r>
            <w:r w:rsidRPr="00DE102C">
              <w:rPr>
                <w:rStyle w:val="Hyperlink"/>
                <w:rFonts w:ascii="Arial" w:hAnsi="Arial" w:cs="Arial"/>
                <w:noProof/>
                <w:color w:val="auto"/>
              </w:rPr>
              <w:t xml:space="preserve"> S</w:t>
            </w:r>
            <w:r w:rsidR="000A51EB">
              <w:rPr>
                <w:rStyle w:val="Hyperlink"/>
                <w:rFonts w:ascii="Arial" w:hAnsi="Arial" w:cs="Arial"/>
                <w:noProof/>
                <w:color w:val="auto"/>
              </w:rPr>
              <w:t>ummary</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_Toc214209771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3</w:t>
            </w:r>
            <w:r w:rsidRPr="00DE102C">
              <w:rPr>
                <w:rFonts w:ascii="Arial" w:hAnsi="Arial" w:cs="Arial"/>
                <w:noProof/>
                <w:webHidden/>
              </w:rPr>
              <w:fldChar w:fldCharType="end"/>
            </w:r>
          </w:hyperlink>
        </w:p>
        <w:p w14:paraId="06E2804B" w14:textId="2D4F0413" w:rsidR="007B4C93" w:rsidRPr="00DE102C" w:rsidRDefault="007B4C93" w:rsidP="007B4C93">
          <w:pPr>
            <w:pStyle w:val="TOC1"/>
            <w:tabs>
              <w:tab w:val="right" w:leader="dot" w:pos="9350"/>
            </w:tabs>
            <w:spacing w:after="0" w:line="360" w:lineRule="auto"/>
            <w:contextualSpacing/>
            <w:rPr>
              <w:rFonts w:ascii="Arial" w:hAnsi="Arial" w:cs="Arial"/>
              <w:noProof/>
            </w:rPr>
          </w:pPr>
          <w:hyperlink w:anchor="_Toc214209772" w:history="1">
            <w:r w:rsidRPr="00DE102C">
              <w:rPr>
                <w:rStyle w:val="Hyperlink"/>
                <w:rFonts w:ascii="Arial" w:hAnsi="Arial" w:cs="Arial"/>
                <w:noProof/>
                <w:color w:val="auto"/>
              </w:rPr>
              <w:t>I</w:t>
            </w:r>
            <w:r w:rsidR="000A51EB">
              <w:rPr>
                <w:rStyle w:val="Hyperlink"/>
                <w:rFonts w:ascii="Arial" w:hAnsi="Arial" w:cs="Arial"/>
                <w:noProof/>
                <w:color w:val="auto"/>
              </w:rPr>
              <w:t>ntroduction</w:t>
            </w:r>
            <w:r w:rsidRPr="00DE102C">
              <w:rPr>
                <w:rStyle w:val="Hyperlink"/>
                <w:rFonts w:ascii="Arial" w:hAnsi="Arial" w:cs="Arial"/>
                <w:noProof/>
                <w:color w:val="auto"/>
              </w:rPr>
              <w:t xml:space="preserve"> </w:t>
            </w:r>
            <w:r w:rsidR="000A51EB">
              <w:rPr>
                <w:rStyle w:val="Hyperlink"/>
                <w:rFonts w:ascii="Arial" w:hAnsi="Arial" w:cs="Arial"/>
                <w:noProof/>
                <w:color w:val="auto"/>
              </w:rPr>
              <w:t>to</w:t>
            </w:r>
            <w:r w:rsidRPr="00DE102C">
              <w:rPr>
                <w:rStyle w:val="Hyperlink"/>
                <w:rFonts w:ascii="Arial" w:hAnsi="Arial" w:cs="Arial"/>
                <w:noProof/>
                <w:color w:val="auto"/>
              </w:rPr>
              <w:t xml:space="preserve"> T</w:t>
            </w:r>
            <w:r w:rsidR="000A51EB">
              <w:rPr>
                <w:rStyle w:val="Hyperlink"/>
                <w:rFonts w:ascii="Arial" w:hAnsi="Arial" w:cs="Arial"/>
                <w:noProof/>
                <w:color w:val="auto"/>
              </w:rPr>
              <w:t>esco</w:t>
            </w:r>
            <w:r w:rsidRPr="00DE102C">
              <w:rPr>
                <w:rStyle w:val="Hyperlink"/>
                <w:rFonts w:ascii="Arial" w:hAnsi="Arial" w:cs="Arial"/>
                <w:noProof/>
                <w:color w:val="auto"/>
              </w:rPr>
              <w:t xml:space="preserve"> PLC</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_Toc214209772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4</w:t>
            </w:r>
            <w:r w:rsidRPr="00DE102C">
              <w:rPr>
                <w:rFonts w:ascii="Arial" w:hAnsi="Arial" w:cs="Arial"/>
                <w:noProof/>
                <w:webHidden/>
              </w:rPr>
              <w:fldChar w:fldCharType="end"/>
            </w:r>
          </w:hyperlink>
        </w:p>
        <w:p w14:paraId="3A606ED9" w14:textId="7EC15604" w:rsidR="007B4C93" w:rsidRPr="00DE102C" w:rsidRDefault="007B4C93" w:rsidP="007B4C93">
          <w:pPr>
            <w:pStyle w:val="TOC1"/>
            <w:tabs>
              <w:tab w:val="right" w:leader="dot" w:pos="9350"/>
            </w:tabs>
            <w:spacing w:after="0" w:line="360" w:lineRule="auto"/>
            <w:contextualSpacing/>
            <w:rPr>
              <w:rFonts w:ascii="Arial" w:hAnsi="Arial" w:cs="Arial"/>
              <w:noProof/>
            </w:rPr>
          </w:pPr>
          <w:hyperlink w:anchor="_Toc214209773" w:history="1">
            <w:r w:rsidRPr="00DE102C">
              <w:rPr>
                <w:rStyle w:val="Hyperlink"/>
                <w:rFonts w:ascii="Arial" w:hAnsi="Arial" w:cs="Arial"/>
                <w:noProof/>
                <w:color w:val="auto"/>
              </w:rPr>
              <w:t>R</w:t>
            </w:r>
            <w:r w:rsidR="000A51EB">
              <w:rPr>
                <w:rStyle w:val="Hyperlink"/>
                <w:rFonts w:ascii="Arial" w:hAnsi="Arial" w:cs="Arial"/>
                <w:noProof/>
                <w:color w:val="auto"/>
              </w:rPr>
              <w:t>ecent</w:t>
            </w:r>
            <w:r w:rsidRPr="00DE102C">
              <w:rPr>
                <w:rStyle w:val="Hyperlink"/>
                <w:rFonts w:ascii="Arial" w:hAnsi="Arial" w:cs="Arial"/>
                <w:noProof/>
                <w:color w:val="auto"/>
              </w:rPr>
              <w:t xml:space="preserve"> </w:t>
            </w:r>
            <w:r w:rsidR="000A51EB">
              <w:rPr>
                <w:rStyle w:val="Hyperlink"/>
                <w:rFonts w:ascii="Arial" w:hAnsi="Arial" w:cs="Arial"/>
                <w:noProof/>
                <w:color w:val="auto"/>
              </w:rPr>
              <w:t>history</w:t>
            </w:r>
            <w:r w:rsidRPr="00DE102C">
              <w:rPr>
                <w:rStyle w:val="Hyperlink"/>
                <w:rFonts w:ascii="Arial" w:hAnsi="Arial" w:cs="Arial"/>
                <w:noProof/>
                <w:color w:val="auto"/>
              </w:rPr>
              <w:t xml:space="preserve"> </w:t>
            </w:r>
            <w:r w:rsidR="000A51EB">
              <w:rPr>
                <w:rStyle w:val="Hyperlink"/>
                <w:rFonts w:ascii="Arial" w:hAnsi="Arial" w:cs="Arial"/>
                <w:noProof/>
                <w:color w:val="auto"/>
              </w:rPr>
              <w:t xml:space="preserve">of </w:t>
            </w:r>
            <w:r w:rsidRPr="00DE102C">
              <w:rPr>
                <w:rStyle w:val="Hyperlink"/>
                <w:rFonts w:ascii="Arial" w:hAnsi="Arial" w:cs="Arial"/>
                <w:noProof/>
                <w:color w:val="auto"/>
              </w:rPr>
              <w:t>T</w:t>
            </w:r>
            <w:r w:rsidR="000A51EB">
              <w:rPr>
                <w:rStyle w:val="Hyperlink"/>
                <w:rFonts w:ascii="Arial" w:hAnsi="Arial" w:cs="Arial"/>
                <w:noProof/>
                <w:color w:val="auto"/>
              </w:rPr>
              <w:t>esco</w:t>
            </w:r>
            <w:r w:rsidRPr="00DE102C">
              <w:rPr>
                <w:rStyle w:val="Hyperlink"/>
                <w:rFonts w:ascii="Arial" w:hAnsi="Arial" w:cs="Arial"/>
                <w:noProof/>
                <w:color w:val="auto"/>
              </w:rPr>
              <w:t xml:space="preserve"> &amp; </w:t>
            </w:r>
            <w:r w:rsidR="000A51EB">
              <w:rPr>
                <w:rStyle w:val="Hyperlink"/>
                <w:rFonts w:ascii="Arial" w:hAnsi="Arial" w:cs="Arial"/>
                <w:noProof/>
                <w:color w:val="auto"/>
              </w:rPr>
              <w:t>enviromental</w:t>
            </w:r>
            <w:r w:rsidRPr="00DE102C">
              <w:rPr>
                <w:rStyle w:val="Hyperlink"/>
                <w:rFonts w:ascii="Arial" w:hAnsi="Arial" w:cs="Arial"/>
                <w:noProof/>
                <w:color w:val="auto"/>
              </w:rPr>
              <w:t xml:space="preserve"> </w:t>
            </w:r>
            <w:r w:rsidR="000A51EB">
              <w:rPr>
                <w:rStyle w:val="Hyperlink"/>
                <w:rFonts w:ascii="Arial" w:hAnsi="Arial" w:cs="Arial"/>
                <w:noProof/>
                <w:color w:val="auto"/>
              </w:rPr>
              <w:t>analisys</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_Toc214209773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5</w:t>
            </w:r>
            <w:r w:rsidRPr="00DE102C">
              <w:rPr>
                <w:rFonts w:ascii="Arial" w:hAnsi="Arial" w:cs="Arial"/>
                <w:noProof/>
                <w:webHidden/>
              </w:rPr>
              <w:fldChar w:fldCharType="end"/>
            </w:r>
          </w:hyperlink>
        </w:p>
        <w:p w14:paraId="20895E1D" w14:textId="5807E57F" w:rsidR="007B4C93" w:rsidRPr="00DE102C" w:rsidRDefault="007B4C93" w:rsidP="007B4C93">
          <w:pPr>
            <w:pStyle w:val="TOC1"/>
            <w:tabs>
              <w:tab w:val="right" w:leader="dot" w:pos="9350"/>
            </w:tabs>
            <w:spacing w:after="0" w:line="360" w:lineRule="auto"/>
            <w:contextualSpacing/>
            <w:rPr>
              <w:rFonts w:ascii="Arial" w:hAnsi="Arial" w:cs="Arial"/>
              <w:noProof/>
            </w:rPr>
          </w:pPr>
          <w:hyperlink w:anchor="_Toc214209774" w:history="1">
            <w:r w:rsidRPr="00DE102C">
              <w:rPr>
                <w:rStyle w:val="Hyperlink"/>
                <w:rFonts w:ascii="Arial" w:hAnsi="Arial" w:cs="Arial"/>
                <w:noProof/>
                <w:color w:val="auto"/>
              </w:rPr>
              <w:t>E</w:t>
            </w:r>
            <w:r w:rsidR="000A51EB">
              <w:rPr>
                <w:rStyle w:val="Hyperlink"/>
                <w:rFonts w:ascii="Arial" w:hAnsi="Arial" w:cs="Arial"/>
                <w:noProof/>
                <w:color w:val="auto"/>
              </w:rPr>
              <w:t>valuation</w:t>
            </w:r>
            <w:r w:rsidRPr="00DE102C">
              <w:rPr>
                <w:rStyle w:val="Hyperlink"/>
                <w:rFonts w:ascii="Arial" w:hAnsi="Arial" w:cs="Arial"/>
                <w:noProof/>
                <w:color w:val="auto"/>
              </w:rPr>
              <w:t xml:space="preserve"> </w:t>
            </w:r>
            <w:r w:rsidR="000A51EB">
              <w:rPr>
                <w:rStyle w:val="Hyperlink"/>
                <w:rFonts w:ascii="Arial" w:hAnsi="Arial" w:cs="Arial"/>
                <w:noProof/>
                <w:color w:val="auto"/>
              </w:rPr>
              <w:t>of</w:t>
            </w:r>
            <w:r w:rsidRPr="00DE102C">
              <w:rPr>
                <w:rStyle w:val="Hyperlink"/>
                <w:rFonts w:ascii="Arial" w:hAnsi="Arial" w:cs="Arial"/>
                <w:noProof/>
                <w:color w:val="auto"/>
              </w:rPr>
              <w:t xml:space="preserve"> </w:t>
            </w:r>
            <w:r w:rsidR="000A51EB">
              <w:rPr>
                <w:rStyle w:val="Hyperlink"/>
                <w:rFonts w:ascii="Arial" w:hAnsi="Arial" w:cs="Arial"/>
                <w:noProof/>
                <w:color w:val="auto"/>
              </w:rPr>
              <w:t>change</w:t>
            </w:r>
            <w:r w:rsidRPr="00DE102C">
              <w:rPr>
                <w:rStyle w:val="Hyperlink"/>
                <w:rFonts w:ascii="Arial" w:hAnsi="Arial" w:cs="Arial"/>
                <w:noProof/>
                <w:color w:val="auto"/>
              </w:rPr>
              <w:t xml:space="preserve"> </w:t>
            </w:r>
            <w:r w:rsidR="000A51EB">
              <w:rPr>
                <w:rStyle w:val="Hyperlink"/>
                <w:rFonts w:ascii="Arial" w:hAnsi="Arial" w:cs="Arial"/>
                <w:noProof/>
                <w:color w:val="auto"/>
              </w:rPr>
              <w:t>management</w:t>
            </w:r>
            <w:r w:rsidRPr="00DE102C">
              <w:rPr>
                <w:rStyle w:val="Hyperlink"/>
                <w:rFonts w:ascii="Arial" w:hAnsi="Arial" w:cs="Arial"/>
                <w:noProof/>
                <w:color w:val="auto"/>
              </w:rPr>
              <w:t xml:space="preserve"> </w:t>
            </w:r>
            <w:r w:rsidR="000A51EB">
              <w:rPr>
                <w:rStyle w:val="Hyperlink"/>
                <w:rFonts w:ascii="Arial" w:hAnsi="Arial" w:cs="Arial"/>
                <w:noProof/>
                <w:color w:val="auto"/>
              </w:rPr>
              <w:t>models</w:t>
            </w:r>
            <w:r w:rsidRPr="00DE102C">
              <w:rPr>
                <w:rStyle w:val="Hyperlink"/>
                <w:rFonts w:ascii="Arial" w:hAnsi="Arial" w:cs="Arial"/>
                <w:noProof/>
                <w:color w:val="auto"/>
              </w:rPr>
              <w:t xml:space="preserve"> </w:t>
            </w:r>
            <w:r w:rsidR="000A51EB">
              <w:rPr>
                <w:rStyle w:val="Hyperlink"/>
                <w:rFonts w:ascii="Arial" w:hAnsi="Arial" w:cs="Arial"/>
                <w:noProof/>
                <w:color w:val="auto"/>
              </w:rPr>
              <w:t>for</w:t>
            </w:r>
            <w:r w:rsidRPr="00DE102C">
              <w:rPr>
                <w:rStyle w:val="Hyperlink"/>
                <w:rFonts w:ascii="Arial" w:hAnsi="Arial" w:cs="Arial"/>
                <w:noProof/>
                <w:color w:val="auto"/>
              </w:rPr>
              <w:t xml:space="preserve"> T</w:t>
            </w:r>
            <w:r w:rsidR="000A51EB">
              <w:rPr>
                <w:rStyle w:val="Hyperlink"/>
                <w:rFonts w:ascii="Arial" w:hAnsi="Arial" w:cs="Arial"/>
                <w:noProof/>
                <w:color w:val="auto"/>
              </w:rPr>
              <w:t>esco</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_Toc214209774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8</w:t>
            </w:r>
            <w:r w:rsidRPr="00DE102C">
              <w:rPr>
                <w:rFonts w:ascii="Arial" w:hAnsi="Arial" w:cs="Arial"/>
                <w:noProof/>
                <w:webHidden/>
              </w:rPr>
              <w:fldChar w:fldCharType="end"/>
            </w:r>
          </w:hyperlink>
        </w:p>
        <w:p w14:paraId="50EC4BDC" w14:textId="59D8CC14" w:rsidR="007B4C93" w:rsidRPr="00DE102C" w:rsidRDefault="007B4C93" w:rsidP="007B4C93">
          <w:pPr>
            <w:pStyle w:val="TOC1"/>
            <w:tabs>
              <w:tab w:val="right" w:leader="dot" w:pos="9350"/>
            </w:tabs>
            <w:spacing w:after="0" w:line="360" w:lineRule="auto"/>
            <w:contextualSpacing/>
            <w:rPr>
              <w:rFonts w:ascii="Arial" w:hAnsi="Arial" w:cs="Arial"/>
              <w:noProof/>
            </w:rPr>
          </w:pPr>
          <w:hyperlink w:anchor="_Toc214209775" w:history="1">
            <w:r w:rsidRPr="00DE102C">
              <w:rPr>
                <w:rStyle w:val="Hyperlink"/>
                <w:rFonts w:ascii="Arial" w:hAnsi="Arial" w:cs="Arial"/>
                <w:noProof/>
                <w:color w:val="auto"/>
              </w:rPr>
              <w:t>S</w:t>
            </w:r>
            <w:r w:rsidR="000A51EB">
              <w:rPr>
                <w:rStyle w:val="Hyperlink"/>
                <w:rFonts w:ascii="Arial" w:hAnsi="Arial" w:cs="Arial"/>
                <w:noProof/>
                <w:color w:val="auto"/>
              </w:rPr>
              <w:t>trategic</w:t>
            </w:r>
            <w:r w:rsidRPr="00DE102C">
              <w:rPr>
                <w:rStyle w:val="Hyperlink"/>
                <w:rFonts w:ascii="Arial" w:hAnsi="Arial" w:cs="Arial"/>
                <w:noProof/>
                <w:color w:val="auto"/>
              </w:rPr>
              <w:t xml:space="preserve"> </w:t>
            </w:r>
            <w:r w:rsidR="000A51EB">
              <w:rPr>
                <w:rStyle w:val="Hyperlink"/>
                <w:rFonts w:ascii="Arial" w:hAnsi="Arial" w:cs="Arial"/>
                <w:noProof/>
                <w:color w:val="auto"/>
              </w:rPr>
              <w:t>change</w:t>
            </w:r>
            <w:r w:rsidRPr="00DE102C">
              <w:rPr>
                <w:rStyle w:val="Hyperlink"/>
                <w:rFonts w:ascii="Arial" w:hAnsi="Arial" w:cs="Arial"/>
                <w:noProof/>
                <w:color w:val="auto"/>
              </w:rPr>
              <w:t xml:space="preserve"> </w:t>
            </w:r>
            <w:r w:rsidR="000A51EB">
              <w:rPr>
                <w:rStyle w:val="Hyperlink"/>
                <w:rFonts w:ascii="Arial" w:hAnsi="Arial" w:cs="Arial"/>
                <w:noProof/>
                <w:color w:val="auto"/>
              </w:rPr>
              <w:t>manage</w:t>
            </w:r>
            <w:r w:rsidR="00B97326">
              <w:rPr>
                <w:rStyle w:val="Hyperlink"/>
                <w:rFonts w:ascii="Arial" w:hAnsi="Arial" w:cs="Arial"/>
                <w:noProof/>
                <w:color w:val="auto"/>
              </w:rPr>
              <w:t>m</w:t>
            </w:r>
            <w:r w:rsidR="000A51EB">
              <w:rPr>
                <w:rStyle w:val="Hyperlink"/>
                <w:rFonts w:ascii="Arial" w:hAnsi="Arial" w:cs="Arial"/>
                <w:noProof/>
                <w:color w:val="auto"/>
              </w:rPr>
              <w:t>ent</w:t>
            </w:r>
            <w:r w:rsidRPr="00DE102C">
              <w:rPr>
                <w:rStyle w:val="Hyperlink"/>
                <w:rFonts w:ascii="Arial" w:hAnsi="Arial" w:cs="Arial"/>
                <w:noProof/>
                <w:color w:val="auto"/>
              </w:rPr>
              <w:t xml:space="preserve"> </w:t>
            </w:r>
            <w:r w:rsidR="000A51EB">
              <w:rPr>
                <w:rStyle w:val="Hyperlink"/>
                <w:rFonts w:ascii="Arial" w:hAnsi="Arial" w:cs="Arial"/>
                <w:noProof/>
                <w:color w:val="auto"/>
              </w:rPr>
              <w:t>plan</w:t>
            </w:r>
            <w:r w:rsidRPr="00DE102C">
              <w:rPr>
                <w:rStyle w:val="Hyperlink"/>
                <w:rFonts w:ascii="Arial" w:hAnsi="Arial" w:cs="Arial"/>
                <w:noProof/>
                <w:color w:val="auto"/>
              </w:rPr>
              <w:t xml:space="preserve"> </w:t>
            </w:r>
            <w:r w:rsidR="000A51EB">
              <w:rPr>
                <w:rStyle w:val="Hyperlink"/>
                <w:rFonts w:ascii="Arial" w:hAnsi="Arial" w:cs="Arial"/>
                <w:noProof/>
                <w:color w:val="auto"/>
              </w:rPr>
              <w:t>for</w:t>
            </w:r>
            <w:r w:rsidRPr="00DE102C">
              <w:rPr>
                <w:rStyle w:val="Hyperlink"/>
                <w:rFonts w:ascii="Arial" w:hAnsi="Arial" w:cs="Arial"/>
                <w:noProof/>
                <w:color w:val="auto"/>
              </w:rPr>
              <w:t xml:space="preserve"> T</w:t>
            </w:r>
            <w:r w:rsidR="000A51EB">
              <w:rPr>
                <w:rStyle w:val="Hyperlink"/>
                <w:rFonts w:ascii="Arial" w:hAnsi="Arial" w:cs="Arial"/>
                <w:noProof/>
                <w:color w:val="auto"/>
              </w:rPr>
              <w:t>esco</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_Toc214209775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11</w:t>
            </w:r>
            <w:r w:rsidRPr="00DE102C">
              <w:rPr>
                <w:rFonts w:ascii="Arial" w:hAnsi="Arial" w:cs="Arial"/>
                <w:noProof/>
                <w:webHidden/>
              </w:rPr>
              <w:fldChar w:fldCharType="end"/>
            </w:r>
          </w:hyperlink>
        </w:p>
        <w:p w14:paraId="14272226" w14:textId="621692FF" w:rsidR="007B4C93" w:rsidRPr="00DE102C" w:rsidRDefault="007B4C93" w:rsidP="007B4C93">
          <w:pPr>
            <w:pStyle w:val="TOC1"/>
            <w:tabs>
              <w:tab w:val="right" w:leader="dot" w:pos="9350"/>
            </w:tabs>
            <w:spacing w:after="0" w:line="360" w:lineRule="auto"/>
            <w:contextualSpacing/>
            <w:rPr>
              <w:rFonts w:ascii="Arial" w:hAnsi="Arial" w:cs="Arial"/>
              <w:noProof/>
            </w:rPr>
          </w:pPr>
          <w:hyperlink w:anchor="_Toc214209776" w:history="1">
            <w:r w:rsidRPr="00DE102C">
              <w:rPr>
                <w:rStyle w:val="Hyperlink"/>
                <w:rFonts w:ascii="Arial" w:hAnsi="Arial" w:cs="Arial"/>
                <w:noProof/>
                <w:color w:val="auto"/>
              </w:rPr>
              <w:t>C</w:t>
            </w:r>
            <w:r w:rsidR="000A51EB">
              <w:rPr>
                <w:rStyle w:val="Hyperlink"/>
                <w:rFonts w:ascii="Arial" w:hAnsi="Arial" w:cs="Arial"/>
                <w:noProof/>
                <w:color w:val="auto"/>
              </w:rPr>
              <w:t>onclusion</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_Toc214209776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13</w:t>
            </w:r>
            <w:r w:rsidRPr="00DE102C">
              <w:rPr>
                <w:rFonts w:ascii="Arial" w:hAnsi="Arial" w:cs="Arial"/>
                <w:noProof/>
                <w:webHidden/>
              </w:rPr>
              <w:fldChar w:fldCharType="end"/>
            </w:r>
          </w:hyperlink>
        </w:p>
        <w:p w14:paraId="3C55BC82" w14:textId="6D1A0C8E" w:rsidR="007B4C93" w:rsidRPr="00DE102C" w:rsidRDefault="007B4C93" w:rsidP="007B4C93">
          <w:pPr>
            <w:pStyle w:val="TOC1"/>
            <w:tabs>
              <w:tab w:val="right" w:leader="dot" w:pos="9350"/>
            </w:tabs>
            <w:spacing w:after="0" w:line="360" w:lineRule="auto"/>
            <w:contextualSpacing/>
            <w:rPr>
              <w:rFonts w:ascii="Arial" w:hAnsi="Arial" w:cs="Arial"/>
              <w:noProof/>
            </w:rPr>
          </w:pPr>
          <w:hyperlink w:anchor="_Toc214209777" w:history="1">
            <w:r w:rsidRPr="00DE102C">
              <w:rPr>
                <w:rStyle w:val="Hyperlink"/>
                <w:rFonts w:ascii="Arial" w:hAnsi="Arial" w:cs="Arial"/>
                <w:noProof/>
                <w:color w:val="auto"/>
              </w:rPr>
              <w:t>R</w:t>
            </w:r>
            <w:r w:rsidR="00D10EF3">
              <w:rPr>
                <w:rStyle w:val="Hyperlink"/>
                <w:rFonts w:ascii="Arial" w:hAnsi="Arial" w:cs="Arial"/>
                <w:noProof/>
                <w:color w:val="auto"/>
              </w:rPr>
              <w:t>eference</w:t>
            </w:r>
            <w:r w:rsidR="00B97326">
              <w:rPr>
                <w:rStyle w:val="Hyperlink"/>
                <w:rFonts w:ascii="Arial" w:hAnsi="Arial" w:cs="Arial"/>
                <w:noProof/>
                <w:color w:val="auto"/>
              </w:rPr>
              <w:t>s</w:t>
            </w:r>
            <w:r w:rsidRPr="00DE102C">
              <w:rPr>
                <w:rFonts w:ascii="Arial" w:hAnsi="Arial" w:cs="Arial"/>
                <w:noProof/>
                <w:webHidden/>
              </w:rPr>
              <w:tab/>
            </w:r>
            <w:r w:rsidRPr="00DE102C">
              <w:rPr>
                <w:rFonts w:ascii="Arial" w:hAnsi="Arial" w:cs="Arial"/>
                <w:noProof/>
                <w:webHidden/>
              </w:rPr>
              <w:fldChar w:fldCharType="begin"/>
            </w:r>
            <w:r w:rsidRPr="00DE102C">
              <w:rPr>
                <w:rFonts w:ascii="Arial" w:hAnsi="Arial" w:cs="Arial"/>
                <w:noProof/>
                <w:webHidden/>
              </w:rPr>
              <w:instrText xml:space="preserve"> PAGEREF _Toc214209777 \h </w:instrText>
            </w:r>
            <w:r w:rsidRPr="00DE102C">
              <w:rPr>
                <w:rFonts w:ascii="Arial" w:hAnsi="Arial" w:cs="Arial"/>
                <w:noProof/>
                <w:webHidden/>
              </w:rPr>
            </w:r>
            <w:r w:rsidRPr="00DE102C">
              <w:rPr>
                <w:rFonts w:ascii="Arial" w:hAnsi="Arial" w:cs="Arial"/>
                <w:noProof/>
                <w:webHidden/>
              </w:rPr>
              <w:fldChar w:fldCharType="separate"/>
            </w:r>
            <w:r w:rsidRPr="00DE102C">
              <w:rPr>
                <w:rFonts w:ascii="Arial" w:hAnsi="Arial" w:cs="Arial"/>
                <w:noProof/>
                <w:webHidden/>
              </w:rPr>
              <w:t>15</w:t>
            </w:r>
            <w:r w:rsidRPr="00DE102C">
              <w:rPr>
                <w:rFonts w:ascii="Arial" w:hAnsi="Arial" w:cs="Arial"/>
                <w:noProof/>
                <w:webHidden/>
              </w:rPr>
              <w:fldChar w:fldCharType="end"/>
            </w:r>
          </w:hyperlink>
        </w:p>
        <w:p w14:paraId="402DA39D" w14:textId="77777777" w:rsidR="007B4C93" w:rsidRPr="00DE102C" w:rsidRDefault="007B4C93" w:rsidP="007B4C93">
          <w:pPr>
            <w:spacing w:after="0" w:line="360" w:lineRule="auto"/>
            <w:contextualSpacing/>
            <w:rPr>
              <w:rFonts w:ascii="Arial" w:hAnsi="Arial" w:cs="Arial"/>
            </w:rPr>
          </w:pPr>
          <w:r w:rsidRPr="00DE102C">
            <w:rPr>
              <w:rFonts w:ascii="Arial" w:hAnsi="Arial" w:cs="Arial"/>
              <w:bCs/>
              <w:noProof/>
            </w:rPr>
            <w:fldChar w:fldCharType="end"/>
          </w:r>
        </w:p>
      </w:sdtContent>
    </w:sdt>
    <w:p w14:paraId="31EA9674" w14:textId="77777777" w:rsidR="001D04EB" w:rsidRPr="00DE102C" w:rsidRDefault="001D04EB" w:rsidP="007B4C93">
      <w:pPr>
        <w:pStyle w:val="NormalWeb"/>
        <w:spacing w:before="0" w:beforeAutospacing="0" w:after="0" w:afterAutospacing="0" w:line="360" w:lineRule="auto"/>
        <w:contextualSpacing/>
        <w:rPr>
          <w:rFonts w:ascii="Arial" w:hAnsi="Arial" w:cs="Arial"/>
          <w:sz w:val="22"/>
          <w:szCs w:val="22"/>
        </w:rPr>
      </w:pPr>
    </w:p>
    <w:p w14:paraId="0F9AA082" w14:textId="77777777" w:rsidR="001D04EB" w:rsidRPr="00DE102C" w:rsidRDefault="001D04EB" w:rsidP="007B4C93">
      <w:pPr>
        <w:spacing w:after="0" w:line="360" w:lineRule="auto"/>
        <w:contextualSpacing/>
        <w:jc w:val="both"/>
        <w:rPr>
          <w:rFonts w:ascii="Arial" w:hAnsi="Arial" w:cs="Arial"/>
        </w:rPr>
      </w:pPr>
    </w:p>
    <w:p w14:paraId="3A0C4FD4" w14:textId="3E4AF912" w:rsidR="00936326" w:rsidRPr="00DE102C" w:rsidRDefault="00936326" w:rsidP="007B4C93">
      <w:pPr>
        <w:spacing w:after="0" w:line="360" w:lineRule="auto"/>
        <w:contextualSpacing/>
        <w:rPr>
          <w:rFonts w:ascii="Arial" w:eastAsiaTheme="majorEastAsia" w:hAnsi="Arial" w:cs="Arial"/>
        </w:rPr>
      </w:pPr>
      <w:r w:rsidRPr="00DE102C">
        <w:rPr>
          <w:rFonts w:ascii="Arial" w:hAnsi="Arial" w:cs="Arial"/>
        </w:rPr>
        <w:br w:type="page"/>
      </w:r>
    </w:p>
    <w:p w14:paraId="055F3F20" w14:textId="77777777" w:rsidR="001D04EB" w:rsidRPr="00DE102C" w:rsidRDefault="00C75B77" w:rsidP="00DE102C">
      <w:pPr>
        <w:pStyle w:val="Heading1"/>
        <w:spacing w:line="360" w:lineRule="auto"/>
        <w:jc w:val="both"/>
        <w:rPr>
          <w:rFonts w:ascii="Arial" w:hAnsi="Arial" w:cs="Arial"/>
          <w:sz w:val="22"/>
        </w:rPr>
      </w:pPr>
      <w:bookmarkStart w:id="0" w:name="_Toc214209771"/>
      <w:r w:rsidRPr="00DE102C">
        <w:rPr>
          <w:rStyle w:val="Strong"/>
          <w:rFonts w:ascii="Arial" w:hAnsi="Arial" w:cs="Arial"/>
          <w:bCs w:val="0"/>
          <w:sz w:val="22"/>
        </w:rPr>
        <w:lastRenderedPageBreak/>
        <w:t>EXECUTIVE SUMMARY</w:t>
      </w:r>
      <w:bookmarkEnd w:id="0"/>
    </w:p>
    <w:p w14:paraId="32057090" w14:textId="267A4FE3" w:rsidR="001D04EB" w:rsidRPr="00DE102C" w:rsidRDefault="006D478D" w:rsidP="00DE102C">
      <w:pPr>
        <w:pStyle w:val="NormalWeb"/>
        <w:spacing w:before="0" w:beforeAutospacing="0" w:after="0" w:afterAutospacing="0" w:line="360" w:lineRule="auto"/>
        <w:ind w:firstLine="720"/>
        <w:contextualSpacing/>
        <w:jc w:val="both"/>
        <w:rPr>
          <w:rFonts w:ascii="Arial" w:hAnsi="Arial" w:cs="Arial"/>
          <w:sz w:val="22"/>
          <w:szCs w:val="22"/>
        </w:rPr>
      </w:pPr>
      <w:r w:rsidRPr="00DE102C">
        <w:rPr>
          <w:rFonts w:ascii="Arial" w:hAnsi="Arial" w:cs="Arial"/>
          <w:sz w:val="22"/>
          <w:szCs w:val="22"/>
        </w:rPr>
        <w:t xml:space="preserve">Tesco PLC is the biggest grocery retailer in United Kingdom with over 4,000 stores worldwide </w:t>
      </w:r>
      <w:r w:rsidR="00DE102C" w:rsidRPr="00DE102C">
        <w:rPr>
          <w:rFonts w:ascii="Arial" w:hAnsi="Arial" w:cs="Arial"/>
          <w:sz w:val="22"/>
          <w:szCs w:val="22"/>
        </w:rPr>
        <w:t>and</w:t>
      </w:r>
      <w:r w:rsidRPr="00DE102C">
        <w:rPr>
          <w:rFonts w:ascii="Arial" w:hAnsi="Arial" w:cs="Arial"/>
          <w:sz w:val="22"/>
          <w:szCs w:val="22"/>
        </w:rPr>
        <w:t xml:space="preserve"> having personnel of over</w:t>
      </w:r>
      <w:r w:rsidR="00C44911" w:rsidRPr="00DE102C">
        <w:rPr>
          <w:rFonts w:ascii="Arial" w:hAnsi="Arial" w:cs="Arial"/>
          <w:sz w:val="22"/>
          <w:szCs w:val="22"/>
        </w:rPr>
        <w:t xml:space="preserve"> </w:t>
      </w:r>
      <w:r w:rsidRPr="00DE102C">
        <w:rPr>
          <w:rFonts w:ascii="Arial" w:hAnsi="Arial" w:cs="Arial"/>
          <w:sz w:val="22"/>
          <w:szCs w:val="22"/>
        </w:rPr>
        <w:t xml:space="preserve">300,000 employees working in its global supply chain. The last ten years have seen Tesco experience </w:t>
      </w:r>
      <w:r w:rsidR="00EB206A" w:rsidRPr="00DE102C">
        <w:rPr>
          <w:rFonts w:ascii="Arial" w:hAnsi="Arial" w:cs="Arial"/>
          <w:sz w:val="22"/>
          <w:szCs w:val="22"/>
        </w:rPr>
        <w:t>endless</w:t>
      </w:r>
      <w:r w:rsidRPr="00DE102C">
        <w:rPr>
          <w:rFonts w:ascii="Arial" w:hAnsi="Arial" w:cs="Arial"/>
          <w:sz w:val="22"/>
          <w:szCs w:val="22"/>
        </w:rPr>
        <w:t xml:space="preserve"> discontinuity brought on by the digital transformation, changing consumer habits, the emergence of online grocery shopping, the demand to be sustainable and the threat posed by the entry of technology-savvy retailers like Amazon Fresh and Ocado into the market. The circumstances have revealed the weaknesses of Tesco in </w:t>
      </w:r>
      <w:r w:rsidR="00EB206A" w:rsidRPr="00DE102C">
        <w:rPr>
          <w:rFonts w:ascii="Arial" w:hAnsi="Arial" w:cs="Arial"/>
          <w:sz w:val="22"/>
          <w:szCs w:val="22"/>
        </w:rPr>
        <w:t>organizational</w:t>
      </w:r>
      <w:r w:rsidRPr="00DE102C">
        <w:rPr>
          <w:rFonts w:ascii="Arial" w:hAnsi="Arial" w:cs="Arial"/>
          <w:sz w:val="22"/>
          <w:szCs w:val="22"/>
        </w:rPr>
        <w:t xml:space="preserve"> capacity, systems of operation, and cultural flexibility. This strategic change plan aims at creating a holistic </w:t>
      </w:r>
      <w:r w:rsidR="00EB206A" w:rsidRPr="00DE102C">
        <w:rPr>
          <w:rFonts w:ascii="Arial" w:hAnsi="Arial" w:cs="Arial"/>
          <w:sz w:val="22"/>
          <w:szCs w:val="22"/>
        </w:rPr>
        <w:t>organizational</w:t>
      </w:r>
      <w:r w:rsidRPr="00DE102C">
        <w:rPr>
          <w:rFonts w:ascii="Arial" w:hAnsi="Arial" w:cs="Arial"/>
          <w:sz w:val="22"/>
          <w:szCs w:val="22"/>
        </w:rPr>
        <w:t xml:space="preserve"> change project that empowers Tesco with improved competitiveness in the market, improved digital capacity and internal culture that integrates with the technology-driven retailing environment. The operating model of Tesco has been influenced greatly by the recent environmental changes. Modern retailers have new strategic demands due to the proliferation of artificial intelligence (AI), algorithmic logistics, and customer analytics based on data (Deloitte, 2023). Since the COVID-19 pandemic, online grocery sales have increased at an accelerated rate, changing the fundamentals of consumer expectations in terms of convenience, transparency in pricing, and reliability in delivering goods (Mintel, 2022). In the meantime, regulatory changes connected to sustainability and </w:t>
      </w:r>
      <w:r w:rsidR="00EB206A" w:rsidRPr="00DE102C">
        <w:rPr>
          <w:rFonts w:ascii="Arial" w:hAnsi="Arial" w:cs="Arial"/>
          <w:sz w:val="22"/>
          <w:szCs w:val="22"/>
        </w:rPr>
        <w:t>decarbonization</w:t>
      </w:r>
      <w:r w:rsidRPr="00DE102C">
        <w:rPr>
          <w:rFonts w:ascii="Arial" w:hAnsi="Arial" w:cs="Arial"/>
          <w:sz w:val="22"/>
          <w:szCs w:val="22"/>
        </w:rPr>
        <w:t xml:space="preserve"> put additional pressure on Tesco to </w:t>
      </w:r>
      <w:r w:rsidR="00EB206A" w:rsidRPr="00DE102C">
        <w:rPr>
          <w:rFonts w:ascii="Arial" w:hAnsi="Arial" w:cs="Arial"/>
          <w:sz w:val="22"/>
          <w:szCs w:val="22"/>
        </w:rPr>
        <w:t>minimize</w:t>
      </w:r>
      <w:r w:rsidRPr="00DE102C">
        <w:rPr>
          <w:rFonts w:ascii="Arial" w:hAnsi="Arial" w:cs="Arial"/>
          <w:sz w:val="22"/>
          <w:szCs w:val="22"/>
        </w:rPr>
        <w:t xml:space="preserve"> waste, change packaging, and hatch net-zero </w:t>
      </w:r>
      <w:r w:rsidR="00EB206A" w:rsidRPr="00DE102C">
        <w:rPr>
          <w:rFonts w:ascii="Arial" w:hAnsi="Arial" w:cs="Arial"/>
          <w:sz w:val="22"/>
          <w:szCs w:val="22"/>
        </w:rPr>
        <w:t>practices</w:t>
      </w:r>
      <w:r w:rsidRPr="00DE102C">
        <w:rPr>
          <w:rFonts w:ascii="Arial" w:hAnsi="Arial" w:cs="Arial"/>
          <w:sz w:val="22"/>
          <w:szCs w:val="22"/>
        </w:rPr>
        <w:t xml:space="preserve"> of the supply chain (DEFRA, 2022). The convergence of these forces underscores the necessity to have a holistic change </w:t>
      </w:r>
      <w:r w:rsidR="00EB206A" w:rsidRPr="00DE102C">
        <w:rPr>
          <w:rFonts w:ascii="Arial" w:hAnsi="Arial" w:cs="Arial"/>
          <w:sz w:val="22"/>
          <w:szCs w:val="22"/>
        </w:rPr>
        <w:t>programmer</w:t>
      </w:r>
      <w:r w:rsidRPr="00DE102C">
        <w:rPr>
          <w:rFonts w:ascii="Arial" w:hAnsi="Arial" w:cs="Arial"/>
          <w:sz w:val="22"/>
          <w:szCs w:val="22"/>
        </w:rPr>
        <w:t xml:space="preserve"> that is responsive to the technological and socio-environmental forces of change. This report is a critical assessment of both internal and external problems facing Tesco, responses to disruption in digital history, and a critical assessment of the leadership and cultural process of the company through the conventional theory of change management. The readiness of Tesco to change is evaluated in terms of models like 3-stage model by Lewin (1951), Eight-step change model created by Kotter (1996), and McKinsey 7-S Framework. The report states that </w:t>
      </w:r>
      <w:r w:rsidR="00EB206A" w:rsidRPr="00DE102C">
        <w:rPr>
          <w:rFonts w:ascii="Arial" w:hAnsi="Arial" w:cs="Arial"/>
          <w:sz w:val="22"/>
          <w:szCs w:val="22"/>
        </w:rPr>
        <w:t>organizational</w:t>
      </w:r>
      <w:r w:rsidRPr="00DE102C">
        <w:rPr>
          <w:rFonts w:ascii="Arial" w:hAnsi="Arial" w:cs="Arial"/>
          <w:sz w:val="22"/>
          <w:szCs w:val="22"/>
        </w:rPr>
        <w:t xml:space="preserve"> resistance is difficult to overcome without transformational leadership that will help to create a culture of innovation, empowerment and constant improvement (Bass and Riggio, 2006). The three main strategic objectives that are presented in the plan include digital upskilling of the labour force, but also investments in AI-enabled solutions in the retail sector, and a cultural re-alignment along the lines of psychological safety and problem-</w:t>
      </w:r>
      <w:r w:rsidR="00EB206A" w:rsidRPr="00DE102C">
        <w:rPr>
          <w:rFonts w:ascii="Arial" w:hAnsi="Arial" w:cs="Arial"/>
          <w:sz w:val="22"/>
          <w:szCs w:val="22"/>
        </w:rPr>
        <w:t>centered</w:t>
      </w:r>
      <w:r w:rsidRPr="00DE102C">
        <w:rPr>
          <w:rFonts w:ascii="Arial" w:hAnsi="Arial" w:cs="Arial"/>
          <w:sz w:val="22"/>
          <w:szCs w:val="22"/>
        </w:rPr>
        <w:t xml:space="preserve"> collaboration. An implementation plan is given in details; it will include a financial plan, communication plan, a schedule, risk analysis, and evaluation structure. </w:t>
      </w:r>
    </w:p>
    <w:p w14:paraId="216A5FFD" w14:textId="77777777" w:rsidR="00565DFE" w:rsidRDefault="00565DFE" w:rsidP="00DE102C">
      <w:pPr>
        <w:pStyle w:val="Heading1"/>
        <w:spacing w:line="360" w:lineRule="auto"/>
        <w:jc w:val="both"/>
        <w:rPr>
          <w:rStyle w:val="Strong"/>
          <w:rFonts w:ascii="Arial" w:hAnsi="Arial" w:cs="Arial"/>
          <w:bCs w:val="0"/>
          <w:sz w:val="22"/>
        </w:rPr>
      </w:pPr>
      <w:bookmarkStart w:id="1" w:name="_Toc214209772"/>
    </w:p>
    <w:p w14:paraId="4A147444" w14:textId="17EE060A" w:rsidR="00DE102C" w:rsidRDefault="001D04EB" w:rsidP="00DE102C">
      <w:pPr>
        <w:pStyle w:val="Heading1"/>
        <w:spacing w:line="360" w:lineRule="auto"/>
        <w:jc w:val="both"/>
        <w:rPr>
          <w:rStyle w:val="Strong"/>
          <w:rFonts w:ascii="Arial" w:hAnsi="Arial" w:cs="Arial"/>
          <w:bCs w:val="0"/>
          <w:sz w:val="22"/>
        </w:rPr>
      </w:pPr>
      <w:r w:rsidRPr="00DE102C">
        <w:rPr>
          <w:rStyle w:val="Strong"/>
          <w:rFonts w:ascii="Arial" w:hAnsi="Arial" w:cs="Arial"/>
          <w:bCs w:val="0"/>
          <w:sz w:val="22"/>
        </w:rPr>
        <w:lastRenderedPageBreak/>
        <w:t xml:space="preserve">INTRODUCTION TO TESCO </w:t>
      </w:r>
      <w:r w:rsidR="00C75B77" w:rsidRPr="00DE102C">
        <w:rPr>
          <w:rStyle w:val="Strong"/>
          <w:rFonts w:ascii="Arial" w:hAnsi="Arial" w:cs="Arial"/>
          <w:bCs w:val="0"/>
          <w:sz w:val="22"/>
        </w:rPr>
        <w:t>PLC</w:t>
      </w:r>
      <w:bookmarkEnd w:id="1"/>
    </w:p>
    <w:p w14:paraId="6BF79A2F" w14:textId="0F805A4A" w:rsidR="00485652" w:rsidRPr="00DE102C" w:rsidRDefault="00485652" w:rsidP="00DE102C">
      <w:pPr>
        <w:pStyle w:val="Heading1"/>
        <w:spacing w:line="360" w:lineRule="auto"/>
        <w:jc w:val="both"/>
        <w:rPr>
          <w:rFonts w:ascii="Arial" w:hAnsi="Arial" w:cs="Arial"/>
          <w:sz w:val="22"/>
        </w:rPr>
      </w:pPr>
      <w:r w:rsidRPr="00DE102C">
        <w:rPr>
          <w:rFonts w:ascii="Arial" w:hAnsi="Arial" w:cs="Arial"/>
          <w:sz w:val="22"/>
        </w:rPr>
        <w:t xml:space="preserve">Tesco PLC is the biggest retail </w:t>
      </w:r>
      <w:r w:rsidR="00EB206A" w:rsidRPr="00DE102C">
        <w:rPr>
          <w:rFonts w:ascii="Arial" w:hAnsi="Arial" w:cs="Arial"/>
          <w:sz w:val="22"/>
        </w:rPr>
        <w:t>organization</w:t>
      </w:r>
      <w:r w:rsidRPr="00DE102C">
        <w:rPr>
          <w:rFonts w:ascii="Arial" w:hAnsi="Arial" w:cs="Arial"/>
          <w:sz w:val="22"/>
        </w:rPr>
        <w:t xml:space="preserve"> in the United Kingdom and one of the most known grocery brands in the entire world. Tesco is a multinational company in Central Europe, Ireland and Asia started as a simple market stall in 1919 by Jack Cohen (Humby et al., 2008). Food and grocery retailing is the main business of the company; however, it has ventured in financial services, online retailing, mobile networks, and clothing under its F&amp;F brand. Tesco has a dominant competitive position, and over 27 percent of the UK grocery market, which is bigger than other competitors—Sainsbury, Asda, and Morrisons (Kantar, 2024). Nevertheless, Tesco, in spite of its size, is in a margin-sensitive and highly competitive business environment that is featured by increasing customer demands and accelerated technological advancements.</w:t>
      </w:r>
    </w:p>
    <w:p w14:paraId="14E2ED3F" w14:textId="550A6C48" w:rsidR="00485652" w:rsidRPr="00DE102C" w:rsidRDefault="0048565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The historical emphasis on efficiency and customers as well as market responsiveness has influenced the Tesco operating model. The strategic focus on retail innovation, community interactions, and sustainable business practises is reflected in the vision of the company, which is to serve customers, communities, and the planet a little better every day (Tesco PLC, 2023). Tesco had historically succeeded by using </w:t>
      </w:r>
      <w:r w:rsidR="00DE102C" w:rsidRPr="00DE102C">
        <w:rPr>
          <w:rFonts w:ascii="Arial" w:hAnsi="Arial" w:cs="Arial"/>
          <w:sz w:val="22"/>
          <w:szCs w:val="22"/>
        </w:rPr>
        <w:t>information</w:t>
      </w:r>
      <w:r w:rsidRPr="00DE102C">
        <w:rPr>
          <w:rFonts w:ascii="Arial" w:hAnsi="Arial" w:cs="Arial"/>
          <w:sz w:val="22"/>
          <w:szCs w:val="22"/>
        </w:rPr>
        <w:t xml:space="preserve"> analytics in an even more radical way, where the Clubcard loyalty programme allowed Tesco to tailor its marketing more closely and better understand the consumer behaviour (Humby et al., 2008). But the competitive situation has changed much since then and emerging competitors, using new AI, robotics, and online resources, have defied the traditional Tesco benefits.</w:t>
      </w:r>
    </w:p>
    <w:p w14:paraId="60B43A37" w14:textId="52AAFC6C" w:rsidR="00485652" w:rsidRPr="00DE102C" w:rsidRDefault="0048565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The Tesco internal structure is </w:t>
      </w:r>
      <w:r w:rsidR="00DE102C" w:rsidRPr="00DE102C">
        <w:rPr>
          <w:rFonts w:ascii="Arial" w:hAnsi="Arial" w:cs="Arial"/>
          <w:sz w:val="22"/>
          <w:szCs w:val="22"/>
        </w:rPr>
        <w:t>primarily</w:t>
      </w:r>
      <w:r w:rsidRPr="00DE102C">
        <w:rPr>
          <w:rFonts w:ascii="Arial" w:hAnsi="Arial" w:cs="Arial"/>
          <w:sz w:val="22"/>
          <w:szCs w:val="22"/>
        </w:rPr>
        <w:t xml:space="preserve"> hierarchical and the decision making processes are centralised and focus on </w:t>
      </w:r>
      <w:r w:rsidR="00DE102C" w:rsidRPr="00DE102C">
        <w:rPr>
          <w:rFonts w:ascii="Arial" w:hAnsi="Arial" w:cs="Arial"/>
          <w:sz w:val="22"/>
          <w:szCs w:val="22"/>
        </w:rPr>
        <w:t>operational</w:t>
      </w:r>
      <w:r w:rsidRPr="00DE102C">
        <w:rPr>
          <w:rFonts w:ascii="Arial" w:hAnsi="Arial" w:cs="Arial"/>
          <w:sz w:val="22"/>
          <w:szCs w:val="22"/>
        </w:rPr>
        <w:t xml:space="preserve"> stability and cost management. Although this structure has facilitated the effective coordination of the supply chain, it has not allowed organisations to be responsive and innovative, especially in matters that needed digitalisation (Johnson et al., 2017). The company has adopted various organisational changes over the last decade to manage the issue of operations, including the reorganisation of its distribution network, shutting down of stores making low performance </w:t>
      </w:r>
      <w:r w:rsidR="00DE102C" w:rsidRPr="00DE102C">
        <w:rPr>
          <w:rFonts w:ascii="Arial" w:hAnsi="Arial" w:cs="Arial"/>
          <w:sz w:val="22"/>
          <w:szCs w:val="22"/>
        </w:rPr>
        <w:t>and</w:t>
      </w:r>
      <w:r w:rsidRPr="00DE102C">
        <w:rPr>
          <w:rFonts w:ascii="Arial" w:hAnsi="Arial" w:cs="Arial"/>
          <w:sz w:val="22"/>
          <w:szCs w:val="22"/>
        </w:rPr>
        <w:t xml:space="preserve"> a change of leadership structure. These changes, however, were mainly efficiency based, but not innovation driven.</w:t>
      </w:r>
    </w:p>
    <w:p w14:paraId="7D2A2FE3" w14:textId="08F122CA" w:rsidR="001D04EB" w:rsidRPr="00DE102C" w:rsidRDefault="00485652" w:rsidP="00DE102C">
      <w:pPr>
        <w:pStyle w:val="NormalWeb"/>
        <w:spacing w:before="0" w:beforeAutospacing="0" w:after="0" w:afterAutospacing="0" w:line="360" w:lineRule="auto"/>
        <w:ind w:firstLine="720"/>
        <w:contextualSpacing/>
        <w:jc w:val="both"/>
        <w:rPr>
          <w:rFonts w:ascii="Arial" w:hAnsi="Arial" w:cs="Arial"/>
          <w:sz w:val="22"/>
          <w:szCs w:val="22"/>
        </w:rPr>
      </w:pPr>
      <w:r w:rsidRPr="00DE102C">
        <w:rPr>
          <w:rFonts w:ascii="Arial" w:hAnsi="Arial" w:cs="Arial"/>
          <w:sz w:val="22"/>
          <w:szCs w:val="22"/>
        </w:rPr>
        <w:t xml:space="preserve">Over the last few years, Tesco has been facing an increasing pressure of the external factors. The Amazon entry into the grocery business has radically changed the consumer demands on the level of speed, convenience, and reliability of online shopping (Grant, 2021). In the meantime, the sustainability requirements and environmental laws demand that retailers decrease carbon emissions, food waste, and work on the more environmentally friendly supply chains (DEFRA, 2022). </w:t>
      </w:r>
    </w:p>
    <w:p w14:paraId="567C047C" w14:textId="77777777" w:rsidR="001D04EB" w:rsidRPr="00DE102C" w:rsidRDefault="001D04EB" w:rsidP="00DE102C">
      <w:pPr>
        <w:pStyle w:val="Heading1"/>
        <w:spacing w:line="360" w:lineRule="auto"/>
        <w:jc w:val="both"/>
        <w:rPr>
          <w:rFonts w:ascii="Arial" w:hAnsi="Arial" w:cs="Arial"/>
          <w:sz w:val="22"/>
        </w:rPr>
      </w:pPr>
      <w:bookmarkStart w:id="2" w:name="_Toc214209773"/>
      <w:r w:rsidRPr="00DE102C">
        <w:rPr>
          <w:rStyle w:val="Strong"/>
          <w:rFonts w:ascii="Arial" w:hAnsi="Arial" w:cs="Arial"/>
          <w:bCs w:val="0"/>
          <w:sz w:val="22"/>
        </w:rPr>
        <w:lastRenderedPageBreak/>
        <w:t xml:space="preserve">RECENT HISTORY OF </w:t>
      </w:r>
      <w:r w:rsidR="00C75B77" w:rsidRPr="00DE102C">
        <w:rPr>
          <w:rStyle w:val="Strong"/>
          <w:rFonts w:ascii="Arial" w:hAnsi="Arial" w:cs="Arial"/>
          <w:bCs w:val="0"/>
          <w:sz w:val="22"/>
        </w:rPr>
        <w:t>TESCO &amp; ENVIRONMENTAL ANALYSIS</w:t>
      </w:r>
      <w:bookmarkEnd w:id="2"/>
    </w:p>
    <w:p w14:paraId="6EC4EDF9"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organisational history of Tesco in the recent past has been defined by a number of transformative changes occasioned by the disruption of technology, competition in the market, and the changing customer needs. The UK retail industry has been more volatile than ever over the past ten years, and it is believed that the accounting scandal of 2014 has caused this industry to suffer the most, especially with respect to the reputation and financial well-being of Tesco. Tesco responded by implementing a turnaround strategy in the company under the new CEO, Dave Lewis, whose priority was on cost-cutting, supply chain management, and restoring customer confidence (Wood and Wrigley, 2016). This stabilisation helped Tesco to regain its competitive status. Since 2019, however, there were new issues of online retail development, online disruption, and sustainable requirement, and a greater organisational change was needed.</w:t>
      </w:r>
    </w:p>
    <w:p w14:paraId="13EA5D00" w14:textId="1C158EE4"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rapid transition to online shopping of groceries has been one of the most important environmental change initiators. The COVID-19 crisis significantly changed the trends in retail demand, and online grocery purchases increased more than twice in 2021 (ONS, 2022). Tesco reacted to it by expanding the online delivery system, augmenting its “click and collect service and improving its digital infrastructure. Even though these adaptations allowed to stabilise market share, structural limitations were also revealed, especially the slowness with which the company was integrating AI-driven systems in comparison to technologically advanced competitors like Amazon Fresh and Ocado (Deloitte, 2023). With the introduction of Amazon to the UK grocery market in 2016, the introduction of Amazon Fresh and cashier-less Amazon Go stores, the level of competition in terms of convenience and automation has been fundamentally increased. The changes imply that online shopping is not a support tool but a primary retail fighting ground.</w:t>
      </w:r>
    </w:p>
    <w:p w14:paraId="20FE8013"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Moreover, the sudden emergence of artificial intelligence and machine learning technologies has changed the process of decision-making, management of inventories, and communication with customers of retailers. Demand forecasting, warehouse automation, theft patterns, personalised promotions, and improved logistics are also some of the areas AI is being applied (McKinsey, 2023). Tesco has already introduced some AI-based tools, especially in the supply chain forecasting and replenishment of inventory. A significant part of its operations at the store level, however, continues to depend on manual labour and practises that were deeply embedded in the past that slow the pace of innovation (Johnson et al., 2017). These internal limitations do not help Tesco to introduce fully digital customer journeys and compete with companies that were born digital.</w:t>
      </w:r>
    </w:p>
    <w:p w14:paraId="5E841FC8"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lastRenderedPageBreak/>
        <w:t>Another important force of change is environmental sustainability. External pressure is exerted by regulatory bodies like the UK Plastics Pact, carbon reduction ambitions, and deforestation laws to force the retailers to change their packaging, restructure their supply chains, and invest in green energy (DEFRA, 2022). Consumers are becoming more environmentally aware, and 65 per cent of them state that they want retailers who undertake ethical sourcing, less waste, and more open sustainability reporting (Mintel, 2022). Tesco has initiated green agenda programmes such as the elimination of one billion units of plastic wrappings and collaborations to minimise food waste. Nevertheless, it will be necessary to introduce additional systemic alterations in the field of procurement and distribution as well as store functioning to gain complete compliance with the country-level decarbonisation policies.</w:t>
      </w:r>
    </w:p>
    <w:p w14:paraId="0DC4356B"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issue of competitive pressure by the low-end retailers is an issue of major concern as well. Aldi and Lidl have remained aggressive in the UK marketplace, providing cheaper prices and reduced product offering that is easy to shop and use among low-end customers. Their low operating models, small assortment approach, and dominance in their own labels have enabled them to outprice Tesco and minimise the complexity in their operations (Wood, 2019). This dynamic makes Tesco strike a balance between cost competitiveness and the necessity to provide premium services, innovativeness, and sustainability which all demand high levels of capital investments.</w:t>
      </w:r>
    </w:p>
    <w:p w14:paraId="3B4203B7"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Besides the external forces, Tesco has significant internal issues. The culture in organisations has traditionally focused on cost effectiveness, hierarchical control and reliability. Although these values have enabled the excellence in the supply chain, they have also acted as a barrier to the flexibility needed by the digital innovation (Schein, 2017). Lots of the employees are unresponsive to innovative technologies, particularly the automation like self-checkout, distribution centres robots, and artificial intelligence scheduling systems. This opposition is usually influenced by the fear of losing a job, digital incompetence, and the psychological insecurity to explore unfamiliar processes (Edmondson, 2019). The presence of such cultural constraints implies that leadership interventions, which facilitated learning, empowerment, and change preparedness, were required.</w:t>
      </w:r>
    </w:p>
    <w:p w14:paraId="6E956602"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The organisational transformation is also affected by the labour issues facing Tesco. It has a significant number of employees with wide range of skills, experiences and digital competencies. Although the younger employees are easy to be assimilated into the digital systems, the older staff tends to need a lot of retraining and assurance. Modernisation of the workforce turns out to be a strategic priority as digital retail spaces demand more and more hybrid skills of combining conventional customer service with digital literacy (CIPD, 2022). Digital </w:t>
      </w:r>
      <w:r w:rsidRPr="00DE102C">
        <w:rPr>
          <w:rFonts w:ascii="Arial" w:hAnsi="Arial" w:cs="Arial"/>
          <w:sz w:val="22"/>
          <w:szCs w:val="22"/>
        </w:rPr>
        <w:lastRenderedPageBreak/>
        <w:t>transformation initiatives will fail without powerful training programmes and proper engagement strategies because of employee resistance or lack of the necessary skills.</w:t>
      </w:r>
    </w:p>
    <w:p w14:paraId="74775575"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PESTLE framework indicates other change triggers as seen in macro-environmental perspective. Retail logistics have been destabilised politically by post-Brexit disruptions in their supply chains as well as labour unavailability (Fitzgerald, 2021). Retail margins have been constrained by economic factors such as inflation and increased cost of operation and Tesco has been forced to seek efficiencies by automating its operations and transforming procurement. Frictionless experiences, convenience of home delivery, and sustainable decisions are socially required of the consumer. The arrival of mobile apps, AI-oriented optimization, robotics and contactless payment systems have changed the standard in the market technologically. Compliance requirements in the context of data privacy (GDPR), employment law and sustainability need the constant adjustment of organisations. Climate change asks the retailers to decarbonise, waste less, and switch to the circular supply chain models (DEFRA, 2022).</w:t>
      </w:r>
    </w:p>
    <w:p w14:paraId="71303589" w14:textId="77777777" w:rsidR="001D04EB" w:rsidRPr="00DE102C" w:rsidRDefault="001D04EB" w:rsidP="00DE102C">
      <w:pPr>
        <w:pStyle w:val="Heading1"/>
        <w:spacing w:line="360" w:lineRule="auto"/>
        <w:jc w:val="both"/>
        <w:rPr>
          <w:rFonts w:ascii="Arial" w:hAnsi="Arial" w:cs="Arial"/>
          <w:bCs/>
          <w:sz w:val="22"/>
        </w:rPr>
      </w:pPr>
      <w:bookmarkStart w:id="3" w:name="_Toc214209774"/>
      <w:r w:rsidRPr="00DE102C">
        <w:rPr>
          <w:rStyle w:val="Strong"/>
          <w:rFonts w:ascii="Arial" w:hAnsi="Arial" w:cs="Arial"/>
          <w:bCs w:val="0"/>
          <w:sz w:val="22"/>
        </w:rPr>
        <w:t>EVALUATION OF CHAN</w:t>
      </w:r>
      <w:r w:rsidR="008823B7" w:rsidRPr="00DE102C">
        <w:rPr>
          <w:rStyle w:val="Strong"/>
          <w:rFonts w:ascii="Arial" w:hAnsi="Arial" w:cs="Arial"/>
          <w:bCs w:val="0"/>
          <w:sz w:val="22"/>
        </w:rPr>
        <w:t>GE MANAGEMENT MODELS FOR TESCO</w:t>
      </w:r>
      <w:bookmarkEnd w:id="3"/>
    </w:p>
    <w:p w14:paraId="6182C719"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An organisation change cannot be effectively conducted without knowledge of environmental triggers, but must also have a strong theoretical framework to operate on. The Tesco change issues, i.e. digital disruption, cultural inflexibility, skills shortage in the workplace, and sustainability pledges require a methodological way of addressing them which is grounded on the old models of change management. Four significant models, which include Lewin and his Three-Stage Model of change (1951), Kotter and his Eight-step Change Model (1996), McKinsey 7-S Framework (Waterman et al., 1980), and ADKAR model (Hiatt, 2006) are critically assessed in this section. They have their strengths and weaknesses and are explored in terms of how they can be relevant to Tesco so that a proper hybrid strategy can be developed.</w:t>
      </w:r>
    </w:p>
    <w:p w14:paraId="711CED82"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One of the earliest conceptualisations of organisational change is Lewin Three-Stage Model which is made up of unfreezing, changing and refreezing. Unfreezing stage entails arousal of the necessity of change by shaking up the old mind sets, habits, and behaviours (Lewin, 1951). In the case of Tesco, the given stage is very topical, since the organisation has always had strictly bureaucratic frameworks and cost-oriented culture. Unfreezing will help the employees to realise the external threats like technological competitors, online shops demands, and sustainability responsibilities. The second phase of the model changing is associated with the introduction of new processes, policies or technologies. The use of AI forecasting tools, self-checkout machines and online fulfilment systems by Tesco falls in this stage. Refreezing is the third stage which entails stabilising new behaviours and adopting them in organisational culture.</w:t>
      </w:r>
    </w:p>
    <w:p w14:paraId="7DD095D9"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lastRenderedPageBreak/>
        <w:t>Even though the model by Lewin offers a general insight into the process of behavioural change, it has been criticised to be over simplified. The contemporary retail setting, in particular, the one that is directed by the active innovation (AI, digital logistics, etc.), demands adaptation in the form of the constant change instead of the linear freeze phase (Burnes, 2017). In the case of a retailer such as Tesco where changes in the competitive environment happen too often, refreezing can constrain agility. Nevertheless, the focus of Lewin on the employee attitudes and cultural preparedness is also of great value, especially because Tesco is experiencing employee opposition and digital illiteracy. Thus, the model developed by Lewin can only help Tesco change under the condition of being complemented with more dynamic frameworks.</w:t>
      </w:r>
    </w:p>
    <w:p w14:paraId="4611AF53"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Eight-Step Change Model by Kotter gives more specific and broadly adopted methodology. The initial step, which is the development of a sense of urgency is directly connected to the current situation at Tesco, with competitive pressure exerted by Amazon Fresh, Aldi, and Lidl applying significant pressure on Tesco to develop innovation. All this will leave Tesco prone to organisational complacency without a clear communication of urgency. The second and third steps of Kotter, which are shaping a guiding coalition and creating a vision, presuppose leadership teams which are cross-functional and thus able to impact people and drive change (Kotter, 1996). In the hierarchical culture at Tesco, the establishment of such coalitions can be confrontational to the authority of the top-down approach, but this is necessary when creating a collective ownership of the digital transformation.</w:t>
      </w:r>
    </w:p>
    <w:p w14:paraId="2F7FE8FB"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fourth and fifth steps as presented by Kotter are communicating the vision and empowering employees. In the case of Tesco, this requires explaining clearly why the company needs to be digitally transformed and how it will help customers create value and also how the employees would be accommodated by training and redesigning their roles. This is especially relevant to empowerment since the frontline store employees are usually intimidated by the automation technologies. Tesco can enhance change preparedness by minimising structural obstacles, administering electronic education, and promoting trial and error.</w:t>
      </w:r>
    </w:p>
    <w:p w14:paraId="5919B940"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Subsequent processes, which include the establishment of short-term wins, building on the gains, and embedding the change within the culture, are important in maintaining the momentum. The cost considerations or the change of leaders hit the break in the change efforts undertaken by Tesco previously and it is necessary to strengthen the progress with quantifiable outcomes. The benefits of transformation and the encouragement of the employees can be justified by short-term wins like the better delivery time, the less waste, or the higher use of the mobile app. The model proposed by Kotter is thorough and realistic yet has its flaws: the model presupposes a linear development and can be quite time-consuming in the rapidly evolving retail </w:t>
      </w:r>
      <w:r w:rsidRPr="00DE102C">
        <w:rPr>
          <w:rFonts w:ascii="Arial" w:hAnsi="Arial" w:cs="Arial"/>
          <w:sz w:val="22"/>
          <w:szCs w:val="22"/>
        </w:rPr>
        <w:lastRenderedPageBreak/>
        <w:t>setting (Appelbaum et al., 2012). However, its methodical way of going gives an excellent direction to Tesco particularly in cultural communication, leadership fit, and behaviour reinforcement.</w:t>
      </w:r>
    </w:p>
    <w:p w14:paraId="4AE4C4CF"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McKinsey 7-S Framework has a further aspect as it focuses on the organisational alignment. There are seven elements that depend on each other in the model; Strategy, Structure, Systems, Shared Values, Skills, Style, and Staff (Waterman et al., 1980). This framework is especially appropriate to Tesco since a large number of its problems are as a result of misalignments of these aspects. An example of this is the Tesco strategic goal of becoming a digital retailer leader, which cannot be aligned with the structural rigidity, old system of leadership and the lack of digital competencies in the employees. It is proposed in the 7-S model that restructuring is not enough, and effective transformation would have to be followed by the alignment of culture (shared values), leadership behaviour (style), employee capabilities (skills), and operational systems.</w:t>
      </w:r>
    </w:p>
    <w:p w14:paraId="455F1D01"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7-S model will help Tesco to recognise the discrepancies between its present and the desired position. Indicatively, the shared values of the company focus on efficiency and cost management, yet a digital-first approach demands innovation, learning, and flexibility. Likewise Tesco current systems including the old IT platforms and manual processes are not entirely enabling real time analytics and automation. The 7-S model assists Tesco in creating a holistic change plan that incorporates more in-depth organisational problems through diagnosis of these gaps. There is however a weakness in that the model does not directly proceed on how to deal with resistance or order activities, so it has to be combined with a process-based model such as Kotter.</w:t>
      </w:r>
    </w:p>
    <w:p w14:paraId="6CE8871A" w14:textId="77777777" w:rsidR="00C44562" w:rsidRPr="00DE102C"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ADKAR model created by Hiatt (2006) is a people-based model with five main outcomes such as Awareness, Desire, Knowledge, Ability and Reinforcement. The model fits the workforce issues at Tesco specifically on the area of digital upskilling and resistance. Awareness entails making employees know why change is necessary, Desire is what makes staff to join in, Knowledge and Ability is what gives them training and Reinforcement is what makes them not go back. The ability of ADKAR to focus on the problems of the individual level that obstruct change is one of its strengths, as it is paramount in the labour-intensive and diverse environment of Tesco. ADKAR is however, not a comprehensive organisational plan and may fail to solve structural barriers.</w:t>
      </w:r>
    </w:p>
    <w:p w14:paraId="2F93E52F" w14:textId="33D97F88" w:rsidR="00C44562" w:rsidRDefault="00C44562"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Combined together, these models provide a complete toolkit to Tesco. Lewin offers behaviour understanding, Kotter offers process leadership, McKinsey 7-S offers organisational alignment and ADKAR offers individual preparedness. Such complexity of the issues faced by </w:t>
      </w:r>
      <w:r w:rsidRPr="00DE102C">
        <w:rPr>
          <w:rFonts w:ascii="Arial" w:hAnsi="Arial" w:cs="Arial"/>
          <w:sz w:val="22"/>
          <w:szCs w:val="22"/>
        </w:rPr>
        <w:lastRenderedPageBreak/>
        <w:t>Tesco as the adoption of technology, the change of the culture, sustainability and process redesign demand a mixed solution that combines the advantages of both. As an illustration, the transformation developed with the help of Lewin to develop readiness, Kotter to shape the change path, McKinsey 7-S to harmonise internal processes, and ADKAR to assist employees on the personal level would be a strong base to change</w:t>
      </w:r>
      <w:r w:rsidR="00853C66">
        <w:rPr>
          <w:rFonts w:ascii="Arial" w:hAnsi="Arial" w:cs="Arial"/>
          <w:sz w:val="22"/>
          <w:szCs w:val="22"/>
        </w:rPr>
        <w:t>.</w:t>
      </w:r>
    </w:p>
    <w:p w14:paraId="4B7183AE" w14:textId="4B328054" w:rsidR="001D04EB" w:rsidRPr="00DE102C" w:rsidRDefault="001D04EB" w:rsidP="00DE102C">
      <w:pPr>
        <w:pStyle w:val="Heading1"/>
        <w:spacing w:line="360" w:lineRule="auto"/>
        <w:jc w:val="both"/>
        <w:rPr>
          <w:rFonts w:ascii="Arial" w:hAnsi="Arial" w:cs="Arial"/>
          <w:sz w:val="22"/>
        </w:rPr>
      </w:pPr>
      <w:bookmarkStart w:id="4" w:name="_Toc214209775"/>
      <w:r w:rsidRPr="00DE102C">
        <w:rPr>
          <w:rStyle w:val="Strong"/>
          <w:rFonts w:ascii="Arial" w:hAnsi="Arial" w:cs="Arial"/>
          <w:bCs w:val="0"/>
          <w:sz w:val="22"/>
        </w:rPr>
        <w:t>STRATEGIC CH</w:t>
      </w:r>
      <w:r w:rsidR="008711FF" w:rsidRPr="00DE102C">
        <w:rPr>
          <w:rStyle w:val="Strong"/>
          <w:rFonts w:ascii="Arial" w:hAnsi="Arial" w:cs="Arial"/>
          <w:bCs w:val="0"/>
          <w:sz w:val="22"/>
        </w:rPr>
        <w:t>ANGE MANAGEMENT PLAN FOR TESCO</w:t>
      </w:r>
      <w:bookmarkEnd w:id="4"/>
    </w:p>
    <w:p w14:paraId="5CD58399"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Tesco strategic change management plan should address the challenges mentioned above in a holistic way because they are digital disruption, cultural resistance, workforce training needs, sustainability pressure, and cost competitiveness. According to the hybrid change management model that integrates Kotter processual approach, Lewin behavioural knowledge, the McKinsey 7-S alignment framework and the ADKAR people-centric model, this section outlines an integrated change programme that will transform Tesco to be a digitally powered, customer-oriented, and environmentally sustainable organisation. The strategy is centred on four strategic pillars that include digital upskilling, technological innovation, cultural re-alignment, and transformation on sustainability.</w:t>
      </w:r>
    </w:p>
    <w:p w14:paraId="0626792D"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initial pillar is digital upskilling. The future competitiveness of Tesco depends on the capability of its workforce to work with the new technologies like AI-based inventory management system, automated checkout lanes, and evidence-based decision-making machines. The suggested goal is to train no less than 80 of the store staff to be competent users of AI supported systems within one and a half years. It is the same objective as the ADKAR model that is focused on increasing awareness of employees, creating desire, providing them with knowledge, and establishing new behaviours (Hiatt, 2006). One of the ways through which Tesco can do this is through organised training programmes that are provided using the e-learning module, practical workshops and peer mentoring plans. Digital literacy does not only increase the efficiency with which operations are run, but it also decreases the anxiety that employees feel about automation, thus lowering the level of resistance to change.</w:t>
      </w:r>
    </w:p>
    <w:p w14:paraId="0D0358BE"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The second pillar is on technological modernisation. Tesco needs to enhance its digital base with AI-powered customer analytics, warehouse robots, predictive logistics, and high-tech online fulfilment technologies. Among the strategic objectives, there is to make the online order processing more efficient (25 percent more within two years) by automating the warehouse and utilising AI-driven demand forecasting. This is a direct contribution to the step of Kotter to create short-term wins as initial improvement of the delivery speed or decrease of stockouts prove the advantages of transformation. According to the McKinsey 7-S model, the technological advances </w:t>
      </w:r>
      <w:r w:rsidRPr="00DE102C">
        <w:rPr>
          <w:rFonts w:ascii="Arial" w:hAnsi="Arial" w:cs="Arial"/>
          <w:sz w:val="22"/>
          <w:szCs w:val="22"/>
        </w:rPr>
        <w:lastRenderedPageBreak/>
        <w:t>should be coherent with the expertise of the staff, leadership approaches, and organisational values. In the absence of such alignment, technology stands a danger of being underutilised or being misaligned with day to day activities.</w:t>
      </w:r>
    </w:p>
    <w:p w14:paraId="547016A3"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third pillar is cultural re-alignment. The Tesco culture has long held on to traditional hierarchical and cost-focused culture which needs to transform to one that promotes innovation, collaboration, psychological safety, and continuous improvement. Schein (2017) states that cultural change necessitates a transformation in the entrenched assumptions over the manner in which work is done. To do so, Tesco needs to introduce an Innovation Dialogue platform, which will allow employees to contribute new ideas, test small-scale digital projects, and cooperate with other departments. A culture of creativity and learning will be strengthened by making use of workshops, innovation sprints, and cross-functional teams. Such a culture cannot be made without transformational leadership; the type of leadership that is characterised by inspiration, intellectual stimulation and individualised consideration (Bass and Riggio, 2006). The leaders should be able to demonstrate curiosity, promote experimentation, and support improvement as opposed to perfection.</w:t>
      </w:r>
    </w:p>
    <w:p w14:paraId="6B214C18"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The fourth pillar touches on environmental sustainability. Tesco has already initiated the process of minimising packaging waste and food waste, but more decisive steps should be taken to be in line with national decarbonisation goals (DEFRA, 2022). One of the goals is to cut the use of single-use plastic packaging by 30 percent in the year 2027 through establishing strategic partnerships with suppliers to jointly develop sustainable alternatives. The second goal is to reduce the number of carbon emissions in the Tesco supply chain through the introduction of renewable energy initiatives, switching to electric power delivery trucks, and implementing the principles of a circular economy. This is in line with the rising demands of consumers that retailers act ethically and regulatory compliance. Sustainability programmes must be part of McKinsey 7-S shared values element because sustainability would be an organisational identity of Tesco, but not an outside project.</w:t>
      </w:r>
    </w:p>
    <w:p w14:paraId="77712F99"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 xml:space="preserve">These pillars would need a financial plan to implement. Digital transformation will be very costly in terms of investment in technology, training and infrastructure. AI systems, integrating robotics, upgrading IT systems, and training programmes might require an estimated amount of £350 to 450 million over three years (Deloitte, 2023). The sustainability will involve a possible extra cost of £150 million on package re-design, energy saving store modification and clean fleet purchases. Most of these expenses will, however, be compensated by long-term savings in cost due to reduction of waste and the accuracy of inventory and lower labour costs caused by automation. The financial plan thus uses capital expenditure and estimated profit on investment </w:t>
      </w:r>
      <w:r w:rsidRPr="00DE102C">
        <w:rPr>
          <w:rFonts w:ascii="Arial" w:hAnsi="Arial" w:cs="Arial"/>
          <w:sz w:val="22"/>
          <w:szCs w:val="22"/>
        </w:rPr>
        <w:lastRenderedPageBreak/>
        <w:t>(ROI) via performance of operations, increased customer retention, lowered energy expenses and better brand image.</w:t>
      </w:r>
    </w:p>
    <w:p w14:paraId="4C3BFC97" w14:textId="77777777" w:rsidR="00027858" w:rsidRPr="00DE102C" w:rsidRDefault="0002785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A proper communication plan is also essential to facilitate the employee buy-in and transparency during the change process. Adopting the vision communication as discussed by Kotter, Tesco must apply a multi-channel communication approach which includes intranet communications, leaders using video messages, departmental messages, and town-hall meetings and the use of digital dashboards indicating progress achieved. Communication should be two-way, regular and open so that the employees are able to express themselves and ask questions. Managers are supposed to have communication toolkits that allow managers to make the organisational objectives relevant to their departments. Effective and open communication minimises uncertainty, develops trust, and enhances readiness to be engaged in the change process (Armenakis and Harris, 2009).</w:t>
      </w:r>
    </w:p>
    <w:p w14:paraId="611845AF" w14:textId="77777777" w:rsidR="001D04EB" w:rsidRPr="00853C66" w:rsidRDefault="008711FF" w:rsidP="00DE102C">
      <w:pPr>
        <w:pStyle w:val="Heading1"/>
        <w:spacing w:line="360" w:lineRule="auto"/>
        <w:jc w:val="both"/>
        <w:rPr>
          <w:rStyle w:val="Strong"/>
          <w:rFonts w:ascii="Arial" w:hAnsi="Arial" w:cs="Arial"/>
          <w:sz w:val="22"/>
        </w:rPr>
      </w:pPr>
      <w:bookmarkStart w:id="5" w:name="_Toc214209776"/>
      <w:r w:rsidRPr="00853C66">
        <w:rPr>
          <w:rStyle w:val="Strong"/>
          <w:rFonts w:ascii="Arial" w:hAnsi="Arial" w:cs="Arial"/>
          <w:sz w:val="22"/>
        </w:rPr>
        <w:t>CONCLUSION</w:t>
      </w:r>
      <w:bookmarkEnd w:id="5"/>
    </w:p>
    <w:p w14:paraId="7B36260F" w14:textId="77777777" w:rsidR="007453B8" w:rsidRPr="00DE102C" w:rsidRDefault="007453B8" w:rsidP="00DE102C">
      <w:pPr>
        <w:pStyle w:val="NormalWeb"/>
        <w:spacing w:after="0" w:line="360" w:lineRule="auto"/>
        <w:ind w:firstLine="720"/>
        <w:contextualSpacing/>
        <w:jc w:val="both"/>
        <w:rPr>
          <w:rFonts w:ascii="Arial" w:hAnsi="Arial" w:cs="Arial"/>
          <w:sz w:val="22"/>
          <w:szCs w:val="22"/>
        </w:rPr>
      </w:pPr>
      <w:r w:rsidRPr="00DE102C">
        <w:rPr>
          <w:rFonts w:ascii="Arial" w:hAnsi="Arial" w:cs="Arial"/>
          <w:sz w:val="22"/>
          <w:szCs w:val="22"/>
        </w:rPr>
        <w:t>Tesco PLC is at a crossroad in its organisational history. The digital disruption, changing consumer expectations, sustainability factors and increased competition all combine to necessitate action not modification. This report has shown that these external and internal triggers have a major impact on the operations of Tesco, cultural environment, and strategic priorities. By conducting a comprehensive analysis of major change management frameworks, it is apparent that none of the models can be used to resolve the intricacy of the Tesco change requirements. Rather, an integrated strategy of combining elements of Lewin, Kotter, McKinsey 7-S and ADKAR offers a holistic, adaptable and humanistic methodology.</w:t>
      </w:r>
    </w:p>
    <w:p w14:paraId="675F0555" w14:textId="77777777" w:rsidR="001D04EB" w:rsidRPr="00DE102C" w:rsidRDefault="007453B8" w:rsidP="00DE102C">
      <w:pPr>
        <w:pStyle w:val="NormalWeb"/>
        <w:spacing w:before="0" w:beforeAutospacing="0" w:after="0" w:afterAutospacing="0" w:line="360" w:lineRule="auto"/>
        <w:ind w:firstLine="720"/>
        <w:contextualSpacing/>
        <w:jc w:val="both"/>
        <w:rPr>
          <w:rFonts w:ascii="Arial" w:hAnsi="Arial" w:cs="Arial"/>
          <w:sz w:val="22"/>
          <w:szCs w:val="22"/>
        </w:rPr>
      </w:pPr>
      <w:r w:rsidRPr="00DE102C">
        <w:rPr>
          <w:rFonts w:ascii="Arial" w:hAnsi="Arial" w:cs="Arial"/>
          <w:sz w:val="22"/>
          <w:szCs w:val="22"/>
        </w:rPr>
        <w:t>The change management plan suggested makes Tesco better-placed to become more digital, build an innovation-led culture, minimise environmental impact, and become more efficient in its operations. Tesco can use its digital upskilling, next-generation technologies, leadership, and sustainability partnerships to substantially enhance its competitive advantage. The model of change programme is visible, realistic, and sustainable due to the organised communication strategy, a financial roadmap, and sustained assessment. Importantly, transformational leadership and cultural re-alignment will be critical in ensuring that trust is upheld, any resistance is reduced and that the employees are motivated to work regardless of thei</w:t>
      </w:r>
      <w:r w:rsidR="008E085B" w:rsidRPr="00DE102C">
        <w:rPr>
          <w:rFonts w:ascii="Arial" w:hAnsi="Arial" w:cs="Arial"/>
          <w:sz w:val="22"/>
          <w:szCs w:val="22"/>
        </w:rPr>
        <w:t>r position in the organisation.</w:t>
      </w:r>
    </w:p>
    <w:p w14:paraId="435C7FB2" w14:textId="77777777" w:rsidR="00C75B77" w:rsidRPr="00DE102C" w:rsidRDefault="00C75B77" w:rsidP="00DE102C">
      <w:pPr>
        <w:spacing w:line="360" w:lineRule="auto"/>
        <w:jc w:val="both"/>
        <w:rPr>
          <w:rStyle w:val="Strong"/>
          <w:rFonts w:ascii="Arial" w:eastAsiaTheme="majorEastAsia" w:hAnsi="Arial" w:cs="Arial"/>
          <w:b w:val="0"/>
          <w:bCs w:val="0"/>
        </w:rPr>
      </w:pPr>
      <w:r w:rsidRPr="00DE102C">
        <w:rPr>
          <w:rStyle w:val="Strong"/>
          <w:rFonts w:ascii="Arial" w:hAnsi="Arial" w:cs="Arial"/>
          <w:b w:val="0"/>
          <w:bCs w:val="0"/>
        </w:rPr>
        <w:br w:type="page"/>
      </w:r>
    </w:p>
    <w:p w14:paraId="4E9BA621" w14:textId="65F10320" w:rsidR="001D04EB" w:rsidRPr="00DE102C" w:rsidRDefault="001D04EB" w:rsidP="00DE102C">
      <w:pPr>
        <w:pStyle w:val="Heading1"/>
        <w:spacing w:line="360" w:lineRule="auto"/>
        <w:jc w:val="both"/>
        <w:rPr>
          <w:rFonts w:ascii="Arial" w:hAnsi="Arial" w:cs="Arial"/>
          <w:sz w:val="22"/>
        </w:rPr>
      </w:pPr>
      <w:bookmarkStart w:id="6" w:name="_Toc214209777"/>
      <w:r w:rsidRPr="00DE102C">
        <w:rPr>
          <w:rStyle w:val="Strong"/>
          <w:rFonts w:ascii="Arial" w:hAnsi="Arial" w:cs="Arial"/>
          <w:bCs w:val="0"/>
          <w:sz w:val="22"/>
        </w:rPr>
        <w:lastRenderedPageBreak/>
        <w:t>REFERENCE</w:t>
      </w:r>
      <w:bookmarkEnd w:id="6"/>
      <w:r w:rsidR="00B97326">
        <w:rPr>
          <w:rStyle w:val="Strong"/>
          <w:rFonts w:ascii="Arial" w:hAnsi="Arial" w:cs="Arial"/>
          <w:bCs w:val="0"/>
          <w:sz w:val="22"/>
        </w:rPr>
        <w:t>S</w:t>
      </w:r>
    </w:p>
    <w:p w14:paraId="4441315B"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Appelbaum, S.H., Habashy, S., Malo, J.-L. and Shafiq, H. (2012) ‘Back to the future: Revisiting Kotter’s 1996 change model’, </w:t>
      </w:r>
      <w:r w:rsidRPr="00DE102C">
        <w:rPr>
          <w:rStyle w:val="Emphasis"/>
          <w:rFonts w:ascii="Arial" w:hAnsi="Arial" w:cs="Arial"/>
          <w:sz w:val="22"/>
          <w:szCs w:val="22"/>
        </w:rPr>
        <w:t>Journal of Management Development</w:t>
      </w:r>
      <w:r w:rsidRPr="00DE102C">
        <w:rPr>
          <w:rFonts w:ascii="Arial" w:hAnsi="Arial" w:cs="Arial"/>
          <w:sz w:val="22"/>
          <w:szCs w:val="22"/>
        </w:rPr>
        <w:t>, 31(8), pp. 764–782.</w:t>
      </w:r>
    </w:p>
    <w:p w14:paraId="140F4315"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Armenakis, A.A. and Harris, S.G. (2009) ‘Reflections: Our Journey in Organisational Change Research and Practice’, </w:t>
      </w:r>
      <w:r w:rsidRPr="00DE102C">
        <w:rPr>
          <w:rStyle w:val="Emphasis"/>
          <w:rFonts w:ascii="Arial" w:hAnsi="Arial" w:cs="Arial"/>
          <w:sz w:val="22"/>
          <w:szCs w:val="22"/>
        </w:rPr>
        <w:t>Journal of Change Management</w:t>
      </w:r>
      <w:r w:rsidRPr="00DE102C">
        <w:rPr>
          <w:rFonts w:ascii="Arial" w:hAnsi="Arial" w:cs="Arial"/>
          <w:sz w:val="22"/>
          <w:szCs w:val="22"/>
        </w:rPr>
        <w:t>, 9(2), pp. 127–142.</w:t>
      </w:r>
    </w:p>
    <w:p w14:paraId="288D39FF"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Bass, B.M. and Riggio, R.E. (2006) </w:t>
      </w:r>
      <w:r w:rsidRPr="00DE102C">
        <w:rPr>
          <w:rStyle w:val="Emphasis"/>
          <w:rFonts w:ascii="Arial" w:hAnsi="Arial" w:cs="Arial"/>
          <w:sz w:val="22"/>
          <w:szCs w:val="22"/>
        </w:rPr>
        <w:t>Transformational Leadership</w:t>
      </w:r>
      <w:r w:rsidRPr="00DE102C">
        <w:rPr>
          <w:rFonts w:ascii="Arial" w:hAnsi="Arial" w:cs="Arial"/>
          <w:sz w:val="22"/>
          <w:szCs w:val="22"/>
        </w:rPr>
        <w:t>. 2nd edn. Mahwah, NJ: Lawrence Erlbaum Associates.</w:t>
      </w:r>
    </w:p>
    <w:p w14:paraId="4CF6BC69"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Burnes, B. (2017) ‘Kurt Lewin: 70 years on’, </w:t>
      </w:r>
      <w:r w:rsidRPr="00DE102C">
        <w:rPr>
          <w:rStyle w:val="Emphasis"/>
          <w:rFonts w:ascii="Arial" w:hAnsi="Arial" w:cs="Arial"/>
          <w:sz w:val="22"/>
          <w:szCs w:val="22"/>
        </w:rPr>
        <w:t>Journal of Change Management</w:t>
      </w:r>
      <w:r w:rsidRPr="00DE102C">
        <w:rPr>
          <w:rFonts w:ascii="Arial" w:hAnsi="Arial" w:cs="Arial"/>
          <w:sz w:val="22"/>
          <w:szCs w:val="22"/>
        </w:rPr>
        <w:t>, 17(2), pp. 91–100.</w:t>
      </w:r>
    </w:p>
    <w:p w14:paraId="30A6DAA4"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CIPD (2022) </w:t>
      </w:r>
      <w:r w:rsidRPr="00DE102C">
        <w:rPr>
          <w:rStyle w:val="Emphasis"/>
          <w:rFonts w:ascii="Arial" w:hAnsi="Arial" w:cs="Arial"/>
          <w:sz w:val="22"/>
          <w:szCs w:val="22"/>
        </w:rPr>
        <w:t>Workforce Trends Report 2022</w:t>
      </w:r>
      <w:r w:rsidRPr="00DE102C">
        <w:rPr>
          <w:rFonts w:ascii="Arial" w:hAnsi="Arial" w:cs="Arial"/>
          <w:sz w:val="22"/>
          <w:szCs w:val="22"/>
        </w:rPr>
        <w:t>. London: Chartered Institute of Personnel and Development.</w:t>
      </w:r>
    </w:p>
    <w:p w14:paraId="0C1E9EE5" w14:textId="77777777" w:rsidR="008B0673" w:rsidRPr="00DE102C" w:rsidRDefault="008B0673" w:rsidP="00DE102C">
      <w:pPr>
        <w:spacing w:after="0" w:line="360" w:lineRule="auto"/>
        <w:ind w:left="720" w:hanging="720"/>
        <w:contextualSpacing/>
        <w:jc w:val="both"/>
        <w:rPr>
          <w:rFonts w:ascii="Arial" w:eastAsia="Times New Roman" w:hAnsi="Arial" w:cs="Arial"/>
        </w:rPr>
      </w:pPr>
      <w:r w:rsidRPr="00DE102C">
        <w:rPr>
          <w:rFonts w:ascii="Arial" w:eastAsia="Times New Roman" w:hAnsi="Arial" w:cs="Arial"/>
        </w:rPr>
        <w:t xml:space="preserve">DEFRA (2022) </w:t>
      </w:r>
      <w:r w:rsidRPr="00DE102C">
        <w:rPr>
          <w:rFonts w:ascii="Arial" w:eastAsia="Times New Roman" w:hAnsi="Arial" w:cs="Arial"/>
          <w:i/>
          <w:iCs/>
        </w:rPr>
        <w:t>UK Resources and Waste Strategy: Progress Report</w:t>
      </w:r>
      <w:r w:rsidRPr="00DE102C">
        <w:rPr>
          <w:rFonts w:ascii="Arial" w:eastAsia="Times New Roman" w:hAnsi="Arial" w:cs="Arial"/>
        </w:rPr>
        <w:t>. London: Department for Environment, Food and Rural Affairs.</w:t>
      </w:r>
    </w:p>
    <w:p w14:paraId="0DC27E74"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Deloitte (2023) </w:t>
      </w:r>
      <w:r w:rsidRPr="00DE102C">
        <w:rPr>
          <w:rStyle w:val="Emphasis"/>
          <w:rFonts w:ascii="Arial" w:hAnsi="Arial" w:cs="Arial"/>
          <w:sz w:val="22"/>
          <w:szCs w:val="22"/>
        </w:rPr>
        <w:t>Retail Outlook 2023: Rebuilding Resilience</w:t>
      </w:r>
      <w:r w:rsidRPr="00DE102C">
        <w:rPr>
          <w:rFonts w:ascii="Arial" w:hAnsi="Arial" w:cs="Arial"/>
          <w:sz w:val="22"/>
          <w:szCs w:val="22"/>
        </w:rPr>
        <w:t>. London: Deloitte Insights.</w:t>
      </w:r>
    </w:p>
    <w:p w14:paraId="7979D1A6"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Edmondson, A. (2019) </w:t>
      </w:r>
      <w:r w:rsidRPr="00DE102C">
        <w:rPr>
          <w:rStyle w:val="Emphasis"/>
          <w:rFonts w:ascii="Arial" w:hAnsi="Arial" w:cs="Arial"/>
          <w:sz w:val="22"/>
          <w:szCs w:val="22"/>
        </w:rPr>
        <w:t>The Fearless Organisation: Creating Psychological Safety in the Workplace for Learning, Innovation, and Growth</w:t>
      </w:r>
      <w:r w:rsidRPr="00DE102C">
        <w:rPr>
          <w:rFonts w:ascii="Arial" w:hAnsi="Arial" w:cs="Arial"/>
          <w:sz w:val="22"/>
          <w:szCs w:val="22"/>
        </w:rPr>
        <w:t>. Hoboken: Wiley.</w:t>
      </w:r>
    </w:p>
    <w:p w14:paraId="516CBF45"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Fitzgerald, M. (2021) ‘Brexit and supply chain disruption in UK retail’, </w:t>
      </w:r>
      <w:r w:rsidRPr="00DE102C">
        <w:rPr>
          <w:rStyle w:val="Emphasis"/>
          <w:rFonts w:ascii="Arial" w:hAnsi="Arial" w:cs="Arial"/>
          <w:sz w:val="22"/>
          <w:szCs w:val="22"/>
        </w:rPr>
        <w:t>Retail Economics Review</w:t>
      </w:r>
      <w:r w:rsidRPr="00DE102C">
        <w:rPr>
          <w:rFonts w:ascii="Arial" w:hAnsi="Arial" w:cs="Arial"/>
          <w:sz w:val="22"/>
          <w:szCs w:val="22"/>
        </w:rPr>
        <w:t>, 15(3), pp. 45–59.</w:t>
      </w:r>
    </w:p>
    <w:p w14:paraId="53F29E8B"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Grant, R.M. (2021) </w:t>
      </w:r>
      <w:r w:rsidRPr="00DE102C">
        <w:rPr>
          <w:rStyle w:val="Emphasis"/>
          <w:rFonts w:ascii="Arial" w:hAnsi="Arial" w:cs="Arial"/>
          <w:sz w:val="22"/>
          <w:szCs w:val="22"/>
        </w:rPr>
        <w:t>Contemporary Strategy Analysis</w:t>
      </w:r>
      <w:r w:rsidRPr="00DE102C">
        <w:rPr>
          <w:rFonts w:ascii="Arial" w:hAnsi="Arial" w:cs="Arial"/>
          <w:sz w:val="22"/>
          <w:szCs w:val="22"/>
        </w:rPr>
        <w:t>. 11th edn. Hoboken: Wiley.</w:t>
      </w:r>
    </w:p>
    <w:p w14:paraId="1DB92A97"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Hiatt, J. (2006) </w:t>
      </w:r>
      <w:r w:rsidRPr="00DE102C">
        <w:rPr>
          <w:rStyle w:val="Emphasis"/>
          <w:rFonts w:ascii="Arial" w:hAnsi="Arial" w:cs="Arial"/>
          <w:sz w:val="22"/>
          <w:szCs w:val="22"/>
        </w:rPr>
        <w:t>ADKAR: A Model for Change in Business, Government and Our Community</w:t>
      </w:r>
      <w:r w:rsidRPr="00DE102C">
        <w:rPr>
          <w:rFonts w:ascii="Arial" w:hAnsi="Arial" w:cs="Arial"/>
          <w:sz w:val="22"/>
          <w:szCs w:val="22"/>
        </w:rPr>
        <w:t>. Loveland, CO: Prosci Research.</w:t>
      </w:r>
    </w:p>
    <w:p w14:paraId="63A3B281"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Humby, C., Hunt, T. and Phillips, T. (2008) </w:t>
      </w:r>
      <w:r w:rsidRPr="00DE102C">
        <w:rPr>
          <w:rStyle w:val="Emphasis"/>
          <w:rFonts w:ascii="Arial" w:hAnsi="Arial" w:cs="Arial"/>
          <w:sz w:val="22"/>
          <w:szCs w:val="22"/>
        </w:rPr>
        <w:t>Scoring Points: How Tesco Continues to Win Customer Loyalty</w:t>
      </w:r>
      <w:r w:rsidRPr="00DE102C">
        <w:rPr>
          <w:rFonts w:ascii="Arial" w:hAnsi="Arial" w:cs="Arial"/>
          <w:sz w:val="22"/>
          <w:szCs w:val="22"/>
        </w:rPr>
        <w:t>. London: Kogan Page.</w:t>
      </w:r>
    </w:p>
    <w:p w14:paraId="1A03DBED"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Johnson, G., Whittington, R. and Scholes, K. (2017) </w:t>
      </w:r>
      <w:r w:rsidRPr="00DE102C">
        <w:rPr>
          <w:rStyle w:val="Emphasis"/>
          <w:rFonts w:ascii="Arial" w:hAnsi="Arial" w:cs="Arial"/>
          <w:sz w:val="22"/>
          <w:szCs w:val="22"/>
        </w:rPr>
        <w:t>Exploring Corporate Strategy</w:t>
      </w:r>
      <w:r w:rsidRPr="00DE102C">
        <w:rPr>
          <w:rFonts w:ascii="Arial" w:hAnsi="Arial" w:cs="Arial"/>
          <w:sz w:val="22"/>
          <w:szCs w:val="22"/>
        </w:rPr>
        <w:t>. 11th edn. Harlow: Pearson.</w:t>
      </w:r>
    </w:p>
    <w:p w14:paraId="2118DD81"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Kantar (2024) </w:t>
      </w:r>
      <w:r w:rsidRPr="00DE102C">
        <w:rPr>
          <w:rStyle w:val="Emphasis"/>
          <w:rFonts w:ascii="Arial" w:hAnsi="Arial" w:cs="Arial"/>
          <w:sz w:val="22"/>
          <w:szCs w:val="22"/>
        </w:rPr>
        <w:t>Grocery Market Share UK</w:t>
      </w:r>
      <w:r w:rsidRPr="00DE102C">
        <w:rPr>
          <w:rFonts w:ascii="Arial" w:hAnsi="Arial" w:cs="Arial"/>
          <w:sz w:val="22"/>
          <w:szCs w:val="22"/>
        </w:rPr>
        <w:t>. London: Kantar Worldpanel.</w:t>
      </w:r>
    </w:p>
    <w:p w14:paraId="51F65F80" w14:textId="77777777" w:rsidR="008B0673" w:rsidRPr="00DE102C" w:rsidRDefault="008B0673" w:rsidP="00DE102C">
      <w:pPr>
        <w:spacing w:after="0" w:line="360" w:lineRule="auto"/>
        <w:ind w:left="720" w:hanging="720"/>
        <w:contextualSpacing/>
        <w:jc w:val="both"/>
        <w:rPr>
          <w:rFonts w:ascii="Arial" w:eastAsia="Times New Roman" w:hAnsi="Arial" w:cs="Arial"/>
        </w:rPr>
      </w:pPr>
      <w:r w:rsidRPr="00DE102C">
        <w:rPr>
          <w:rFonts w:ascii="Arial" w:eastAsia="Times New Roman" w:hAnsi="Arial" w:cs="Arial"/>
        </w:rPr>
        <w:t xml:space="preserve">Kotter, J.P. (1996) </w:t>
      </w:r>
      <w:r w:rsidRPr="00DE102C">
        <w:rPr>
          <w:rFonts w:ascii="Arial" w:eastAsia="Times New Roman" w:hAnsi="Arial" w:cs="Arial"/>
          <w:i/>
          <w:iCs/>
        </w:rPr>
        <w:t>Leading Change</w:t>
      </w:r>
      <w:r w:rsidRPr="00DE102C">
        <w:rPr>
          <w:rFonts w:ascii="Arial" w:eastAsia="Times New Roman" w:hAnsi="Arial" w:cs="Arial"/>
        </w:rPr>
        <w:t>. Boston, MA: Harvard Business School Press.</w:t>
      </w:r>
    </w:p>
    <w:p w14:paraId="73BA8FD5" w14:textId="77777777" w:rsidR="008B0673" w:rsidRPr="00DE102C" w:rsidRDefault="008B0673" w:rsidP="00DE102C">
      <w:pPr>
        <w:spacing w:after="0" w:line="360" w:lineRule="auto"/>
        <w:ind w:left="720" w:hanging="720"/>
        <w:contextualSpacing/>
        <w:jc w:val="both"/>
        <w:rPr>
          <w:rFonts w:ascii="Arial" w:eastAsia="Times New Roman" w:hAnsi="Arial" w:cs="Arial"/>
        </w:rPr>
      </w:pPr>
      <w:r w:rsidRPr="00DE102C">
        <w:rPr>
          <w:rFonts w:ascii="Arial" w:eastAsia="Times New Roman" w:hAnsi="Arial" w:cs="Arial"/>
        </w:rPr>
        <w:t xml:space="preserve">Lewin, K. (1951) </w:t>
      </w:r>
      <w:r w:rsidRPr="00DE102C">
        <w:rPr>
          <w:rFonts w:ascii="Arial" w:eastAsia="Times New Roman" w:hAnsi="Arial" w:cs="Arial"/>
          <w:i/>
          <w:iCs/>
        </w:rPr>
        <w:t>Field Theory in Social Science</w:t>
      </w:r>
      <w:r w:rsidRPr="00DE102C">
        <w:rPr>
          <w:rFonts w:ascii="Arial" w:eastAsia="Times New Roman" w:hAnsi="Arial" w:cs="Arial"/>
        </w:rPr>
        <w:t>. New York: Harper &amp; Row.</w:t>
      </w:r>
    </w:p>
    <w:p w14:paraId="572CD284"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McKinsey (2023) </w:t>
      </w:r>
      <w:r w:rsidRPr="00DE102C">
        <w:rPr>
          <w:rStyle w:val="Emphasis"/>
          <w:rFonts w:ascii="Arial" w:hAnsi="Arial" w:cs="Arial"/>
          <w:sz w:val="22"/>
          <w:szCs w:val="22"/>
        </w:rPr>
        <w:t>AI in Retail: The Next Frontier</w:t>
      </w:r>
      <w:r w:rsidRPr="00DE102C">
        <w:rPr>
          <w:rFonts w:ascii="Arial" w:hAnsi="Arial" w:cs="Arial"/>
          <w:sz w:val="22"/>
          <w:szCs w:val="22"/>
        </w:rPr>
        <w:t>. New York: McKinsey &amp; Company.</w:t>
      </w:r>
    </w:p>
    <w:p w14:paraId="6D9500C5"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Mintel (2022) </w:t>
      </w:r>
      <w:r w:rsidRPr="00DE102C">
        <w:rPr>
          <w:rStyle w:val="Emphasis"/>
          <w:rFonts w:ascii="Arial" w:hAnsi="Arial" w:cs="Arial"/>
          <w:sz w:val="22"/>
          <w:szCs w:val="22"/>
        </w:rPr>
        <w:t>UK Online Grocery Market Report</w:t>
      </w:r>
      <w:r w:rsidRPr="00DE102C">
        <w:rPr>
          <w:rFonts w:ascii="Arial" w:hAnsi="Arial" w:cs="Arial"/>
          <w:sz w:val="22"/>
          <w:szCs w:val="22"/>
        </w:rPr>
        <w:t>. London: Mintel.</w:t>
      </w:r>
    </w:p>
    <w:p w14:paraId="084B7836"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ONS (2022) </w:t>
      </w:r>
      <w:r w:rsidRPr="00DE102C">
        <w:rPr>
          <w:rStyle w:val="Emphasis"/>
          <w:rFonts w:ascii="Arial" w:hAnsi="Arial" w:cs="Arial"/>
          <w:sz w:val="22"/>
          <w:szCs w:val="22"/>
        </w:rPr>
        <w:t>Retail Sales Index, UK: Annual Review</w:t>
      </w:r>
      <w:r w:rsidRPr="00DE102C">
        <w:rPr>
          <w:rFonts w:ascii="Arial" w:hAnsi="Arial" w:cs="Arial"/>
          <w:sz w:val="22"/>
          <w:szCs w:val="22"/>
        </w:rPr>
        <w:t>. London: Office for National Statistics.</w:t>
      </w:r>
    </w:p>
    <w:p w14:paraId="524F5FCC"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Schein, E.H. (2017) </w:t>
      </w:r>
      <w:r w:rsidRPr="00DE102C">
        <w:rPr>
          <w:rStyle w:val="Emphasis"/>
          <w:rFonts w:ascii="Arial" w:hAnsi="Arial" w:cs="Arial"/>
          <w:sz w:val="22"/>
          <w:szCs w:val="22"/>
        </w:rPr>
        <w:t>Organisational Culture and Leadership</w:t>
      </w:r>
      <w:r w:rsidRPr="00DE102C">
        <w:rPr>
          <w:rFonts w:ascii="Arial" w:hAnsi="Arial" w:cs="Arial"/>
          <w:sz w:val="22"/>
          <w:szCs w:val="22"/>
        </w:rPr>
        <w:t>. 5th edn. Hoboken: Wiley.</w:t>
      </w:r>
    </w:p>
    <w:p w14:paraId="4A1AE715"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Tesco PLC (2023) </w:t>
      </w:r>
      <w:r w:rsidRPr="00DE102C">
        <w:rPr>
          <w:rStyle w:val="Emphasis"/>
          <w:rFonts w:ascii="Arial" w:hAnsi="Arial" w:cs="Arial"/>
          <w:sz w:val="22"/>
          <w:szCs w:val="22"/>
        </w:rPr>
        <w:t>Annual Report 2023</w:t>
      </w:r>
      <w:r w:rsidRPr="00DE102C">
        <w:rPr>
          <w:rFonts w:ascii="Arial" w:hAnsi="Arial" w:cs="Arial"/>
          <w:sz w:val="22"/>
          <w:szCs w:val="22"/>
        </w:rPr>
        <w:t>. Welwyn Garden City: Tesco PLC.</w:t>
      </w:r>
    </w:p>
    <w:p w14:paraId="051FDF88"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Waterman, R.H., Peters, T.J. and Phillips, J.R. (1980) ‘Structure is not organisation’, </w:t>
      </w:r>
      <w:r w:rsidRPr="00DE102C">
        <w:rPr>
          <w:rStyle w:val="Emphasis"/>
          <w:rFonts w:ascii="Arial" w:hAnsi="Arial" w:cs="Arial"/>
          <w:sz w:val="22"/>
          <w:szCs w:val="22"/>
        </w:rPr>
        <w:t>Business Horizons</w:t>
      </w:r>
      <w:r w:rsidRPr="00DE102C">
        <w:rPr>
          <w:rFonts w:ascii="Arial" w:hAnsi="Arial" w:cs="Arial"/>
          <w:sz w:val="22"/>
          <w:szCs w:val="22"/>
        </w:rPr>
        <w:t>, 23(3), pp. 14–26.</w:t>
      </w:r>
    </w:p>
    <w:p w14:paraId="32CF2226" w14:textId="77777777" w:rsidR="008B0673"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lastRenderedPageBreak/>
        <w:t xml:space="preserve">Wood, S. (2019) ‘Aldi and Lidl: The changing landscape of UK grocery’, </w:t>
      </w:r>
      <w:r w:rsidRPr="00DE102C">
        <w:rPr>
          <w:rStyle w:val="Emphasis"/>
          <w:rFonts w:ascii="Arial" w:hAnsi="Arial" w:cs="Arial"/>
          <w:sz w:val="22"/>
          <w:szCs w:val="22"/>
        </w:rPr>
        <w:t>Journal of Retail Studies</w:t>
      </w:r>
      <w:r w:rsidRPr="00DE102C">
        <w:rPr>
          <w:rFonts w:ascii="Arial" w:hAnsi="Arial" w:cs="Arial"/>
          <w:sz w:val="22"/>
          <w:szCs w:val="22"/>
        </w:rPr>
        <w:t>, 12(4), pp. 98–115.</w:t>
      </w:r>
    </w:p>
    <w:p w14:paraId="4F5DD90E" w14:textId="77777777" w:rsidR="00DC2A60" w:rsidRPr="00DE102C" w:rsidRDefault="008B0673" w:rsidP="00DE102C">
      <w:pPr>
        <w:pStyle w:val="NormalWeb"/>
        <w:spacing w:before="0" w:beforeAutospacing="0" w:after="0" w:afterAutospacing="0" w:line="360" w:lineRule="auto"/>
        <w:ind w:left="720" w:hanging="720"/>
        <w:contextualSpacing/>
        <w:jc w:val="both"/>
        <w:rPr>
          <w:rFonts w:ascii="Arial" w:hAnsi="Arial" w:cs="Arial"/>
          <w:sz w:val="22"/>
          <w:szCs w:val="22"/>
        </w:rPr>
      </w:pPr>
      <w:r w:rsidRPr="00DE102C">
        <w:rPr>
          <w:rFonts w:ascii="Arial" w:hAnsi="Arial" w:cs="Arial"/>
          <w:sz w:val="22"/>
          <w:szCs w:val="22"/>
        </w:rPr>
        <w:t xml:space="preserve">Wood, S. and Wrigley, N. (2016) ‘Rebuilding Tesco: Corporate restructuring and strategic recovery’, </w:t>
      </w:r>
      <w:r w:rsidRPr="00DE102C">
        <w:rPr>
          <w:rStyle w:val="Emphasis"/>
          <w:rFonts w:ascii="Arial" w:hAnsi="Arial" w:cs="Arial"/>
          <w:sz w:val="22"/>
          <w:szCs w:val="22"/>
        </w:rPr>
        <w:t>International Review of Retail, Distribution and Consumer Research</w:t>
      </w:r>
      <w:r w:rsidRPr="00DE102C">
        <w:rPr>
          <w:rFonts w:ascii="Arial" w:hAnsi="Arial" w:cs="Arial"/>
          <w:sz w:val="22"/>
          <w:szCs w:val="22"/>
        </w:rPr>
        <w:t>, 26(3), pp. 245–261.</w:t>
      </w:r>
    </w:p>
    <w:sectPr w:rsidR="00DC2A60" w:rsidRPr="00DE102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7643C" w14:textId="77777777" w:rsidR="00A62F72" w:rsidRDefault="00A62F72" w:rsidP="00A01831">
      <w:pPr>
        <w:spacing w:after="0" w:line="240" w:lineRule="auto"/>
      </w:pPr>
      <w:r>
        <w:separator/>
      </w:r>
    </w:p>
  </w:endnote>
  <w:endnote w:type="continuationSeparator" w:id="0">
    <w:p w14:paraId="024965DB" w14:textId="77777777" w:rsidR="00A62F72" w:rsidRDefault="00A62F72" w:rsidP="00A01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EE136" w14:textId="77777777" w:rsidR="00A62F72" w:rsidRDefault="00A62F72" w:rsidP="00A01831">
      <w:pPr>
        <w:spacing w:after="0" w:line="240" w:lineRule="auto"/>
      </w:pPr>
      <w:r>
        <w:separator/>
      </w:r>
    </w:p>
  </w:footnote>
  <w:footnote w:type="continuationSeparator" w:id="0">
    <w:p w14:paraId="5D779670" w14:textId="77777777" w:rsidR="00A62F72" w:rsidRDefault="00A62F72" w:rsidP="00A01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B17C" w14:textId="77777777" w:rsidR="00A01831" w:rsidRPr="00A01831" w:rsidRDefault="00A01831">
    <w:pPr>
      <w:pStyle w:val="Header"/>
      <w:rPr>
        <w:rFonts w:ascii="Times New Roman" w:hAnsi="Times New Roman" w:cs="Times New Roman"/>
        <w:sz w:val="24"/>
        <w:szCs w:val="24"/>
      </w:rPr>
    </w:pPr>
    <w:r w:rsidRPr="00A01831">
      <w:rPr>
        <w:rFonts w:ascii="Times New Roman" w:hAnsi="Times New Roman" w:cs="Times New Roman"/>
        <w:sz w:val="24"/>
        <w:szCs w:val="24"/>
      </w:rPr>
      <w:tab/>
    </w:r>
    <w:r w:rsidRPr="00A01831">
      <w:rPr>
        <w:rFonts w:ascii="Times New Roman" w:hAnsi="Times New Roman" w:cs="Times New Roman"/>
        <w:sz w:val="24"/>
        <w:szCs w:val="24"/>
      </w:rPr>
      <w:tab/>
    </w:r>
    <w:r w:rsidRPr="00A01831">
      <w:rPr>
        <w:rFonts w:ascii="Times New Roman" w:hAnsi="Times New Roman" w:cs="Times New Roman"/>
        <w:sz w:val="24"/>
        <w:szCs w:val="24"/>
      </w:rPr>
      <w:fldChar w:fldCharType="begin"/>
    </w:r>
    <w:r w:rsidRPr="00A01831">
      <w:rPr>
        <w:rFonts w:ascii="Times New Roman" w:hAnsi="Times New Roman" w:cs="Times New Roman"/>
        <w:sz w:val="24"/>
        <w:szCs w:val="24"/>
      </w:rPr>
      <w:instrText xml:space="preserve"> PAGE   \* MERGEFORMAT </w:instrText>
    </w:r>
    <w:r w:rsidRPr="00A01831">
      <w:rPr>
        <w:rFonts w:ascii="Times New Roman" w:hAnsi="Times New Roman" w:cs="Times New Roman"/>
        <w:sz w:val="24"/>
        <w:szCs w:val="24"/>
      </w:rPr>
      <w:fldChar w:fldCharType="separate"/>
    </w:r>
    <w:r w:rsidR="007B4C93" w:rsidRPr="007B4C93">
      <w:rPr>
        <w:rFonts w:ascii="Times New Roman" w:hAnsi="Times New Roman" w:cs="Times New Roman"/>
        <w:b/>
        <w:bCs/>
        <w:noProof/>
        <w:sz w:val="24"/>
        <w:szCs w:val="24"/>
      </w:rPr>
      <w:t>3</w:t>
    </w:r>
    <w:r w:rsidRPr="00A01831">
      <w:rPr>
        <w:rFonts w:ascii="Times New Roman" w:hAnsi="Times New Roman" w:cs="Times New Roman"/>
        <w:b/>
        <w:bCs/>
        <w:noProof/>
        <w:sz w:val="24"/>
        <w:szCs w:val="24"/>
      </w:rPr>
      <w:fldChar w:fldCharType="end"/>
    </w:r>
    <w:r w:rsidRPr="00A01831">
      <w:rPr>
        <w:rFonts w:ascii="Times New Roman" w:hAnsi="Times New Roman" w:cs="Times New Roman"/>
        <w:b/>
        <w:bCs/>
        <w:sz w:val="24"/>
        <w:szCs w:val="24"/>
      </w:rPr>
      <w:t xml:space="preserve"> </w:t>
    </w:r>
    <w:r w:rsidRPr="00A01831">
      <w:rPr>
        <w:rFonts w:ascii="Times New Roman" w:hAnsi="Times New Roman" w:cs="Times New Roman"/>
        <w:sz w:val="24"/>
        <w:szCs w:val="24"/>
      </w:rPr>
      <w:t>|</w:t>
    </w:r>
    <w:r w:rsidRPr="00A01831">
      <w:rPr>
        <w:rFonts w:ascii="Times New Roman" w:hAnsi="Times New Roman" w:cs="Times New Roman"/>
        <w:b/>
        <w:bCs/>
        <w:sz w:val="24"/>
        <w:szCs w:val="24"/>
      </w:rPr>
      <w:t xml:space="preserve"> </w:t>
    </w:r>
    <w:r w:rsidRPr="00A01831">
      <w:rPr>
        <w:rFonts w:ascii="Times New Roman" w:hAnsi="Times New Roman" w:cs="Times New Roman"/>
        <w:spacing w:val="60"/>
        <w:sz w:val="24"/>
        <w:szCs w:val="24"/>
      </w:rPr>
      <w:t>Page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09F8"/>
    <w:multiLevelType w:val="multilevel"/>
    <w:tmpl w:val="5BF8A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844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485"/>
    <w:rsid w:val="00027858"/>
    <w:rsid w:val="00031E72"/>
    <w:rsid w:val="000A51EB"/>
    <w:rsid w:val="001D04EB"/>
    <w:rsid w:val="00417BDC"/>
    <w:rsid w:val="00485652"/>
    <w:rsid w:val="00565DFE"/>
    <w:rsid w:val="006D478D"/>
    <w:rsid w:val="007453B8"/>
    <w:rsid w:val="007B4C93"/>
    <w:rsid w:val="00853C66"/>
    <w:rsid w:val="00855485"/>
    <w:rsid w:val="008711FF"/>
    <w:rsid w:val="008823B7"/>
    <w:rsid w:val="008B0673"/>
    <w:rsid w:val="008E085B"/>
    <w:rsid w:val="00936326"/>
    <w:rsid w:val="00A01831"/>
    <w:rsid w:val="00A62F72"/>
    <w:rsid w:val="00AC3051"/>
    <w:rsid w:val="00B97326"/>
    <w:rsid w:val="00C44562"/>
    <w:rsid w:val="00C44911"/>
    <w:rsid w:val="00C75B77"/>
    <w:rsid w:val="00D10EF3"/>
    <w:rsid w:val="00D46B3B"/>
    <w:rsid w:val="00DC2A60"/>
    <w:rsid w:val="00DE102C"/>
    <w:rsid w:val="00EB206A"/>
    <w:rsid w:val="00EE1B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8CB870"/>
  <w15:chartTrackingRefBased/>
  <w15:docId w15:val="{BD7EF719-7BBA-457C-920E-4B0D71E5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1FF"/>
    <w:pPr>
      <w:jc w:val="center"/>
      <w:outlineLvl w:val="0"/>
    </w:pPr>
    <w:rPr>
      <w:rFonts w:ascii="Times New Roman" w:hAnsi="Times New Roman" w:cs="Times New Roman"/>
      <w:sz w:val="28"/>
    </w:rPr>
  </w:style>
  <w:style w:type="paragraph" w:styleId="Heading2">
    <w:name w:val="heading 2"/>
    <w:basedOn w:val="Normal"/>
    <w:next w:val="Normal"/>
    <w:link w:val="Heading2Char"/>
    <w:uiPriority w:val="9"/>
    <w:semiHidden/>
    <w:unhideWhenUsed/>
    <w:qFormat/>
    <w:rsid w:val="008554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554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5548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5548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55485"/>
    <w:rPr>
      <w:rFonts w:ascii="Times New Roman" w:eastAsia="Times New Roman" w:hAnsi="Times New Roman" w:cs="Times New Roman"/>
      <w:b/>
      <w:bCs/>
      <w:sz w:val="24"/>
      <w:szCs w:val="24"/>
    </w:rPr>
  </w:style>
  <w:style w:type="character" w:styleId="Strong">
    <w:name w:val="Strong"/>
    <w:basedOn w:val="DefaultParagraphFont"/>
    <w:uiPriority w:val="22"/>
    <w:qFormat/>
    <w:rsid w:val="00855485"/>
    <w:rPr>
      <w:b/>
      <w:bCs/>
    </w:rPr>
  </w:style>
  <w:style w:type="paragraph" w:styleId="NormalWeb">
    <w:name w:val="Normal (Web)"/>
    <w:basedOn w:val="Normal"/>
    <w:uiPriority w:val="99"/>
    <w:unhideWhenUsed/>
    <w:rsid w:val="0085548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5485"/>
    <w:rPr>
      <w:i/>
      <w:iCs/>
    </w:rPr>
  </w:style>
  <w:style w:type="character" w:customStyle="1" w:styleId="Heading2Char">
    <w:name w:val="Heading 2 Char"/>
    <w:basedOn w:val="DefaultParagraphFont"/>
    <w:link w:val="Heading2"/>
    <w:uiPriority w:val="9"/>
    <w:semiHidden/>
    <w:rsid w:val="0085548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8711FF"/>
    <w:rPr>
      <w:rFonts w:ascii="Times New Roman" w:hAnsi="Times New Roman" w:cs="Times New Roman"/>
      <w:sz w:val="28"/>
    </w:rPr>
  </w:style>
  <w:style w:type="paragraph" w:styleId="Header">
    <w:name w:val="header"/>
    <w:basedOn w:val="Normal"/>
    <w:link w:val="HeaderChar"/>
    <w:uiPriority w:val="99"/>
    <w:unhideWhenUsed/>
    <w:rsid w:val="00A018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1831"/>
  </w:style>
  <w:style w:type="paragraph" w:styleId="Footer">
    <w:name w:val="footer"/>
    <w:basedOn w:val="Normal"/>
    <w:link w:val="FooterChar"/>
    <w:uiPriority w:val="99"/>
    <w:unhideWhenUsed/>
    <w:rsid w:val="00A018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1831"/>
  </w:style>
  <w:style w:type="paragraph" w:styleId="TOCHeading">
    <w:name w:val="TOC Heading"/>
    <w:basedOn w:val="Heading1"/>
    <w:next w:val="Normal"/>
    <w:uiPriority w:val="39"/>
    <w:unhideWhenUsed/>
    <w:qFormat/>
    <w:rsid w:val="007B4C93"/>
    <w:pPr>
      <w:keepNext/>
      <w:keepLines/>
      <w:spacing w:before="240" w:after="0"/>
      <w:jc w:val="left"/>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7B4C93"/>
    <w:pPr>
      <w:spacing w:after="100"/>
    </w:pPr>
  </w:style>
  <w:style w:type="character" w:styleId="Hyperlink">
    <w:name w:val="Hyperlink"/>
    <w:basedOn w:val="DefaultParagraphFont"/>
    <w:uiPriority w:val="99"/>
    <w:unhideWhenUsed/>
    <w:rsid w:val="007B4C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53530">
      <w:bodyDiv w:val="1"/>
      <w:marLeft w:val="0"/>
      <w:marRight w:val="0"/>
      <w:marTop w:val="0"/>
      <w:marBottom w:val="0"/>
      <w:divBdr>
        <w:top w:val="none" w:sz="0" w:space="0" w:color="auto"/>
        <w:left w:val="none" w:sz="0" w:space="0" w:color="auto"/>
        <w:bottom w:val="none" w:sz="0" w:space="0" w:color="auto"/>
        <w:right w:val="none" w:sz="0" w:space="0" w:color="auto"/>
      </w:divBdr>
    </w:div>
    <w:div w:id="376471446">
      <w:bodyDiv w:val="1"/>
      <w:marLeft w:val="0"/>
      <w:marRight w:val="0"/>
      <w:marTop w:val="0"/>
      <w:marBottom w:val="0"/>
      <w:divBdr>
        <w:top w:val="none" w:sz="0" w:space="0" w:color="auto"/>
        <w:left w:val="none" w:sz="0" w:space="0" w:color="auto"/>
        <w:bottom w:val="none" w:sz="0" w:space="0" w:color="auto"/>
        <w:right w:val="none" w:sz="0" w:space="0" w:color="auto"/>
      </w:divBdr>
    </w:div>
    <w:div w:id="945115808">
      <w:bodyDiv w:val="1"/>
      <w:marLeft w:val="0"/>
      <w:marRight w:val="0"/>
      <w:marTop w:val="0"/>
      <w:marBottom w:val="0"/>
      <w:divBdr>
        <w:top w:val="none" w:sz="0" w:space="0" w:color="auto"/>
        <w:left w:val="none" w:sz="0" w:space="0" w:color="auto"/>
        <w:bottom w:val="none" w:sz="0" w:space="0" w:color="auto"/>
        <w:right w:val="none" w:sz="0" w:space="0" w:color="auto"/>
      </w:divBdr>
    </w:div>
    <w:div w:id="994718837">
      <w:bodyDiv w:val="1"/>
      <w:marLeft w:val="0"/>
      <w:marRight w:val="0"/>
      <w:marTop w:val="0"/>
      <w:marBottom w:val="0"/>
      <w:divBdr>
        <w:top w:val="none" w:sz="0" w:space="0" w:color="auto"/>
        <w:left w:val="none" w:sz="0" w:space="0" w:color="auto"/>
        <w:bottom w:val="none" w:sz="0" w:space="0" w:color="auto"/>
        <w:right w:val="none" w:sz="0" w:space="0" w:color="auto"/>
      </w:divBdr>
    </w:div>
    <w:div w:id="1061713224">
      <w:bodyDiv w:val="1"/>
      <w:marLeft w:val="0"/>
      <w:marRight w:val="0"/>
      <w:marTop w:val="0"/>
      <w:marBottom w:val="0"/>
      <w:divBdr>
        <w:top w:val="none" w:sz="0" w:space="0" w:color="auto"/>
        <w:left w:val="none" w:sz="0" w:space="0" w:color="auto"/>
        <w:bottom w:val="none" w:sz="0" w:space="0" w:color="auto"/>
        <w:right w:val="none" w:sz="0" w:space="0" w:color="auto"/>
      </w:divBdr>
    </w:div>
    <w:div w:id="1079324046">
      <w:bodyDiv w:val="1"/>
      <w:marLeft w:val="0"/>
      <w:marRight w:val="0"/>
      <w:marTop w:val="0"/>
      <w:marBottom w:val="0"/>
      <w:divBdr>
        <w:top w:val="none" w:sz="0" w:space="0" w:color="auto"/>
        <w:left w:val="none" w:sz="0" w:space="0" w:color="auto"/>
        <w:bottom w:val="none" w:sz="0" w:space="0" w:color="auto"/>
        <w:right w:val="none" w:sz="0" w:space="0" w:color="auto"/>
      </w:divBdr>
    </w:div>
    <w:div w:id="160530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5B9DA-DE52-481F-9049-635F4F695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3148</TotalTime>
  <Pages>14</Pages>
  <Words>4860</Words>
  <Characters>27705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Anton (2241511)</dc:creator>
  <cp:keywords/>
  <dc:description/>
  <cp:lastModifiedBy>Alexandru Anton (2241511)</cp:lastModifiedBy>
  <cp:revision>2</cp:revision>
  <dcterms:created xsi:type="dcterms:W3CDTF">2025-10-31T12:39:00Z</dcterms:created>
  <dcterms:modified xsi:type="dcterms:W3CDTF">2025-12-16T21:02:00Z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df915e11-7ac4-48d9-a7d9-8db201f4855e</vt:lpwstr>
  </property>
</Properties>
</file>