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olor w:val="5B9BD5" w:themeColor="accent1"/>
          <w:sz w:val="24"/>
        </w:rPr>
        <w:id w:val="161133327"/>
        <w:docPartObj>
          <w:docPartGallery w:val="Cover Pages"/>
          <w:docPartUnique/>
        </w:docPartObj>
      </w:sdtPr>
      <w:sdtEndPr>
        <w:rPr>
          <w:color w:val="auto"/>
          <w:spacing w:val="0"/>
          <w:kern w:val="0"/>
          <w:szCs w:val="22"/>
          <w:lang w:val="en-US"/>
        </w:rPr>
      </w:sdtEndPr>
      <w:sdtContent>
        <w:p w:rsidR="00632551" w:rsidRPr="00361742" w:rsidRDefault="00632551" w:rsidP="00632551">
          <w:pPr>
            <w:pStyle w:val="Title"/>
            <w:rPr>
              <w:rFonts w:ascii="Times New Roman" w:hAnsi="Times New Roman" w:cs="Times New Roman"/>
            </w:rPr>
          </w:pPr>
          <w:r w:rsidRPr="00361742">
            <w:rPr>
              <w:rFonts w:ascii="Times New Roman" w:hAnsi="Times New Roman" w:cs="Times New Roman"/>
              <w:noProof/>
              <w:lang w:eastAsia="en-GB"/>
            </w:rPr>
            <w:drawing>
              <wp:anchor distT="0" distB="0" distL="114300" distR="114300" simplePos="0" relativeHeight="251663360" behindDoc="1" locked="0" layoutInCell="1" allowOverlap="1" wp14:anchorId="010F2689" wp14:editId="3D45FC48">
                <wp:simplePos x="0" y="0"/>
                <wp:positionH relativeFrom="margin">
                  <wp:align>left</wp:align>
                </wp:positionH>
                <wp:positionV relativeFrom="paragraph">
                  <wp:posOffset>-831850</wp:posOffset>
                </wp:positionV>
                <wp:extent cx="5937309" cy="3191235"/>
                <wp:effectExtent l="0" t="0" r="6350" b="9525"/>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7309" cy="319123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inorHAnsi" w:hAnsi="Arial" w:cs="Arial"/>
              <w:color w:val="5B9BD5" w:themeColor="accent1"/>
              <w:sz w:val="24"/>
            </w:rPr>
            <w:t>;</w:t>
          </w:r>
        </w:p>
        <w:p w:rsidR="00632551" w:rsidRPr="00361742" w:rsidRDefault="00632551" w:rsidP="00632551">
          <w:pPr>
            <w:jc w:val="center"/>
            <w:rPr>
              <w:rFonts w:ascii="Times New Roman" w:hAnsi="Times New Roman" w:cs="Times New Roman"/>
            </w:rPr>
          </w:pPr>
        </w:p>
        <w:p w:rsidR="00632551" w:rsidRPr="00361742" w:rsidRDefault="00632551" w:rsidP="00632551">
          <w:pPr>
            <w:ind w:firstLine="720"/>
            <w:jc w:val="center"/>
            <w:rPr>
              <w:rFonts w:ascii="Times New Roman" w:hAnsi="Times New Roman" w:cs="Times New Roman"/>
            </w:rPr>
          </w:pPr>
        </w:p>
        <w:p w:rsidR="00632551" w:rsidRPr="00361742" w:rsidRDefault="00632551" w:rsidP="00632551">
          <w:pPr>
            <w:pStyle w:val="Title"/>
            <w:tabs>
              <w:tab w:val="left" w:pos="6640"/>
            </w:tabs>
            <w:jc w:val="left"/>
            <w:rPr>
              <w:rFonts w:ascii="Times New Roman" w:hAnsi="Times New Roman" w:cs="Times New Roman"/>
            </w:rPr>
          </w:pPr>
          <w:r>
            <w:rPr>
              <w:rFonts w:ascii="Times New Roman" w:hAnsi="Times New Roman" w:cs="Times New Roman"/>
            </w:rPr>
            <w:tab/>
          </w:r>
        </w:p>
        <w:p w:rsidR="00632551" w:rsidRPr="00361742" w:rsidRDefault="00632551" w:rsidP="00632551">
          <w:pPr>
            <w:pStyle w:val="Title"/>
            <w:rPr>
              <w:rFonts w:ascii="Times New Roman" w:hAnsi="Times New Roman" w:cs="Times New Roman"/>
            </w:rPr>
          </w:pPr>
        </w:p>
        <w:p w:rsidR="00632551" w:rsidRPr="00361742" w:rsidRDefault="00632551" w:rsidP="00632551">
          <w:pPr>
            <w:pStyle w:val="Title"/>
            <w:rPr>
              <w:rFonts w:ascii="Times New Roman" w:hAnsi="Times New Roman" w:cs="Times New Roman"/>
            </w:rPr>
          </w:pPr>
          <w:r>
            <w:rPr>
              <w:rFonts w:ascii="Times New Roman" w:hAnsi="Times New Roman" w:cs="Times New Roman"/>
            </w:rPr>
            <w:t>;</w:t>
          </w:r>
        </w:p>
        <w:p w:rsidR="00632551" w:rsidRPr="00C362B0" w:rsidRDefault="00632551" w:rsidP="00632551">
          <w:pPr>
            <w:pStyle w:val="Title"/>
            <w:rPr>
              <w:rFonts w:ascii="Arial" w:hAnsi="Arial" w:cs="Arial"/>
              <w:b/>
              <w:sz w:val="50"/>
            </w:rPr>
          </w:pPr>
          <w:r w:rsidRPr="00C362B0">
            <w:rPr>
              <w:rFonts w:ascii="Arial" w:hAnsi="Arial" w:cs="Arial"/>
              <w:sz w:val="50"/>
            </w:rPr>
            <w:t xml:space="preserve">The Module Title: </w:t>
          </w:r>
          <w:r w:rsidRPr="00C362B0">
            <w:rPr>
              <w:rFonts w:ascii="Arial" w:hAnsi="Arial" w:cs="Arial"/>
              <w:b/>
              <w:sz w:val="50"/>
            </w:rPr>
            <w:t>Financial Management for the Hotel industry</w:t>
          </w:r>
        </w:p>
        <w:p w:rsidR="00632551" w:rsidRPr="00C362B0" w:rsidRDefault="00632551" w:rsidP="00632551">
          <w:pPr>
            <w:jc w:val="center"/>
            <w:rPr>
              <w:rFonts w:cs="Arial"/>
              <w:sz w:val="18"/>
            </w:rPr>
          </w:pPr>
        </w:p>
        <w:p w:rsidR="00632551" w:rsidRPr="00C362B0" w:rsidRDefault="00632551" w:rsidP="00632551">
          <w:pPr>
            <w:pStyle w:val="Title"/>
            <w:rPr>
              <w:rFonts w:ascii="Arial" w:hAnsi="Arial" w:cs="Arial"/>
              <w:sz w:val="40"/>
              <w:szCs w:val="40"/>
            </w:rPr>
          </w:pPr>
          <w:r w:rsidRPr="00C362B0">
            <w:rPr>
              <w:rFonts w:ascii="Arial" w:hAnsi="Arial" w:cs="Arial"/>
              <w:sz w:val="40"/>
              <w:szCs w:val="40"/>
            </w:rPr>
            <w:t xml:space="preserve">Module Code: </w:t>
          </w:r>
          <w:r w:rsidRPr="00C362B0">
            <w:rPr>
              <w:rFonts w:ascii="Arial" w:hAnsi="Arial" w:cs="Arial"/>
              <w:b/>
              <w:sz w:val="40"/>
              <w:szCs w:val="40"/>
            </w:rPr>
            <w:t>BMIH5007</w:t>
          </w:r>
        </w:p>
        <w:p w:rsidR="00632551" w:rsidRPr="00DF6D89" w:rsidRDefault="00632551" w:rsidP="00632551">
          <w:pPr>
            <w:pStyle w:val="Title"/>
            <w:rPr>
              <w:rFonts w:ascii="Arial" w:hAnsi="Arial" w:cs="Arial"/>
              <w:sz w:val="50"/>
            </w:rPr>
          </w:pPr>
        </w:p>
        <w:p w:rsidR="00632551" w:rsidRPr="00DF6D89" w:rsidRDefault="00632551" w:rsidP="00632551">
          <w:pPr>
            <w:pStyle w:val="Title"/>
            <w:rPr>
              <w:rFonts w:ascii="Arial" w:hAnsi="Arial" w:cs="Arial"/>
              <w:b/>
              <w:sz w:val="40"/>
              <w:szCs w:val="40"/>
            </w:rPr>
          </w:pPr>
          <w:r w:rsidRPr="00DF6D89">
            <w:rPr>
              <w:rFonts w:ascii="Arial" w:eastAsiaTheme="minorHAnsi" w:hAnsi="Arial" w:cs="Arial"/>
              <w:bCs/>
              <w:sz w:val="40"/>
              <w:szCs w:val="40"/>
            </w:rPr>
            <w:t>Sub</w:t>
          </w:r>
          <w:r>
            <w:rPr>
              <w:rFonts w:ascii="Arial" w:eastAsiaTheme="minorHAnsi" w:hAnsi="Arial" w:cs="Arial"/>
              <w:b/>
              <w:bCs/>
              <w:sz w:val="40"/>
              <w:szCs w:val="40"/>
            </w:rPr>
            <w:t xml:space="preserve">: </w:t>
          </w:r>
          <w:r w:rsidRPr="00DF6D89">
            <w:rPr>
              <w:rFonts w:ascii="Arial" w:eastAsiaTheme="minorHAnsi" w:hAnsi="Arial" w:cs="Arial"/>
              <w:b/>
              <w:bCs/>
              <w:sz w:val="40"/>
              <w:szCs w:val="40"/>
            </w:rPr>
            <w:t>Hilton Hotel Worldwide Inc.</w:t>
          </w:r>
          <w:r w:rsidRPr="00DF6D89">
            <w:rPr>
              <w:rFonts w:ascii="Arial" w:hAnsi="Arial" w:cs="Arial"/>
              <w:b/>
              <w:sz w:val="40"/>
              <w:szCs w:val="40"/>
            </w:rPr>
            <w:t xml:space="preserve"> </w:t>
          </w:r>
        </w:p>
        <w:p w:rsidR="00632551" w:rsidRPr="00DA479E" w:rsidRDefault="00632551" w:rsidP="00632551">
          <w:pPr>
            <w:pStyle w:val="TOCHeading"/>
            <w:spacing w:line="360" w:lineRule="auto"/>
            <w:jc w:val="center"/>
            <w:rPr>
              <w:rFonts w:ascii="Arial" w:eastAsiaTheme="minorHAnsi" w:hAnsi="Arial" w:cs="Arial"/>
              <w:b/>
              <w:bCs/>
              <w:sz w:val="44"/>
              <w:szCs w:val="44"/>
            </w:rPr>
          </w:pPr>
          <w:r>
            <w:rPr>
              <w:rFonts w:ascii="Arial" w:eastAsiaTheme="minorHAnsi" w:hAnsi="Arial" w:cs="Arial"/>
              <w:b/>
              <w:bCs/>
              <w:sz w:val="44"/>
              <w:szCs w:val="44"/>
            </w:rPr>
            <w:t>(Ratio analysis)</w:t>
          </w:r>
        </w:p>
        <w:p w:rsidR="00632551" w:rsidRPr="00DA479E" w:rsidRDefault="00632551" w:rsidP="00632551">
          <w:pPr>
            <w:rPr>
              <w:rFonts w:cs="Arial"/>
              <w:b/>
              <w:sz w:val="36"/>
              <w:szCs w:val="36"/>
            </w:rPr>
          </w:pPr>
          <w:r w:rsidRPr="00DA479E">
            <w:rPr>
              <w:rFonts w:cs="Arial"/>
              <w:b/>
            </w:rPr>
            <w:t xml:space="preserve">                                 </w:t>
          </w:r>
          <w:r>
            <w:rPr>
              <w:rFonts w:cs="Arial"/>
              <w:b/>
            </w:rPr>
            <w:t xml:space="preserve">         </w:t>
          </w:r>
        </w:p>
        <w:p w:rsidR="00632551" w:rsidRPr="00C362B0" w:rsidRDefault="00632551" w:rsidP="00632551">
          <w:pPr>
            <w:rPr>
              <w:rFonts w:cs="Arial"/>
            </w:rPr>
          </w:pPr>
        </w:p>
        <w:p w:rsidR="00632551" w:rsidRPr="00C362B0" w:rsidRDefault="00632551" w:rsidP="00632551">
          <w:pPr>
            <w:jc w:val="center"/>
            <w:rPr>
              <w:rFonts w:cs="Arial"/>
            </w:rPr>
          </w:pPr>
        </w:p>
        <w:p w:rsidR="00632551" w:rsidRPr="00361742" w:rsidRDefault="00632551" w:rsidP="00632551">
          <w:pPr>
            <w:jc w:val="center"/>
            <w:rPr>
              <w:rFonts w:ascii="Times New Roman" w:hAnsi="Times New Roman" w:cs="Times New Roman"/>
            </w:rPr>
          </w:pPr>
        </w:p>
        <w:p w:rsidR="00632551" w:rsidRPr="00361742" w:rsidRDefault="00632551" w:rsidP="00632551">
          <w:pPr>
            <w:pStyle w:val="Title"/>
            <w:rPr>
              <w:rFonts w:ascii="Times New Roman" w:hAnsi="Times New Roman" w:cs="Times New Roman"/>
              <w:sz w:val="40"/>
              <w:szCs w:val="40"/>
              <w:u w:val="single"/>
            </w:rPr>
          </w:pPr>
          <w:r w:rsidRPr="00361742">
            <w:rPr>
              <w:rFonts w:ascii="Times New Roman" w:hAnsi="Times New Roman" w:cs="Times New Roman"/>
              <w:sz w:val="40"/>
              <w:szCs w:val="40"/>
              <w:u w:val="single"/>
            </w:rPr>
            <w:t>Submitted to:</w:t>
          </w:r>
        </w:p>
        <w:p w:rsidR="00632551" w:rsidRPr="00361742" w:rsidRDefault="00632551" w:rsidP="00632551">
          <w:pPr>
            <w:jc w:val="center"/>
            <w:rPr>
              <w:rFonts w:ascii="Times New Roman" w:hAnsi="Times New Roman" w:cs="Times New Roman"/>
              <w:b/>
              <w:sz w:val="44"/>
            </w:rPr>
          </w:pPr>
          <w:r>
            <w:rPr>
              <w:rFonts w:ascii="Times New Roman" w:hAnsi="Times New Roman" w:cs="Times New Roman"/>
              <w:b/>
              <w:sz w:val="44"/>
            </w:rPr>
            <w:t>Dale Clarke</w:t>
          </w:r>
        </w:p>
        <w:p w:rsidR="00632551" w:rsidRPr="00361742" w:rsidRDefault="00632551" w:rsidP="00632551">
          <w:pPr>
            <w:jc w:val="center"/>
            <w:rPr>
              <w:rFonts w:ascii="Times New Roman" w:hAnsi="Times New Roman" w:cs="Times New Roman"/>
            </w:rPr>
          </w:pPr>
        </w:p>
        <w:p w:rsidR="00632551" w:rsidRPr="00361742" w:rsidRDefault="00632551" w:rsidP="00632551">
          <w:pPr>
            <w:jc w:val="center"/>
            <w:rPr>
              <w:rFonts w:ascii="Times New Roman" w:hAnsi="Times New Roman" w:cs="Times New Roman"/>
            </w:rPr>
          </w:pPr>
        </w:p>
        <w:p w:rsidR="00632551" w:rsidRPr="00361742" w:rsidRDefault="00632551" w:rsidP="00632551">
          <w:pPr>
            <w:pStyle w:val="Title"/>
            <w:rPr>
              <w:rFonts w:ascii="Times New Roman" w:hAnsi="Times New Roman" w:cs="Times New Roman"/>
              <w:sz w:val="40"/>
              <w:szCs w:val="40"/>
            </w:rPr>
          </w:pPr>
          <w:r>
            <w:rPr>
              <w:rFonts w:ascii="Times New Roman" w:hAnsi="Times New Roman" w:cs="Times New Roman"/>
              <w:sz w:val="40"/>
              <w:szCs w:val="40"/>
            </w:rPr>
            <w:t xml:space="preserve">Student </w:t>
          </w:r>
          <w:r w:rsidRPr="00361742">
            <w:rPr>
              <w:rFonts w:ascii="Times New Roman" w:hAnsi="Times New Roman" w:cs="Times New Roman"/>
              <w:sz w:val="40"/>
              <w:szCs w:val="40"/>
            </w:rPr>
            <w:t xml:space="preserve">Name: </w:t>
          </w:r>
          <w:r w:rsidRPr="00361742">
            <w:rPr>
              <w:rFonts w:ascii="Times New Roman" w:hAnsi="Times New Roman" w:cs="Times New Roman"/>
              <w:b/>
              <w:sz w:val="40"/>
              <w:szCs w:val="40"/>
            </w:rPr>
            <w:t>Romel Bidhan Shawjal</w:t>
          </w:r>
        </w:p>
        <w:p w:rsidR="00632551" w:rsidRPr="00361742" w:rsidRDefault="00632551" w:rsidP="00632551">
          <w:pPr>
            <w:pStyle w:val="Title"/>
            <w:rPr>
              <w:rFonts w:ascii="Times New Roman" w:hAnsi="Times New Roman" w:cs="Times New Roman"/>
              <w:sz w:val="40"/>
              <w:szCs w:val="40"/>
            </w:rPr>
          </w:pPr>
          <w:r>
            <w:rPr>
              <w:rFonts w:ascii="Times New Roman" w:hAnsi="Times New Roman" w:cs="Times New Roman"/>
              <w:sz w:val="40"/>
              <w:szCs w:val="40"/>
            </w:rPr>
            <w:t xml:space="preserve">Student ID </w:t>
          </w:r>
          <w:r w:rsidRPr="00361742">
            <w:rPr>
              <w:rFonts w:ascii="Times New Roman" w:hAnsi="Times New Roman" w:cs="Times New Roman"/>
              <w:sz w:val="40"/>
              <w:szCs w:val="40"/>
            </w:rPr>
            <w:t xml:space="preserve">: </w:t>
          </w:r>
          <w:r w:rsidRPr="00361742">
            <w:rPr>
              <w:rFonts w:ascii="Times New Roman" w:hAnsi="Times New Roman" w:cs="Times New Roman"/>
              <w:b/>
              <w:sz w:val="40"/>
              <w:szCs w:val="40"/>
            </w:rPr>
            <w:t>2019166</w:t>
          </w:r>
        </w:p>
        <w:p w:rsidR="00632551" w:rsidRPr="00361742" w:rsidRDefault="00632551" w:rsidP="00632551">
          <w:pPr>
            <w:pStyle w:val="Title"/>
            <w:rPr>
              <w:rFonts w:ascii="Times New Roman" w:hAnsi="Times New Roman" w:cs="Times New Roman"/>
              <w:sz w:val="40"/>
              <w:szCs w:val="40"/>
            </w:rPr>
            <w:sectPr w:rsidR="00632551" w:rsidRPr="00361742" w:rsidSect="00491418">
              <w:footerReference w:type="even" r:id="rId10"/>
              <w:footerReference w:type="default" r:id="rId11"/>
              <w:pgSz w:w="11906" w:h="16838"/>
              <w:pgMar w:top="1440" w:right="1440" w:bottom="1440" w:left="1440" w:header="720" w:footer="720" w:gutter="0"/>
              <w:pgNumType w:start="1"/>
              <w:cols w:space="720"/>
              <w:titlePg/>
              <w:docGrid w:linePitch="360"/>
            </w:sectPr>
          </w:pPr>
        </w:p>
        <w:p w:rsidR="000D59D5" w:rsidRPr="008B648C" w:rsidRDefault="00C97EAC">
          <w:pPr>
            <w:rPr>
              <w:rFonts w:cs="Arial"/>
            </w:rPr>
          </w:pPr>
        </w:p>
      </w:sdtContent>
    </w:sdt>
    <w:p w:rsidR="008B648C" w:rsidRDefault="008B648C" w:rsidP="00E01C2C">
      <w:pPr>
        <w:pStyle w:val="Heading1"/>
      </w:pPr>
      <w:bookmarkStart w:id="0" w:name="_Toc94728140"/>
      <w:bookmarkStart w:id="1" w:name="_Toc104625874"/>
      <w:r>
        <w:t>Executive Summary</w:t>
      </w:r>
      <w:bookmarkEnd w:id="0"/>
      <w:bookmarkEnd w:id="1"/>
    </w:p>
    <w:p w:rsidR="007E03ED" w:rsidRDefault="007E03ED" w:rsidP="00E01C2C">
      <w:pPr>
        <w:spacing w:line="360" w:lineRule="auto"/>
        <w:jc w:val="both"/>
        <w:rPr>
          <w:rFonts w:cs="Arial"/>
        </w:rPr>
      </w:pPr>
      <w:r>
        <w:rPr>
          <w:rFonts w:cs="Arial"/>
        </w:rPr>
        <w:t>The</w:t>
      </w:r>
      <w:r w:rsidR="00EE0BC3">
        <w:rPr>
          <w:rFonts w:cs="Arial"/>
        </w:rPr>
        <w:t xml:space="preserve"> report has been made to analysis</w:t>
      </w:r>
      <w:r>
        <w:rPr>
          <w:rFonts w:cs="Arial"/>
        </w:rPr>
        <w:t xml:space="preserve"> the performance of Hilton Worldwide Holding Inc., one of the biggest players of international hospitality business. For the purpose, at first, an introduction of the overall study has been provided. Then, different financial studies, </w:t>
      </w:r>
      <w:bookmarkStart w:id="2" w:name="_GoBack"/>
      <w:bookmarkEnd w:id="2"/>
      <w:r>
        <w:rPr>
          <w:rFonts w:cs="Arial"/>
        </w:rPr>
        <w:t xml:space="preserve">such as- profitability, liquidity and gearing ratios have been calculated. </w:t>
      </w:r>
    </w:p>
    <w:p w:rsidR="007E03ED" w:rsidRDefault="007E03ED" w:rsidP="00E01C2C">
      <w:pPr>
        <w:spacing w:line="360" w:lineRule="auto"/>
        <w:jc w:val="both"/>
        <w:rPr>
          <w:rFonts w:cs="Arial"/>
        </w:rPr>
      </w:pPr>
      <w:r>
        <w:rPr>
          <w:rFonts w:cs="Arial"/>
        </w:rPr>
        <w:t>Then the trend analysis has been prepared showing horizontal ratios for the year 2020 and 2019. The analysis shows the percentage changes from one year to another to get a clearer image of the company’s performance. It was found that, they are doing quite bad in respect to the previous year. The profitability and asset turnover is lower than threshold and in 2020, it was negative. Though in</w:t>
      </w:r>
      <w:r w:rsidR="00426EDC">
        <w:rPr>
          <w:rFonts w:cs="Arial"/>
        </w:rPr>
        <w:t xml:space="preserve"> </w:t>
      </w:r>
      <w:r>
        <w:rPr>
          <w:rFonts w:cs="Arial"/>
        </w:rPr>
        <w:t>terms of paying to creditors and receiving from debtors, they are doing well.</w:t>
      </w:r>
    </w:p>
    <w:p w:rsidR="007E03ED" w:rsidRDefault="007E03ED" w:rsidP="00E01C2C">
      <w:pPr>
        <w:spacing w:line="360" w:lineRule="auto"/>
        <w:jc w:val="both"/>
        <w:rPr>
          <w:rFonts w:cs="Arial"/>
        </w:rPr>
      </w:pPr>
      <w:r>
        <w:rPr>
          <w:rFonts w:cs="Arial"/>
        </w:rPr>
        <w:t xml:space="preserve">The liquidity position is quite good too. After the trend analysis was done, </w:t>
      </w:r>
      <w:r w:rsidR="00426EDC">
        <w:rPr>
          <w:rFonts w:cs="Arial"/>
        </w:rPr>
        <w:t>importance of the analysis and their limitations and advantages of calculating has been discussed too. After all of the discussion, it has been concluded that, the company needs to make strategies to increase revenues, cut costs and reduce debt level.</w:t>
      </w:r>
    </w:p>
    <w:p w:rsidR="008B648C" w:rsidRDefault="008B648C" w:rsidP="00E01C2C">
      <w:pPr>
        <w:spacing w:line="360" w:lineRule="auto"/>
        <w:jc w:val="both"/>
        <w:rPr>
          <w:rFonts w:cs="Arial"/>
        </w:rPr>
      </w:pPr>
      <w:r>
        <w:rPr>
          <w:rFonts w:cs="Arial"/>
        </w:rPr>
        <w:br w:type="page"/>
      </w:r>
    </w:p>
    <w:sdt>
      <w:sdtPr>
        <w:rPr>
          <w:rFonts w:ascii="Arial" w:eastAsiaTheme="minorHAnsi" w:hAnsi="Arial" w:cstheme="minorBidi"/>
          <w:sz w:val="24"/>
          <w:szCs w:val="22"/>
        </w:rPr>
        <w:id w:val="858400812"/>
        <w:docPartObj>
          <w:docPartGallery w:val="Table of Contents"/>
          <w:docPartUnique/>
        </w:docPartObj>
      </w:sdtPr>
      <w:sdtEndPr>
        <w:rPr>
          <w:b/>
          <w:bCs/>
          <w:noProof/>
        </w:rPr>
      </w:sdtEndPr>
      <w:sdtContent>
        <w:p w:rsidR="00365678" w:rsidRPr="00365678" w:rsidRDefault="00365678" w:rsidP="006151FC">
          <w:pPr>
            <w:pStyle w:val="TOCHeading"/>
            <w:spacing w:line="360" w:lineRule="auto"/>
            <w:jc w:val="both"/>
            <w:rPr>
              <w:rFonts w:ascii="Arial" w:hAnsi="Arial" w:cs="Arial"/>
              <w:b/>
              <w:szCs w:val="24"/>
            </w:rPr>
          </w:pPr>
          <w:r w:rsidRPr="00365678">
            <w:rPr>
              <w:rFonts w:ascii="Arial" w:hAnsi="Arial" w:cs="Arial"/>
              <w:b/>
              <w:szCs w:val="24"/>
            </w:rPr>
            <w:t>Table of Contents</w:t>
          </w:r>
        </w:p>
        <w:p w:rsidR="0073640C" w:rsidRDefault="00365678" w:rsidP="0073640C">
          <w:pPr>
            <w:pStyle w:val="TOC1"/>
            <w:rPr>
              <w:rFonts w:asciiTheme="minorHAnsi" w:eastAsiaTheme="minorEastAsia" w:hAnsiTheme="minorHAnsi"/>
              <w:noProof/>
              <w:sz w:val="22"/>
            </w:rPr>
          </w:pPr>
          <w:r w:rsidRPr="00365678">
            <w:rPr>
              <w:rFonts w:cs="Arial"/>
              <w:szCs w:val="24"/>
            </w:rPr>
            <w:fldChar w:fldCharType="begin"/>
          </w:r>
          <w:r w:rsidRPr="00365678">
            <w:rPr>
              <w:rFonts w:cs="Arial"/>
              <w:szCs w:val="24"/>
            </w:rPr>
            <w:instrText xml:space="preserve"> TOC \o "1-3" \h \z \u </w:instrText>
          </w:r>
          <w:r w:rsidRPr="00365678">
            <w:rPr>
              <w:rFonts w:cs="Arial"/>
              <w:szCs w:val="24"/>
            </w:rPr>
            <w:fldChar w:fldCharType="separate"/>
          </w:r>
          <w:hyperlink w:anchor="_Toc104625874" w:history="1">
            <w:r w:rsidR="0073640C" w:rsidRPr="00FE3AE0">
              <w:rPr>
                <w:rStyle w:val="Hyperlink"/>
                <w:noProof/>
              </w:rPr>
              <w:t>Executive Summary</w:t>
            </w:r>
            <w:r w:rsidR="0073640C">
              <w:rPr>
                <w:noProof/>
                <w:webHidden/>
              </w:rPr>
              <w:tab/>
            </w:r>
            <w:r w:rsidR="0073640C">
              <w:rPr>
                <w:noProof/>
                <w:webHidden/>
              </w:rPr>
              <w:fldChar w:fldCharType="begin"/>
            </w:r>
            <w:r w:rsidR="0073640C">
              <w:rPr>
                <w:noProof/>
                <w:webHidden/>
              </w:rPr>
              <w:instrText xml:space="preserve"> PAGEREF _Toc104625874 \h </w:instrText>
            </w:r>
            <w:r w:rsidR="0073640C">
              <w:rPr>
                <w:noProof/>
                <w:webHidden/>
              </w:rPr>
            </w:r>
            <w:r w:rsidR="0073640C">
              <w:rPr>
                <w:noProof/>
                <w:webHidden/>
              </w:rPr>
              <w:fldChar w:fldCharType="separate"/>
            </w:r>
            <w:r w:rsidR="0073640C">
              <w:rPr>
                <w:noProof/>
                <w:webHidden/>
              </w:rPr>
              <w:t>1</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75" w:history="1">
            <w:r w:rsidR="0073640C" w:rsidRPr="00FE3AE0">
              <w:rPr>
                <w:rStyle w:val="Hyperlink"/>
                <w:noProof/>
              </w:rPr>
              <w:t>Introduction</w:t>
            </w:r>
            <w:r w:rsidR="0073640C">
              <w:rPr>
                <w:noProof/>
                <w:webHidden/>
              </w:rPr>
              <w:tab/>
            </w:r>
            <w:r w:rsidR="0073640C">
              <w:rPr>
                <w:noProof/>
                <w:webHidden/>
              </w:rPr>
              <w:fldChar w:fldCharType="begin"/>
            </w:r>
            <w:r w:rsidR="0073640C">
              <w:rPr>
                <w:noProof/>
                <w:webHidden/>
              </w:rPr>
              <w:instrText xml:space="preserve"> PAGEREF _Toc104625875 \h </w:instrText>
            </w:r>
            <w:r w:rsidR="0073640C">
              <w:rPr>
                <w:noProof/>
                <w:webHidden/>
              </w:rPr>
            </w:r>
            <w:r w:rsidR="0073640C">
              <w:rPr>
                <w:noProof/>
                <w:webHidden/>
              </w:rPr>
              <w:fldChar w:fldCharType="separate"/>
            </w:r>
            <w:r w:rsidR="0073640C">
              <w:rPr>
                <w:noProof/>
                <w:webHidden/>
              </w:rPr>
              <w:t>3</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76" w:history="1">
            <w:r w:rsidR="0073640C" w:rsidRPr="00FE3AE0">
              <w:rPr>
                <w:rStyle w:val="Hyperlink"/>
                <w:noProof/>
              </w:rPr>
              <w:t>Financial Analysis</w:t>
            </w:r>
            <w:r w:rsidR="0073640C">
              <w:rPr>
                <w:noProof/>
                <w:webHidden/>
              </w:rPr>
              <w:tab/>
            </w:r>
            <w:r w:rsidR="0073640C">
              <w:rPr>
                <w:noProof/>
                <w:webHidden/>
              </w:rPr>
              <w:fldChar w:fldCharType="begin"/>
            </w:r>
            <w:r w:rsidR="0073640C">
              <w:rPr>
                <w:noProof/>
                <w:webHidden/>
              </w:rPr>
              <w:instrText xml:space="preserve"> PAGEREF _Toc104625876 \h </w:instrText>
            </w:r>
            <w:r w:rsidR="0073640C">
              <w:rPr>
                <w:noProof/>
                <w:webHidden/>
              </w:rPr>
            </w:r>
            <w:r w:rsidR="0073640C">
              <w:rPr>
                <w:noProof/>
                <w:webHidden/>
              </w:rPr>
              <w:fldChar w:fldCharType="separate"/>
            </w:r>
            <w:r w:rsidR="0073640C">
              <w:rPr>
                <w:noProof/>
                <w:webHidden/>
              </w:rPr>
              <w:t>4</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77" w:history="1">
            <w:r w:rsidR="0073640C" w:rsidRPr="00FE3AE0">
              <w:rPr>
                <w:rStyle w:val="Hyperlink"/>
                <w:noProof/>
              </w:rPr>
              <w:t>Profitability Ratios</w:t>
            </w:r>
            <w:r w:rsidR="0073640C">
              <w:rPr>
                <w:noProof/>
                <w:webHidden/>
              </w:rPr>
              <w:tab/>
            </w:r>
            <w:r w:rsidR="0073640C">
              <w:rPr>
                <w:noProof/>
                <w:webHidden/>
              </w:rPr>
              <w:fldChar w:fldCharType="begin"/>
            </w:r>
            <w:r w:rsidR="0073640C">
              <w:rPr>
                <w:noProof/>
                <w:webHidden/>
              </w:rPr>
              <w:instrText xml:space="preserve"> PAGEREF _Toc104625877 \h </w:instrText>
            </w:r>
            <w:r w:rsidR="0073640C">
              <w:rPr>
                <w:noProof/>
                <w:webHidden/>
              </w:rPr>
            </w:r>
            <w:r w:rsidR="0073640C">
              <w:rPr>
                <w:noProof/>
                <w:webHidden/>
              </w:rPr>
              <w:fldChar w:fldCharType="separate"/>
            </w:r>
            <w:r w:rsidR="0073640C">
              <w:rPr>
                <w:noProof/>
                <w:webHidden/>
              </w:rPr>
              <w:t>5</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78" w:history="1">
            <w:r w:rsidR="0073640C" w:rsidRPr="00FE3AE0">
              <w:rPr>
                <w:rStyle w:val="Hyperlink"/>
                <w:noProof/>
              </w:rPr>
              <w:t>Liquidity Ratios</w:t>
            </w:r>
            <w:r w:rsidR="0073640C">
              <w:rPr>
                <w:noProof/>
                <w:webHidden/>
              </w:rPr>
              <w:tab/>
            </w:r>
            <w:r w:rsidR="0073640C">
              <w:rPr>
                <w:noProof/>
                <w:webHidden/>
              </w:rPr>
              <w:fldChar w:fldCharType="begin"/>
            </w:r>
            <w:r w:rsidR="0073640C">
              <w:rPr>
                <w:noProof/>
                <w:webHidden/>
              </w:rPr>
              <w:instrText xml:space="preserve"> PAGEREF _Toc104625878 \h </w:instrText>
            </w:r>
            <w:r w:rsidR="0073640C">
              <w:rPr>
                <w:noProof/>
                <w:webHidden/>
              </w:rPr>
            </w:r>
            <w:r w:rsidR="0073640C">
              <w:rPr>
                <w:noProof/>
                <w:webHidden/>
              </w:rPr>
              <w:fldChar w:fldCharType="separate"/>
            </w:r>
            <w:r w:rsidR="0073640C">
              <w:rPr>
                <w:noProof/>
                <w:webHidden/>
              </w:rPr>
              <w:t>7</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79" w:history="1">
            <w:r w:rsidR="0073640C" w:rsidRPr="00FE3AE0">
              <w:rPr>
                <w:rStyle w:val="Hyperlink"/>
                <w:noProof/>
              </w:rPr>
              <w:t>Gearing Ratios</w:t>
            </w:r>
            <w:r w:rsidR="0073640C">
              <w:rPr>
                <w:noProof/>
                <w:webHidden/>
              </w:rPr>
              <w:tab/>
            </w:r>
            <w:r w:rsidR="0073640C">
              <w:rPr>
                <w:noProof/>
                <w:webHidden/>
              </w:rPr>
              <w:fldChar w:fldCharType="begin"/>
            </w:r>
            <w:r w:rsidR="0073640C">
              <w:rPr>
                <w:noProof/>
                <w:webHidden/>
              </w:rPr>
              <w:instrText xml:space="preserve"> PAGEREF _Toc104625879 \h </w:instrText>
            </w:r>
            <w:r w:rsidR="0073640C">
              <w:rPr>
                <w:noProof/>
                <w:webHidden/>
              </w:rPr>
            </w:r>
            <w:r w:rsidR="0073640C">
              <w:rPr>
                <w:noProof/>
                <w:webHidden/>
              </w:rPr>
              <w:fldChar w:fldCharType="separate"/>
            </w:r>
            <w:r w:rsidR="0073640C">
              <w:rPr>
                <w:noProof/>
                <w:webHidden/>
              </w:rPr>
              <w:t>8</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0" w:history="1">
            <w:r w:rsidR="0073640C" w:rsidRPr="00FE3AE0">
              <w:rPr>
                <w:rStyle w:val="Hyperlink"/>
                <w:noProof/>
              </w:rPr>
              <w:t>Financial Analysis Trend</w:t>
            </w:r>
            <w:r w:rsidR="0073640C">
              <w:rPr>
                <w:noProof/>
                <w:webHidden/>
              </w:rPr>
              <w:tab/>
            </w:r>
            <w:r w:rsidR="0073640C">
              <w:rPr>
                <w:noProof/>
                <w:webHidden/>
              </w:rPr>
              <w:fldChar w:fldCharType="begin"/>
            </w:r>
            <w:r w:rsidR="0073640C">
              <w:rPr>
                <w:noProof/>
                <w:webHidden/>
              </w:rPr>
              <w:instrText xml:space="preserve"> PAGEREF _Toc104625880 \h </w:instrText>
            </w:r>
            <w:r w:rsidR="0073640C">
              <w:rPr>
                <w:noProof/>
                <w:webHidden/>
              </w:rPr>
            </w:r>
            <w:r w:rsidR="0073640C">
              <w:rPr>
                <w:noProof/>
                <w:webHidden/>
              </w:rPr>
              <w:fldChar w:fldCharType="separate"/>
            </w:r>
            <w:r w:rsidR="0073640C">
              <w:rPr>
                <w:noProof/>
                <w:webHidden/>
              </w:rPr>
              <w:t>9</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81" w:history="1">
            <w:r w:rsidR="0073640C" w:rsidRPr="00FE3AE0">
              <w:rPr>
                <w:rStyle w:val="Hyperlink"/>
                <w:noProof/>
              </w:rPr>
              <w:t>Profitability</w:t>
            </w:r>
            <w:r w:rsidR="0073640C">
              <w:rPr>
                <w:noProof/>
                <w:webHidden/>
              </w:rPr>
              <w:tab/>
            </w:r>
            <w:r w:rsidR="0073640C">
              <w:rPr>
                <w:noProof/>
                <w:webHidden/>
              </w:rPr>
              <w:fldChar w:fldCharType="begin"/>
            </w:r>
            <w:r w:rsidR="0073640C">
              <w:rPr>
                <w:noProof/>
                <w:webHidden/>
              </w:rPr>
              <w:instrText xml:space="preserve"> PAGEREF _Toc104625881 \h </w:instrText>
            </w:r>
            <w:r w:rsidR="0073640C">
              <w:rPr>
                <w:noProof/>
                <w:webHidden/>
              </w:rPr>
            </w:r>
            <w:r w:rsidR="0073640C">
              <w:rPr>
                <w:noProof/>
                <w:webHidden/>
              </w:rPr>
              <w:fldChar w:fldCharType="separate"/>
            </w:r>
            <w:r w:rsidR="0073640C">
              <w:rPr>
                <w:noProof/>
                <w:webHidden/>
              </w:rPr>
              <w:t>9</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82" w:history="1">
            <w:r w:rsidR="0073640C" w:rsidRPr="00FE3AE0">
              <w:rPr>
                <w:rStyle w:val="Hyperlink"/>
                <w:noProof/>
              </w:rPr>
              <w:t>Liquidity</w:t>
            </w:r>
            <w:r w:rsidR="0073640C">
              <w:rPr>
                <w:noProof/>
                <w:webHidden/>
              </w:rPr>
              <w:tab/>
            </w:r>
            <w:r w:rsidR="0073640C">
              <w:rPr>
                <w:noProof/>
                <w:webHidden/>
              </w:rPr>
              <w:fldChar w:fldCharType="begin"/>
            </w:r>
            <w:r w:rsidR="0073640C">
              <w:rPr>
                <w:noProof/>
                <w:webHidden/>
              </w:rPr>
              <w:instrText xml:space="preserve"> PAGEREF _Toc104625882 \h </w:instrText>
            </w:r>
            <w:r w:rsidR="0073640C">
              <w:rPr>
                <w:noProof/>
                <w:webHidden/>
              </w:rPr>
            </w:r>
            <w:r w:rsidR="0073640C">
              <w:rPr>
                <w:noProof/>
                <w:webHidden/>
              </w:rPr>
              <w:fldChar w:fldCharType="separate"/>
            </w:r>
            <w:r w:rsidR="0073640C">
              <w:rPr>
                <w:noProof/>
                <w:webHidden/>
              </w:rPr>
              <w:t>9</w:t>
            </w:r>
            <w:r w:rsidR="0073640C">
              <w:rPr>
                <w:noProof/>
                <w:webHidden/>
              </w:rPr>
              <w:fldChar w:fldCharType="end"/>
            </w:r>
          </w:hyperlink>
        </w:p>
        <w:p w:rsidR="0073640C" w:rsidRDefault="00C97EAC">
          <w:pPr>
            <w:pStyle w:val="TOC2"/>
            <w:tabs>
              <w:tab w:val="right" w:leader="dot" w:pos="9350"/>
            </w:tabs>
            <w:rPr>
              <w:rFonts w:asciiTheme="minorHAnsi" w:eastAsiaTheme="minorEastAsia" w:hAnsiTheme="minorHAnsi"/>
              <w:noProof/>
              <w:sz w:val="22"/>
            </w:rPr>
          </w:pPr>
          <w:hyperlink w:anchor="_Toc104625883" w:history="1">
            <w:r w:rsidR="0073640C" w:rsidRPr="00FE3AE0">
              <w:rPr>
                <w:rStyle w:val="Hyperlink"/>
                <w:noProof/>
              </w:rPr>
              <w:t>Gearing</w:t>
            </w:r>
            <w:r w:rsidR="0073640C">
              <w:rPr>
                <w:noProof/>
                <w:webHidden/>
              </w:rPr>
              <w:tab/>
            </w:r>
            <w:r w:rsidR="0073640C">
              <w:rPr>
                <w:noProof/>
                <w:webHidden/>
              </w:rPr>
              <w:fldChar w:fldCharType="begin"/>
            </w:r>
            <w:r w:rsidR="0073640C">
              <w:rPr>
                <w:noProof/>
                <w:webHidden/>
              </w:rPr>
              <w:instrText xml:space="preserve"> PAGEREF _Toc104625883 \h </w:instrText>
            </w:r>
            <w:r w:rsidR="0073640C">
              <w:rPr>
                <w:noProof/>
                <w:webHidden/>
              </w:rPr>
            </w:r>
            <w:r w:rsidR="0073640C">
              <w:rPr>
                <w:noProof/>
                <w:webHidden/>
              </w:rPr>
              <w:fldChar w:fldCharType="separate"/>
            </w:r>
            <w:r w:rsidR="0073640C">
              <w:rPr>
                <w:noProof/>
                <w:webHidden/>
              </w:rPr>
              <w:t>10</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4" w:history="1">
            <w:r w:rsidR="0073640C" w:rsidRPr="00FE3AE0">
              <w:rPr>
                <w:rStyle w:val="Hyperlink"/>
                <w:noProof/>
              </w:rPr>
              <w:t>Importance of Using Ratio Analysis</w:t>
            </w:r>
            <w:r w:rsidR="0073640C">
              <w:rPr>
                <w:noProof/>
                <w:webHidden/>
              </w:rPr>
              <w:tab/>
            </w:r>
            <w:r w:rsidR="0073640C">
              <w:rPr>
                <w:noProof/>
                <w:webHidden/>
              </w:rPr>
              <w:fldChar w:fldCharType="begin"/>
            </w:r>
            <w:r w:rsidR="0073640C">
              <w:rPr>
                <w:noProof/>
                <w:webHidden/>
              </w:rPr>
              <w:instrText xml:space="preserve"> PAGEREF _Toc104625884 \h </w:instrText>
            </w:r>
            <w:r w:rsidR="0073640C">
              <w:rPr>
                <w:noProof/>
                <w:webHidden/>
              </w:rPr>
            </w:r>
            <w:r w:rsidR="0073640C">
              <w:rPr>
                <w:noProof/>
                <w:webHidden/>
              </w:rPr>
              <w:fldChar w:fldCharType="separate"/>
            </w:r>
            <w:r w:rsidR="0073640C">
              <w:rPr>
                <w:noProof/>
                <w:webHidden/>
              </w:rPr>
              <w:t>11</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5" w:history="1">
            <w:r w:rsidR="0073640C" w:rsidRPr="00FE3AE0">
              <w:rPr>
                <w:rStyle w:val="Hyperlink"/>
                <w:noProof/>
              </w:rPr>
              <w:t>Limitations of Ratio Analysis</w:t>
            </w:r>
            <w:r w:rsidR="0073640C">
              <w:rPr>
                <w:noProof/>
                <w:webHidden/>
              </w:rPr>
              <w:tab/>
            </w:r>
            <w:r w:rsidR="0073640C">
              <w:rPr>
                <w:noProof/>
                <w:webHidden/>
              </w:rPr>
              <w:fldChar w:fldCharType="begin"/>
            </w:r>
            <w:r w:rsidR="0073640C">
              <w:rPr>
                <w:noProof/>
                <w:webHidden/>
              </w:rPr>
              <w:instrText xml:space="preserve"> PAGEREF _Toc104625885 \h </w:instrText>
            </w:r>
            <w:r w:rsidR="0073640C">
              <w:rPr>
                <w:noProof/>
                <w:webHidden/>
              </w:rPr>
            </w:r>
            <w:r w:rsidR="0073640C">
              <w:rPr>
                <w:noProof/>
                <w:webHidden/>
              </w:rPr>
              <w:fldChar w:fldCharType="separate"/>
            </w:r>
            <w:r w:rsidR="0073640C">
              <w:rPr>
                <w:noProof/>
                <w:webHidden/>
              </w:rPr>
              <w:t>12</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6" w:history="1">
            <w:r w:rsidR="0073640C" w:rsidRPr="00FE3AE0">
              <w:rPr>
                <w:rStyle w:val="Hyperlink"/>
                <w:noProof/>
              </w:rPr>
              <w:t>The necessity of Understanding Ratio Analysis</w:t>
            </w:r>
            <w:r w:rsidR="0073640C">
              <w:rPr>
                <w:noProof/>
                <w:webHidden/>
              </w:rPr>
              <w:tab/>
            </w:r>
            <w:r w:rsidR="0073640C">
              <w:rPr>
                <w:noProof/>
                <w:webHidden/>
              </w:rPr>
              <w:fldChar w:fldCharType="begin"/>
            </w:r>
            <w:r w:rsidR="0073640C">
              <w:rPr>
                <w:noProof/>
                <w:webHidden/>
              </w:rPr>
              <w:instrText xml:space="preserve"> PAGEREF _Toc104625886 \h </w:instrText>
            </w:r>
            <w:r w:rsidR="0073640C">
              <w:rPr>
                <w:noProof/>
                <w:webHidden/>
              </w:rPr>
            </w:r>
            <w:r w:rsidR="0073640C">
              <w:rPr>
                <w:noProof/>
                <w:webHidden/>
              </w:rPr>
              <w:fldChar w:fldCharType="separate"/>
            </w:r>
            <w:r w:rsidR="0073640C">
              <w:rPr>
                <w:noProof/>
                <w:webHidden/>
              </w:rPr>
              <w:t>13</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7" w:history="1">
            <w:r w:rsidR="0073640C" w:rsidRPr="00FE3AE0">
              <w:rPr>
                <w:rStyle w:val="Hyperlink"/>
                <w:noProof/>
              </w:rPr>
              <w:t>Conclusion</w:t>
            </w:r>
            <w:r w:rsidR="0073640C">
              <w:rPr>
                <w:noProof/>
                <w:webHidden/>
              </w:rPr>
              <w:tab/>
            </w:r>
            <w:r w:rsidR="0073640C">
              <w:rPr>
                <w:noProof/>
                <w:webHidden/>
              </w:rPr>
              <w:fldChar w:fldCharType="begin"/>
            </w:r>
            <w:r w:rsidR="0073640C">
              <w:rPr>
                <w:noProof/>
                <w:webHidden/>
              </w:rPr>
              <w:instrText xml:space="preserve"> PAGEREF _Toc104625887 \h </w:instrText>
            </w:r>
            <w:r w:rsidR="0073640C">
              <w:rPr>
                <w:noProof/>
                <w:webHidden/>
              </w:rPr>
            </w:r>
            <w:r w:rsidR="0073640C">
              <w:rPr>
                <w:noProof/>
                <w:webHidden/>
              </w:rPr>
              <w:fldChar w:fldCharType="separate"/>
            </w:r>
            <w:r w:rsidR="0073640C">
              <w:rPr>
                <w:noProof/>
                <w:webHidden/>
              </w:rPr>
              <w:t>14</w:t>
            </w:r>
            <w:r w:rsidR="0073640C">
              <w:rPr>
                <w:noProof/>
                <w:webHidden/>
              </w:rPr>
              <w:fldChar w:fldCharType="end"/>
            </w:r>
          </w:hyperlink>
        </w:p>
        <w:p w:rsidR="0073640C" w:rsidRDefault="00C97EAC" w:rsidP="0073640C">
          <w:pPr>
            <w:pStyle w:val="TOC1"/>
            <w:rPr>
              <w:rFonts w:asciiTheme="minorHAnsi" w:eastAsiaTheme="minorEastAsia" w:hAnsiTheme="minorHAnsi"/>
              <w:noProof/>
              <w:sz w:val="22"/>
            </w:rPr>
          </w:pPr>
          <w:hyperlink w:anchor="_Toc104625888" w:history="1">
            <w:r w:rsidR="0073640C" w:rsidRPr="00FE3AE0">
              <w:rPr>
                <w:rStyle w:val="Hyperlink"/>
                <w:noProof/>
              </w:rPr>
              <w:t>Bibliography</w:t>
            </w:r>
            <w:r w:rsidR="0073640C">
              <w:rPr>
                <w:noProof/>
                <w:webHidden/>
              </w:rPr>
              <w:tab/>
            </w:r>
            <w:r w:rsidR="0073640C">
              <w:rPr>
                <w:noProof/>
                <w:webHidden/>
              </w:rPr>
              <w:fldChar w:fldCharType="begin"/>
            </w:r>
            <w:r w:rsidR="0073640C">
              <w:rPr>
                <w:noProof/>
                <w:webHidden/>
              </w:rPr>
              <w:instrText xml:space="preserve"> PAGEREF _Toc104625888 \h </w:instrText>
            </w:r>
            <w:r w:rsidR="0073640C">
              <w:rPr>
                <w:noProof/>
                <w:webHidden/>
              </w:rPr>
            </w:r>
            <w:r w:rsidR="0073640C">
              <w:rPr>
                <w:noProof/>
                <w:webHidden/>
              </w:rPr>
              <w:fldChar w:fldCharType="separate"/>
            </w:r>
            <w:r w:rsidR="0073640C">
              <w:rPr>
                <w:noProof/>
                <w:webHidden/>
              </w:rPr>
              <w:t>15</w:t>
            </w:r>
            <w:r w:rsidR="0073640C">
              <w:rPr>
                <w:noProof/>
                <w:webHidden/>
              </w:rPr>
              <w:fldChar w:fldCharType="end"/>
            </w:r>
          </w:hyperlink>
        </w:p>
        <w:p w:rsidR="00365678" w:rsidRDefault="00365678" w:rsidP="006151FC">
          <w:pPr>
            <w:spacing w:line="360" w:lineRule="auto"/>
            <w:jc w:val="both"/>
          </w:pPr>
          <w:r w:rsidRPr="00365678">
            <w:rPr>
              <w:rFonts w:cs="Arial"/>
              <w:b/>
              <w:bCs/>
              <w:noProof/>
              <w:szCs w:val="24"/>
            </w:rPr>
            <w:fldChar w:fldCharType="end"/>
          </w:r>
        </w:p>
      </w:sdtContent>
    </w:sdt>
    <w:p w:rsidR="00FC5653" w:rsidRDefault="00FC5653" w:rsidP="00FC5653">
      <w:pPr>
        <w:spacing w:line="360" w:lineRule="auto"/>
        <w:jc w:val="both"/>
      </w:pPr>
    </w:p>
    <w:p w:rsidR="008B648C" w:rsidRDefault="008B648C">
      <w:pPr>
        <w:rPr>
          <w:rFonts w:cs="Arial"/>
        </w:rPr>
      </w:pPr>
    </w:p>
    <w:p w:rsidR="008B648C" w:rsidRDefault="008B648C">
      <w:pPr>
        <w:rPr>
          <w:rFonts w:cs="Arial"/>
        </w:rPr>
      </w:pPr>
      <w:r>
        <w:rPr>
          <w:rFonts w:cs="Arial"/>
        </w:rPr>
        <w:br w:type="page"/>
      </w:r>
    </w:p>
    <w:p w:rsidR="00751B0F" w:rsidRDefault="008B648C" w:rsidP="008B648C">
      <w:pPr>
        <w:pStyle w:val="Heading1"/>
      </w:pPr>
      <w:bookmarkStart w:id="3" w:name="_Toc94728141"/>
      <w:bookmarkStart w:id="4" w:name="_Toc104625875"/>
      <w:r>
        <w:lastRenderedPageBreak/>
        <w:t>Introduction</w:t>
      </w:r>
      <w:bookmarkEnd w:id="3"/>
      <w:bookmarkEnd w:id="4"/>
    </w:p>
    <w:p w:rsidR="00834948" w:rsidRDefault="00834948" w:rsidP="008B648C">
      <w:pPr>
        <w:spacing w:line="360" w:lineRule="auto"/>
        <w:jc w:val="both"/>
        <w:rPr>
          <w:rFonts w:cs="Arial"/>
        </w:rPr>
      </w:pPr>
      <w:r>
        <w:rPr>
          <w:rFonts w:cs="Arial"/>
        </w:rPr>
        <w:t xml:space="preserve">Financial ratios are the key </w:t>
      </w:r>
      <w:r w:rsidR="0079148D">
        <w:rPr>
          <w:rFonts w:cs="Arial"/>
        </w:rPr>
        <w:t>to</w:t>
      </w:r>
      <w:r>
        <w:rPr>
          <w:rFonts w:cs="Arial"/>
        </w:rPr>
        <w:t xml:space="preserve"> measuring and comparing the data gathered from </w:t>
      </w:r>
      <w:r w:rsidR="0079148D">
        <w:rPr>
          <w:rFonts w:cs="Arial"/>
        </w:rPr>
        <w:t xml:space="preserve">the </w:t>
      </w:r>
      <w:r>
        <w:rPr>
          <w:rFonts w:cs="Arial"/>
        </w:rPr>
        <w:t xml:space="preserve">financial </w:t>
      </w:r>
      <w:r w:rsidR="00D938FA">
        <w:rPr>
          <w:rFonts w:cs="Arial"/>
        </w:rPr>
        <w:t>statements</w:t>
      </w:r>
      <w:r>
        <w:rPr>
          <w:rFonts w:cs="Arial"/>
        </w:rPr>
        <w:t xml:space="preserve"> of a certain company</w:t>
      </w:r>
      <w:r w:rsidR="00FF1CBB">
        <w:rPr>
          <w:rFonts w:cs="Arial"/>
        </w:rPr>
        <w:t xml:space="preserve"> (Hosaka, 2019)</w:t>
      </w:r>
      <w:r>
        <w:rPr>
          <w:rFonts w:cs="Arial"/>
        </w:rPr>
        <w:t xml:space="preserve">. These ratios are calculated from the balance sheets and income </w:t>
      </w:r>
      <w:r w:rsidR="00D938FA">
        <w:rPr>
          <w:rFonts w:cs="Arial"/>
        </w:rPr>
        <w:t>statements</w:t>
      </w:r>
      <w:r>
        <w:rPr>
          <w:rFonts w:cs="Arial"/>
        </w:rPr>
        <w:t xml:space="preserve"> and are often used to measure liquidity, profitability, efficiency and solvency etc</w:t>
      </w:r>
      <w:r w:rsidR="00FF1CBB">
        <w:rPr>
          <w:rFonts w:cs="Arial"/>
        </w:rPr>
        <w:t>. (Robinson, 2020)</w:t>
      </w:r>
      <w:r>
        <w:rPr>
          <w:rFonts w:cs="Arial"/>
        </w:rPr>
        <w:t xml:space="preserve">. </w:t>
      </w:r>
      <w:r w:rsidR="00C24661">
        <w:rPr>
          <w:rFonts w:cs="Arial"/>
        </w:rPr>
        <w:t xml:space="preserve">This report focuses on one of the biggest hotel chains </w:t>
      </w:r>
      <w:r w:rsidR="0079148D">
        <w:rPr>
          <w:rFonts w:cs="Arial"/>
        </w:rPr>
        <w:t>in</w:t>
      </w:r>
      <w:r w:rsidR="00C24661">
        <w:rPr>
          <w:rFonts w:cs="Arial"/>
        </w:rPr>
        <w:t xml:space="preserve"> the world- Hilton Worldwide Inc., which has </w:t>
      </w:r>
      <w:r w:rsidR="00A44023">
        <w:rPr>
          <w:rFonts w:cs="Arial"/>
        </w:rPr>
        <w:t xml:space="preserve">operations </w:t>
      </w:r>
      <w:r w:rsidR="0079148D">
        <w:rPr>
          <w:rFonts w:cs="Arial"/>
        </w:rPr>
        <w:t>in</w:t>
      </w:r>
      <w:r w:rsidR="00A44023">
        <w:rPr>
          <w:rFonts w:cs="Arial"/>
        </w:rPr>
        <w:t xml:space="preserve"> </w:t>
      </w:r>
      <w:r w:rsidR="00C24661">
        <w:rPr>
          <w:rFonts w:cs="Arial"/>
        </w:rPr>
        <w:t xml:space="preserve">around </w:t>
      </w:r>
      <w:r w:rsidR="00A44023">
        <w:rPr>
          <w:rFonts w:cs="Arial"/>
        </w:rPr>
        <w:t xml:space="preserve">122 countries </w:t>
      </w:r>
      <w:r w:rsidR="0079148D">
        <w:rPr>
          <w:rFonts w:cs="Arial"/>
        </w:rPr>
        <w:t>o</w:t>
      </w:r>
      <w:r w:rsidR="00C24661">
        <w:rPr>
          <w:rFonts w:cs="Arial"/>
        </w:rPr>
        <w:t>n 6 continents</w:t>
      </w:r>
      <w:r w:rsidR="000F08D7">
        <w:rPr>
          <w:rFonts w:cs="Arial"/>
        </w:rPr>
        <w:t xml:space="preserve"> (Hilton.com, 2022)</w:t>
      </w:r>
      <w:r w:rsidR="00C24661">
        <w:rPr>
          <w:rFonts w:cs="Arial"/>
        </w:rPr>
        <w:t xml:space="preserve">. </w:t>
      </w:r>
      <w:r w:rsidR="00122B00">
        <w:rPr>
          <w:rFonts w:cs="Arial"/>
        </w:rPr>
        <w:t>The hospitality industry is a very competitive one that</w:t>
      </w:r>
      <w:r w:rsidR="00740CD2">
        <w:rPr>
          <w:rFonts w:cs="Arial"/>
        </w:rPr>
        <w:t xml:space="preserve"> needs continued service and customer management.</w:t>
      </w:r>
      <w:r w:rsidR="0079148D">
        <w:rPr>
          <w:rFonts w:cs="Arial"/>
        </w:rPr>
        <w:t xml:space="preserve"> </w:t>
      </w:r>
      <w:r w:rsidR="00740CD2">
        <w:rPr>
          <w:rFonts w:cs="Arial"/>
        </w:rPr>
        <w:t>So, ratio analysis helps to find out whether the h</w:t>
      </w:r>
      <w:r w:rsidR="00C14BEF">
        <w:rPr>
          <w:rFonts w:cs="Arial"/>
        </w:rPr>
        <w:t xml:space="preserve">otel is doing good based </w:t>
      </w:r>
      <w:r w:rsidR="00740CD2">
        <w:rPr>
          <w:rFonts w:cs="Arial"/>
        </w:rPr>
        <w:t xml:space="preserve"> on year basis. </w:t>
      </w:r>
      <w:r w:rsidR="00B937ED">
        <w:rPr>
          <w:rFonts w:cs="Arial"/>
        </w:rPr>
        <w:t xml:space="preserve">This study has analysed the data from 2020 and 2019 to calculate the profitability, liquidity and gearing ratios to detect the trend from one year to another. It also discussed the importance and shortcomings of ratio analysis in </w:t>
      </w:r>
      <w:r w:rsidR="0079148D">
        <w:rPr>
          <w:rFonts w:cs="Arial"/>
        </w:rPr>
        <w:t xml:space="preserve">the </w:t>
      </w:r>
      <w:r w:rsidR="00B937ED">
        <w:rPr>
          <w:rFonts w:cs="Arial"/>
        </w:rPr>
        <w:t>hospitality industry.</w:t>
      </w:r>
    </w:p>
    <w:p w:rsidR="008B648C" w:rsidRDefault="008B648C">
      <w:pPr>
        <w:rPr>
          <w:rFonts w:cs="Arial"/>
        </w:rPr>
      </w:pPr>
      <w:r>
        <w:rPr>
          <w:rFonts w:cs="Arial"/>
        </w:rPr>
        <w:br w:type="page"/>
      </w:r>
    </w:p>
    <w:p w:rsidR="008B648C" w:rsidRDefault="008B648C" w:rsidP="00321DEC">
      <w:pPr>
        <w:pStyle w:val="Heading1"/>
      </w:pPr>
      <w:bookmarkStart w:id="5" w:name="_Toc94728142"/>
      <w:bookmarkStart w:id="6" w:name="_Toc104625876"/>
      <w:r w:rsidRPr="00321DEC">
        <w:lastRenderedPageBreak/>
        <w:t>Financial Analysis</w:t>
      </w:r>
      <w:bookmarkEnd w:id="5"/>
      <w:bookmarkEnd w:id="6"/>
    </w:p>
    <w:p w:rsidR="004D730B" w:rsidRDefault="00DE3920" w:rsidP="004D730B">
      <w:r>
        <w:t>To analyse the financial performance of a company, several ratios are used:</w:t>
      </w:r>
    </w:p>
    <w:p w:rsidR="00DE3920" w:rsidRDefault="00DE3920" w:rsidP="004D730B">
      <w:pPr>
        <w:jc w:val="center"/>
      </w:pPr>
      <w:r>
        <w:rPr>
          <w:noProof/>
          <w:lang w:val="en-GB" w:eastAsia="en-GB"/>
        </w:rPr>
        <w:drawing>
          <wp:inline distT="0" distB="0" distL="0" distR="0" wp14:anchorId="756E72D9" wp14:editId="69E4A081">
            <wp:extent cx="2802855" cy="2725288"/>
            <wp:effectExtent l="0" t="0" r="0" b="0"/>
            <wp:docPr id="16" name="Picture 16" descr="Prepare ratio analysis of your financial statements by Mariapalaj96 | Five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pare ratio analysis of your financial statements by Mariapalaj96 | Fiver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5064" cy="2776052"/>
                    </a:xfrm>
                    <a:prstGeom prst="rect">
                      <a:avLst/>
                    </a:prstGeom>
                    <a:noFill/>
                    <a:ln>
                      <a:noFill/>
                    </a:ln>
                  </pic:spPr>
                </pic:pic>
              </a:graphicData>
            </a:graphic>
          </wp:inline>
        </w:drawing>
      </w:r>
    </w:p>
    <w:p w:rsidR="004D730B" w:rsidRDefault="004D730B" w:rsidP="004D730B">
      <w:pPr>
        <w:jc w:val="center"/>
      </w:pPr>
      <w:r>
        <w:t>Figure 01: Financial Ratios</w:t>
      </w:r>
    </w:p>
    <w:p w:rsidR="004D730B" w:rsidRDefault="004D730B" w:rsidP="004D730B">
      <w:pPr>
        <w:jc w:val="center"/>
      </w:pPr>
      <w:r>
        <w:t>Source:</w:t>
      </w:r>
      <w:r w:rsidR="009B42CE">
        <w:t xml:space="preserve"> Adapted from Rashid, 2018</w:t>
      </w:r>
    </w:p>
    <w:p w:rsidR="004D730B" w:rsidRDefault="00E63EC9" w:rsidP="00E63EC9">
      <w:pPr>
        <w:spacing w:line="360" w:lineRule="auto"/>
        <w:jc w:val="both"/>
      </w:pPr>
      <w:r>
        <w:t>Before moving towards the ratio calculations, the horizontal analysis of the financial statements are shown below:</w:t>
      </w:r>
    </w:p>
    <w:p w:rsidR="00E63EC9" w:rsidRDefault="00E63EC9" w:rsidP="00E63EC9">
      <w:pPr>
        <w:spacing w:line="360" w:lineRule="auto"/>
        <w:jc w:val="both"/>
        <w:rPr>
          <w:b/>
        </w:rPr>
      </w:pPr>
      <w:r>
        <w:rPr>
          <w:b/>
        </w:rPr>
        <w:t>Income Statement of 2020 and 2019:</w:t>
      </w:r>
    </w:p>
    <w:tbl>
      <w:tblPr>
        <w:tblW w:w="9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5"/>
        <w:gridCol w:w="1800"/>
        <w:gridCol w:w="1350"/>
        <w:gridCol w:w="1530"/>
        <w:gridCol w:w="1644"/>
      </w:tblGrid>
      <w:tr w:rsidR="00E63EC9" w:rsidRPr="00E63EC9" w:rsidTr="00E63EC9">
        <w:trPr>
          <w:trHeight w:val="315"/>
        </w:trPr>
        <w:tc>
          <w:tcPr>
            <w:tcW w:w="9289" w:type="dxa"/>
            <w:gridSpan w:val="5"/>
            <w:shd w:val="clear" w:color="000000" w:fill="203764"/>
            <w:noWrap/>
            <w:vAlign w:val="bottom"/>
            <w:hideMark/>
          </w:tcPr>
          <w:p w:rsidR="00E63EC9" w:rsidRPr="00E63EC9" w:rsidRDefault="00E63EC9" w:rsidP="00E63EC9">
            <w:pPr>
              <w:spacing w:after="0" w:line="240" w:lineRule="auto"/>
              <w:jc w:val="center"/>
              <w:rPr>
                <w:rFonts w:eastAsia="Times New Roman" w:cs="Arial"/>
                <w:b/>
                <w:bCs/>
                <w:color w:val="FFFFFF"/>
                <w:szCs w:val="24"/>
              </w:rPr>
            </w:pPr>
            <w:r w:rsidRPr="00E63EC9">
              <w:rPr>
                <w:rFonts w:eastAsia="Times New Roman" w:cs="Arial"/>
                <w:b/>
                <w:bCs/>
                <w:color w:val="FFFFFF"/>
                <w:szCs w:val="24"/>
              </w:rPr>
              <w:t>Hilton Worldwide Holdings Inc. (HLT)</w:t>
            </w:r>
          </w:p>
        </w:tc>
      </w:tr>
      <w:tr w:rsidR="00E63EC9" w:rsidRPr="00E63EC9" w:rsidTr="00E63EC9">
        <w:trPr>
          <w:trHeight w:val="315"/>
        </w:trPr>
        <w:tc>
          <w:tcPr>
            <w:tcW w:w="9289" w:type="dxa"/>
            <w:gridSpan w:val="5"/>
            <w:shd w:val="clear" w:color="000000" w:fill="BDD7EE"/>
            <w:noWrap/>
            <w:vAlign w:val="bottom"/>
            <w:hideMark/>
          </w:tcPr>
          <w:p w:rsidR="00E63EC9" w:rsidRPr="00E63EC9" w:rsidRDefault="00E63EC9" w:rsidP="00E63EC9">
            <w:pPr>
              <w:spacing w:after="0" w:line="240" w:lineRule="auto"/>
              <w:jc w:val="center"/>
              <w:rPr>
                <w:rFonts w:eastAsia="Times New Roman" w:cs="Arial"/>
                <w:b/>
                <w:bCs/>
                <w:color w:val="000000"/>
                <w:szCs w:val="24"/>
              </w:rPr>
            </w:pPr>
            <w:r w:rsidRPr="00E63EC9">
              <w:rPr>
                <w:rFonts w:eastAsia="Times New Roman" w:cs="Arial"/>
                <w:b/>
                <w:bCs/>
                <w:color w:val="000000"/>
                <w:szCs w:val="24"/>
              </w:rPr>
              <w:t>Income Statement</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 </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2020</w:t>
            </w:r>
          </w:p>
        </w:tc>
        <w:tc>
          <w:tcPr>
            <w:tcW w:w="135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2019</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Change</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 Change</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 </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USD</w:t>
            </w:r>
          </w:p>
        </w:tc>
        <w:tc>
          <w:tcPr>
            <w:tcW w:w="135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r w:rsidRPr="00E63EC9">
              <w:rPr>
                <w:rFonts w:eastAsia="Times New Roman" w:cs="Arial"/>
                <w:b/>
                <w:bCs/>
                <w:color w:val="000000"/>
                <w:szCs w:val="24"/>
              </w:rPr>
              <w:t>USD</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b/>
                <w:bCs/>
                <w:color w:val="000000"/>
                <w:szCs w:val="24"/>
              </w:rPr>
            </w:pP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 </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Sales</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4,307,000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9,452,000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-5,145,000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-54.43%</w:t>
            </w:r>
          </w:p>
        </w:tc>
      </w:tr>
      <w:tr w:rsidR="00E63EC9" w:rsidRPr="00E63EC9" w:rsidTr="00E63EC9">
        <w:trPr>
          <w:trHeight w:val="30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Cost of Goods Sold</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3,724,000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7,017,000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-3,293,000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-46.93%</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Gross Profit</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583,000</w:t>
            </w:r>
          </w:p>
        </w:tc>
        <w:tc>
          <w:tcPr>
            <w:tcW w:w="135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2,435,000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-1,852,000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-76.06%</w:t>
            </w:r>
          </w:p>
        </w:tc>
      </w:tr>
      <w:tr w:rsidR="00E63EC9" w:rsidRPr="00E63EC9" w:rsidTr="00E63EC9">
        <w:trPr>
          <w:trHeight w:val="30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Operating Expenses</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702,000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859,000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-157,000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-18.28%</w:t>
            </w:r>
          </w:p>
        </w:tc>
      </w:tr>
      <w:tr w:rsidR="00E63EC9" w:rsidRPr="00E63EC9" w:rsidTr="00E63EC9">
        <w:trPr>
          <w:trHeight w:val="30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Operating Income</w:t>
            </w:r>
          </w:p>
        </w:tc>
        <w:tc>
          <w:tcPr>
            <w:tcW w:w="180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-119,000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1,576,000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-1,695,000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-107.55%</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Interest Expense</w:t>
            </w:r>
          </w:p>
        </w:tc>
        <w:tc>
          <w:tcPr>
            <w:tcW w:w="180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429,000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414,000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15,000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3.62%</w:t>
            </w:r>
          </w:p>
        </w:tc>
      </w:tr>
      <w:tr w:rsidR="00E63EC9" w:rsidRPr="00E63EC9" w:rsidTr="00E63EC9">
        <w:trPr>
          <w:trHeight w:val="30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 xml:space="preserve">Total Other income/ expenses net </w:t>
            </w:r>
          </w:p>
        </w:tc>
        <w:tc>
          <w:tcPr>
            <w:tcW w:w="180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-376,000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82,000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-458,000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-558.54%</w:t>
            </w:r>
          </w:p>
        </w:tc>
      </w:tr>
      <w:tr w:rsidR="00E63EC9" w:rsidRPr="00E63EC9" w:rsidTr="00E63EC9">
        <w:trPr>
          <w:trHeight w:val="315"/>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Income before taxes</w:t>
            </w:r>
          </w:p>
        </w:tc>
        <w:tc>
          <w:tcPr>
            <w:tcW w:w="180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-924,000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1,244,000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-2,168,000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-174.28%</w:t>
            </w:r>
          </w:p>
        </w:tc>
      </w:tr>
      <w:tr w:rsidR="00E63EC9" w:rsidRPr="00E63EC9" w:rsidTr="00E63EC9">
        <w:trPr>
          <w:trHeight w:val="30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color w:val="000000"/>
                <w:szCs w:val="24"/>
              </w:rPr>
            </w:pPr>
            <w:r w:rsidRPr="00E63EC9">
              <w:rPr>
                <w:rFonts w:eastAsia="Times New Roman" w:cs="Arial"/>
                <w:color w:val="000000"/>
                <w:szCs w:val="24"/>
              </w:rPr>
              <w:t>Profit Before Interest</w:t>
            </w:r>
          </w:p>
        </w:tc>
        <w:tc>
          <w:tcPr>
            <w:tcW w:w="180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-495,000</w:t>
            </w:r>
          </w:p>
        </w:tc>
        <w:tc>
          <w:tcPr>
            <w:tcW w:w="135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1,658,000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-2,153,000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-129.86%</w:t>
            </w:r>
          </w:p>
        </w:tc>
      </w:tr>
      <w:tr w:rsidR="00E63EC9" w:rsidRPr="00E63EC9" w:rsidTr="00E63EC9">
        <w:trPr>
          <w:trHeight w:val="330"/>
        </w:trPr>
        <w:tc>
          <w:tcPr>
            <w:tcW w:w="2965" w:type="dxa"/>
            <w:shd w:val="clear" w:color="auto" w:fill="auto"/>
            <w:noWrap/>
            <w:vAlign w:val="bottom"/>
            <w:hideMark/>
          </w:tcPr>
          <w:p w:rsidR="00E63EC9" w:rsidRPr="00E63EC9" w:rsidRDefault="00E63EC9" w:rsidP="00E63EC9">
            <w:pPr>
              <w:spacing w:after="0" w:line="240" w:lineRule="auto"/>
              <w:rPr>
                <w:rFonts w:eastAsia="Times New Roman" w:cs="Arial"/>
                <w:b/>
                <w:bCs/>
                <w:color w:val="000000"/>
                <w:szCs w:val="24"/>
              </w:rPr>
            </w:pPr>
            <w:r w:rsidRPr="00E63EC9">
              <w:rPr>
                <w:rFonts w:eastAsia="Times New Roman" w:cs="Arial"/>
                <w:b/>
                <w:bCs/>
                <w:color w:val="000000"/>
                <w:szCs w:val="24"/>
              </w:rPr>
              <w:t>Net income</w:t>
            </w:r>
          </w:p>
        </w:tc>
        <w:tc>
          <w:tcPr>
            <w:tcW w:w="180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-715,000</w:t>
            </w:r>
          </w:p>
        </w:tc>
        <w:tc>
          <w:tcPr>
            <w:tcW w:w="1350" w:type="dxa"/>
            <w:shd w:val="clear" w:color="auto" w:fill="auto"/>
            <w:noWrap/>
            <w:vAlign w:val="center"/>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881,000</w:t>
            </w:r>
          </w:p>
        </w:tc>
        <w:tc>
          <w:tcPr>
            <w:tcW w:w="1530"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-1,596,000</w:t>
            </w:r>
          </w:p>
        </w:tc>
        <w:tc>
          <w:tcPr>
            <w:tcW w:w="1644" w:type="dxa"/>
            <w:shd w:val="clear" w:color="auto" w:fill="auto"/>
            <w:noWrap/>
            <w:vAlign w:val="bottom"/>
            <w:hideMark/>
          </w:tcPr>
          <w:p w:rsidR="00E63EC9" w:rsidRPr="00E63EC9" w:rsidRDefault="00E63EC9" w:rsidP="00E63EC9">
            <w:pPr>
              <w:spacing w:after="0" w:line="240" w:lineRule="auto"/>
              <w:jc w:val="right"/>
              <w:rPr>
                <w:rFonts w:eastAsia="Times New Roman" w:cs="Arial"/>
                <w:color w:val="000000"/>
                <w:szCs w:val="24"/>
              </w:rPr>
            </w:pPr>
            <w:r w:rsidRPr="00E63EC9">
              <w:rPr>
                <w:rFonts w:eastAsia="Times New Roman" w:cs="Arial"/>
                <w:color w:val="000000"/>
                <w:szCs w:val="24"/>
              </w:rPr>
              <w:t>-181.16%</w:t>
            </w:r>
          </w:p>
        </w:tc>
      </w:tr>
    </w:tbl>
    <w:p w:rsidR="00E63EC9" w:rsidRDefault="003254FB" w:rsidP="00E63EC9">
      <w:pPr>
        <w:spacing w:line="360" w:lineRule="auto"/>
        <w:jc w:val="both"/>
        <w:rPr>
          <w:b/>
        </w:rPr>
      </w:pPr>
      <w:r>
        <w:rPr>
          <w:b/>
        </w:rPr>
        <w:lastRenderedPageBreak/>
        <w:t>Balance Sheet of 2020 and 2019:</w:t>
      </w:r>
    </w:p>
    <w:tbl>
      <w:tblPr>
        <w:tblW w:w="9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65"/>
        <w:gridCol w:w="1620"/>
        <w:gridCol w:w="1440"/>
        <w:gridCol w:w="1440"/>
        <w:gridCol w:w="1350"/>
      </w:tblGrid>
      <w:tr w:rsidR="003254FB" w:rsidRPr="003254FB" w:rsidTr="003254FB">
        <w:trPr>
          <w:trHeight w:val="315"/>
        </w:trPr>
        <w:tc>
          <w:tcPr>
            <w:tcW w:w="9715" w:type="dxa"/>
            <w:gridSpan w:val="5"/>
            <w:shd w:val="clear" w:color="000000" w:fill="203764"/>
            <w:noWrap/>
            <w:vAlign w:val="bottom"/>
            <w:hideMark/>
          </w:tcPr>
          <w:p w:rsidR="003254FB" w:rsidRPr="003254FB" w:rsidRDefault="003254FB" w:rsidP="003254FB">
            <w:pPr>
              <w:spacing w:after="0" w:line="240" w:lineRule="auto"/>
              <w:jc w:val="center"/>
              <w:rPr>
                <w:rFonts w:eastAsia="Times New Roman" w:cs="Arial"/>
                <w:b/>
                <w:bCs/>
                <w:color w:val="FFFFFF"/>
                <w:szCs w:val="24"/>
              </w:rPr>
            </w:pPr>
            <w:r w:rsidRPr="003254FB">
              <w:rPr>
                <w:rFonts w:eastAsia="Times New Roman" w:cs="Arial"/>
                <w:b/>
                <w:bCs/>
                <w:color w:val="FFFFFF"/>
                <w:szCs w:val="24"/>
              </w:rPr>
              <w:t>Hilton Worldwide Holdings Inc. (HLT)</w:t>
            </w:r>
          </w:p>
        </w:tc>
      </w:tr>
      <w:tr w:rsidR="003254FB" w:rsidRPr="003254FB" w:rsidTr="003254FB">
        <w:trPr>
          <w:trHeight w:val="315"/>
        </w:trPr>
        <w:tc>
          <w:tcPr>
            <w:tcW w:w="9715" w:type="dxa"/>
            <w:gridSpan w:val="5"/>
            <w:shd w:val="clear" w:color="000000" w:fill="BDD7EE"/>
            <w:noWrap/>
            <w:vAlign w:val="bottom"/>
            <w:hideMark/>
          </w:tcPr>
          <w:p w:rsidR="003254FB" w:rsidRPr="003254FB" w:rsidRDefault="003254FB" w:rsidP="003254FB">
            <w:pPr>
              <w:spacing w:after="0" w:line="240" w:lineRule="auto"/>
              <w:jc w:val="center"/>
              <w:rPr>
                <w:rFonts w:eastAsia="Times New Roman" w:cs="Arial"/>
                <w:b/>
                <w:bCs/>
                <w:color w:val="000000"/>
                <w:szCs w:val="24"/>
              </w:rPr>
            </w:pPr>
            <w:r w:rsidRPr="003254FB">
              <w:rPr>
                <w:rFonts w:eastAsia="Times New Roman" w:cs="Arial"/>
                <w:b/>
                <w:bCs/>
                <w:color w:val="000000"/>
                <w:szCs w:val="24"/>
              </w:rPr>
              <w:t>Balance Sheet</w:t>
            </w:r>
          </w:p>
        </w:tc>
      </w:tr>
      <w:tr w:rsidR="003254FB" w:rsidRPr="003254FB" w:rsidTr="003254FB">
        <w:trPr>
          <w:trHeight w:val="315"/>
        </w:trPr>
        <w:tc>
          <w:tcPr>
            <w:tcW w:w="3865" w:type="dxa"/>
            <w:shd w:val="clear" w:color="auto" w:fill="auto"/>
            <w:noWrap/>
            <w:vAlign w:val="bottom"/>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 </w:t>
            </w:r>
          </w:p>
        </w:tc>
        <w:tc>
          <w:tcPr>
            <w:tcW w:w="162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2020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2019</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Change</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 Change</w:t>
            </w:r>
          </w:p>
        </w:tc>
      </w:tr>
      <w:tr w:rsidR="003254FB" w:rsidRPr="003254FB" w:rsidTr="003254FB">
        <w:trPr>
          <w:trHeight w:val="315"/>
        </w:trPr>
        <w:tc>
          <w:tcPr>
            <w:tcW w:w="3865" w:type="dxa"/>
            <w:shd w:val="clear" w:color="auto" w:fill="auto"/>
            <w:noWrap/>
            <w:vAlign w:val="bottom"/>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 </w:t>
            </w:r>
          </w:p>
        </w:tc>
        <w:tc>
          <w:tcPr>
            <w:tcW w:w="162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USD</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r w:rsidRPr="003254FB">
              <w:rPr>
                <w:rFonts w:eastAsia="Times New Roman" w:cs="Arial"/>
                <w:b/>
                <w:bCs/>
                <w:color w:val="000000"/>
                <w:szCs w:val="24"/>
              </w:rPr>
              <w:t>USD</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b/>
                <w:bCs/>
                <w:color w:val="000000"/>
                <w:szCs w:val="24"/>
              </w:rPr>
            </w:pP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 </w:t>
            </w:r>
          </w:p>
        </w:tc>
      </w:tr>
      <w:tr w:rsidR="003254FB" w:rsidRPr="003254FB" w:rsidTr="003254FB">
        <w:trPr>
          <w:trHeight w:val="315"/>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Current Asset</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4,202,000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2,093,000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2,109,000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100.76%</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Cash</w:t>
            </w:r>
          </w:p>
        </w:tc>
        <w:tc>
          <w:tcPr>
            <w:tcW w:w="162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3,218,000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538,000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2,680,000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498.14%</w:t>
            </w:r>
          </w:p>
        </w:tc>
      </w:tr>
      <w:tr w:rsidR="003254FB" w:rsidRPr="003254FB" w:rsidTr="003254FB">
        <w:trPr>
          <w:trHeight w:val="315"/>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Receivables</w:t>
            </w:r>
          </w:p>
        </w:tc>
        <w:tc>
          <w:tcPr>
            <w:tcW w:w="162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771,000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1,261,000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-490,000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-38.86%</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Non Current Asset</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15,810,000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12,558,000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3,252,000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25.90%</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Total Asset</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16,755,000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14,957,000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1,798,000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12.02%</w:t>
            </w:r>
          </w:p>
        </w:tc>
      </w:tr>
      <w:tr w:rsidR="003254FB" w:rsidRPr="003254FB" w:rsidTr="003254FB">
        <w:trPr>
          <w:trHeight w:val="315"/>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Current Liabilities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2,431,000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2,871,000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-440,000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-15.33%</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Payables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224,000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303,000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-79,000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-26.07%</w:t>
            </w:r>
          </w:p>
        </w:tc>
      </w:tr>
      <w:tr w:rsidR="003254FB" w:rsidRPr="003254FB" w:rsidTr="003254FB">
        <w:trPr>
          <w:trHeight w:val="315"/>
        </w:trPr>
        <w:tc>
          <w:tcPr>
            <w:tcW w:w="3865" w:type="dxa"/>
            <w:shd w:val="clear" w:color="auto" w:fill="auto"/>
            <w:noWrap/>
            <w:vAlign w:val="bottom"/>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Total Assets Less Current Liabilities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14,324,000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12,086,000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2,238,000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18.52%</w:t>
            </w:r>
          </w:p>
        </w:tc>
      </w:tr>
      <w:tr w:rsidR="003254FB" w:rsidRPr="003254FB" w:rsidTr="003254FB">
        <w:trPr>
          <w:trHeight w:val="300"/>
        </w:trPr>
        <w:tc>
          <w:tcPr>
            <w:tcW w:w="3865" w:type="dxa"/>
            <w:shd w:val="clear" w:color="auto" w:fill="auto"/>
            <w:noWrap/>
            <w:vAlign w:val="bottom"/>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Net Current Assets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1,771,000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-778,000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2,549,000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-327.63%</w:t>
            </w:r>
          </w:p>
        </w:tc>
      </w:tr>
      <w:tr w:rsidR="003254FB" w:rsidRPr="003254FB" w:rsidTr="003254FB">
        <w:trPr>
          <w:trHeight w:val="315"/>
        </w:trPr>
        <w:tc>
          <w:tcPr>
            <w:tcW w:w="3865" w:type="dxa"/>
            <w:shd w:val="clear" w:color="auto" w:fill="auto"/>
            <w:noWrap/>
            <w:vAlign w:val="bottom"/>
            <w:hideMark/>
          </w:tcPr>
          <w:p w:rsidR="003254FB" w:rsidRPr="003254FB" w:rsidRDefault="003254FB" w:rsidP="003254FB">
            <w:pPr>
              <w:spacing w:after="0" w:line="240" w:lineRule="auto"/>
              <w:rPr>
                <w:rFonts w:eastAsia="Times New Roman" w:cs="Arial"/>
                <w:b/>
                <w:bCs/>
                <w:color w:val="000000"/>
                <w:szCs w:val="24"/>
              </w:rPr>
            </w:pPr>
            <w:r w:rsidRPr="003254FB">
              <w:rPr>
                <w:rFonts w:eastAsia="Times New Roman" w:cs="Arial"/>
                <w:b/>
                <w:bCs/>
                <w:color w:val="000000"/>
                <w:szCs w:val="24"/>
              </w:rPr>
              <w:t>Long-term Debt</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10,235,000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7,748,000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2,759,000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35.61%</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Non current Liabilities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15,810,000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12,558,000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3,252,000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25.90%</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Total Liabilities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18,241,000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15,429,000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2,812,000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18.23%</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Common Stock</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3,000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0.00%</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Retained Earnings</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-6,732,000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-5,965,000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-767,000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12.86%</w:t>
            </w:r>
          </w:p>
        </w:tc>
      </w:tr>
      <w:tr w:rsidR="003254FB" w:rsidRPr="003254FB" w:rsidTr="003254FB">
        <w:trPr>
          <w:trHeight w:val="300"/>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Total Stockholders' Equity</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-1,490,000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-482,000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-1,008,000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209.13%</w:t>
            </w:r>
          </w:p>
        </w:tc>
      </w:tr>
      <w:tr w:rsidR="003254FB" w:rsidRPr="003254FB" w:rsidTr="003254FB">
        <w:trPr>
          <w:trHeight w:val="315"/>
        </w:trPr>
        <w:tc>
          <w:tcPr>
            <w:tcW w:w="3865" w:type="dxa"/>
            <w:shd w:val="clear" w:color="auto" w:fill="auto"/>
            <w:noWrap/>
            <w:vAlign w:val="center"/>
            <w:hideMark/>
          </w:tcPr>
          <w:p w:rsidR="003254FB" w:rsidRPr="003254FB" w:rsidRDefault="003254FB" w:rsidP="003254FB">
            <w:pPr>
              <w:spacing w:after="0" w:line="240" w:lineRule="auto"/>
              <w:rPr>
                <w:rFonts w:eastAsia="Times New Roman" w:cs="Arial"/>
                <w:color w:val="000000"/>
                <w:szCs w:val="24"/>
              </w:rPr>
            </w:pPr>
            <w:r w:rsidRPr="003254FB">
              <w:rPr>
                <w:rFonts w:eastAsia="Times New Roman" w:cs="Arial"/>
                <w:color w:val="000000"/>
                <w:szCs w:val="24"/>
              </w:rPr>
              <w:t>Total Liabilities and Stockholder</w:t>
            </w:r>
          </w:p>
        </w:tc>
        <w:tc>
          <w:tcPr>
            <w:tcW w:w="162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16,755,000</w:t>
            </w:r>
          </w:p>
        </w:tc>
        <w:tc>
          <w:tcPr>
            <w:tcW w:w="1440" w:type="dxa"/>
            <w:shd w:val="clear" w:color="auto" w:fill="auto"/>
            <w:noWrap/>
            <w:vAlign w:val="center"/>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14,957,000</w:t>
            </w:r>
          </w:p>
        </w:tc>
        <w:tc>
          <w:tcPr>
            <w:tcW w:w="144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1,798,000</w:t>
            </w:r>
          </w:p>
        </w:tc>
        <w:tc>
          <w:tcPr>
            <w:tcW w:w="1350" w:type="dxa"/>
            <w:shd w:val="clear" w:color="auto" w:fill="auto"/>
            <w:noWrap/>
            <w:vAlign w:val="bottom"/>
            <w:hideMark/>
          </w:tcPr>
          <w:p w:rsidR="003254FB" w:rsidRPr="003254FB" w:rsidRDefault="003254FB" w:rsidP="003254FB">
            <w:pPr>
              <w:spacing w:after="0" w:line="240" w:lineRule="auto"/>
              <w:jc w:val="right"/>
              <w:rPr>
                <w:rFonts w:eastAsia="Times New Roman" w:cs="Arial"/>
                <w:color w:val="000000"/>
                <w:szCs w:val="24"/>
              </w:rPr>
            </w:pPr>
            <w:r w:rsidRPr="003254FB">
              <w:rPr>
                <w:rFonts w:eastAsia="Times New Roman" w:cs="Arial"/>
                <w:color w:val="000000"/>
                <w:szCs w:val="24"/>
              </w:rPr>
              <w:t>12.02%</w:t>
            </w:r>
          </w:p>
        </w:tc>
      </w:tr>
    </w:tbl>
    <w:p w:rsidR="003254FB" w:rsidRPr="00E63EC9" w:rsidRDefault="003254FB" w:rsidP="00E63EC9">
      <w:pPr>
        <w:spacing w:line="360" w:lineRule="auto"/>
        <w:jc w:val="both"/>
        <w:rPr>
          <w:b/>
        </w:rPr>
      </w:pPr>
    </w:p>
    <w:p w:rsidR="008B648C" w:rsidRPr="00321DEC" w:rsidRDefault="008B648C" w:rsidP="00321DEC">
      <w:pPr>
        <w:pStyle w:val="Heading2"/>
      </w:pPr>
      <w:bookmarkStart w:id="7" w:name="_Toc94728143"/>
      <w:bookmarkStart w:id="8" w:name="_Toc104625877"/>
      <w:r w:rsidRPr="00321DEC">
        <w:t>Profitability Ratios</w:t>
      </w:r>
      <w:bookmarkEnd w:id="7"/>
      <w:bookmarkEnd w:id="8"/>
    </w:p>
    <w:p w:rsidR="008B648C" w:rsidRDefault="008B648C" w:rsidP="008B648C">
      <w:pPr>
        <w:spacing w:line="360" w:lineRule="auto"/>
        <w:jc w:val="both"/>
        <w:rPr>
          <w:rFonts w:cs="Arial"/>
          <w:b/>
        </w:rPr>
      </w:pPr>
      <w:r w:rsidRPr="008B648C">
        <w:rPr>
          <w:rFonts w:cs="Arial"/>
          <w:b/>
        </w:rPr>
        <w:t>Gross Profit Margin</w:t>
      </w:r>
    </w:p>
    <w:p w:rsidR="004F4156" w:rsidRDefault="004F4156" w:rsidP="00C547FF">
      <w:pPr>
        <w:spacing w:line="360" w:lineRule="auto"/>
        <w:jc w:val="both"/>
        <w:rPr>
          <w:rFonts w:cs="Arial"/>
        </w:rPr>
      </w:pPr>
      <w:r>
        <w:rPr>
          <w:rFonts w:cs="Arial"/>
        </w:rPr>
        <w:t>The formula is:</w:t>
      </w:r>
    </w:p>
    <w:p w:rsidR="00B559D2" w:rsidRDefault="004F4156" w:rsidP="00632551">
      <w:pPr>
        <w:spacing w:line="360" w:lineRule="auto"/>
        <w:jc w:val="center"/>
        <w:rPr>
          <w:rFonts w:cs="Arial"/>
        </w:rPr>
      </w:pPr>
      <w:r>
        <w:rPr>
          <w:rFonts w:cs="Arial"/>
          <w:szCs w:val="24"/>
        </w:rPr>
        <w:t>Gross Profit Margin</w:t>
      </w:r>
      <w:r w:rsidRPr="00F06156">
        <w:rPr>
          <w:rFonts w:cs="Arial"/>
          <w:szCs w:val="24"/>
        </w:rPr>
        <w:t xml:space="preserve"> = </w:t>
      </w:r>
      <m:oMath>
        <m:f>
          <m:fPr>
            <m:ctrlPr>
              <w:rPr>
                <w:rFonts w:ascii="Cambria Math" w:hAnsi="Cambria Math" w:cs="Arial"/>
                <w:i/>
                <w:sz w:val="28"/>
                <w:szCs w:val="24"/>
              </w:rPr>
            </m:ctrlPr>
          </m:fPr>
          <m:num>
            <m:r>
              <m:rPr>
                <m:sty m:val="p"/>
              </m:rPr>
              <w:rPr>
                <w:rFonts w:ascii="Cambria Math" w:hAnsi="Cambria Math" w:cs="Arial"/>
                <w:sz w:val="28"/>
                <w:szCs w:val="24"/>
              </w:rPr>
              <m:t>Gross Profit</m:t>
            </m:r>
          </m:num>
          <m:den>
            <m:r>
              <m:rPr>
                <m:sty m:val="p"/>
              </m:rPr>
              <w:rPr>
                <w:rFonts w:ascii="Cambria Math" w:hAnsi="Cambria Math" w:cs="Arial"/>
                <w:sz w:val="28"/>
                <w:szCs w:val="24"/>
              </w:rPr>
              <m:t>Revenue from Operations</m:t>
            </m:r>
            <m:r>
              <w:rPr>
                <w:rFonts w:ascii="Cambria Math" w:hAnsi="Cambria Math" w:cs="Arial"/>
                <w:sz w:val="28"/>
                <w:szCs w:val="24"/>
              </w:rPr>
              <m:t xml:space="preserve"> </m:t>
            </m:r>
          </m:den>
        </m:f>
        <m:r>
          <w:rPr>
            <w:rFonts w:ascii="Cambria Math" w:hAnsi="Cambria Math" w:cs="Arial"/>
            <w:sz w:val="28"/>
            <w:szCs w:val="24"/>
          </w:rPr>
          <m:t>×100</m:t>
        </m:r>
        <m:r>
          <w:rPr>
            <w:rFonts w:ascii="Cambria Math" w:hAnsi="Cambria Math" w:cs="Arial"/>
            <w:sz w:val="28"/>
            <w:szCs w:val="24"/>
          </w:rPr>
          <m:t xml:space="preserve"> </m:t>
        </m:r>
      </m:oMath>
      <w:r w:rsidR="00ED10AA">
        <w:rPr>
          <w:rFonts w:eastAsiaTheme="minorEastAsia" w:cs="Arial"/>
          <w:sz w:val="28"/>
          <w:szCs w:val="24"/>
        </w:rPr>
        <w:t xml:space="preserve">                                                          </w:t>
      </w:r>
      <w:r w:rsidR="000D0E35">
        <w:rPr>
          <w:rFonts w:cs="Arial"/>
        </w:rPr>
        <w:t>The capability of a company to generate profit is measured by these ratios.</w:t>
      </w:r>
      <w:r w:rsidR="009B42CE">
        <w:rPr>
          <w:rFonts w:cs="Arial"/>
        </w:rPr>
        <w:t xml:space="preserve"> </w:t>
      </w:r>
      <w:r w:rsidR="009B42CE" w:rsidRPr="0079148D">
        <w:rPr>
          <w:rFonts w:cs="Arial"/>
        </w:rPr>
        <w:t xml:space="preserve">(Purba &amp; Septian, 2019). </w:t>
      </w:r>
      <w:r w:rsidR="000D0E35" w:rsidRPr="0079148D">
        <w:rPr>
          <w:rFonts w:cs="Arial"/>
        </w:rPr>
        <w:t>Here, this ratio has been calculated for 2020 and 2019:</w:t>
      </w:r>
    </w:p>
    <w:p w:rsidR="004F4156" w:rsidRDefault="004F4156" w:rsidP="00C547FF">
      <w:pPr>
        <w:spacing w:line="360" w:lineRule="auto"/>
        <w:jc w:val="both"/>
        <w:rPr>
          <w:rFonts w:cs="Arial"/>
        </w:rPr>
      </w:pPr>
    </w:p>
    <w:p w:rsidR="004F4156" w:rsidRPr="00C547FF" w:rsidRDefault="004F4156" w:rsidP="00C547FF">
      <w:pPr>
        <w:spacing w:line="360" w:lineRule="auto"/>
        <w:jc w:val="both"/>
        <w:rPr>
          <w:rFonts w:cs="Arial"/>
        </w:rPr>
      </w:pPr>
    </w:p>
    <w:tbl>
      <w:tblPr>
        <w:tblStyle w:val="TableGrid"/>
        <w:tblW w:w="0" w:type="auto"/>
        <w:jc w:val="center"/>
        <w:tblLook w:val="04A0" w:firstRow="1" w:lastRow="0" w:firstColumn="1" w:lastColumn="0" w:noHBand="0" w:noVBand="1"/>
      </w:tblPr>
      <w:tblGrid>
        <w:gridCol w:w="2174"/>
        <w:gridCol w:w="1185"/>
        <w:gridCol w:w="2055"/>
        <w:gridCol w:w="1615"/>
      </w:tblGrid>
      <w:tr w:rsidR="004F4156" w:rsidTr="004F4156">
        <w:trPr>
          <w:jc w:val="center"/>
        </w:trPr>
        <w:tc>
          <w:tcPr>
            <w:tcW w:w="3359" w:type="dxa"/>
            <w:gridSpan w:val="2"/>
            <w:shd w:val="clear" w:color="auto" w:fill="B4C6E7" w:themeFill="accent5" w:themeFillTint="66"/>
          </w:tcPr>
          <w:p w:rsidR="004F4156" w:rsidRPr="00B559D2" w:rsidRDefault="004F4156" w:rsidP="006F1DF9">
            <w:pPr>
              <w:jc w:val="center"/>
              <w:rPr>
                <w:rFonts w:cs="Arial"/>
                <w:b/>
              </w:rPr>
            </w:pPr>
            <w:r w:rsidRPr="00B559D2">
              <w:rPr>
                <w:rFonts w:cs="Arial"/>
                <w:b/>
              </w:rPr>
              <w:lastRenderedPageBreak/>
              <w:t>20</w:t>
            </w:r>
            <w:r>
              <w:rPr>
                <w:rFonts w:cs="Arial"/>
                <w:b/>
              </w:rPr>
              <w:t>20</w:t>
            </w:r>
          </w:p>
        </w:tc>
        <w:tc>
          <w:tcPr>
            <w:tcW w:w="3670" w:type="dxa"/>
            <w:gridSpan w:val="2"/>
            <w:shd w:val="clear" w:color="auto" w:fill="B4C6E7" w:themeFill="accent5" w:themeFillTint="66"/>
          </w:tcPr>
          <w:p w:rsidR="004F4156" w:rsidRPr="00B559D2" w:rsidRDefault="004F4156" w:rsidP="00B559D2">
            <w:pPr>
              <w:jc w:val="center"/>
              <w:rPr>
                <w:rFonts w:cs="Arial"/>
                <w:b/>
              </w:rPr>
            </w:pPr>
            <w:r w:rsidRPr="00B559D2">
              <w:rPr>
                <w:rFonts w:cs="Arial"/>
                <w:b/>
              </w:rPr>
              <w:t>2</w:t>
            </w:r>
            <w:r>
              <w:rPr>
                <w:rFonts w:cs="Arial"/>
                <w:b/>
              </w:rPr>
              <w:t>019</w:t>
            </w:r>
          </w:p>
        </w:tc>
      </w:tr>
      <w:tr w:rsidR="004F4156" w:rsidTr="004F4156">
        <w:trPr>
          <w:trHeight w:val="368"/>
          <w:jc w:val="center"/>
        </w:trPr>
        <w:tc>
          <w:tcPr>
            <w:tcW w:w="2174" w:type="dxa"/>
          </w:tcPr>
          <w:p w:rsidR="004F4156" w:rsidRPr="00B559D2" w:rsidRDefault="004F4156" w:rsidP="00695F69">
            <w:pPr>
              <w:jc w:val="center"/>
              <w:rPr>
                <w:rFonts w:cs="Arial"/>
                <w:b/>
              </w:rPr>
            </w:pPr>
            <w:r w:rsidRPr="00B559D2">
              <w:rPr>
                <w:rFonts w:cs="Arial"/>
                <w:b/>
              </w:rPr>
              <w:t>Calculation</w:t>
            </w:r>
          </w:p>
        </w:tc>
        <w:tc>
          <w:tcPr>
            <w:tcW w:w="1185" w:type="dxa"/>
          </w:tcPr>
          <w:p w:rsidR="004F4156" w:rsidRPr="00B559D2" w:rsidRDefault="004F4156" w:rsidP="00695F69">
            <w:pPr>
              <w:jc w:val="center"/>
              <w:rPr>
                <w:rFonts w:cs="Arial"/>
                <w:b/>
              </w:rPr>
            </w:pPr>
            <w:r w:rsidRPr="00B559D2">
              <w:rPr>
                <w:rFonts w:cs="Arial"/>
                <w:b/>
              </w:rPr>
              <w:t>Result</w:t>
            </w:r>
          </w:p>
        </w:tc>
        <w:tc>
          <w:tcPr>
            <w:tcW w:w="2055" w:type="dxa"/>
          </w:tcPr>
          <w:p w:rsidR="004F4156" w:rsidRPr="00B559D2" w:rsidRDefault="004F4156" w:rsidP="00695F69">
            <w:pPr>
              <w:jc w:val="center"/>
              <w:rPr>
                <w:rFonts w:cs="Arial"/>
                <w:b/>
              </w:rPr>
            </w:pPr>
            <w:r w:rsidRPr="00B559D2">
              <w:rPr>
                <w:rFonts w:cs="Arial"/>
                <w:b/>
              </w:rPr>
              <w:t>Calculation</w:t>
            </w:r>
          </w:p>
        </w:tc>
        <w:tc>
          <w:tcPr>
            <w:tcW w:w="1615" w:type="dxa"/>
          </w:tcPr>
          <w:p w:rsidR="004F4156" w:rsidRPr="00B559D2" w:rsidRDefault="004F4156" w:rsidP="00695F69">
            <w:pPr>
              <w:jc w:val="center"/>
              <w:rPr>
                <w:rFonts w:cs="Arial"/>
                <w:b/>
              </w:rPr>
            </w:pPr>
            <w:r w:rsidRPr="00B559D2">
              <w:rPr>
                <w:rFonts w:cs="Arial"/>
                <w:b/>
              </w:rPr>
              <w:t>Result</w:t>
            </w:r>
          </w:p>
        </w:tc>
      </w:tr>
      <w:tr w:rsidR="004F4156" w:rsidTr="004F4156">
        <w:trPr>
          <w:jc w:val="center"/>
        </w:trPr>
        <w:tc>
          <w:tcPr>
            <w:tcW w:w="2174" w:type="dxa"/>
          </w:tcPr>
          <w:p w:rsidR="004F4156" w:rsidRPr="001915E3" w:rsidRDefault="004F4156" w:rsidP="00B559D2">
            <w:pPr>
              <w:rPr>
                <w:rFonts w:cs="Arial"/>
              </w:rPr>
            </w:pPr>
            <w:r>
              <w:rPr>
                <w:rFonts w:cs="Arial"/>
                <w:u w:val="single"/>
              </w:rPr>
              <w:t xml:space="preserve">583,000 </w:t>
            </w:r>
            <w:r>
              <w:rPr>
                <w:rFonts w:cs="Arial"/>
              </w:rPr>
              <w:t xml:space="preserve"> x 100     </w:t>
            </w:r>
            <w:r w:rsidRPr="001915E3">
              <w:rPr>
                <w:rFonts w:cs="Arial"/>
              </w:rPr>
              <w:t>4,307,000</w:t>
            </w:r>
          </w:p>
        </w:tc>
        <w:tc>
          <w:tcPr>
            <w:tcW w:w="1185" w:type="dxa"/>
          </w:tcPr>
          <w:p w:rsidR="004F4156" w:rsidRDefault="004F4156" w:rsidP="002D5547">
            <w:pPr>
              <w:jc w:val="center"/>
              <w:rPr>
                <w:rFonts w:cs="Arial"/>
                <w:b/>
              </w:rPr>
            </w:pPr>
            <w:r>
              <w:rPr>
                <w:rFonts w:cs="Arial"/>
                <w:b/>
              </w:rPr>
              <w:t xml:space="preserve"> </w:t>
            </w:r>
          </w:p>
          <w:p w:rsidR="004F4156" w:rsidRPr="001915E3" w:rsidRDefault="004F4156" w:rsidP="002D5547">
            <w:pPr>
              <w:jc w:val="center"/>
              <w:rPr>
                <w:rFonts w:cs="Arial"/>
                <w:b/>
              </w:rPr>
            </w:pPr>
            <w:r w:rsidRPr="001915E3">
              <w:rPr>
                <w:rFonts w:cs="Arial"/>
                <w:b/>
              </w:rPr>
              <w:t>13.54%</w:t>
            </w:r>
          </w:p>
        </w:tc>
        <w:tc>
          <w:tcPr>
            <w:tcW w:w="2055" w:type="dxa"/>
          </w:tcPr>
          <w:p w:rsidR="004F4156" w:rsidRPr="00B559D2" w:rsidRDefault="004F4156" w:rsidP="00B559D2">
            <w:pPr>
              <w:rPr>
                <w:rFonts w:cs="Arial"/>
              </w:rPr>
            </w:pPr>
            <w:r w:rsidRPr="001915E3">
              <w:rPr>
                <w:rFonts w:cs="Arial"/>
                <w:u w:val="single"/>
              </w:rPr>
              <w:t>2,435,000</w:t>
            </w:r>
            <w:r>
              <w:rPr>
                <w:rFonts w:cs="Arial"/>
              </w:rPr>
              <w:t xml:space="preserve"> </w:t>
            </w:r>
            <w:r w:rsidRPr="00B559D2">
              <w:rPr>
                <w:rFonts w:cs="Arial"/>
              </w:rPr>
              <w:t xml:space="preserve">x 100          </w:t>
            </w:r>
          </w:p>
          <w:p w:rsidR="004F4156" w:rsidRDefault="004F4156" w:rsidP="00B559D2">
            <w:pPr>
              <w:rPr>
                <w:rFonts w:cs="Arial"/>
                <w:i/>
              </w:rPr>
            </w:pPr>
            <w:r w:rsidRPr="001915E3">
              <w:rPr>
                <w:rFonts w:cs="Arial"/>
              </w:rPr>
              <w:t>9,452,000</w:t>
            </w:r>
          </w:p>
        </w:tc>
        <w:tc>
          <w:tcPr>
            <w:tcW w:w="1615" w:type="dxa"/>
          </w:tcPr>
          <w:p w:rsidR="004F4156" w:rsidRDefault="004F4156" w:rsidP="002D5547">
            <w:pPr>
              <w:jc w:val="center"/>
              <w:rPr>
                <w:rFonts w:cs="Arial"/>
                <w:b/>
              </w:rPr>
            </w:pPr>
          </w:p>
          <w:p w:rsidR="004F4156" w:rsidRPr="001915E3" w:rsidRDefault="004F4156" w:rsidP="002D5547">
            <w:pPr>
              <w:jc w:val="center"/>
              <w:rPr>
                <w:rFonts w:cs="Arial"/>
                <w:b/>
              </w:rPr>
            </w:pPr>
            <w:r>
              <w:rPr>
                <w:rFonts w:cs="Arial"/>
                <w:b/>
              </w:rPr>
              <w:t>25.76</w:t>
            </w:r>
            <w:r w:rsidRPr="001915E3">
              <w:rPr>
                <w:rFonts w:cs="Arial"/>
                <w:b/>
              </w:rPr>
              <w:t>%</w:t>
            </w:r>
          </w:p>
        </w:tc>
      </w:tr>
    </w:tbl>
    <w:p w:rsidR="00B81356" w:rsidRDefault="00B81356" w:rsidP="00B81356">
      <w:pPr>
        <w:jc w:val="center"/>
      </w:pPr>
      <w:r>
        <w:t xml:space="preserve">Table 01: Gross Profit Margin </w:t>
      </w:r>
    </w:p>
    <w:p w:rsidR="00B81356" w:rsidRDefault="00B81356" w:rsidP="00B81356">
      <w:pPr>
        <w:jc w:val="center"/>
      </w:pPr>
      <w:r>
        <w:t xml:space="preserve">Source: </w:t>
      </w:r>
      <w:r w:rsidR="000D0E35">
        <w:t xml:space="preserve">Author’s </w:t>
      </w:r>
      <w:r>
        <w:t>Calculation</w:t>
      </w:r>
    </w:p>
    <w:p w:rsidR="00B81356" w:rsidRPr="004767F2" w:rsidRDefault="000D0E35" w:rsidP="00E06FAD">
      <w:pPr>
        <w:spacing w:line="360" w:lineRule="auto"/>
        <w:jc w:val="both"/>
        <w:rPr>
          <w:rFonts w:cs="Arial"/>
        </w:rPr>
      </w:pPr>
      <w:r>
        <w:rPr>
          <w:rFonts w:cs="Arial"/>
        </w:rPr>
        <w:t>Here, it can b</w:t>
      </w:r>
      <w:r w:rsidR="006438D7">
        <w:rPr>
          <w:rFonts w:cs="Arial"/>
        </w:rPr>
        <w:t>e se</w:t>
      </w:r>
      <w:r>
        <w:rPr>
          <w:rFonts w:cs="Arial"/>
        </w:rPr>
        <w:t>en that, the ratio is too low f</w:t>
      </w:r>
      <w:r w:rsidR="0079148D">
        <w:rPr>
          <w:rFonts w:cs="Arial"/>
        </w:rPr>
        <w:t>or</w:t>
      </w:r>
      <w:r>
        <w:rPr>
          <w:rFonts w:cs="Arial"/>
        </w:rPr>
        <w:t xml:space="preserve"> the benchmark of 40%. It is doing poorly in generating gross profit.</w:t>
      </w:r>
    </w:p>
    <w:p w:rsidR="00E06FAD" w:rsidRDefault="00E06FAD" w:rsidP="00E06FAD">
      <w:pPr>
        <w:spacing w:line="360" w:lineRule="auto"/>
        <w:jc w:val="both"/>
        <w:rPr>
          <w:rFonts w:cs="Arial"/>
          <w:b/>
        </w:rPr>
      </w:pPr>
      <w:r>
        <w:rPr>
          <w:rFonts w:cs="Arial"/>
          <w:b/>
        </w:rPr>
        <w:t>Net</w:t>
      </w:r>
      <w:r w:rsidRPr="008B648C">
        <w:rPr>
          <w:rFonts w:cs="Arial"/>
          <w:b/>
        </w:rPr>
        <w:t xml:space="preserve"> Profit Margin</w:t>
      </w:r>
    </w:p>
    <w:p w:rsidR="004F4156" w:rsidRPr="004F4156" w:rsidRDefault="004F4156" w:rsidP="00E06FAD">
      <w:pPr>
        <w:spacing w:line="360" w:lineRule="auto"/>
        <w:jc w:val="both"/>
        <w:rPr>
          <w:rFonts w:cs="Arial"/>
        </w:rPr>
      </w:pPr>
      <w:r>
        <w:rPr>
          <w:rFonts w:cs="Arial"/>
        </w:rPr>
        <w:t>Formula:</w:t>
      </w:r>
    </w:p>
    <w:p w:rsidR="004F4156" w:rsidRPr="00F06156" w:rsidRDefault="004F4156" w:rsidP="004F4156">
      <w:pPr>
        <w:spacing w:line="360" w:lineRule="auto"/>
        <w:jc w:val="center"/>
        <w:rPr>
          <w:rFonts w:cs="Arial"/>
          <w:szCs w:val="24"/>
        </w:rPr>
      </w:pPr>
      <w:r>
        <w:rPr>
          <w:rFonts w:cs="Arial"/>
          <w:szCs w:val="24"/>
        </w:rPr>
        <w:t>Net Profit Margin</w:t>
      </w:r>
      <w:r w:rsidRPr="00F06156">
        <w:rPr>
          <w:rFonts w:cs="Arial"/>
          <w:szCs w:val="24"/>
        </w:rPr>
        <w:t xml:space="preserve"> = </w:t>
      </w:r>
      <m:oMath>
        <m:f>
          <m:fPr>
            <m:ctrlPr>
              <w:rPr>
                <w:rFonts w:ascii="Cambria Math" w:hAnsi="Cambria Math" w:cs="Arial"/>
                <w:i/>
                <w:sz w:val="28"/>
                <w:szCs w:val="24"/>
              </w:rPr>
            </m:ctrlPr>
          </m:fPr>
          <m:num>
            <m:r>
              <m:rPr>
                <m:sty m:val="p"/>
              </m:rPr>
              <w:rPr>
                <w:rFonts w:ascii="Cambria Math" w:hAnsi="Cambria Math" w:cs="Arial"/>
                <w:sz w:val="28"/>
                <w:szCs w:val="24"/>
              </w:rPr>
              <m:t>Net Profit</m:t>
            </m:r>
          </m:num>
          <m:den>
            <m:r>
              <m:rPr>
                <m:sty m:val="p"/>
              </m:rPr>
              <w:rPr>
                <w:rFonts w:ascii="Cambria Math" w:hAnsi="Cambria Math" w:cs="Arial"/>
                <w:sz w:val="28"/>
                <w:szCs w:val="24"/>
              </w:rPr>
              <m:t>Revenue from Operations</m:t>
            </m:r>
            <m:r>
              <w:rPr>
                <w:rFonts w:ascii="Cambria Math" w:hAnsi="Cambria Math" w:cs="Arial"/>
                <w:sz w:val="28"/>
                <w:szCs w:val="24"/>
              </w:rPr>
              <m:t xml:space="preserve"> </m:t>
            </m:r>
          </m:den>
        </m:f>
        <m:r>
          <w:rPr>
            <w:rFonts w:ascii="Cambria Math" w:hAnsi="Cambria Math" w:cs="Arial"/>
            <w:sz w:val="28"/>
            <w:szCs w:val="24"/>
          </w:rPr>
          <m:t>×100</m:t>
        </m:r>
      </m:oMath>
    </w:p>
    <w:p w:rsidR="00E06FAD" w:rsidRPr="00C547FF" w:rsidRDefault="006438D7" w:rsidP="00E06FAD">
      <w:pPr>
        <w:spacing w:line="360" w:lineRule="auto"/>
        <w:jc w:val="both"/>
        <w:rPr>
          <w:rFonts w:cs="Arial"/>
        </w:rPr>
      </w:pPr>
      <w:r>
        <w:rPr>
          <w:rFonts w:cs="Arial"/>
        </w:rPr>
        <w:t>Following is the calculation</w:t>
      </w:r>
      <w:r w:rsidR="00E06FAD">
        <w:rPr>
          <w:rFonts w:cs="Arial"/>
        </w:rPr>
        <w:t>:</w:t>
      </w:r>
    </w:p>
    <w:tbl>
      <w:tblPr>
        <w:tblStyle w:val="TableGrid"/>
        <w:tblW w:w="0" w:type="auto"/>
        <w:jc w:val="center"/>
        <w:tblLook w:val="04A0" w:firstRow="1" w:lastRow="0" w:firstColumn="1" w:lastColumn="0" w:noHBand="0" w:noVBand="1"/>
      </w:tblPr>
      <w:tblGrid>
        <w:gridCol w:w="2308"/>
        <w:gridCol w:w="1258"/>
        <w:gridCol w:w="2661"/>
        <w:gridCol w:w="1235"/>
      </w:tblGrid>
      <w:tr w:rsidR="004F4156" w:rsidTr="004F4156">
        <w:trPr>
          <w:trHeight w:val="270"/>
          <w:jc w:val="center"/>
        </w:trPr>
        <w:tc>
          <w:tcPr>
            <w:tcW w:w="3566" w:type="dxa"/>
            <w:gridSpan w:val="2"/>
            <w:shd w:val="clear" w:color="auto" w:fill="B4C6E7" w:themeFill="accent5" w:themeFillTint="66"/>
          </w:tcPr>
          <w:p w:rsidR="004F4156" w:rsidRPr="00B559D2" w:rsidRDefault="004F4156" w:rsidP="00751B0F">
            <w:pPr>
              <w:jc w:val="center"/>
              <w:rPr>
                <w:rFonts w:cs="Arial"/>
                <w:b/>
              </w:rPr>
            </w:pPr>
            <w:r>
              <w:rPr>
                <w:rFonts w:cs="Arial"/>
                <w:b/>
              </w:rPr>
              <w:t>2020</w:t>
            </w:r>
          </w:p>
        </w:tc>
        <w:tc>
          <w:tcPr>
            <w:tcW w:w="3896" w:type="dxa"/>
            <w:gridSpan w:val="2"/>
            <w:shd w:val="clear" w:color="auto" w:fill="B4C6E7" w:themeFill="accent5" w:themeFillTint="66"/>
          </w:tcPr>
          <w:p w:rsidR="004F4156" w:rsidRPr="00B559D2" w:rsidRDefault="004F4156" w:rsidP="00751B0F">
            <w:pPr>
              <w:jc w:val="center"/>
              <w:rPr>
                <w:rFonts w:cs="Arial"/>
                <w:b/>
              </w:rPr>
            </w:pPr>
            <w:r w:rsidRPr="00B559D2">
              <w:rPr>
                <w:rFonts w:cs="Arial"/>
                <w:b/>
              </w:rPr>
              <w:t>20</w:t>
            </w:r>
            <w:r>
              <w:rPr>
                <w:rFonts w:cs="Arial"/>
                <w:b/>
              </w:rPr>
              <w:t>19</w:t>
            </w:r>
          </w:p>
        </w:tc>
      </w:tr>
      <w:tr w:rsidR="004F4156" w:rsidTr="004F4156">
        <w:trPr>
          <w:trHeight w:val="278"/>
          <w:jc w:val="center"/>
        </w:trPr>
        <w:tc>
          <w:tcPr>
            <w:tcW w:w="2308" w:type="dxa"/>
          </w:tcPr>
          <w:p w:rsidR="004F4156" w:rsidRPr="00B559D2" w:rsidRDefault="004F4156" w:rsidP="00751B0F">
            <w:pPr>
              <w:jc w:val="center"/>
              <w:rPr>
                <w:rFonts w:cs="Arial"/>
                <w:b/>
              </w:rPr>
            </w:pPr>
            <w:r w:rsidRPr="00B559D2">
              <w:rPr>
                <w:rFonts w:cs="Arial"/>
                <w:b/>
              </w:rPr>
              <w:t>Calculation</w:t>
            </w:r>
          </w:p>
        </w:tc>
        <w:tc>
          <w:tcPr>
            <w:tcW w:w="1258" w:type="dxa"/>
          </w:tcPr>
          <w:p w:rsidR="004F4156" w:rsidRPr="00B559D2" w:rsidRDefault="004F4156" w:rsidP="00751B0F">
            <w:pPr>
              <w:jc w:val="center"/>
              <w:rPr>
                <w:rFonts w:cs="Arial"/>
                <w:b/>
              </w:rPr>
            </w:pPr>
            <w:r w:rsidRPr="00B559D2">
              <w:rPr>
                <w:rFonts w:cs="Arial"/>
                <w:b/>
              </w:rPr>
              <w:t>Result</w:t>
            </w:r>
          </w:p>
        </w:tc>
        <w:tc>
          <w:tcPr>
            <w:tcW w:w="2661" w:type="dxa"/>
          </w:tcPr>
          <w:p w:rsidR="004F4156" w:rsidRPr="00B559D2" w:rsidRDefault="004F4156" w:rsidP="00751B0F">
            <w:pPr>
              <w:jc w:val="center"/>
              <w:rPr>
                <w:rFonts w:cs="Arial"/>
                <w:b/>
              </w:rPr>
            </w:pPr>
            <w:r w:rsidRPr="00B559D2">
              <w:rPr>
                <w:rFonts w:cs="Arial"/>
                <w:b/>
              </w:rPr>
              <w:t>Calculation</w:t>
            </w:r>
          </w:p>
        </w:tc>
        <w:tc>
          <w:tcPr>
            <w:tcW w:w="1234" w:type="dxa"/>
          </w:tcPr>
          <w:p w:rsidR="004F4156" w:rsidRPr="00B559D2" w:rsidRDefault="004F4156" w:rsidP="00751B0F">
            <w:pPr>
              <w:jc w:val="center"/>
              <w:rPr>
                <w:rFonts w:cs="Arial"/>
                <w:b/>
              </w:rPr>
            </w:pPr>
            <w:r w:rsidRPr="00B559D2">
              <w:rPr>
                <w:rFonts w:cs="Arial"/>
                <w:b/>
              </w:rPr>
              <w:t>Result</w:t>
            </w:r>
          </w:p>
        </w:tc>
      </w:tr>
      <w:tr w:rsidR="004F4156" w:rsidTr="004F4156">
        <w:trPr>
          <w:trHeight w:val="540"/>
          <w:jc w:val="center"/>
        </w:trPr>
        <w:tc>
          <w:tcPr>
            <w:tcW w:w="2308" w:type="dxa"/>
          </w:tcPr>
          <w:p w:rsidR="004F4156" w:rsidRPr="00B559D2" w:rsidRDefault="004F4156" w:rsidP="00751B0F">
            <w:pPr>
              <w:rPr>
                <w:rFonts w:cs="Arial"/>
              </w:rPr>
            </w:pPr>
            <w:r w:rsidRPr="00314962">
              <w:rPr>
                <w:rFonts w:cs="Arial"/>
                <w:u w:val="single"/>
              </w:rPr>
              <w:t>-715,000</w:t>
            </w:r>
            <w:r>
              <w:rPr>
                <w:rFonts w:cs="Arial"/>
              </w:rPr>
              <w:t xml:space="preserve">  </w:t>
            </w:r>
            <w:r w:rsidRPr="00B559D2">
              <w:rPr>
                <w:rFonts w:cs="Arial"/>
              </w:rPr>
              <w:t xml:space="preserve"> x 100          </w:t>
            </w:r>
          </w:p>
          <w:p w:rsidR="004F4156" w:rsidRPr="00B559D2" w:rsidRDefault="004F4156" w:rsidP="00751B0F">
            <w:pPr>
              <w:rPr>
                <w:rFonts w:cs="Arial"/>
                <w:u w:val="single"/>
              </w:rPr>
            </w:pPr>
            <w:r w:rsidRPr="00314962">
              <w:rPr>
                <w:rFonts w:cs="Arial"/>
              </w:rPr>
              <w:t>4,307,000</w:t>
            </w:r>
          </w:p>
        </w:tc>
        <w:tc>
          <w:tcPr>
            <w:tcW w:w="1258" w:type="dxa"/>
          </w:tcPr>
          <w:p w:rsidR="004F4156" w:rsidRDefault="004F4156" w:rsidP="002D5547">
            <w:pPr>
              <w:jc w:val="center"/>
              <w:rPr>
                <w:rFonts w:cs="Arial"/>
                <w:b/>
              </w:rPr>
            </w:pPr>
          </w:p>
          <w:p w:rsidR="004F4156" w:rsidRPr="008D79D5" w:rsidRDefault="004F4156" w:rsidP="002D5547">
            <w:pPr>
              <w:jc w:val="center"/>
              <w:rPr>
                <w:rFonts w:cs="Arial"/>
                <w:b/>
              </w:rPr>
            </w:pPr>
            <w:r w:rsidRPr="008D79D5">
              <w:rPr>
                <w:rFonts w:cs="Arial"/>
                <w:b/>
              </w:rPr>
              <w:t>-16.60%</w:t>
            </w:r>
          </w:p>
        </w:tc>
        <w:tc>
          <w:tcPr>
            <w:tcW w:w="2661" w:type="dxa"/>
          </w:tcPr>
          <w:p w:rsidR="004F4156" w:rsidRPr="00B559D2" w:rsidRDefault="004F4156" w:rsidP="00751B0F">
            <w:pPr>
              <w:rPr>
                <w:rFonts w:cs="Arial"/>
              </w:rPr>
            </w:pPr>
            <w:r w:rsidRPr="00314962">
              <w:rPr>
                <w:rFonts w:cs="Arial"/>
                <w:u w:val="single"/>
              </w:rPr>
              <w:t>881,000</w:t>
            </w:r>
            <w:r>
              <w:rPr>
                <w:rFonts w:cs="Arial"/>
              </w:rPr>
              <w:t xml:space="preserve"> </w:t>
            </w:r>
            <w:r w:rsidRPr="00B559D2">
              <w:rPr>
                <w:rFonts w:cs="Arial"/>
              </w:rPr>
              <w:t xml:space="preserve">x 100          </w:t>
            </w:r>
          </w:p>
          <w:p w:rsidR="004F4156" w:rsidRDefault="004F4156" w:rsidP="00751B0F">
            <w:pPr>
              <w:rPr>
                <w:rFonts w:cs="Arial"/>
                <w:i/>
              </w:rPr>
            </w:pPr>
            <w:r w:rsidRPr="00314962">
              <w:rPr>
                <w:rFonts w:cs="Arial"/>
              </w:rPr>
              <w:t>9,452,000</w:t>
            </w:r>
          </w:p>
        </w:tc>
        <w:tc>
          <w:tcPr>
            <w:tcW w:w="1234" w:type="dxa"/>
          </w:tcPr>
          <w:p w:rsidR="004F4156" w:rsidRDefault="004F4156" w:rsidP="002D5547">
            <w:pPr>
              <w:jc w:val="center"/>
              <w:rPr>
                <w:rFonts w:cs="Arial"/>
                <w:b/>
              </w:rPr>
            </w:pPr>
          </w:p>
          <w:p w:rsidR="004F4156" w:rsidRPr="008D79D5" w:rsidRDefault="004F4156" w:rsidP="002D5547">
            <w:pPr>
              <w:jc w:val="center"/>
              <w:rPr>
                <w:rFonts w:cs="Arial"/>
                <w:b/>
              </w:rPr>
            </w:pPr>
            <w:r>
              <w:rPr>
                <w:rFonts w:cs="Arial"/>
                <w:b/>
              </w:rPr>
              <w:t>9.32</w:t>
            </w:r>
            <w:r w:rsidRPr="008D79D5">
              <w:rPr>
                <w:rFonts w:cs="Arial"/>
                <w:b/>
              </w:rPr>
              <w:t>%</w:t>
            </w:r>
          </w:p>
        </w:tc>
      </w:tr>
    </w:tbl>
    <w:p w:rsidR="00B81356" w:rsidRDefault="00B81356" w:rsidP="00B81356">
      <w:pPr>
        <w:jc w:val="center"/>
      </w:pPr>
      <w:r>
        <w:t>Table 02: Net Profit Margin</w:t>
      </w:r>
    </w:p>
    <w:p w:rsidR="000D007A" w:rsidRDefault="00B81356" w:rsidP="00B81356">
      <w:pPr>
        <w:jc w:val="center"/>
        <w:rPr>
          <w:rFonts w:cs="Arial"/>
          <w:i/>
        </w:rPr>
      </w:pPr>
      <w:r>
        <w:t xml:space="preserve">Source: </w:t>
      </w:r>
      <w:r w:rsidR="00FE694F">
        <w:t>Author’s Calculation</w:t>
      </w:r>
    </w:p>
    <w:p w:rsidR="00E06FAD" w:rsidRPr="006532A0" w:rsidRDefault="006438D7" w:rsidP="006532A0">
      <w:pPr>
        <w:spacing w:line="360" w:lineRule="auto"/>
        <w:jc w:val="both"/>
        <w:rPr>
          <w:rFonts w:cs="Arial"/>
          <w:szCs w:val="24"/>
        </w:rPr>
      </w:pPr>
      <w:r>
        <w:rPr>
          <w:rFonts w:cs="Arial"/>
          <w:szCs w:val="24"/>
        </w:rPr>
        <w:t xml:space="preserve">It shows the proportion of net profit from </w:t>
      </w:r>
      <w:r w:rsidR="00CE6BFC">
        <w:rPr>
          <w:rFonts w:cs="Arial"/>
          <w:szCs w:val="24"/>
        </w:rPr>
        <w:t>overall</w:t>
      </w:r>
      <w:r>
        <w:rPr>
          <w:rFonts w:cs="Arial"/>
          <w:szCs w:val="24"/>
        </w:rPr>
        <w:t xml:space="preserve"> sales. It helps to see whether costs are too much. Hilton hotel has been unable to keep a positive margin, which shows that, they are generating very low profit while costs are high.</w:t>
      </w:r>
    </w:p>
    <w:p w:rsidR="00491D1C" w:rsidRDefault="00491D1C" w:rsidP="00491D1C">
      <w:pPr>
        <w:spacing w:line="360" w:lineRule="auto"/>
        <w:jc w:val="both"/>
        <w:rPr>
          <w:rFonts w:cs="Arial"/>
          <w:b/>
        </w:rPr>
      </w:pPr>
      <w:r w:rsidRPr="00491D1C">
        <w:rPr>
          <w:rFonts w:cs="Arial"/>
          <w:b/>
        </w:rPr>
        <w:t>Return on Capital Employed (ROCE)</w:t>
      </w:r>
    </w:p>
    <w:p w:rsidR="004F4156" w:rsidRPr="00F06156" w:rsidRDefault="004F4156" w:rsidP="004F4156">
      <w:pPr>
        <w:spacing w:line="360" w:lineRule="auto"/>
        <w:jc w:val="center"/>
        <w:rPr>
          <w:rFonts w:cs="Arial"/>
          <w:szCs w:val="24"/>
        </w:rPr>
      </w:pPr>
      <w:r>
        <w:rPr>
          <w:rFonts w:cs="Arial"/>
          <w:szCs w:val="24"/>
        </w:rPr>
        <w:t>Net Profit Margin</w:t>
      </w:r>
      <w:r w:rsidRPr="00F06156">
        <w:rPr>
          <w:rFonts w:cs="Arial"/>
          <w:szCs w:val="24"/>
        </w:rPr>
        <w:t xml:space="preserve"> = </w:t>
      </w:r>
      <m:oMath>
        <m:f>
          <m:fPr>
            <m:ctrlPr>
              <w:rPr>
                <w:rFonts w:ascii="Cambria Math" w:hAnsi="Cambria Math" w:cs="Arial"/>
                <w:i/>
                <w:sz w:val="28"/>
                <w:szCs w:val="24"/>
              </w:rPr>
            </m:ctrlPr>
          </m:fPr>
          <m:num>
            <m:r>
              <m:rPr>
                <m:sty m:val="p"/>
              </m:rPr>
              <w:rPr>
                <w:rFonts w:ascii="Cambria Math" w:hAnsi="Cambria Math" w:cs="Arial"/>
                <w:u w:val="single"/>
              </w:rPr>
              <m:t>Profit before Interest</m:t>
            </m:r>
            <m:r>
              <m:rPr>
                <m:sty m:val="p"/>
              </m:rPr>
              <w:rPr>
                <w:rFonts w:ascii="Cambria Math" w:hAnsi="Cambria Math" w:cs="Arial"/>
              </w:rPr>
              <m:t xml:space="preserve">  </m:t>
            </m:r>
          </m:num>
          <m:den>
            <m:r>
              <m:rPr>
                <m:sty m:val="p"/>
              </m:rPr>
              <w:rPr>
                <w:rFonts w:ascii="Cambria Math" w:hAnsi="Cambria Math" w:cs="Arial"/>
              </w:rPr>
              <m:t>Total Assets less Current Liabilities</m:t>
            </m:r>
            <m:r>
              <w:rPr>
                <w:rFonts w:ascii="Cambria Math" w:hAnsi="Cambria Math" w:cs="Arial"/>
                <w:sz w:val="28"/>
                <w:szCs w:val="24"/>
              </w:rPr>
              <m:t xml:space="preserve"> </m:t>
            </m:r>
          </m:den>
        </m:f>
        <m:r>
          <w:rPr>
            <w:rFonts w:ascii="Cambria Math" w:hAnsi="Cambria Math" w:cs="Arial"/>
            <w:sz w:val="28"/>
            <w:szCs w:val="24"/>
          </w:rPr>
          <m:t>×100</m:t>
        </m:r>
      </m:oMath>
    </w:p>
    <w:p w:rsidR="00491D1C" w:rsidRPr="00C547FF" w:rsidRDefault="004767F2" w:rsidP="00491D1C">
      <w:pPr>
        <w:spacing w:line="360" w:lineRule="auto"/>
        <w:jc w:val="both"/>
        <w:rPr>
          <w:rFonts w:cs="Arial"/>
        </w:rPr>
      </w:pPr>
      <w:r>
        <w:rPr>
          <w:rFonts w:cs="Arial"/>
        </w:rPr>
        <w:t>The calculations are shown</w:t>
      </w:r>
      <w:r w:rsidR="00491D1C">
        <w:rPr>
          <w:rFonts w:cs="Arial"/>
        </w:rPr>
        <w:t xml:space="preserve"> below:</w:t>
      </w:r>
    </w:p>
    <w:tbl>
      <w:tblPr>
        <w:tblStyle w:val="TableGrid"/>
        <w:tblW w:w="7359" w:type="dxa"/>
        <w:jc w:val="center"/>
        <w:tblLook w:val="04A0" w:firstRow="1" w:lastRow="0" w:firstColumn="1" w:lastColumn="0" w:noHBand="0" w:noVBand="1"/>
      </w:tblPr>
      <w:tblGrid>
        <w:gridCol w:w="2268"/>
        <w:gridCol w:w="1297"/>
        <w:gridCol w:w="2376"/>
        <w:gridCol w:w="1418"/>
      </w:tblGrid>
      <w:tr w:rsidR="004F4156" w:rsidTr="004F4156">
        <w:trPr>
          <w:trHeight w:val="265"/>
          <w:jc w:val="center"/>
        </w:trPr>
        <w:tc>
          <w:tcPr>
            <w:tcW w:w="3565" w:type="dxa"/>
            <w:gridSpan w:val="2"/>
            <w:shd w:val="clear" w:color="auto" w:fill="B4C6E7" w:themeFill="accent5" w:themeFillTint="66"/>
          </w:tcPr>
          <w:p w:rsidR="004F4156" w:rsidRPr="00B559D2" w:rsidRDefault="004F4156" w:rsidP="006F1DF9">
            <w:pPr>
              <w:jc w:val="center"/>
              <w:rPr>
                <w:rFonts w:cs="Arial"/>
                <w:b/>
              </w:rPr>
            </w:pPr>
            <w:r w:rsidRPr="00B559D2">
              <w:rPr>
                <w:rFonts w:cs="Arial"/>
                <w:b/>
              </w:rPr>
              <w:t>20</w:t>
            </w:r>
            <w:r>
              <w:rPr>
                <w:rFonts w:cs="Arial"/>
                <w:b/>
              </w:rPr>
              <w:t>20</w:t>
            </w:r>
          </w:p>
        </w:tc>
        <w:tc>
          <w:tcPr>
            <w:tcW w:w="3794" w:type="dxa"/>
            <w:gridSpan w:val="2"/>
            <w:shd w:val="clear" w:color="auto" w:fill="B4C6E7" w:themeFill="accent5" w:themeFillTint="66"/>
          </w:tcPr>
          <w:p w:rsidR="004F4156" w:rsidRPr="00B559D2" w:rsidRDefault="004F4156" w:rsidP="00751B0F">
            <w:pPr>
              <w:jc w:val="center"/>
              <w:rPr>
                <w:rFonts w:cs="Arial"/>
                <w:b/>
              </w:rPr>
            </w:pPr>
            <w:r w:rsidRPr="00B559D2">
              <w:rPr>
                <w:rFonts w:cs="Arial"/>
                <w:b/>
              </w:rPr>
              <w:t>2</w:t>
            </w:r>
            <w:r>
              <w:rPr>
                <w:rFonts w:cs="Arial"/>
                <w:b/>
              </w:rPr>
              <w:t>019</w:t>
            </w:r>
          </w:p>
        </w:tc>
      </w:tr>
      <w:tr w:rsidR="004F4156" w:rsidTr="004F4156">
        <w:trPr>
          <w:trHeight w:val="275"/>
          <w:jc w:val="center"/>
        </w:trPr>
        <w:tc>
          <w:tcPr>
            <w:tcW w:w="2268" w:type="dxa"/>
          </w:tcPr>
          <w:p w:rsidR="004F4156" w:rsidRPr="00B559D2" w:rsidRDefault="004F4156" w:rsidP="00751B0F">
            <w:pPr>
              <w:jc w:val="center"/>
              <w:rPr>
                <w:rFonts w:cs="Arial"/>
                <w:b/>
              </w:rPr>
            </w:pPr>
            <w:r w:rsidRPr="00B559D2">
              <w:rPr>
                <w:rFonts w:cs="Arial"/>
                <w:b/>
              </w:rPr>
              <w:t>Calculation</w:t>
            </w:r>
          </w:p>
        </w:tc>
        <w:tc>
          <w:tcPr>
            <w:tcW w:w="1296" w:type="dxa"/>
          </w:tcPr>
          <w:p w:rsidR="004F4156" w:rsidRPr="00B559D2" w:rsidRDefault="004F4156" w:rsidP="00751B0F">
            <w:pPr>
              <w:jc w:val="center"/>
              <w:rPr>
                <w:rFonts w:cs="Arial"/>
                <w:b/>
              </w:rPr>
            </w:pPr>
            <w:r w:rsidRPr="00B559D2">
              <w:rPr>
                <w:rFonts w:cs="Arial"/>
                <w:b/>
              </w:rPr>
              <w:t>Result</w:t>
            </w:r>
          </w:p>
        </w:tc>
        <w:tc>
          <w:tcPr>
            <w:tcW w:w="2376" w:type="dxa"/>
          </w:tcPr>
          <w:p w:rsidR="004F4156" w:rsidRPr="00B559D2" w:rsidRDefault="004F4156" w:rsidP="00751B0F">
            <w:pPr>
              <w:jc w:val="center"/>
              <w:rPr>
                <w:rFonts w:cs="Arial"/>
                <w:b/>
              </w:rPr>
            </w:pPr>
            <w:r w:rsidRPr="00B559D2">
              <w:rPr>
                <w:rFonts w:cs="Arial"/>
                <w:b/>
              </w:rPr>
              <w:t>Calculation</w:t>
            </w:r>
          </w:p>
        </w:tc>
        <w:tc>
          <w:tcPr>
            <w:tcW w:w="1417" w:type="dxa"/>
          </w:tcPr>
          <w:p w:rsidR="004F4156" w:rsidRPr="00B559D2" w:rsidRDefault="004F4156" w:rsidP="00751B0F">
            <w:pPr>
              <w:jc w:val="center"/>
              <w:rPr>
                <w:rFonts w:cs="Arial"/>
                <w:b/>
              </w:rPr>
            </w:pPr>
            <w:r w:rsidRPr="00B559D2">
              <w:rPr>
                <w:rFonts w:cs="Arial"/>
                <w:b/>
              </w:rPr>
              <w:t>Result</w:t>
            </w:r>
          </w:p>
        </w:tc>
      </w:tr>
      <w:tr w:rsidR="004F4156" w:rsidTr="004F4156">
        <w:trPr>
          <w:trHeight w:val="811"/>
          <w:jc w:val="center"/>
        </w:trPr>
        <w:tc>
          <w:tcPr>
            <w:tcW w:w="2268" w:type="dxa"/>
          </w:tcPr>
          <w:p w:rsidR="004F4156" w:rsidRPr="00B559D2" w:rsidRDefault="004F4156" w:rsidP="002D5547">
            <w:pPr>
              <w:rPr>
                <w:rFonts w:cs="Arial"/>
              </w:rPr>
            </w:pPr>
            <w:r>
              <w:rPr>
                <w:rFonts w:cs="Arial"/>
                <w:u w:val="single"/>
              </w:rPr>
              <w:t>-495,000</w:t>
            </w:r>
            <w:r w:rsidRPr="00B559D2">
              <w:rPr>
                <w:rFonts w:cs="Arial"/>
              </w:rPr>
              <w:t>x 100</w:t>
            </w:r>
          </w:p>
          <w:p w:rsidR="004F4156" w:rsidRPr="00B559D2" w:rsidRDefault="004F4156" w:rsidP="002D5547">
            <w:pPr>
              <w:rPr>
                <w:rFonts w:cs="Arial"/>
                <w:u w:val="single"/>
              </w:rPr>
            </w:pPr>
            <w:r w:rsidRPr="00314962">
              <w:rPr>
                <w:rFonts w:cs="Arial"/>
              </w:rPr>
              <w:t>14,324,000</w:t>
            </w:r>
          </w:p>
        </w:tc>
        <w:tc>
          <w:tcPr>
            <w:tcW w:w="1296" w:type="dxa"/>
          </w:tcPr>
          <w:p w:rsidR="004F4156" w:rsidRDefault="004F4156" w:rsidP="002D5547">
            <w:pPr>
              <w:jc w:val="center"/>
              <w:rPr>
                <w:rFonts w:cs="Arial"/>
                <w:b/>
              </w:rPr>
            </w:pPr>
          </w:p>
          <w:p w:rsidR="004F4156" w:rsidRPr="00314962" w:rsidRDefault="004F4156" w:rsidP="002D5547">
            <w:pPr>
              <w:jc w:val="center"/>
              <w:rPr>
                <w:rFonts w:cs="Arial"/>
                <w:b/>
              </w:rPr>
            </w:pPr>
            <w:r w:rsidRPr="00314962">
              <w:rPr>
                <w:rFonts w:cs="Arial"/>
                <w:b/>
              </w:rPr>
              <w:t>-3.46%</w:t>
            </w:r>
          </w:p>
        </w:tc>
        <w:tc>
          <w:tcPr>
            <w:tcW w:w="2376" w:type="dxa"/>
          </w:tcPr>
          <w:p w:rsidR="004F4156" w:rsidRPr="00B559D2" w:rsidRDefault="004F4156" w:rsidP="002D5547">
            <w:pPr>
              <w:rPr>
                <w:rFonts w:cs="Arial"/>
              </w:rPr>
            </w:pPr>
            <w:r>
              <w:rPr>
                <w:rFonts w:cs="Arial"/>
                <w:u w:val="single"/>
              </w:rPr>
              <w:t>1,658,000</w:t>
            </w:r>
            <w:r>
              <w:rPr>
                <w:rFonts w:cs="Arial"/>
              </w:rPr>
              <w:t xml:space="preserve"> </w:t>
            </w:r>
            <w:r w:rsidRPr="00B559D2">
              <w:rPr>
                <w:rFonts w:cs="Arial"/>
              </w:rPr>
              <w:t>x 100</w:t>
            </w:r>
          </w:p>
          <w:p w:rsidR="004F4156" w:rsidRDefault="004F4156" w:rsidP="002D5547">
            <w:pPr>
              <w:rPr>
                <w:rFonts w:cs="Arial"/>
                <w:i/>
              </w:rPr>
            </w:pPr>
            <w:r w:rsidRPr="00314962">
              <w:rPr>
                <w:rFonts w:cs="Arial"/>
              </w:rPr>
              <w:t>12,086,000</w:t>
            </w:r>
          </w:p>
        </w:tc>
        <w:tc>
          <w:tcPr>
            <w:tcW w:w="1417" w:type="dxa"/>
          </w:tcPr>
          <w:p w:rsidR="004F4156" w:rsidRDefault="004F4156" w:rsidP="002D5547">
            <w:pPr>
              <w:jc w:val="center"/>
              <w:rPr>
                <w:rFonts w:cs="Arial"/>
                <w:b/>
              </w:rPr>
            </w:pPr>
          </w:p>
          <w:p w:rsidR="004F4156" w:rsidRPr="00314962" w:rsidRDefault="004F4156" w:rsidP="002D5547">
            <w:pPr>
              <w:jc w:val="center"/>
              <w:rPr>
                <w:rFonts w:cs="Arial"/>
                <w:b/>
              </w:rPr>
            </w:pPr>
            <w:r w:rsidRPr="00314962">
              <w:rPr>
                <w:rFonts w:cs="Arial"/>
                <w:b/>
              </w:rPr>
              <w:t>13.72%</w:t>
            </w:r>
          </w:p>
        </w:tc>
      </w:tr>
    </w:tbl>
    <w:p w:rsidR="00B81356" w:rsidRDefault="00491D1C" w:rsidP="00B81356">
      <w:pPr>
        <w:jc w:val="center"/>
      </w:pPr>
      <w:r w:rsidRPr="00471BDB">
        <w:rPr>
          <w:rFonts w:cs="Arial"/>
          <w:i/>
        </w:rPr>
        <w:t xml:space="preserve"> </w:t>
      </w:r>
      <w:r w:rsidR="00B81356">
        <w:t>Table 03: ROCE</w:t>
      </w:r>
    </w:p>
    <w:p w:rsidR="00491D1C" w:rsidRPr="00B81356" w:rsidRDefault="00B81356" w:rsidP="00B81356">
      <w:pPr>
        <w:jc w:val="center"/>
        <w:rPr>
          <w:rFonts w:cs="Arial"/>
          <w:i/>
        </w:rPr>
      </w:pPr>
      <w:r>
        <w:lastRenderedPageBreak/>
        <w:t xml:space="preserve">Source: </w:t>
      </w:r>
      <w:r w:rsidR="00FE694F">
        <w:t>Author’s Calculation</w:t>
      </w:r>
    </w:p>
    <w:p w:rsidR="00D85D03" w:rsidRPr="00224C2A" w:rsidRDefault="00D85D03" w:rsidP="00224C2A">
      <w:pPr>
        <w:spacing w:line="360" w:lineRule="auto"/>
        <w:jc w:val="both"/>
        <w:rPr>
          <w:rFonts w:cs="Arial"/>
        </w:rPr>
      </w:pPr>
      <w:r w:rsidRPr="00224C2A">
        <w:rPr>
          <w:rFonts w:cs="Arial"/>
        </w:rPr>
        <w:t>In 2019</w:t>
      </w:r>
      <w:r w:rsidR="002E3C9F">
        <w:rPr>
          <w:rFonts w:cs="Arial"/>
        </w:rPr>
        <w:t>, Hilton generated 13.72% profit in this aspect. Additionally, it faced negative ROCE in 2020 due to Covid-19 pandemic. The performance is quite alarming.</w:t>
      </w:r>
    </w:p>
    <w:p w:rsidR="0000477E" w:rsidRPr="00321DEC" w:rsidRDefault="0000477E" w:rsidP="0000477E">
      <w:pPr>
        <w:pStyle w:val="Heading2"/>
      </w:pPr>
      <w:bookmarkStart w:id="9" w:name="_Toc94728145"/>
      <w:bookmarkStart w:id="10" w:name="_Toc104625878"/>
      <w:r>
        <w:t>Liquidi</w:t>
      </w:r>
      <w:r w:rsidRPr="00321DEC">
        <w:t>ty Ratios</w:t>
      </w:r>
      <w:bookmarkEnd w:id="9"/>
      <w:bookmarkEnd w:id="10"/>
    </w:p>
    <w:p w:rsidR="0000477E" w:rsidRDefault="00D25861" w:rsidP="0000477E">
      <w:pPr>
        <w:spacing w:line="360" w:lineRule="auto"/>
        <w:jc w:val="both"/>
        <w:rPr>
          <w:rFonts w:cs="Arial"/>
          <w:b/>
        </w:rPr>
      </w:pPr>
      <w:r>
        <w:rPr>
          <w:rFonts w:cs="Arial"/>
          <w:b/>
        </w:rPr>
        <w:t>Current Ratio and Quick Ratio</w:t>
      </w:r>
    </w:p>
    <w:p w:rsidR="00D25861" w:rsidRPr="00C547FF" w:rsidRDefault="00D25861" w:rsidP="0000477E">
      <w:pPr>
        <w:spacing w:line="360" w:lineRule="auto"/>
        <w:jc w:val="both"/>
        <w:rPr>
          <w:rFonts w:cs="Arial"/>
        </w:rPr>
      </w:pPr>
      <w:r>
        <w:rPr>
          <w:rFonts w:cs="Arial"/>
        </w:rPr>
        <w:t xml:space="preserve">The calculations for </w:t>
      </w:r>
      <w:r w:rsidR="00F57F6B">
        <w:rPr>
          <w:rFonts w:cs="Arial"/>
        </w:rPr>
        <w:t>2020 and 2019 are as follows</w:t>
      </w:r>
      <w:r>
        <w:rPr>
          <w:rFonts w:cs="Arial"/>
        </w:rPr>
        <w:t>:</w:t>
      </w:r>
    </w:p>
    <w:tbl>
      <w:tblPr>
        <w:tblStyle w:val="TableGrid"/>
        <w:tblW w:w="0" w:type="auto"/>
        <w:tblLook w:val="04A0" w:firstRow="1" w:lastRow="0" w:firstColumn="1" w:lastColumn="0" w:noHBand="0" w:noVBand="1"/>
      </w:tblPr>
      <w:tblGrid>
        <w:gridCol w:w="2695"/>
        <w:gridCol w:w="1980"/>
        <w:gridCol w:w="990"/>
        <w:gridCol w:w="2520"/>
        <w:gridCol w:w="1165"/>
      </w:tblGrid>
      <w:tr w:rsidR="0000477E" w:rsidTr="006F1DF9">
        <w:tc>
          <w:tcPr>
            <w:tcW w:w="2695" w:type="dxa"/>
            <w:shd w:val="clear" w:color="auto" w:fill="B4C6E7" w:themeFill="accent5" w:themeFillTint="66"/>
          </w:tcPr>
          <w:p w:rsidR="0000477E" w:rsidRPr="00B559D2" w:rsidRDefault="0000477E" w:rsidP="00751B0F">
            <w:pPr>
              <w:jc w:val="center"/>
              <w:rPr>
                <w:rFonts w:cs="Arial"/>
                <w:b/>
              </w:rPr>
            </w:pPr>
            <w:r w:rsidRPr="00B559D2">
              <w:rPr>
                <w:rFonts w:cs="Arial"/>
                <w:b/>
              </w:rPr>
              <w:t>Formula</w:t>
            </w:r>
          </w:p>
        </w:tc>
        <w:tc>
          <w:tcPr>
            <w:tcW w:w="2970" w:type="dxa"/>
            <w:gridSpan w:val="2"/>
            <w:shd w:val="clear" w:color="auto" w:fill="B4C6E7" w:themeFill="accent5" w:themeFillTint="66"/>
          </w:tcPr>
          <w:p w:rsidR="0000477E" w:rsidRPr="00B559D2" w:rsidRDefault="0000477E" w:rsidP="006F1DF9">
            <w:pPr>
              <w:jc w:val="center"/>
              <w:rPr>
                <w:rFonts w:cs="Arial"/>
                <w:b/>
              </w:rPr>
            </w:pPr>
            <w:r w:rsidRPr="00B559D2">
              <w:rPr>
                <w:rFonts w:cs="Arial"/>
                <w:b/>
              </w:rPr>
              <w:t>20</w:t>
            </w:r>
            <w:r w:rsidR="006F1DF9">
              <w:rPr>
                <w:rFonts w:cs="Arial"/>
                <w:b/>
              </w:rPr>
              <w:t>20</w:t>
            </w:r>
          </w:p>
        </w:tc>
        <w:tc>
          <w:tcPr>
            <w:tcW w:w="3685" w:type="dxa"/>
            <w:gridSpan w:val="2"/>
            <w:shd w:val="clear" w:color="auto" w:fill="B4C6E7" w:themeFill="accent5" w:themeFillTint="66"/>
          </w:tcPr>
          <w:p w:rsidR="0000477E" w:rsidRPr="00B559D2" w:rsidRDefault="0000477E" w:rsidP="006F1DF9">
            <w:pPr>
              <w:jc w:val="center"/>
              <w:rPr>
                <w:rFonts w:cs="Arial"/>
                <w:b/>
              </w:rPr>
            </w:pPr>
            <w:r w:rsidRPr="00B559D2">
              <w:rPr>
                <w:rFonts w:cs="Arial"/>
                <w:b/>
              </w:rPr>
              <w:t>20</w:t>
            </w:r>
            <w:r w:rsidR="006F1DF9">
              <w:rPr>
                <w:rFonts w:cs="Arial"/>
                <w:b/>
              </w:rPr>
              <w:t>19</w:t>
            </w:r>
          </w:p>
        </w:tc>
      </w:tr>
      <w:tr w:rsidR="0000477E" w:rsidTr="00DC392C">
        <w:trPr>
          <w:trHeight w:val="350"/>
        </w:trPr>
        <w:tc>
          <w:tcPr>
            <w:tcW w:w="2695" w:type="dxa"/>
          </w:tcPr>
          <w:p w:rsidR="0000477E" w:rsidRPr="00B559D2" w:rsidRDefault="0000477E" w:rsidP="00751B0F">
            <w:pPr>
              <w:rPr>
                <w:rFonts w:cs="Arial"/>
                <w:b/>
              </w:rPr>
            </w:pPr>
          </w:p>
        </w:tc>
        <w:tc>
          <w:tcPr>
            <w:tcW w:w="1980" w:type="dxa"/>
          </w:tcPr>
          <w:p w:rsidR="0000477E" w:rsidRPr="00B559D2" w:rsidRDefault="0000477E" w:rsidP="00751B0F">
            <w:pPr>
              <w:jc w:val="center"/>
              <w:rPr>
                <w:rFonts w:cs="Arial"/>
                <w:b/>
              </w:rPr>
            </w:pPr>
            <w:r w:rsidRPr="00B559D2">
              <w:rPr>
                <w:rFonts w:cs="Arial"/>
                <w:b/>
              </w:rPr>
              <w:t>Calculation</w:t>
            </w:r>
          </w:p>
        </w:tc>
        <w:tc>
          <w:tcPr>
            <w:tcW w:w="990" w:type="dxa"/>
          </w:tcPr>
          <w:p w:rsidR="0000477E" w:rsidRPr="00B559D2" w:rsidRDefault="0000477E" w:rsidP="00751B0F">
            <w:pPr>
              <w:jc w:val="center"/>
              <w:rPr>
                <w:rFonts w:cs="Arial"/>
                <w:b/>
              </w:rPr>
            </w:pPr>
            <w:r w:rsidRPr="00B559D2">
              <w:rPr>
                <w:rFonts w:cs="Arial"/>
                <w:b/>
              </w:rPr>
              <w:t>Result</w:t>
            </w:r>
          </w:p>
        </w:tc>
        <w:tc>
          <w:tcPr>
            <w:tcW w:w="2520" w:type="dxa"/>
          </w:tcPr>
          <w:p w:rsidR="0000477E" w:rsidRPr="00B559D2" w:rsidRDefault="0000477E" w:rsidP="00751B0F">
            <w:pPr>
              <w:jc w:val="center"/>
              <w:rPr>
                <w:rFonts w:cs="Arial"/>
                <w:b/>
              </w:rPr>
            </w:pPr>
            <w:r w:rsidRPr="00B559D2">
              <w:rPr>
                <w:rFonts w:cs="Arial"/>
                <w:b/>
              </w:rPr>
              <w:t>Calculation</w:t>
            </w:r>
          </w:p>
        </w:tc>
        <w:tc>
          <w:tcPr>
            <w:tcW w:w="1165" w:type="dxa"/>
          </w:tcPr>
          <w:p w:rsidR="0000477E" w:rsidRPr="00B559D2" w:rsidRDefault="0000477E" w:rsidP="00751B0F">
            <w:pPr>
              <w:jc w:val="center"/>
              <w:rPr>
                <w:rFonts w:cs="Arial"/>
                <w:b/>
              </w:rPr>
            </w:pPr>
            <w:r w:rsidRPr="00B559D2">
              <w:rPr>
                <w:rFonts w:cs="Arial"/>
                <w:b/>
              </w:rPr>
              <w:t>Result</w:t>
            </w:r>
          </w:p>
        </w:tc>
      </w:tr>
      <w:tr w:rsidR="0000477E" w:rsidTr="00D25861">
        <w:trPr>
          <w:trHeight w:val="692"/>
        </w:trPr>
        <w:tc>
          <w:tcPr>
            <w:tcW w:w="2695" w:type="dxa"/>
          </w:tcPr>
          <w:p w:rsidR="0000477E" w:rsidRPr="00D7718A" w:rsidRDefault="00D25861" w:rsidP="00751B0F">
            <w:pPr>
              <w:rPr>
                <w:rFonts w:cs="Arial"/>
              </w:rPr>
            </w:pPr>
            <w:r w:rsidRPr="00D7718A">
              <w:rPr>
                <w:rFonts w:cs="Arial"/>
                <w:u w:val="single"/>
              </w:rPr>
              <w:t>Current Assets</w:t>
            </w:r>
            <w:r w:rsidR="0000477E" w:rsidRPr="00D7718A">
              <w:rPr>
                <w:rFonts w:cs="Arial"/>
              </w:rPr>
              <w:t xml:space="preserve">   </w:t>
            </w:r>
          </w:p>
          <w:p w:rsidR="0000477E" w:rsidRPr="00D7718A" w:rsidRDefault="00D25861" w:rsidP="00751B0F">
            <w:pPr>
              <w:rPr>
                <w:rFonts w:cs="Arial"/>
              </w:rPr>
            </w:pPr>
            <w:r w:rsidRPr="00D7718A">
              <w:rPr>
                <w:rFonts w:cs="Arial"/>
              </w:rPr>
              <w:t>Current Liabilities</w:t>
            </w:r>
          </w:p>
        </w:tc>
        <w:tc>
          <w:tcPr>
            <w:tcW w:w="1980" w:type="dxa"/>
          </w:tcPr>
          <w:p w:rsidR="0000477E" w:rsidRPr="00D7718A" w:rsidRDefault="008E5059" w:rsidP="00783386">
            <w:pPr>
              <w:jc w:val="center"/>
              <w:rPr>
                <w:rFonts w:cs="Arial"/>
              </w:rPr>
            </w:pPr>
            <w:r>
              <w:rPr>
                <w:rFonts w:cs="Arial"/>
                <w:u w:val="single"/>
              </w:rPr>
              <w:t>4,202,000</w:t>
            </w:r>
          </w:p>
          <w:p w:rsidR="0000477E" w:rsidRPr="00D7718A" w:rsidRDefault="008E5059" w:rsidP="00783386">
            <w:pPr>
              <w:jc w:val="center"/>
              <w:rPr>
                <w:rFonts w:cs="Arial"/>
                <w:u w:val="single"/>
              </w:rPr>
            </w:pPr>
            <w:r>
              <w:rPr>
                <w:rFonts w:cs="Arial"/>
              </w:rPr>
              <w:t>2,431,000</w:t>
            </w:r>
          </w:p>
        </w:tc>
        <w:tc>
          <w:tcPr>
            <w:tcW w:w="990" w:type="dxa"/>
          </w:tcPr>
          <w:p w:rsidR="0000477E" w:rsidRPr="00D7718A" w:rsidRDefault="00097676" w:rsidP="00620E30">
            <w:pPr>
              <w:jc w:val="center"/>
              <w:rPr>
                <w:rFonts w:cs="Arial"/>
                <w:b/>
              </w:rPr>
            </w:pPr>
            <w:r>
              <w:rPr>
                <w:rFonts w:cs="Arial"/>
                <w:b/>
              </w:rPr>
              <w:t>1.73</w:t>
            </w:r>
            <w:r w:rsidR="00D25861" w:rsidRPr="00D7718A">
              <w:rPr>
                <w:rFonts w:cs="Arial"/>
                <w:b/>
              </w:rPr>
              <w:t>:1</w:t>
            </w:r>
          </w:p>
        </w:tc>
        <w:tc>
          <w:tcPr>
            <w:tcW w:w="2520" w:type="dxa"/>
          </w:tcPr>
          <w:p w:rsidR="0000477E" w:rsidRPr="00D7718A" w:rsidRDefault="008E5059" w:rsidP="00620E30">
            <w:pPr>
              <w:jc w:val="center"/>
              <w:rPr>
                <w:rFonts w:cs="Arial"/>
              </w:rPr>
            </w:pPr>
            <w:r>
              <w:rPr>
                <w:rFonts w:cs="Arial"/>
                <w:u w:val="single"/>
              </w:rPr>
              <w:t>2,093,000</w:t>
            </w:r>
          </w:p>
          <w:p w:rsidR="0000477E" w:rsidRPr="00D7718A" w:rsidRDefault="008E5059" w:rsidP="00620E30">
            <w:pPr>
              <w:jc w:val="center"/>
              <w:rPr>
                <w:rFonts w:cs="Arial"/>
              </w:rPr>
            </w:pPr>
            <w:r>
              <w:rPr>
                <w:rFonts w:cs="Arial"/>
              </w:rPr>
              <w:t>2,871,000</w:t>
            </w:r>
          </w:p>
        </w:tc>
        <w:tc>
          <w:tcPr>
            <w:tcW w:w="1165" w:type="dxa"/>
          </w:tcPr>
          <w:p w:rsidR="0000477E" w:rsidRPr="00D7718A" w:rsidRDefault="00097676" w:rsidP="00620E30">
            <w:pPr>
              <w:jc w:val="center"/>
              <w:rPr>
                <w:rFonts w:cs="Arial"/>
                <w:b/>
              </w:rPr>
            </w:pPr>
            <w:r>
              <w:rPr>
                <w:rFonts w:cs="Arial"/>
                <w:b/>
              </w:rPr>
              <w:t>0.73</w:t>
            </w:r>
            <w:r w:rsidR="00783386" w:rsidRPr="00D7718A">
              <w:rPr>
                <w:rFonts w:cs="Arial"/>
                <w:b/>
              </w:rPr>
              <w:t>:1</w:t>
            </w:r>
          </w:p>
        </w:tc>
      </w:tr>
      <w:tr w:rsidR="00D25861" w:rsidTr="00D25861">
        <w:tc>
          <w:tcPr>
            <w:tcW w:w="2695" w:type="dxa"/>
          </w:tcPr>
          <w:p w:rsidR="00D25861" w:rsidRPr="00D7718A" w:rsidRDefault="00D25861" w:rsidP="00D25861">
            <w:pPr>
              <w:rPr>
                <w:rFonts w:cs="Arial"/>
              </w:rPr>
            </w:pPr>
            <w:r w:rsidRPr="00D7718A">
              <w:rPr>
                <w:rFonts w:cs="Arial"/>
                <w:u w:val="single"/>
              </w:rPr>
              <w:t>Current Assets – Stock</w:t>
            </w:r>
            <w:r w:rsidRPr="00D7718A">
              <w:rPr>
                <w:rFonts w:cs="Arial"/>
              </w:rPr>
              <w:t xml:space="preserve"> </w:t>
            </w:r>
          </w:p>
          <w:p w:rsidR="00D25861" w:rsidRPr="00D7718A" w:rsidRDefault="00D25861" w:rsidP="00D25861">
            <w:pPr>
              <w:rPr>
                <w:rFonts w:cs="Arial"/>
              </w:rPr>
            </w:pPr>
            <w:r w:rsidRPr="00D7718A">
              <w:rPr>
                <w:rFonts w:cs="Arial"/>
              </w:rPr>
              <w:t>Current Liabilities</w:t>
            </w:r>
          </w:p>
        </w:tc>
        <w:tc>
          <w:tcPr>
            <w:tcW w:w="1980" w:type="dxa"/>
          </w:tcPr>
          <w:p w:rsidR="00D25861" w:rsidRPr="00D7718A" w:rsidRDefault="008E5059" w:rsidP="00783386">
            <w:pPr>
              <w:jc w:val="center"/>
              <w:rPr>
                <w:rFonts w:cs="Arial"/>
              </w:rPr>
            </w:pPr>
            <w:r>
              <w:rPr>
                <w:rFonts w:cs="Arial"/>
                <w:u w:val="single"/>
              </w:rPr>
              <w:t>3,989,000</w:t>
            </w:r>
          </w:p>
          <w:p w:rsidR="00D25861" w:rsidRPr="00D7718A" w:rsidRDefault="008E5059" w:rsidP="00783386">
            <w:pPr>
              <w:jc w:val="center"/>
              <w:rPr>
                <w:rFonts w:cs="Arial"/>
                <w:u w:val="single"/>
              </w:rPr>
            </w:pPr>
            <w:r>
              <w:rPr>
                <w:rFonts w:cs="Arial"/>
              </w:rPr>
              <w:t>2,431,000</w:t>
            </w:r>
          </w:p>
        </w:tc>
        <w:tc>
          <w:tcPr>
            <w:tcW w:w="990" w:type="dxa"/>
          </w:tcPr>
          <w:p w:rsidR="00D25861" w:rsidRPr="00D7718A" w:rsidRDefault="00783386" w:rsidP="00097676">
            <w:pPr>
              <w:jc w:val="center"/>
              <w:rPr>
                <w:rFonts w:cs="Arial"/>
                <w:b/>
              </w:rPr>
            </w:pPr>
            <w:r w:rsidRPr="00D7718A">
              <w:rPr>
                <w:rFonts w:cs="Arial"/>
                <w:b/>
              </w:rPr>
              <w:t>1.</w:t>
            </w:r>
            <w:r w:rsidR="00097676">
              <w:rPr>
                <w:rFonts w:cs="Arial"/>
                <w:b/>
              </w:rPr>
              <w:t>64</w:t>
            </w:r>
            <w:r w:rsidRPr="00D7718A">
              <w:rPr>
                <w:rFonts w:cs="Arial"/>
                <w:b/>
              </w:rPr>
              <w:t>:1</w:t>
            </w:r>
          </w:p>
        </w:tc>
        <w:tc>
          <w:tcPr>
            <w:tcW w:w="2520" w:type="dxa"/>
          </w:tcPr>
          <w:p w:rsidR="00D25861" w:rsidRPr="00D7718A" w:rsidRDefault="00D25861" w:rsidP="00620E30">
            <w:pPr>
              <w:jc w:val="center"/>
              <w:rPr>
                <w:rFonts w:cs="Arial"/>
              </w:rPr>
            </w:pPr>
            <w:r w:rsidRPr="00D7718A">
              <w:rPr>
                <w:rFonts w:cs="Arial"/>
                <w:u w:val="single"/>
              </w:rPr>
              <w:t>1</w:t>
            </w:r>
            <w:r w:rsidR="008E5059">
              <w:rPr>
                <w:rFonts w:cs="Arial"/>
                <w:u w:val="single"/>
              </w:rPr>
              <w:t>,799,000</w:t>
            </w:r>
          </w:p>
          <w:p w:rsidR="00D25861" w:rsidRPr="00D7718A" w:rsidRDefault="008E5059" w:rsidP="00620E30">
            <w:pPr>
              <w:jc w:val="center"/>
              <w:rPr>
                <w:rFonts w:cs="Arial"/>
              </w:rPr>
            </w:pPr>
            <w:r>
              <w:rPr>
                <w:rFonts w:cs="Arial"/>
              </w:rPr>
              <w:t>2,871,000</w:t>
            </w:r>
          </w:p>
        </w:tc>
        <w:tc>
          <w:tcPr>
            <w:tcW w:w="1165" w:type="dxa"/>
          </w:tcPr>
          <w:p w:rsidR="00D25861" w:rsidRPr="00D7718A" w:rsidRDefault="00097676" w:rsidP="00620E30">
            <w:pPr>
              <w:jc w:val="center"/>
              <w:rPr>
                <w:rFonts w:cs="Arial"/>
                <w:b/>
              </w:rPr>
            </w:pPr>
            <w:r>
              <w:rPr>
                <w:rFonts w:cs="Arial"/>
                <w:b/>
              </w:rPr>
              <w:t>0.6</w:t>
            </w:r>
            <w:r w:rsidR="00783386" w:rsidRPr="00D7718A">
              <w:rPr>
                <w:rFonts w:cs="Arial"/>
                <w:b/>
              </w:rPr>
              <w:t>3:1</w:t>
            </w:r>
          </w:p>
        </w:tc>
      </w:tr>
    </w:tbl>
    <w:p w:rsidR="00B81356" w:rsidRDefault="00B81356" w:rsidP="00B81356">
      <w:pPr>
        <w:jc w:val="center"/>
      </w:pPr>
      <w:r>
        <w:t>Table 05: Current &amp; Quick Ratio</w:t>
      </w:r>
    </w:p>
    <w:p w:rsidR="0000477E" w:rsidRPr="00471BDB" w:rsidRDefault="00B81356" w:rsidP="00B81356">
      <w:pPr>
        <w:jc w:val="center"/>
        <w:rPr>
          <w:rFonts w:cs="Arial"/>
          <w:i/>
        </w:rPr>
      </w:pPr>
      <w:r>
        <w:t xml:space="preserve">Source: </w:t>
      </w:r>
      <w:r w:rsidR="00FE694F">
        <w:t>Author’s Calculation</w:t>
      </w:r>
    </w:p>
    <w:p w:rsidR="0000477E" w:rsidRDefault="00131EE1" w:rsidP="0000477E">
      <w:pPr>
        <w:spacing w:line="360" w:lineRule="auto"/>
        <w:jc w:val="both"/>
        <w:rPr>
          <w:rFonts w:cs="Arial"/>
        </w:rPr>
      </w:pPr>
      <w:r>
        <w:rPr>
          <w:rFonts w:cs="Arial"/>
        </w:rPr>
        <w:t>The ability to pay short</w:t>
      </w:r>
      <w:r w:rsidR="0079148D">
        <w:rPr>
          <w:rFonts w:cs="Arial"/>
        </w:rPr>
        <w:t>-</w:t>
      </w:r>
      <w:r>
        <w:rPr>
          <w:rFonts w:cs="Arial"/>
        </w:rPr>
        <w:t xml:space="preserve">term liabilities and generate cash within </w:t>
      </w:r>
      <w:r w:rsidR="0079148D">
        <w:rPr>
          <w:rFonts w:cs="Arial"/>
        </w:rPr>
        <w:t xml:space="preserve">a </w:t>
      </w:r>
      <w:r>
        <w:rPr>
          <w:rFonts w:cs="Arial"/>
        </w:rPr>
        <w:t>shor</w:t>
      </w:r>
      <w:r w:rsidR="00FB5FF9">
        <w:rPr>
          <w:rFonts w:cs="Arial"/>
        </w:rPr>
        <w:t>t</w:t>
      </w:r>
      <w:r>
        <w:rPr>
          <w:rFonts w:cs="Arial"/>
        </w:rPr>
        <w:t xml:space="preserve"> time is measured by these ratios</w:t>
      </w:r>
      <w:r w:rsidR="00FD16C7">
        <w:rPr>
          <w:rFonts w:cs="Arial"/>
        </w:rPr>
        <w:t xml:space="preserve"> (</w:t>
      </w:r>
      <w:r w:rsidR="00C34F97">
        <w:rPr>
          <w:rFonts w:cs="Arial"/>
        </w:rPr>
        <w:t xml:space="preserve">Moghaddam &amp; Abbaspour, </w:t>
      </w:r>
      <w:r w:rsidR="00C34F97" w:rsidRPr="00C34F97">
        <w:rPr>
          <w:rFonts w:cs="Arial"/>
        </w:rPr>
        <w:t>2017)</w:t>
      </w:r>
      <w:r>
        <w:rPr>
          <w:rFonts w:cs="Arial"/>
        </w:rPr>
        <w:t xml:space="preserve">. </w:t>
      </w:r>
      <w:r w:rsidR="003B5B6D">
        <w:rPr>
          <w:rFonts w:cs="Arial"/>
        </w:rPr>
        <w:t xml:space="preserve"> </w:t>
      </w:r>
      <w:r w:rsidR="00807511">
        <w:rPr>
          <w:rFonts w:cs="Arial"/>
        </w:rPr>
        <w:t xml:space="preserve">As the current ratio is higher than 1.5 and </w:t>
      </w:r>
      <w:r w:rsidR="0079148D">
        <w:rPr>
          <w:rFonts w:cs="Arial"/>
        </w:rPr>
        <w:t xml:space="preserve">the </w:t>
      </w:r>
      <w:r w:rsidR="00807511">
        <w:rPr>
          <w:rFonts w:cs="Arial"/>
        </w:rPr>
        <w:t xml:space="preserve">quick ratio is </w:t>
      </w:r>
      <w:r w:rsidR="00D708C7">
        <w:rPr>
          <w:rFonts w:cs="Arial"/>
        </w:rPr>
        <w:t>h</w:t>
      </w:r>
      <w:r w:rsidR="00807511">
        <w:rPr>
          <w:rFonts w:cs="Arial"/>
        </w:rPr>
        <w:t>igher than 1, it shows that they have enough liquid assets to them.</w:t>
      </w:r>
      <w:r w:rsidR="003B5B6D">
        <w:rPr>
          <w:rFonts w:cs="Arial"/>
        </w:rPr>
        <w:t xml:space="preserve"> </w:t>
      </w:r>
    </w:p>
    <w:p w:rsidR="006F76BB" w:rsidRDefault="006F76BB" w:rsidP="0000477E">
      <w:pPr>
        <w:spacing w:line="360" w:lineRule="auto"/>
        <w:jc w:val="both"/>
        <w:rPr>
          <w:rFonts w:cs="Arial"/>
        </w:rPr>
      </w:pPr>
      <w:r>
        <w:rPr>
          <w:rFonts w:cs="Arial"/>
        </w:rPr>
        <w:t>Debtor days ratio shows the days taken by a company to get payment from them, while the creditor days ratio shows the days within which payables are cleared</w:t>
      </w:r>
      <w:r w:rsidR="00C42EEA">
        <w:rPr>
          <w:rFonts w:cs="Arial"/>
        </w:rPr>
        <w:t xml:space="preserve"> (Rahmawati, 2020)</w:t>
      </w:r>
      <w:r>
        <w:rPr>
          <w:rFonts w:cs="Arial"/>
        </w:rPr>
        <w:t>. So, here goes the necessary calculation:</w:t>
      </w:r>
    </w:p>
    <w:tbl>
      <w:tblPr>
        <w:tblStyle w:val="TableGrid"/>
        <w:tblW w:w="0" w:type="auto"/>
        <w:tblLayout w:type="fixed"/>
        <w:tblLook w:val="04A0" w:firstRow="1" w:lastRow="0" w:firstColumn="1" w:lastColumn="0" w:noHBand="0" w:noVBand="1"/>
      </w:tblPr>
      <w:tblGrid>
        <w:gridCol w:w="2605"/>
        <w:gridCol w:w="2250"/>
        <w:gridCol w:w="990"/>
        <w:gridCol w:w="2340"/>
        <w:gridCol w:w="1165"/>
      </w:tblGrid>
      <w:tr w:rsidR="007F20A7" w:rsidTr="006F1DF9">
        <w:tc>
          <w:tcPr>
            <w:tcW w:w="2605" w:type="dxa"/>
            <w:shd w:val="clear" w:color="auto" w:fill="B4C6E7" w:themeFill="accent5" w:themeFillTint="66"/>
          </w:tcPr>
          <w:p w:rsidR="007F20A7" w:rsidRPr="00B559D2" w:rsidRDefault="007F20A7" w:rsidP="00751B0F">
            <w:pPr>
              <w:jc w:val="center"/>
              <w:rPr>
                <w:rFonts w:cs="Arial"/>
                <w:b/>
              </w:rPr>
            </w:pPr>
            <w:r w:rsidRPr="00B559D2">
              <w:rPr>
                <w:rFonts w:cs="Arial"/>
                <w:b/>
              </w:rPr>
              <w:t>Formula</w:t>
            </w:r>
          </w:p>
        </w:tc>
        <w:tc>
          <w:tcPr>
            <w:tcW w:w="3240" w:type="dxa"/>
            <w:gridSpan w:val="2"/>
            <w:shd w:val="clear" w:color="auto" w:fill="B4C6E7" w:themeFill="accent5" w:themeFillTint="66"/>
          </w:tcPr>
          <w:p w:rsidR="007F20A7" w:rsidRPr="00B559D2" w:rsidRDefault="006F1DF9" w:rsidP="00751B0F">
            <w:pPr>
              <w:jc w:val="center"/>
              <w:rPr>
                <w:rFonts w:cs="Arial"/>
                <w:b/>
              </w:rPr>
            </w:pPr>
            <w:r>
              <w:rPr>
                <w:rFonts w:cs="Arial"/>
                <w:b/>
              </w:rPr>
              <w:t>2020</w:t>
            </w:r>
          </w:p>
        </w:tc>
        <w:tc>
          <w:tcPr>
            <w:tcW w:w="3505" w:type="dxa"/>
            <w:gridSpan w:val="2"/>
            <w:shd w:val="clear" w:color="auto" w:fill="B4C6E7" w:themeFill="accent5" w:themeFillTint="66"/>
          </w:tcPr>
          <w:p w:rsidR="007F20A7" w:rsidRPr="00B559D2" w:rsidRDefault="006F1DF9" w:rsidP="00751B0F">
            <w:pPr>
              <w:jc w:val="center"/>
              <w:rPr>
                <w:rFonts w:cs="Arial"/>
                <w:b/>
              </w:rPr>
            </w:pPr>
            <w:r>
              <w:rPr>
                <w:rFonts w:cs="Arial"/>
                <w:b/>
              </w:rPr>
              <w:t>2019</w:t>
            </w:r>
          </w:p>
        </w:tc>
      </w:tr>
      <w:tr w:rsidR="007F20A7" w:rsidTr="00751B0F">
        <w:trPr>
          <w:trHeight w:val="350"/>
        </w:trPr>
        <w:tc>
          <w:tcPr>
            <w:tcW w:w="2605" w:type="dxa"/>
          </w:tcPr>
          <w:p w:rsidR="007F20A7" w:rsidRPr="00B559D2" w:rsidRDefault="007F20A7" w:rsidP="00751B0F">
            <w:pPr>
              <w:rPr>
                <w:rFonts w:cs="Arial"/>
                <w:b/>
              </w:rPr>
            </w:pPr>
          </w:p>
        </w:tc>
        <w:tc>
          <w:tcPr>
            <w:tcW w:w="2250" w:type="dxa"/>
          </w:tcPr>
          <w:p w:rsidR="007F20A7" w:rsidRPr="00B559D2" w:rsidRDefault="007F20A7" w:rsidP="00751B0F">
            <w:pPr>
              <w:jc w:val="center"/>
              <w:rPr>
                <w:rFonts w:cs="Arial"/>
                <w:b/>
              </w:rPr>
            </w:pPr>
            <w:r w:rsidRPr="00B559D2">
              <w:rPr>
                <w:rFonts w:cs="Arial"/>
                <w:b/>
              </w:rPr>
              <w:t>Calculation</w:t>
            </w:r>
          </w:p>
        </w:tc>
        <w:tc>
          <w:tcPr>
            <w:tcW w:w="990" w:type="dxa"/>
          </w:tcPr>
          <w:p w:rsidR="007F20A7" w:rsidRPr="00B559D2" w:rsidRDefault="007F20A7" w:rsidP="00751B0F">
            <w:pPr>
              <w:jc w:val="center"/>
              <w:rPr>
                <w:rFonts w:cs="Arial"/>
                <w:b/>
              </w:rPr>
            </w:pPr>
            <w:r w:rsidRPr="00B559D2">
              <w:rPr>
                <w:rFonts w:cs="Arial"/>
                <w:b/>
              </w:rPr>
              <w:t>Result</w:t>
            </w:r>
          </w:p>
        </w:tc>
        <w:tc>
          <w:tcPr>
            <w:tcW w:w="2340" w:type="dxa"/>
          </w:tcPr>
          <w:p w:rsidR="007F20A7" w:rsidRPr="00B559D2" w:rsidRDefault="007F20A7" w:rsidP="00751B0F">
            <w:pPr>
              <w:jc w:val="center"/>
              <w:rPr>
                <w:rFonts w:cs="Arial"/>
                <w:b/>
              </w:rPr>
            </w:pPr>
            <w:r w:rsidRPr="00B559D2">
              <w:rPr>
                <w:rFonts w:cs="Arial"/>
                <w:b/>
              </w:rPr>
              <w:t>Calculation</w:t>
            </w:r>
          </w:p>
        </w:tc>
        <w:tc>
          <w:tcPr>
            <w:tcW w:w="1165" w:type="dxa"/>
          </w:tcPr>
          <w:p w:rsidR="007F20A7" w:rsidRPr="00B559D2" w:rsidRDefault="007F20A7" w:rsidP="00751B0F">
            <w:pPr>
              <w:jc w:val="center"/>
              <w:rPr>
                <w:rFonts w:cs="Arial"/>
                <w:b/>
              </w:rPr>
            </w:pPr>
            <w:r w:rsidRPr="00B559D2">
              <w:rPr>
                <w:rFonts w:cs="Arial"/>
                <w:b/>
              </w:rPr>
              <w:t>Result</w:t>
            </w:r>
          </w:p>
        </w:tc>
      </w:tr>
      <w:tr w:rsidR="007F20A7" w:rsidTr="00751B0F">
        <w:trPr>
          <w:trHeight w:val="692"/>
        </w:trPr>
        <w:tc>
          <w:tcPr>
            <w:tcW w:w="2605" w:type="dxa"/>
          </w:tcPr>
          <w:p w:rsidR="007F20A7" w:rsidRPr="00F91283" w:rsidRDefault="007F20A7" w:rsidP="007F20A7">
            <w:pPr>
              <w:rPr>
                <w:rFonts w:cs="Arial"/>
              </w:rPr>
            </w:pPr>
            <w:r w:rsidRPr="00F91283">
              <w:rPr>
                <w:rFonts w:cs="Arial"/>
                <w:u w:val="single"/>
              </w:rPr>
              <w:t>Debtors</w:t>
            </w:r>
            <w:r w:rsidRPr="00F91283">
              <w:rPr>
                <w:rFonts w:cs="Arial"/>
              </w:rPr>
              <w:t xml:space="preserve">  </w:t>
            </w:r>
            <w:r w:rsidRPr="00F91283">
              <w:rPr>
                <w:rFonts w:cs="Arial"/>
              </w:rPr>
              <w:tab/>
              <w:t xml:space="preserve">x 365          </w:t>
            </w:r>
          </w:p>
          <w:p w:rsidR="007F20A7" w:rsidRPr="00F91283" w:rsidRDefault="007F20A7" w:rsidP="007F20A7">
            <w:pPr>
              <w:rPr>
                <w:rFonts w:cs="Arial"/>
              </w:rPr>
            </w:pPr>
            <w:r w:rsidRPr="00F91283">
              <w:rPr>
                <w:rFonts w:cs="Arial"/>
              </w:rPr>
              <w:t>Credit Sales</w:t>
            </w:r>
          </w:p>
        </w:tc>
        <w:tc>
          <w:tcPr>
            <w:tcW w:w="2250" w:type="dxa"/>
          </w:tcPr>
          <w:p w:rsidR="007F20A7" w:rsidRPr="00F91283" w:rsidRDefault="00C85EEA" w:rsidP="005D1B24">
            <w:pPr>
              <w:rPr>
                <w:rFonts w:cs="Arial"/>
                <w:u w:val="single"/>
              </w:rPr>
            </w:pPr>
            <w:r>
              <w:rPr>
                <w:rFonts w:cs="Arial"/>
                <w:u w:val="single"/>
              </w:rPr>
              <w:t>771,0</w:t>
            </w:r>
            <w:r w:rsidR="007F20A7" w:rsidRPr="00F91283">
              <w:rPr>
                <w:rFonts w:cs="Arial"/>
                <w:u w:val="single"/>
              </w:rPr>
              <w:t>00</w:t>
            </w:r>
            <w:r w:rsidR="007F20A7" w:rsidRPr="00F91283">
              <w:rPr>
                <w:rFonts w:cs="Arial"/>
              </w:rPr>
              <w:t xml:space="preserve">  </w:t>
            </w:r>
            <w:r w:rsidR="007F20A7" w:rsidRPr="00F91283">
              <w:rPr>
                <w:rFonts w:cs="Arial"/>
              </w:rPr>
              <w:tab/>
              <w:t xml:space="preserve">x 365          </w:t>
            </w:r>
          </w:p>
          <w:p w:rsidR="007F20A7" w:rsidRPr="00F91283" w:rsidRDefault="00C85EEA" w:rsidP="005D1B24">
            <w:pPr>
              <w:rPr>
                <w:rFonts w:cs="Arial"/>
                <w:u w:val="single"/>
              </w:rPr>
            </w:pPr>
            <w:r>
              <w:rPr>
                <w:rFonts w:cs="Arial"/>
              </w:rPr>
              <w:t>4,307,0</w:t>
            </w:r>
            <w:r w:rsidR="005D1B24" w:rsidRPr="00F91283">
              <w:rPr>
                <w:rFonts w:cs="Arial"/>
              </w:rPr>
              <w:t>00</w:t>
            </w:r>
          </w:p>
        </w:tc>
        <w:tc>
          <w:tcPr>
            <w:tcW w:w="990" w:type="dxa"/>
          </w:tcPr>
          <w:p w:rsidR="007F20A7" w:rsidRPr="00F91283" w:rsidRDefault="00F91283" w:rsidP="00751B0F">
            <w:pPr>
              <w:jc w:val="center"/>
              <w:rPr>
                <w:rFonts w:cs="Arial"/>
                <w:b/>
              </w:rPr>
            </w:pPr>
            <w:r>
              <w:rPr>
                <w:rFonts w:cs="Arial"/>
                <w:b/>
              </w:rPr>
              <w:t>65.34</w:t>
            </w:r>
          </w:p>
        </w:tc>
        <w:tc>
          <w:tcPr>
            <w:tcW w:w="2340" w:type="dxa"/>
          </w:tcPr>
          <w:p w:rsidR="005D1B24" w:rsidRPr="00F91283" w:rsidRDefault="00C85EEA" w:rsidP="005D1B24">
            <w:pPr>
              <w:rPr>
                <w:rFonts w:cs="Arial"/>
                <w:u w:val="single"/>
              </w:rPr>
            </w:pPr>
            <w:r>
              <w:rPr>
                <w:rFonts w:cs="Arial"/>
                <w:u w:val="single"/>
              </w:rPr>
              <w:t>1,261,0</w:t>
            </w:r>
            <w:r w:rsidR="005D1B24" w:rsidRPr="00F91283">
              <w:rPr>
                <w:rFonts w:cs="Arial"/>
                <w:u w:val="single"/>
              </w:rPr>
              <w:t>00</w:t>
            </w:r>
            <w:r w:rsidR="005D1B24" w:rsidRPr="00F91283">
              <w:rPr>
                <w:rFonts w:cs="Arial"/>
              </w:rPr>
              <w:t xml:space="preserve">  </w:t>
            </w:r>
            <w:r w:rsidR="005D1B24" w:rsidRPr="00F91283">
              <w:rPr>
                <w:rFonts w:cs="Arial"/>
              </w:rPr>
              <w:tab/>
              <w:t xml:space="preserve">x 365          </w:t>
            </w:r>
          </w:p>
          <w:p w:rsidR="007F20A7" w:rsidRPr="00F91283" w:rsidRDefault="00C85EEA" w:rsidP="005D1B24">
            <w:pPr>
              <w:rPr>
                <w:rFonts w:cs="Arial"/>
              </w:rPr>
            </w:pPr>
            <w:r>
              <w:rPr>
                <w:rFonts w:cs="Arial"/>
              </w:rPr>
              <w:t>9,452,000</w:t>
            </w:r>
          </w:p>
        </w:tc>
        <w:tc>
          <w:tcPr>
            <w:tcW w:w="1165" w:type="dxa"/>
          </w:tcPr>
          <w:p w:rsidR="007F20A7" w:rsidRPr="00F91283" w:rsidRDefault="00F91283" w:rsidP="00751B0F">
            <w:pPr>
              <w:jc w:val="center"/>
              <w:rPr>
                <w:rFonts w:cs="Arial"/>
                <w:b/>
              </w:rPr>
            </w:pPr>
            <w:r>
              <w:rPr>
                <w:rFonts w:cs="Arial"/>
                <w:b/>
              </w:rPr>
              <w:t>48.69</w:t>
            </w:r>
          </w:p>
        </w:tc>
      </w:tr>
      <w:tr w:rsidR="007F20A7" w:rsidTr="00751B0F">
        <w:tc>
          <w:tcPr>
            <w:tcW w:w="2605" w:type="dxa"/>
          </w:tcPr>
          <w:p w:rsidR="007F20A7" w:rsidRPr="00F91283" w:rsidRDefault="007F20A7" w:rsidP="007F20A7">
            <w:pPr>
              <w:rPr>
                <w:rFonts w:cs="Arial"/>
              </w:rPr>
            </w:pPr>
            <w:r w:rsidRPr="00F91283">
              <w:rPr>
                <w:rFonts w:cs="Arial"/>
                <w:u w:val="single"/>
              </w:rPr>
              <w:t>Creditors</w:t>
            </w:r>
            <w:r w:rsidRPr="00F91283">
              <w:rPr>
                <w:rFonts w:cs="Arial"/>
              </w:rPr>
              <w:t xml:space="preserve">  </w:t>
            </w:r>
            <w:r w:rsidRPr="00F91283">
              <w:rPr>
                <w:rFonts w:cs="Arial"/>
              </w:rPr>
              <w:tab/>
              <w:t xml:space="preserve">x 365          </w:t>
            </w:r>
          </w:p>
          <w:p w:rsidR="007F20A7" w:rsidRPr="00F91283" w:rsidRDefault="007F20A7" w:rsidP="007F20A7">
            <w:pPr>
              <w:rPr>
                <w:rFonts w:cs="Arial"/>
              </w:rPr>
            </w:pPr>
            <w:r w:rsidRPr="00F91283">
              <w:rPr>
                <w:rFonts w:cs="Arial"/>
              </w:rPr>
              <w:t>Credit Purchases</w:t>
            </w:r>
          </w:p>
        </w:tc>
        <w:tc>
          <w:tcPr>
            <w:tcW w:w="2250" w:type="dxa"/>
          </w:tcPr>
          <w:p w:rsidR="005D1B24" w:rsidRPr="00F91283" w:rsidRDefault="00C85EEA" w:rsidP="005D1B24">
            <w:pPr>
              <w:rPr>
                <w:rFonts w:cs="Arial"/>
                <w:u w:val="single"/>
              </w:rPr>
            </w:pPr>
            <w:r>
              <w:rPr>
                <w:rFonts w:cs="Arial"/>
                <w:u w:val="single"/>
              </w:rPr>
              <w:t>224,000</w:t>
            </w:r>
            <w:r w:rsidR="005D1B24" w:rsidRPr="00F91283">
              <w:rPr>
                <w:rFonts w:cs="Arial"/>
              </w:rPr>
              <w:t xml:space="preserve">  </w:t>
            </w:r>
            <w:r w:rsidR="005D1B24" w:rsidRPr="00F91283">
              <w:rPr>
                <w:rFonts w:cs="Arial"/>
              </w:rPr>
              <w:tab/>
              <w:t xml:space="preserve">x 365          </w:t>
            </w:r>
          </w:p>
          <w:p w:rsidR="007F20A7" w:rsidRPr="00F91283" w:rsidRDefault="00C85EEA" w:rsidP="00C85EEA">
            <w:pPr>
              <w:rPr>
                <w:rFonts w:cs="Arial"/>
                <w:u w:val="single"/>
              </w:rPr>
            </w:pPr>
            <w:r>
              <w:rPr>
                <w:rFonts w:cs="Arial"/>
              </w:rPr>
              <w:t>3,724,000</w:t>
            </w:r>
          </w:p>
        </w:tc>
        <w:tc>
          <w:tcPr>
            <w:tcW w:w="990" w:type="dxa"/>
          </w:tcPr>
          <w:p w:rsidR="007F20A7" w:rsidRPr="00F91283" w:rsidRDefault="00C85EEA" w:rsidP="007F20A7">
            <w:pPr>
              <w:jc w:val="center"/>
              <w:rPr>
                <w:rFonts w:cs="Arial"/>
                <w:b/>
              </w:rPr>
            </w:pPr>
            <w:r>
              <w:rPr>
                <w:rFonts w:cs="Arial"/>
                <w:b/>
              </w:rPr>
              <w:t>21.95</w:t>
            </w:r>
          </w:p>
        </w:tc>
        <w:tc>
          <w:tcPr>
            <w:tcW w:w="2340" w:type="dxa"/>
          </w:tcPr>
          <w:p w:rsidR="005D1B24" w:rsidRPr="00F91283" w:rsidRDefault="00C85EEA" w:rsidP="005D1B24">
            <w:pPr>
              <w:rPr>
                <w:rFonts w:cs="Arial"/>
                <w:u w:val="single"/>
              </w:rPr>
            </w:pPr>
            <w:r>
              <w:rPr>
                <w:rFonts w:cs="Arial"/>
                <w:u w:val="single"/>
              </w:rPr>
              <w:t>303,000</w:t>
            </w:r>
            <w:r w:rsidR="005D1B24" w:rsidRPr="00F91283">
              <w:rPr>
                <w:rFonts w:cs="Arial"/>
              </w:rPr>
              <w:t xml:space="preserve">  </w:t>
            </w:r>
            <w:r w:rsidR="005D1B24" w:rsidRPr="00F91283">
              <w:rPr>
                <w:rFonts w:cs="Arial"/>
              </w:rPr>
              <w:tab/>
              <w:t xml:space="preserve">x 365          </w:t>
            </w:r>
          </w:p>
          <w:p w:rsidR="007F20A7" w:rsidRPr="00F91283" w:rsidRDefault="00C85EEA" w:rsidP="005D1B24">
            <w:pPr>
              <w:rPr>
                <w:rFonts w:cs="Arial"/>
              </w:rPr>
            </w:pPr>
            <w:r>
              <w:rPr>
                <w:rFonts w:cs="Arial"/>
              </w:rPr>
              <w:t>7,017,000</w:t>
            </w:r>
          </w:p>
        </w:tc>
        <w:tc>
          <w:tcPr>
            <w:tcW w:w="1165" w:type="dxa"/>
          </w:tcPr>
          <w:p w:rsidR="007F20A7" w:rsidRPr="00F91283" w:rsidRDefault="00C85EEA" w:rsidP="007F20A7">
            <w:pPr>
              <w:jc w:val="center"/>
              <w:rPr>
                <w:rFonts w:cs="Arial"/>
                <w:b/>
              </w:rPr>
            </w:pPr>
            <w:r>
              <w:rPr>
                <w:rFonts w:cs="Arial"/>
                <w:b/>
              </w:rPr>
              <w:t>15.76</w:t>
            </w:r>
          </w:p>
        </w:tc>
      </w:tr>
    </w:tbl>
    <w:p w:rsidR="00B81356" w:rsidRDefault="00B81356" w:rsidP="00B81356">
      <w:pPr>
        <w:jc w:val="center"/>
      </w:pPr>
      <w:r>
        <w:t>Table 06: Debtor &amp; Creditor Days Ratio</w:t>
      </w:r>
    </w:p>
    <w:p w:rsidR="00B81356" w:rsidRPr="00471BDB" w:rsidRDefault="00B81356" w:rsidP="00B81356">
      <w:pPr>
        <w:jc w:val="center"/>
        <w:rPr>
          <w:rFonts w:cs="Arial"/>
          <w:i/>
        </w:rPr>
      </w:pPr>
      <w:r>
        <w:t xml:space="preserve">Source: </w:t>
      </w:r>
      <w:r w:rsidR="00FE694F">
        <w:t>Author’s Calculation</w:t>
      </w:r>
    </w:p>
    <w:p w:rsidR="002D634C" w:rsidRPr="007F20A7" w:rsidRDefault="006C74B8" w:rsidP="0000477E">
      <w:pPr>
        <w:spacing w:line="360" w:lineRule="auto"/>
        <w:jc w:val="both"/>
        <w:rPr>
          <w:rFonts w:cs="Arial"/>
        </w:rPr>
      </w:pPr>
      <w:r>
        <w:rPr>
          <w:rFonts w:cs="Arial"/>
        </w:rPr>
        <w:lastRenderedPageBreak/>
        <w:t xml:space="preserve">Hilton is doing very well in paying the creditors as they take only 15-25 days on average. But, they take </w:t>
      </w:r>
      <w:r w:rsidR="0079148D">
        <w:rPr>
          <w:rFonts w:cs="Arial"/>
        </w:rPr>
        <w:t xml:space="preserve">a </w:t>
      </w:r>
      <w:r>
        <w:rPr>
          <w:rFonts w:cs="Arial"/>
        </w:rPr>
        <w:t>much longer time in receiving payments from the debtors. But their overall performance in this aspect is good.</w:t>
      </w:r>
    </w:p>
    <w:p w:rsidR="00C2097D" w:rsidRPr="00321DEC" w:rsidRDefault="00C2097D" w:rsidP="00C2097D">
      <w:pPr>
        <w:pStyle w:val="Heading2"/>
      </w:pPr>
      <w:bookmarkStart w:id="11" w:name="_Toc94728146"/>
      <w:bookmarkStart w:id="12" w:name="_Toc104625879"/>
      <w:r>
        <w:t>Gearing</w:t>
      </w:r>
      <w:r w:rsidRPr="00321DEC">
        <w:t xml:space="preserve"> Ratios</w:t>
      </w:r>
      <w:bookmarkEnd w:id="11"/>
      <w:bookmarkEnd w:id="12"/>
    </w:p>
    <w:p w:rsidR="00C2097D" w:rsidRPr="00C547FF" w:rsidRDefault="009A7473" w:rsidP="00C2097D">
      <w:pPr>
        <w:spacing w:line="360" w:lineRule="auto"/>
        <w:jc w:val="both"/>
        <w:rPr>
          <w:rFonts w:cs="Arial"/>
        </w:rPr>
      </w:pPr>
      <w:r>
        <w:rPr>
          <w:rFonts w:cs="Arial"/>
        </w:rPr>
        <w:t>The 2020 and 2019 horizontal ratios are shown below</w:t>
      </w:r>
      <w:r w:rsidR="00A56D3B">
        <w:rPr>
          <w:rFonts w:cs="Arial"/>
        </w:rPr>
        <w:t>:</w:t>
      </w:r>
    </w:p>
    <w:tbl>
      <w:tblPr>
        <w:tblStyle w:val="TableGrid"/>
        <w:tblW w:w="0" w:type="auto"/>
        <w:tblLook w:val="04A0" w:firstRow="1" w:lastRow="0" w:firstColumn="1" w:lastColumn="0" w:noHBand="0" w:noVBand="1"/>
      </w:tblPr>
      <w:tblGrid>
        <w:gridCol w:w="3145"/>
        <w:gridCol w:w="1530"/>
        <w:gridCol w:w="1530"/>
        <w:gridCol w:w="1980"/>
        <w:gridCol w:w="1165"/>
      </w:tblGrid>
      <w:tr w:rsidR="00C2097D" w:rsidTr="006F1DF9">
        <w:tc>
          <w:tcPr>
            <w:tcW w:w="3145" w:type="dxa"/>
            <w:shd w:val="clear" w:color="auto" w:fill="B4C6E7" w:themeFill="accent5" w:themeFillTint="66"/>
          </w:tcPr>
          <w:p w:rsidR="00C2097D" w:rsidRPr="00B559D2" w:rsidRDefault="00C2097D" w:rsidP="00751B0F">
            <w:pPr>
              <w:jc w:val="center"/>
              <w:rPr>
                <w:rFonts w:cs="Arial"/>
                <w:b/>
              </w:rPr>
            </w:pPr>
            <w:r w:rsidRPr="00B559D2">
              <w:rPr>
                <w:rFonts w:cs="Arial"/>
                <w:b/>
              </w:rPr>
              <w:t>Formula</w:t>
            </w:r>
          </w:p>
        </w:tc>
        <w:tc>
          <w:tcPr>
            <w:tcW w:w="3060" w:type="dxa"/>
            <w:gridSpan w:val="2"/>
            <w:shd w:val="clear" w:color="auto" w:fill="B4C6E7" w:themeFill="accent5" w:themeFillTint="66"/>
          </w:tcPr>
          <w:p w:rsidR="00C2097D" w:rsidRPr="00B559D2" w:rsidRDefault="006F1DF9" w:rsidP="00751B0F">
            <w:pPr>
              <w:jc w:val="center"/>
              <w:rPr>
                <w:rFonts w:cs="Arial"/>
                <w:b/>
              </w:rPr>
            </w:pPr>
            <w:r>
              <w:rPr>
                <w:rFonts w:cs="Arial"/>
                <w:b/>
              </w:rPr>
              <w:t>2020</w:t>
            </w:r>
          </w:p>
        </w:tc>
        <w:tc>
          <w:tcPr>
            <w:tcW w:w="3145" w:type="dxa"/>
            <w:gridSpan w:val="2"/>
            <w:shd w:val="clear" w:color="auto" w:fill="B4C6E7" w:themeFill="accent5" w:themeFillTint="66"/>
          </w:tcPr>
          <w:p w:rsidR="00C2097D" w:rsidRPr="00B559D2" w:rsidRDefault="006F1DF9" w:rsidP="00751B0F">
            <w:pPr>
              <w:jc w:val="center"/>
              <w:rPr>
                <w:rFonts w:cs="Arial"/>
                <w:b/>
              </w:rPr>
            </w:pPr>
            <w:r>
              <w:rPr>
                <w:rFonts w:cs="Arial"/>
                <w:b/>
              </w:rPr>
              <w:t>2019</w:t>
            </w:r>
          </w:p>
        </w:tc>
      </w:tr>
      <w:tr w:rsidR="00C2097D" w:rsidTr="00B81356">
        <w:trPr>
          <w:trHeight w:val="350"/>
        </w:trPr>
        <w:tc>
          <w:tcPr>
            <w:tcW w:w="3145" w:type="dxa"/>
          </w:tcPr>
          <w:p w:rsidR="00C2097D" w:rsidRPr="00B559D2" w:rsidRDefault="00C2097D" w:rsidP="00751B0F">
            <w:pPr>
              <w:rPr>
                <w:rFonts w:cs="Arial"/>
                <w:b/>
              </w:rPr>
            </w:pPr>
          </w:p>
        </w:tc>
        <w:tc>
          <w:tcPr>
            <w:tcW w:w="1530" w:type="dxa"/>
          </w:tcPr>
          <w:p w:rsidR="00C2097D" w:rsidRPr="00B559D2" w:rsidRDefault="00C2097D" w:rsidP="00751B0F">
            <w:pPr>
              <w:jc w:val="center"/>
              <w:rPr>
                <w:rFonts w:cs="Arial"/>
                <w:b/>
              </w:rPr>
            </w:pPr>
            <w:r w:rsidRPr="00B559D2">
              <w:rPr>
                <w:rFonts w:cs="Arial"/>
                <w:b/>
              </w:rPr>
              <w:t>Calculation</w:t>
            </w:r>
          </w:p>
        </w:tc>
        <w:tc>
          <w:tcPr>
            <w:tcW w:w="1530" w:type="dxa"/>
          </w:tcPr>
          <w:p w:rsidR="00C2097D" w:rsidRPr="00B559D2" w:rsidRDefault="00C2097D" w:rsidP="00751B0F">
            <w:pPr>
              <w:jc w:val="center"/>
              <w:rPr>
                <w:rFonts w:cs="Arial"/>
                <w:b/>
              </w:rPr>
            </w:pPr>
            <w:r w:rsidRPr="00B559D2">
              <w:rPr>
                <w:rFonts w:cs="Arial"/>
                <w:b/>
              </w:rPr>
              <w:t>Result</w:t>
            </w:r>
          </w:p>
        </w:tc>
        <w:tc>
          <w:tcPr>
            <w:tcW w:w="1980" w:type="dxa"/>
          </w:tcPr>
          <w:p w:rsidR="00C2097D" w:rsidRPr="00B559D2" w:rsidRDefault="00C2097D" w:rsidP="00751B0F">
            <w:pPr>
              <w:jc w:val="center"/>
              <w:rPr>
                <w:rFonts w:cs="Arial"/>
                <w:b/>
              </w:rPr>
            </w:pPr>
            <w:r w:rsidRPr="00B559D2">
              <w:rPr>
                <w:rFonts w:cs="Arial"/>
                <w:b/>
              </w:rPr>
              <w:t>Calculation</w:t>
            </w:r>
          </w:p>
        </w:tc>
        <w:tc>
          <w:tcPr>
            <w:tcW w:w="1165" w:type="dxa"/>
          </w:tcPr>
          <w:p w:rsidR="00C2097D" w:rsidRPr="00B559D2" w:rsidRDefault="00C2097D" w:rsidP="00751B0F">
            <w:pPr>
              <w:jc w:val="center"/>
              <w:rPr>
                <w:rFonts w:cs="Arial"/>
                <w:b/>
              </w:rPr>
            </w:pPr>
            <w:r w:rsidRPr="00B559D2">
              <w:rPr>
                <w:rFonts w:cs="Arial"/>
                <w:b/>
              </w:rPr>
              <w:t>Result</w:t>
            </w:r>
          </w:p>
        </w:tc>
      </w:tr>
      <w:tr w:rsidR="00C2097D" w:rsidTr="00B81356">
        <w:trPr>
          <w:trHeight w:val="692"/>
        </w:trPr>
        <w:tc>
          <w:tcPr>
            <w:tcW w:w="3145" w:type="dxa"/>
          </w:tcPr>
          <w:p w:rsidR="00C2097D" w:rsidRPr="00176179" w:rsidRDefault="00A56D3B" w:rsidP="00751B0F">
            <w:pPr>
              <w:rPr>
                <w:rFonts w:cs="Arial"/>
                <w:u w:val="single"/>
              </w:rPr>
            </w:pPr>
            <w:r w:rsidRPr="00176179">
              <w:rPr>
                <w:rFonts w:cs="Arial"/>
                <w:u w:val="single"/>
              </w:rPr>
              <w:t>Total Debt</w:t>
            </w:r>
          </w:p>
          <w:p w:rsidR="00A56D3B" w:rsidRPr="00176179" w:rsidRDefault="00A56D3B" w:rsidP="00751B0F">
            <w:pPr>
              <w:rPr>
                <w:rFonts w:cs="Arial"/>
              </w:rPr>
            </w:pPr>
            <w:r w:rsidRPr="00176179">
              <w:rPr>
                <w:rFonts w:cs="Arial"/>
              </w:rPr>
              <w:t>Total Asset</w:t>
            </w:r>
          </w:p>
        </w:tc>
        <w:tc>
          <w:tcPr>
            <w:tcW w:w="1530" w:type="dxa"/>
          </w:tcPr>
          <w:p w:rsidR="00C2097D" w:rsidRPr="00176179" w:rsidRDefault="00275C9C" w:rsidP="00751B0F">
            <w:pPr>
              <w:jc w:val="center"/>
              <w:rPr>
                <w:rFonts w:cs="Arial"/>
              </w:rPr>
            </w:pPr>
            <w:r>
              <w:rPr>
                <w:rFonts w:cs="Arial"/>
                <w:u w:val="single"/>
              </w:rPr>
              <w:t>10,235,000</w:t>
            </w:r>
          </w:p>
          <w:p w:rsidR="00C2097D" w:rsidRPr="00176179" w:rsidRDefault="00275C9C" w:rsidP="00751B0F">
            <w:pPr>
              <w:jc w:val="center"/>
              <w:rPr>
                <w:rFonts w:cs="Arial"/>
                <w:u w:val="single"/>
              </w:rPr>
            </w:pPr>
            <w:r>
              <w:rPr>
                <w:rFonts w:cs="Arial"/>
              </w:rPr>
              <w:t>16,755,000</w:t>
            </w:r>
          </w:p>
        </w:tc>
        <w:tc>
          <w:tcPr>
            <w:tcW w:w="1530" w:type="dxa"/>
          </w:tcPr>
          <w:p w:rsidR="00C2097D" w:rsidRPr="00176179" w:rsidRDefault="00176179" w:rsidP="00751B0F">
            <w:pPr>
              <w:jc w:val="center"/>
              <w:rPr>
                <w:rFonts w:cs="Arial"/>
                <w:b/>
              </w:rPr>
            </w:pPr>
            <w:r>
              <w:rPr>
                <w:rFonts w:cs="Arial"/>
                <w:b/>
              </w:rPr>
              <w:t>61.09</w:t>
            </w:r>
            <w:r w:rsidR="00A56D3B" w:rsidRPr="00176179">
              <w:rPr>
                <w:rFonts w:cs="Arial"/>
                <w:b/>
              </w:rPr>
              <w:t>%</w:t>
            </w:r>
          </w:p>
        </w:tc>
        <w:tc>
          <w:tcPr>
            <w:tcW w:w="1980" w:type="dxa"/>
          </w:tcPr>
          <w:p w:rsidR="00C2097D" w:rsidRPr="00176179" w:rsidRDefault="00275C9C" w:rsidP="00751B0F">
            <w:pPr>
              <w:jc w:val="center"/>
              <w:rPr>
                <w:rFonts w:cs="Arial"/>
              </w:rPr>
            </w:pPr>
            <w:r>
              <w:rPr>
                <w:rFonts w:cs="Arial"/>
                <w:u w:val="single"/>
              </w:rPr>
              <w:t>7,748,000</w:t>
            </w:r>
          </w:p>
          <w:p w:rsidR="00C2097D" w:rsidRPr="00176179" w:rsidRDefault="00275C9C" w:rsidP="00751B0F">
            <w:pPr>
              <w:jc w:val="center"/>
              <w:rPr>
                <w:rFonts w:cs="Arial"/>
              </w:rPr>
            </w:pPr>
            <w:r>
              <w:rPr>
                <w:rFonts w:cs="Arial"/>
              </w:rPr>
              <w:t>14,957,000</w:t>
            </w:r>
          </w:p>
        </w:tc>
        <w:tc>
          <w:tcPr>
            <w:tcW w:w="1165" w:type="dxa"/>
          </w:tcPr>
          <w:p w:rsidR="00C2097D" w:rsidRPr="00176179" w:rsidRDefault="00176179" w:rsidP="00751B0F">
            <w:pPr>
              <w:jc w:val="center"/>
              <w:rPr>
                <w:rFonts w:cs="Arial"/>
                <w:b/>
              </w:rPr>
            </w:pPr>
            <w:r>
              <w:rPr>
                <w:rFonts w:cs="Arial"/>
                <w:b/>
              </w:rPr>
              <w:t>51.80</w:t>
            </w:r>
            <w:r w:rsidR="00A56D3B" w:rsidRPr="00176179">
              <w:rPr>
                <w:rFonts w:cs="Arial"/>
                <w:b/>
              </w:rPr>
              <w:t>%</w:t>
            </w:r>
          </w:p>
        </w:tc>
      </w:tr>
      <w:tr w:rsidR="00B81356" w:rsidTr="00B81356">
        <w:trPr>
          <w:trHeight w:val="692"/>
        </w:trPr>
        <w:tc>
          <w:tcPr>
            <w:tcW w:w="3145" w:type="dxa"/>
          </w:tcPr>
          <w:p w:rsidR="00B81356" w:rsidRPr="00176179" w:rsidRDefault="00B81356" w:rsidP="00B81356">
            <w:pPr>
              <w:rPr>
                <w:rFonts w:cs="Arial"/>
                <w:u w:val="single"/>
              </w:rPr>
            </w:pPr>
            <w:r w:rsidRPr="00176179">
              <w:rPr>
                <w:rFonts w:cs="Arial"/>
                <w:u w:val="single"/>
              </w:rPr>
              <w:t>Profit before Interest &amp; Tax</w:t>
            </w:r>
          </w:p>
          <w:p w:rsidR="00B81356" w:rsidRPr="00176179" w:rsidRDefault="00B81356" w:rsidP="00B81356">
            <w:pPr>
              <w:rPr>
                <w:rFonts w:cs="Arial"/>
              </w:rPr>
            </w:pPr>
            <w:r w:rsidRPr="00176179">
              <w:rPr>
                <w:rFonts w:cs="Arial"/>
              </w:rPr>
              <w:t>Periodic Interest Charge</w:t>
            </w:r>
          </w:p>
        </w:tc>
        <w:tc>
          <w:tcPr>
            <w:tcW w:w="1530" w:type="dxa"/>
          </w:tcPr>
          <w:p w:rsidR="00B81356" w:rsidRPr="00176179" w:rsidRDefault="00275C9C" w:rsidP="00B81356">
            <w:pPr>
              <w:jc w:val="center"/>
              <w:rPr>
                <w:rFonts w:cs="Arial"/>
              </w:rPr>
            </w:pPr>
            <w:r>
              <w:rPr>
                <w:rFonts w:cs="Arial"/>
                <w:u w:val="single"/>
              </w:rPr>
              <w:t>-495,000</w:t>
            </w:r>
          </w:p>
          <w:p w:rsidR="00B81356" w:rsidRPr="00275C9C" w:rsidRDefault="00275C9C" w:rsidP="00B81356">
            <w:pPr>
              <w:jc w:val="center"/>
              <w:rPr>
                <w:rFonts w:cs="Arial"/>
              </w:rPr>
            </w:pPr>
            <w:r w:rsidRPr="00275C9C">
              <w:rPr>
                <w:rFonts w:cs="Arial"/>
              </w:rPr>
              <w:t>429,000</w:t>
            </w:r>
          </w:p>
        </w:tc>
        <w:tc>
          <w:tcPr>
            <w:tcW w:w="1530" w:type="dxa"/>
          </w:tcPr>
          <w:p w:rsidR="00B81356" w:rsidRPr="00176179" w:rsidRDefault="00176179" w:rsidP="00B81356">
            <w:pPr>
              <w:jc w:val="center"/>
              <w:rPr>
                <w:rFonts w:cs="Arial"/>
                <w:b/>
              </w:rPr>
            </w:pPr>
            <w:r>
              <w:rPr>
                <w:rFonts w:cs="Arial"/>
                <w:b/>
              </w:rPr>
              <w:t>-1.15</w:t>
            </w:r>
          </w:p>
        </w:tc>
        <w:tc>
          <w:tcPr>
            <w:tcW w:w="1980" w:type="dxa"/>
          </w:tcPr>
          <w:p w:rsidR="00B81356" w:rsidRPr="00176179" w:rsidRDefault="00275C9C" w:rsidP="00B81356">
            <w:pPr>
              <w:jc w:val="center"/>
              <w:rPr>
                <w:rFonts w:cs="Arial"/>
              </w:rPr>
            </w:pPr>
            <w:r>
              <w:rPr>
                <w:rFonts w:cs="Arial"/>
                <w:u w:val="single"/>
              </w:rPr>
              <w:t>1,658,000</w:t>
            </w:r>
          </w:p>
          <w:p w:rsidR="00B81356" w:rsidRPr="00176179" w:rsidRDefault="00275C9C" w:rsidP="00B81356">
            <w:pPr>
              <w:jc w:val="center"/>
              <w:rPr>
                <w:rFonts w:cs="Arial"/>
              </w:rPr>
            </w:pPr>
            <w:r>
              <w:rPr>
                <w:rFonts w:cs="Arial"/>
              </w:rPr>
              <w:t>414,000</w:t>
            </w:r>
          </w:p>
        </w:tc>
        <w:tc>
          <w:tcPr>
            <w:tcW w:w="1165" w:type="dxa"/>
          </w:tcPr>
          <w:p w:rsidR="00B81356" w:rsidRPr="00176179" w:rsidRDefault="00176179" w:rsidP="00B81356">
            <w:pPr>
              <w:jc w:val="center"/>
              <w:rPr>
                <w:rFonts w:cs="Arial"/>
                <w:b/>
              </w:rPr>
            </w:pPr>
            <w:r>
              <w:rPr>
                <w:rFonts w:cs="Arial"/>
                <w:b/>
              </w:rPr>
              <w:t>4.00</w:t>
            </w:r>
          </w:p>
        </w:tc>
      </w:tr>
    </w:tbl>
    <w:p w:rsidR="00B81356" w:rsidRDefault="00B81356" w:rsidP="00B81356">
      <w:pPr>
        <w:jc w:val="center"/>
      </w:pPr>
      <w:r>
        <w:t>Table 07: Gearing Ratio</w:t>
      </w:r>
    </w:p>
    <w:p w:rsidR="00B81356" w:rsidRPr="00B81356" w:rsidRDefault="00B81356" w:rsidP="00B81356">
      <w:pPr>
        <w:jc w:val="center"/>
        <w:rPr>
          <w:rFonts w:cs="Arial"/>
          <w:i/>
        </w:rPr>
      </w:pPr>
      <w:r>
        <w:t xml:space="preserve">Source: </w:t>
      </w:r>
      <w:r w:rsidR="00FE694F">
        <w:t>Author’s Calculation</w:t>
      </w:r>
    </w:p>
    <w:p w:rsidR="00B10B83" w:rsidRDefault="006E68BF" w:rsidP="00C2097D">
      <w:pPr>
        <w:spacing w:line="360" w:lineRule="auto"/>
        <w:jc w:val="both"/>
        <w:rPr>
          <w:rFonts w:cs="Arial"/>
        </w:rPr>
      </w:pPr>
      <w:r>
        <w:rPr>
          <w:rFonts w:cs="Arial"/>
        </w:rPr>
        <w:t>The amount of financial leverage usage of a company is measured by gearing ratios. It shows the debt management capability of the bank</w:t>
      </w:r>
      <w:r w:rsidR="00C42EEA">
        <w:rPr>
          <w:rFonts w:cs="Arial"/>
        </w:rPr>
        <w:t xml:space="preserve"> (Sudharto &amp; Salim, 2021)</w:t>
      </w:r>
      <w:r>
        <w:rPr>
          <w:rFonts w:cs="Arial"/>
        </w:rPr>
        <w:t>. Hilton is not doing well in this respect as they have way too much debt against assets. It may lead the</w:t>
      </w:r>
      <w:r w:rsidR="0079148D">
        <w:rPr>
          <w:rFonts w:cs="Arial"/>
        </w:rPr>
        <w:t>ir</w:t>
      </w:r>
      <w:r>
        <w:rPr>
          <w:rFonts w:cs="Arial"/>
        </w:rPr>
        <w:t xml:space="preserve"> failure to repay the loans in the future.</w:t>
      </w:r>
    </w:p>
    <w:p w:rsidR="00BB16BC" w:rsidRDefault="00BB16BC" w:rsidP="00C2097D">
      <w:pPr>
        <w:spacing w:line="360" w:lineRule="auto"/>
        <w:jc w:val="both"/>
        <w:rPr>
          <w:rFonts w:cs="Arial"/>
        </w:rPr>
      </w:pPr>
    </w:p>
    <w:p w:rsidR="00BB16BC" w:rsidRDefault="00BB16BC">
      <w:pPr>
        <w:rPr>
          <w:rFonts w:cs="Arial"/>
        </w:rPr>
      </w:pPr>
      <w:r>
        <w:rPr>
          <w:rFonts w:cs="Arial"/>
        </w:rPr>
        <w:br w:type="page"/>
      </w:r>
    </w:p>
    <w:p w:rsidR="00BB16BC" w:rsidRDefault="00BB16BC" w:rsidP="00BB16BC">
      <w:pPr>
        <w:pStyle w:val="Heading1"/>
      </w:pPr>
      <w:bookmarkStart w:id="13" w:name="_Toc94728147"/>
      <w:bookmarkStart w:id="14" w:name="_Toc104625880"/>
      <w:r>
        <w:lastRenderedPageBreak/>
        <w:t>Financial Analysis Trend</w:t>
      </w:r>
      <w:bookmarkEnd w:id="13"/>
      <w:bookmarkEnd w:id="14"/>
    </w:p>
    <w:p w:rsidR="00D569E7" w:rsidRDefault="00397BD0" w:rsidP="00BB16BC">
      <w:pPr>
        <w:spacing w:line="360" w:lineRule="auto"/>
        <w:jc w:val="both"/>
        <w:rPr>
          <w:rFonts w:cs="Arial"/>
        </w:rPr>
      </w:pPr>
      <w:r>
        <w:rPr>
          <w:rFonts w:cs="Arial"/>
        </w:rPr>
        <w:t>The trend calculated from the previous horizontal ratio analysis is shown below based on profitability, liquidity and gearing aspects.</w:t>
      </w:r>
    </w:p>
    <w:p w:rsidR="00D569E7" w:rsidRDefault="00D569E7" w:rsidP="00D569E7">
      <w:pPr>
        <w:pStyle w:val="Heading2"/>
      </w:pPr>
      <w:bookmarkStart w:id="15" w:name="_Toc94728148"/>
      <w:bookmarkStart w:id="16" w:name="_Toc104625881"/>
      <w:r>
        <w:t>Profitability</w:t>
      </w:r>
      <w:bookmarkEnd w:id="15"/>
      <w:bookmarkEnd w:id="16"/>
    </w:p>
    <w:p w:rsidR="002C155C" w:rsidRDefault="00E301A1" w:rsidP="00D569E7">
      <w:r>
        <w:t xml:space="preserve">Here go the summarized values </w:t>
      </w:r>
      <w:r w:rsidR="0079148D">
        <w:t>for</w:t>
      </w:r>
      <w:r>
        <w:t xml:space="preserve"> 2020 and 2019</w:t>
      </w:r>
      <w:r w:rsidR="00D569E7">
        <w:t>:</w:t>
      </w:r>
    </w:p>
    <w:p w:rsidR="008529FA" w:rsidRDefault="00F95134" w:rsidP="008529FA">
      <w:pPr>
        <w:jc w:val="center"/>
      </w:pPr>
      <w:r w:rsidRPr="00F95134">
        <w:rPr>
          <w:noProof/>
          <w:lang w:val="en-GB" w:eastAsia="en-GB"/>
        </w:rPr>
        <w:drawing>
          <wp:inline distT="0" distB="0" distL="0" distR="0">
            <wp:extent cx="5943600" cy="11622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1162215"/>
                    </a:xfrm>
                    <a:prstGeom prst="rect">
                      <a:avLst/>
                    </a:prstGeom>
                    <a:noFill/>
                    <a:ln>
                      <a:noFill/>
                    </a:ln>
                  </pic:spPr>
                </pic:pic>
              </a:graphicData>
            </a:graphic>
          </wp:inline>
        </w:drawing>
      </w:r>
    </w:p>
    <w:p w:rsidR="00B10B83" w:rsidRDefault="00A705AA" w:rsidP="00B81356">
      <w:pPr>
        <w:jc w:val="center"/>
      </w:pPr>
      <w:r>
        <w:t>Table 0</w:t>
      </w:r>
      <w:r w:rsidR="00B81356">
        <w:t>8</w:t>
      </w:r>
      <w:r>
        <w:t>: Profitability Ratios</w:t>
      </w:r>
    </w:p>
    <w:p w:rsidR="00A705AA" w:rsidRDefault="00A705AA" w:rsidP="00A705AA">
      <w:pPr>
        <w:jc w:val="center"/>
      </w:pPr>
      <w:r>
        <w:t xml:space="preserve">Source: </w:t>
      </w:r>
      <w:r w:rsidR="00FE694F">
        <w:t>Author’s Calculation</w:t>
      </w:r>
    </w:p>
    <w:p w:rsidR="00A705AA" w:rsidRDefault="00C32F20" w:rsidP="00510869">
      <w:pPr>
        <w:spacing w:line="360" w:lineRule="auto"/>
        <w:jc w:val="both"/>
      </w:pPr>
      <w:r>
        <w:t xml:space="preserve">The ratios above indicate that, the hotel is not performing well in generating profit. Specifically, during 2020, the </w:t>
      </w:r>
      <w:r w:rsidR="00E240BD">
        <w:t xml:space="preserve">gross profit margin declined by 47%. The other two ratios show a more alarming situation, which is, </w:t>
      </w:r>
      <w:r w:rsidR="0079148D">
        <w:t xml:space="preserve">that </w:t>
      </w:r>
      <w:r w:rsidR="00E240BD">
        <w:t xml:space="preserve">the net profit margin and ROCE became negative in 2020, showing a major fall </w:t>
      </w:r>
      <w:r w:rsidR="0079148D">
        <w:t>of</w:t>
      </w:r>
      <w:r w:rsidR="00E240BD">
        <w:t xml:space="preserve"> 278% and 125% respectively. </w:t>
      </w:r>
    </w:p>
    <w:p w:rsidR="00545198" w:rsidRDefault="00AD536F" w:rsidP="00AD536F">
      <w:pPr>
        <w:pStyle w:val="Heading2"/>
      </w:pPr>
      <w:bookmarkStart w:id="17" w:name="_Toc94728149"/>
      <w:bookmarkStart w:id="18" w:name="_Toc104625882"/>
      <w:r>
        <w:t>Liquidity</w:t>
      </w:r>
      <w:bookmarkEnd w:id="17"/>
      <w:bookmarkEnd w:id="18"/>
    </w:p>
    <w:p w:rsidR="006F6594" w:rsidRDefault="008316AE" w:rsidP="00510869">
      <w:pPr>
        <w:spacing w:line="360" w:lineRule="auto"/>
        <w:jc w:val="both"/>
      </w:pPr>
      <w:r>
        <w:t xml:space="preserve">Here goes the summary table </w:t>
      </w:r>
      <w:r w:rsidR="0079148D">
        <w:t>for</w:t>
      </w:r>
      <w:r>
        <w:t xml:space="preserve"> 2020 and 2019:</w:t>
      </w:r>
    </w:p>
    <w:p w:rsidR="002C155C" w:rsidRDefault="00F95134" w:rsidP="00AD536F">
      <w:pPr>
        <w:jc w:val="center"/>
      </w:pPr>
      <w:r w:rsidRPr="00F95134">
        <w:rPr>
          <w:noProof/>
          <w:lang w:val="en-GB" w:eastAsia="en-GB"/>
        </w:rPr>
        <w:drawing>
          <wp:inline distT="0" distB="0" distL="0" distR="0">
            <wp:extent cx="5943600" cy="15641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564136"/>
                    </a:xfrm>
                    <a:prstGeom prst="rect">
                      <a:avLst/>
                    </a:prstGeom>
                    <a:noFill/>
                    <a:ln>
                      <a:noFill/>
                    </a:ln>
                  </pic:spPr>
                </pic:pic>
              </a:graphicData>
            </a:graphic>
          </wp:inline>
        </w:drawing>
      </w:r>
    </w:p>
    <w:p w:rsidR="00AD536F" w:rsidRDefault="00AD536F" w:rsidP="00AD536F">
      <w:pPr>
        <w:jc w:val="center"/>
      </w:pPr>
      <w:r>
        <w:t xml:space="preserve">Table </w:t>
      </w:r>
      <w:r w:rsidR="00B81356">
        <w:t>10</w:t>
      </w:r>
      <w:r>
        <w:t xml:space="preserve">: </w:t>
      </w:r>
      <w:r w:rsidR="002C173D">
        <w:t>Liquidit</w:t>
      </w:r>
      <w:r>
        <w:t>y Ratios</w:t>
      </w:r>
    </w:p>
    <w:p w:rsidR="00AD536F" w:rsidRDefault="00AD536F" w:rsidP="00AD536F">
      <w:pPr>
        <w:jc w:val="center"/>
      </w:pPr>
      <w:r>
        <w:t xml:space="preserve">Source: </w:t>
      </w:r>
      <w:r w:rsidR="00FE694F">
        <w:t>Author’s Calculation</w:t>
      </w:r>
    </w:p>
    <w:p w:rsidR="00AD536F" w:rsidRDefault="00362769" w:rsidP="00510869">
      <w:pPr>
        <w:spacing w:line="360" w:lineRule="auto"/>
        <w:jc w:val="both"/>
      </w:pPr>
      <w:r>
        <w:lastRenderedPageBreak/>
        <w:t>This hotel is doing well in maintaining liquid assets, such as cash, receivables etc. The horizontal analysis shows clearly that, the liquidity situation has been improved from 2019 by 137%</w:t>
      </w:r>
      <w:r w:rsidR="00747189">
        <w:t xml:space="preserve"> and</w:t>
      </w:r>
      <w:r>
        <w:t xml:space="preserve"> it is closer to </w:t>
      </w:r>
      <w:r w:rsidR="0079148D">
        <w:t xml:space="preserve">the </w:t>
      </w:r>
      <w:r>
        <w:t>acceptance region. So, it can be said that, they are doing good while keeping the liquidity.</w:t>
      </w:r>
    </w:p>
    <w:p w:rsidR="00A705AA" w:rsidRDefault="00F15D95" w:rsidP="0086012F">
      <w:pPr>
        <w:spacing w:line="360" w:lineRule="auto"/>
        <w:jc w:val="both"/>
      </w:pPr>
      <w:r>
        <w:t xml:space="preserve">In addition to these ratios, debtors and creditors ratios show that, Hilton possesses good </w:t>
      </w:r>
      <w:r w:rsidR="0079148D">
        <w:t>capa</w:t>
      </w:r>
      <w:r>
        <w:t xml:space="preserve">bility while repaying </w:t>
      </w:r>
      <w:r w:rsidR="0079148D">
        <w:t xml:space="preserve">the </w:t>
      </w:r>
      <w:r>
        <w:t>debts of the creditors. But the capacity has decreased by 40% from 2019. Again, its collection days from the debtors have decreased</w:t>
      </w:r>
      <w:r w:rsidR="004B70F3">
        <w:t xml:space="preserve"> by 39%. So, it reflects the good capacity to pay instant liquid asset needs by the company.</w:t>
      </w:r>
    </w:p>
    <w:p w:rsidR="006E5DC9" w:rsidRDefault="006E5DC9" w:rsidP="006E5DC9">
      <w:pPr>
        <w:pStyle w:val="Heading2"/>
      </w:pPr>
      <w:bookmarkStart w:id="19" w:name="_Toc94728150"/>
      <w:bookmarkStart w:id="20" w:name="_Toc104625883"/>
      <w:r>
        <w:t>Gearing</w:t>
      </w:r>
      <w:bookmarkEnd w:id="19"/>
      <w:bookmarkEnd w:id="20"/>
    </w:p>
    <w:p w:rsidR="006E5DC9" w:rsidRDefault="00576CA4" w:rsidP="006E5DC9">
      <w:pPr>
        <w:spacing w:line="360" w:lineRule="auto"/>
        <w:jc w:val="both"/>
      </w:pPr>
      <w:r>
        <w:t>Following is the horizontal ratio summary</w:t>
      </w:r>
      <w:r w:rsidR="006E5DC9">
        <w:t>:</w:t>
      </w:r>
    </w:p>
    <w:p w:rsidR="002C155C" w:rsidRDefault="00F95134" w:rsidP="00AD3CB9">
      <w:pPr>
        <w:jc w:val="center"/>
      </w:pPr>
      <w:r w:rsidRPr="00F95134">
        <w:rPr>
          <w:noProof/>
          <w:lang w:val="en-GB" w:eastAsia="en-GB"/>
        </w:rPr>
        <w:drawing>
          <wp:inline distT="0" distB="0" distL="0" distR="0">
            <wp:extent cx="5943600" cy="10178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1017838"/>
                    </a:xfrm>
                    <a:prstGeom prst="rect">
                      <a:avLst/>
                    </a:prstGeom>
                    <a:noFill/>
                    <a:ln>
                      <a:noFill/>
                    </a:ln>
                  </pic:spPr>
                </pic:pic>
              </a:graphicData>
            </a:graphic>
          </wp:inline>
        </w:drawing>
      </w:r>
    </w:p>
    <w:p w:rsidR="00AD3CB9" w:rsidRDefault="00AD3CB9" w:rsidP="00AD3CB9">
      <w:pPr>
        <w:jc w:val="center"/>
      </w:pPr>
      <w:r>
        <w:t xml:space="preserve">Table </w:t>
      </w:r>
      <w:r w:rsidR="00B81356">
        <w:t>11</w:t>
      </w:r>
      <w:r>
        <w:t>: Gearing Ratios</w:t>
      </w:r>
    </w:p>
    <w:p w:rsidR="00AD3CB9" w:rsidRDefault="00AD3CB9" w:rsidP="00AD3CB9">
      <w:pPr>
        <w:jc w:val="center"/>
      </w:pPr>
      <w:r>
        <w:t xml:space="preserve">Source: </w:t>
      </w:r>
      <w:r w:rsidR="00DA692B">
        <w:t>Author’s Calculation</w:t>
      </w:r>
    </w:p>
    <w:p w:rsidR="005B6B55" w:rsidRDefault="00C323AC" w:rsidP="005B6B55">
      <w:pPr>
        <w:spacing w:line="360" w:lineRule="auto"/>
        <w:jc w:val="both"/>
        <w:rPr>
          <w:rFonts w:cs="Arial"/>
        </w:rPr>
      </w:pPr>
      <w:r>
        <w:rPr>
          <w:rFonts w:cs="Arial"/>
        </w:rPr>
        <w:t>As the debt ratio is too high at 61%, in 2020, it means that, the company is pu</w:t>
      </w:r>
      <w:r w:rsidR="009E6EA4">
        <w:rPr>
          <w:rFonts w:cs="Arial"/>
        </w:rPr>
        <w:t>tting more e</w:t>
      </w:r>
      <w:r>
        <w:rPr>
          <w:rFonts w:cs="Arial"/>
        </w:rPr>
        <w:t xml:space="preserve">mphasis on increasing </w:t>
      </w:r>
      <w:r w:rsidR="0079148D">
        <w:rPr>
          <w:rFonts w:cs="Arial"/>
        </w:rPr>
        <w:t xml:space="preserve">the </w:t>
      </w:r>
      <w:r>
        <w:rPr>
          <w:rFonts w:cs="Arial"/>
        </w:rPr>
        <w:t xml:space="preserve">weight </w:t>
      </w:r>
      <w:r w:rsidR="00CC325B">
        <w:rPr>
          <w:rFonts w:cs="Arial"/>
        </w:rPr>
        <w:t>of debts</w:t>
      </w:r>
      <w:r w:rsidR="008043BB">
        <w:rPr>
          <w:rFonts w:cs="Arial"/>
        </w:rPr>
        <w:t xml:space="preserve">. This is evident from the percentage change from 2019 to 2020 too. This increase may possess </w:t>
      </w:r>
      <w:r w:rsidR="0079148D">
        <w:rPr>
          <w:rFonts w:cs="Arial"/>
        </w:rPr>
        <w:t xml:space="preserve">a </w:t>
      </w:r>
      <w:r w:rsidR="008043BB">
        <w:rPr>
          <w:rFonts w:cs="Arial"/>
        </w:rPr>
        <w:t>significant impact as it will increase both costs and liabilities in future. From the interest coverage ratio, it is clear that, the company is not capable enough to pay the interests. So, they should try to reduce the debt amount to avoid collapse in near</w:t>
      </w:r>
      <w:r w:rsidR="00443917">
        <w:rPr>
          <w:rFonts w:cs="Arial"/>
        </w:rPr>
        <w:t xml:space="preserve"> future.</w:t>
      </w:r>
      <w:bookmarkStart w:id="21" w:name="_Toc94728151"/>
    </w:p>
    <w:p w:rsidR="005B6B55" w:rsidRDefault="005B6B55" w:rsidP="005B6B55">
      <w:pPr>
        <w:spacing w:line="360" w:lineRule="auto"/>
        <w:jc w:val="both"/>
        <w:rPr>
          <w:rFonts w:cs="Arial"/>
        </w:rPr>
      </w:pPr>
    </w:p>
    <w:p w:rsidR="005B6B55" w:rsidRDefault="005B6B55" w:rsidP="005B6B55">
      <w:pPr>
        <w:spacing w:line="360" w:lineRule="auto"/>
        <w:jc w:val="both"/>
        <w:rPr>
          <w:rFonts w:cs="Arial"/>
        </w:rPr>
      </w:pPr>
    </w:p>
    <w:p w:rsidR="005B6B55" w:rsidRDefault="005B6B55" w:rsidP="005B6B55">
      <w:pPr>
        <w:spacing w:line="360" w:lineRule="auto"/>
        <w:jc w:val="both"/>
        <w:rPr>
          <w:rFonts w:cs="Arial"/>
        </w:rPr>
      </w:pPr>
    </w:p>
    <w:p w:rsidR="005B6B55" w:rsidRDefault="005B6B55" w:rsidP="005B6B55">
      <w:pPr>
        <w:spacing w:line="360" w:lineRule="auto"/>
        <w:jc w:val="both"/>
        <w:rPr>
          <w:rFonts w:cs="Arial"/>
        </w:rPr>
      </w:pPr>
    </w:p>
    <w:p w:rsidR="003116C1" w:rsidRDefault="003116C1" w:rsidP="005B6B55">
      <w:pPr>
        <w:pStyle w:val="Heading1"/>
      </w:pPr>
      <w:bookmarkStart w:id="22" w:name="_Toc104625884"/>
      <w:r>
        <w:lastRenderedPageBreak/>
        <w:t>Importance of Using Ratio Analysis</w:t>
      </w:r>
      <w:bookmarkEnd w:id="22"/>
    </w:p>
    <w:p w:rsidR="00165606" w:rsidRDefault="00165606" w:rsidP="00BB5FEF">
      <w:pPr>
        <w:spacing w:line="360" w:lineRule="auto"/>
        <w:jc w:val="both"/>
        <w:rPr>
          <w:rFonts w:cs="Arial"/>
        </w:rPr>
      </w:pPr>
      <w:r>
        <w:rPr>
          <w:rFonts w:cs="Arial"/>
        </w:rPr>
        <w:t xml:space="preserve">Hospitality industry is one of the most competitive industries in the world. Being a cyclical industry </w:t>
      </w:r>
      <w:r w:rsidR="0079148D">
        <w:rPr>
          <w:rFonts w:cs="Arial"/>
        </w:rPr>
        <w:t>that</w:t>
      </w:r>
      <w:r>
        <w:rPr>
          <w:rFonts w:cs="Arial"/>
        </w:rPr>
        <w:t xml:space="preserve"> heavily relies on economic, social, cultural and environmental changes, it is prone to </w:t>
      </w:r>
      <w:r w:rsidR="0079148D">
        <w:rPr>
          <w:rFonts w:cs="Arial"/>
        </w:rPr>
        <w:t xml:space="preserve">a </w:t>
      </w:r>
      <w:r>
        <w:rPr>
          <w:rFonts w:cs="Arial"/>
        </w:rPr>
        <w:t>sudden change in action</w:t>
      </w:r>
      <w:r w:rsidR="00C42EEA">
        <w:rPr>
          <w:rFonts w:cs="Arial"/>
        </w:rPr>
        <w:t xml:space="preserve"> (Al-Wattar et Al., 2019)</w:t>
      </w:r>
      <w:r>
        <w:rPr>
          <w:rFonts w:cs="Arial"/>
        </w:rPr>
        <w:t>. So, the key financial analysts need</w:t>
      </w:r>
      <w:r w:rsidR="0079148D">
        <w:rPr>
          <w:rFonts w:cs="Arial"/>
        </w:rPr>
        <w:t xml:space="preserve"> to</w:t>
      </w:r>
      <w:r>
        <w:rPr>
          <w:rFonts w:cs="Arial"/>
        </w:rPr>
        <w:t xml:space="preserve"> keep an eye on the performances of the hotels through ratio analysis. These analyses give them the ability to interpret data from financial </w:t>
      </w:r>
      <w:r w:rsidR="008B1418">
        <w:rPr>
          <w:rFonts w:cs="Arial"/>
        </w:rPr>
        <w:t>statements.</w:t>
      </w:r>
      <w:r w:rsidR="00167493">
        <w:rPr>
          <w:rFonts w:cs="Arial"/>
        </w:rPr>
        <w:t xml:space="preserve"> </w:t>
      </w:r>
      <w:r w:rsidR="00953A4A">
        <w:rPr>
          <w:rFonts w:cs="Arial"/>
        </w:rPr>
        <w:t>Following are the most significant necessities of ratio analysis:</w:t>
      </w:r>
    </w:p>
    <w:p w:rsidR="00A415DC" w:rsidRPr="00A415DC" w:rsidRDefault="00A415DC" w:rsidP="00BB5FEF">
      <w:pPr>
        <w:pStyle w:val="ListParagraph"/>
        <w:numPr>
          <w:ilvl w:val="0"/>
          <w:numId w:val="2"/>
        </w:numPr>
        <w:spacing w:line="360" w:lineRule="auto"/>
        <w:jc w:val="both"/>
        <w:rPr>
          <w:rFonts w:cs="Arial"/>
          <w:b/>
        </w:rPr>
      </w:pPr>
      <w:r w:rsidRPr="00A415DC">
        <w:rPr>
          <w:rFonts w:cs="Arial"/>
          <w:b/>
        </w:rPr>
        <w:t xml:space="preserve">Finding the True Picture of the Hotel- </w:t>
      </w:r>
      <w:r>
        <w:rPr>
          <w:rFonts w:cs="Arial"/>
        </w:rPr>
        <w:t>Horizontal ratio analysis shows the year</w:t>
      </w:r>
      <w:r w:rsidR="0079148D">
        <w:rPr>
          <w:rFonts w:cs="Arial"/>
        </w:rPr>
        <w:t>-by-</w:t>
      </w:r>
      <w:r>
        <w:rPr>
          <w:rFonts w:cs="Arial"/>
        </w:rPr>
        <w:t>year ratios’ changes in percentage amount. So, any drastic change can be identified easily and can open scopes for further research.</w:t>
      </w:r>
    </w:p>
    <w:p w:rsidR="00BB5FEF" w:rsidRDefault="00A415DC" w:rsidP="00BB5FEF">
      <w:pPr>
        <w:pStyle w:val="ListParagraph"/>
        <w:numPr>
          <w:ilvl w:val="0"/>
          <w:numId w:val="2"/>
        </w:numPr>
        <w:spacing w:line="360" w:lineRule="auto"/>
        <w:jc w:val="both"/>
        <w:rPr>
          <w:rFonts w:cs="Arial"/>
        </w:rPr>
      </w:pPr>
      <w:r>
        <w:rPr>
          <w:rFonts w:cs="Arial"/>
          <w:b/>
        </w:rPr>
        <w:t>Laying out Plans</w:t>
      </w:r>
      <w:r w:rsidR="00BB5FEF" w:rsidRPr="00E93BEF">
        <w:rPr>
          <w:rFonts w:cs="Arial"/>
          <w:b/>
        </w:rPr>
        <w:t xml:space="preserve">- </w:t>
      </w:r>
      <w:r>
        <w:rPr>
          <w:rFonts w:cs="Arial"/>
        </w:rPr>
        <w:t>Trend charts are prepared from the ratio analysis</w:t>
      </w:r>
      <w:r w:rsidR="00BB5FEF" w:rsidRPr="00E93BEF">
        <w:rPr>
          <w:rFonts w:cs="Arial"/>
        </w:rPr>
        <w:t>.</w:t>
      </w:r>
      <w:r>
        <w:rPr>
          <w:rFonts w:cs="Arial"/>
        </w:rPr>
        <w:t xml:space="preserve"> These charts help to compare results. For example, in this study, Hilton’s profitability has been changed negatively and it has changed very rapidly. It will help the management to find out the core problem and to solve them.</w:t>
      </w:r>
      <w:r w:rsidR="00BB5FEF" w:rsidRPr="00E93BEF">
        <w:rPr>
          <w:rFonts w:cs="Arial"/>
        </w:rPr>
        <w:t xml:space="preserve"> </w:t>
      </w:r>
    </w:p>
    <w:p w:rsidR="00BB5FEF" w:rsidRDefault="002A75AA" w:rsidP="00BB5FEF">
      <w:pPr>
        <w:pStyle w:val="ListParagraph"/>
        <w:numPr>
          <w:ilvl w:val="0"/>
          <w:numId w:val="2"/>
        </w:numPr>
        <w:spacing w:line="360" w:lineRule="auto"/>
        <w:jc w:val="both"/>
        <w:rPr>
          <w:rFonts w:cs="Arial"/>
        </w:rPr>
      </w:pPr>
      <w:r>
        <w:rPr>
          <w:rFonts w:cs="Arial"/>
          <w:b/>
        </w:rPr>
        <w:t>Continuity</w:t>
      </w:r>
      <w:r w:rsidR="00BB5FEF">
        <w:rPr>
          <w:rFonts w:cs="Arial"/>
          <w:b/>
        </w:rPr>
        <w:t xml:space="preserve">- </w:t>
      </w:r>
      <w:r w:rsidR="00BB5FEF">
        <w:rPr>
          <w:rFonts w:cs="Arial"/>
        </w:rPr>
        <w:t xml:space="preserve">Ratios </w:t>
      </w:r>
      <w:r>
        <w:rPr>
          <w:rFonts w:cs="Arial"/>
        </w:rPr>
        <w:t xml:space="preserve">are done constantly each year. It helps to keep a record of the track </w:t>
      </w:r>
      <w:r w:rsidR="0079148D">
        <w:rPr>
          <w:rFonts w:cs="Arial"/>
        </w:rPr>
        <w:t>of</w:t>
      </w:r>
      <w:r>
        <w:rPr>
          <w:rFonts w:cs="Arial"/>
        </w:rPr>
        <w:t xml:space="preserve"> how the hotel has performed previously. Also, it helps to compare the result regularly with the peer companies and overall industry data</w:t>
      </w:r>
      <w:r w:rsidR="00BB5FEF">
        <w:rPr>
          <w:rFonts w:cs="Arial"/>
        </w:rPr>
        <w:t xml:space="preserve">. </w:t>
      </w:r>
    </w:p>
    <w:p w:rsidR="00C67BE5" w:rsidRDefault="00C67BE5" w:rsidP="00BB5FEF">
      <w:pPr>
        <w:pStyle w:val="ListParagraph"/>
        <w:numPr>
          <w:ilvl w:val="0"/>
          <w:numId w:val="2"/>
        </w:numPr>
        <w:spacing w:line="360" w:lineRule="auto"/>
        <w:jc w:val="both"/>
        <w:rPr>
          <w:rFonts w:cs="Arial"/>
        </w:rPr>
      </w:pPr>
      <w:r>
        <w:rPr>
          <w:rFonts w:cs="Arial"/>
          <w:b/>
        </w:rPr>
        <w:t>Budgeting-</w:t>
      </w:r>
      <w:r>
        <w:rPr>
          <w:rFonts w:cs="Arial"/>
        </w:rPr>
        <w:t xml:space="preserve"> </w:t>
      </w:r>
      <w:r w:rsidR="0019166D">
        <w:rPr>
          <w:rFonts w:cs="Arial"/>
        </w:rPr>
        <w:t>Ratio analysis helps to find out whether the company is managing money properly</w:t>
      </w:r>
      <w:r w:rsidR="00E03857">
        <w:rPr>
          <w:rFonts w:cs="Arial"/>
        </w:rPr>
        <w:t xml:space="preserve"> (Gemer et Al., 2019)</w:t>
      </w:r>
      <w:r w:rsidR="0019166D">
        <w:rPr>
          <w:rFonts w:cs="Arial"/>
        </w:rPr>
        <w:t>. For example, if it is spending more than it is generating, then there might be some need o</w:t>
      </w:r>
      <w:r w:rsidR="005426D2">
        <w:rPr>
          <w:rFonts w:cs="Arial"/>
        </w:rPr>
        <w:t>f</w:t>
      </w:r>
      <w:r w:rsidR="0019166D">
        <w:rPr>
          <w:rFonts w:cs="Arial"/>
        </w:rPr>
        <w:t xml:space="preserve"> cost</w:t>
      </w:r>
      <w:r w:rsidR="0079148D">
        <w:rPr>
          <w:rFonts w:cs="Arial"/>
        </w:rPr>
        <w:t>-</w:t>
      </w:r>
      <w:r w:rsidR="0019166D">
        <w:rPr>
          <w:rFonts w:cs="Arial"/>
        </w:rPr>
        <w:t>cutting.</w:t>
      </w:r>
    </w:p>
    <w:p w:rsidR="00033F83" w:rsidRPr="00033F83" w:rsidRDefault="00033F83" w:rsidP="00033F83">
      <w:pPr>
        <w:pStyle w:val="ListParagraph"/>
        <w:numPr>
          <w:ilvl w:val="0"/>
          <w:numId w:val="2"/>
        </w:numPr>
        <w:spacing w:line="360" w:lineRule="auto"/>
        <w:jc w:val="both"/>
        <w:rPr>
          <w:rFonts w:cs="Arial"/>
        </w:rPr>
      </w:pPr>
      <w:r>
        <w:rPr>
          <w:rFonts w:cs="Arial"/>
          <w:b/>
        </w:rPr>
        <w:t>Financial Efficiency Measurement-</w:t>
      </w:r>
      <w:r>
        <w:rPr>
          <w:rFonts w:cs="Arial"/>
        </w:rPr>
        <w:t xml:space="preserve"> Liquidity and solvency ratios help to find out the efficiency of the company to measure the capability of paying long and short-term debts. Also, it keeps checking the level of assets against liabilities and vice versa.</w:t>
      </w:r>
    </w:p>
    <w:p w:rsidR="00F35A18" w:rsidRDefault="004D26CF" w:rsidP="00F35A18">
      <w:pPr>
        <w:spacing w:line="360" w:lineRule="auto"/>
        <w:jc w:val="both"/>
        <w:rPr>
          <w:rFonts w:cs="Arial"/>
        </w:rPr>
      </w:pPr>
      <w:r>
        <w:rPr>
          <w:rFonts w:cs="Arial"/>
        </w:rPr>
        <w:t xml:space="preserve">So, these are the core </w:t>
      </w:r>
      <w:r w:rsidR="0026245B">
        <w:rPr>
          <w:rFonts w:cs="Arial"/>
        </w:rPr>
        <w:t>issues of using ratio analysis.</w:t>
      </w:r>
    </w:p>
    <w:p w:rsidR="0026245B" w:rsidRDefault="0026245B" w:rsidP="00F35A18">
      <w:pPr>
        <w:spacing w:line="360" w:lineRule="auto"/>
        <w:jc w:val="both"/>
        <w:rPr>
          <w:rFonts w:cs="Arial"/>
        </w:rPr>
      </w:pPr>
    </w:p>
    <w:p w:rsidR="00F35A18" w:rsidRDefault="00F35A18" w:rsidP="00F35A18">
      <w:pPr>
        <w:pStyle w:val="Heading1"/>
      </w:pPr>
      <w:bookmarkStart w:id="23" w:name="_Toc104625885"/>
      <w:r>
        <w:lastRenderedPageBreak/>
        <w:t>Limitations of Ratio Analysis</w:t>
      </w:r>
      <w:bookmarkEnd w:id="23"/>
    </w:p>
    <w:p w:rsidR="00F35A18" w:rsidRDefault="00F35A18" w:rsidP="00F35A18">
      <w:pPr>
        <w:spacing w:line="360" w:lineRule="auto"/>
        <w:jc w:val="both"/>
        <w:rPr>
          <w:rFonts w:cs="Arial"/>
        </w:rPr>
      </w:pPr>
      <w:r>
        <w:rPr>
          <w:rFonts w:cs="Arial"/>
        </w:rPr>
        <w:t xml:space="preserve">Though ratio analysis brings in </w:t>
      </w:r>
      <w:r w:rsidR="0079148D">
        <w:rPr>
          <w:rFonts w:cs="Arial"/>
        </w:rPr>
        <w:t>several</w:t>
      </w:r>
      <w:r>
        <w:rPr>
          <w:rFonts w:cs="Arial"/>
        </w:rPr>
        <w:t xml:space="preserve"> great conveniences, it is not free of limitations too. Some of them are: </w:t>
      </w:r>
    </w:p>
    <w:p w:rsidR="00171FE8" w:rsidRDefault="00171FE8" w:rsidP="00171FE8">
      <w:pPr>
        <w:pStyle w:val="ListParagraph"/>
        <w:numPr>
          <w:ilvl w:val="0"/>
          <w:numId w:val="4"/>
        </w:numPr>
        <w:spacing w:line="360" w:lineRule="auto"/>
        <w:jc w:val="both"/>
        <w:rPr>
          <w:rFonts w:cs="Arial"/>
        </w:rPr>
      </w:pPr>
      <w:r>
        <w:rPr>
          <w:rFonts w:cs="Arial"/>
        </w:rPr>
        <w:t xml:space="preserve">Any mistakes while calculating the ratios can lead to wrong answer production. </w:t>
      </w:r>
    </w:p>
    <w:p w:rsidR="00171FE8" w:rsidRDefault="00171FE8" w:rsidP="00171FE8">
      <w:pPr>
        <w:pStyle w:val="ListParagraph"/>
        <w:numPr>
          <w:ilvl w:val="0"/>
          <w:numId w:val="4"/>
        </w:numPr>
        <w:spacing w:line="360" w:lineRule="auto"/>
        <w:jc w:val="both"/>
        <w:rPr>
          <w:rFonts w:cs="Arial"/>
        </w:rPr>
      </w:pPr>
      <w:r>
        <w:rPr>
          <w:rFonts w:cs="Arial"/>
        </w:rPr>
        <w:t xml:space="preserve">Ratio analysis is purely based on previous data. Due to economic, social and other reasons, significant change might happen in </w:t>
      </w:r>
      <w:r w:rsidR="0079148D">
        <w:rPr>
          <w:rFonts w:cs="Arial"/>
        </w:rPr>
        <w:t xml:space="preserve">the </w:t>
      </w:r>
      <w:r>
        <w:rPr>
          <w:rFonts w:cs="Arial"/>
        </w:rPr>
        <w:t>future</w:t>
      </w:r>
      <w:r w:rsidR="00E03857">
        <w:rPr>
          <w:rFonts w:cs="Arial"/>
        </w:rPr>
        <w:t xml:space="preserve"> (Valaskova et Al., 2018)</w:t>
      </w:r>
      <w:r>
        <w:rPr>
          <w:rFonts w:cs="Arial"/>
        </w:rPr>
        <w:t>. So, it cannot give absolute certainty.</w:t>
      </w:r>
    </w:p>
    <w:p w:rsidR="00171FE8" w:rsidRDefault="00171FE8" w:rsidP="00171FE8">
      <w:pPr>
        <w:pStyle w:val="ListParagraph"/>
        <w:numPr>
          <w:ilvl w:val="0"/>
          <w:numId w:val="4"/>
        </w:numPr>
        <w:spacing w:line="360" w:lineRule="auto"/>
        <w:jc w:val="both"/>
        <w:rPr>
          <w:rFonts w:cs="Arial"/>
        </w:rPr>
      </w:pPr>
      <w:r>
        <w:rPr>
          <w:rFonts w:cs="Arial"/>
        </w:rPr>
        <w:t>Accounting practices differ from compan</w:t>
      </w:r>
      <w:r w:rsidR="0079148D">
        <w:rPr>
          <w:rFonts w:cs="Arial"/>
        </w:rPr>
        <w:t>y</w:t>
      </w:r>
      <w:r>
        <w:rPr>
          <w:rFonts w:cs="Arial"/>
        </w:rPr>
        <w:t xml:space="preserve"> to compan</w:t>
      </w:r>
      <w:r w:rsidR="0079148D">
        <w:rPr>
          <w:rFonts w:cs="Arial"/>
        </w:rPr>
        <w:t>y</w:t>
      </w:r>
      <w:r>
        <w:rPr>
          <w:rFonts w:cs="Arial"/>
        </w:rPr>
        <w:t xml:space="preserve">. Therefore, comparing one to another needs </w:t>
      </w:r>
      <w:r w:rsidR="0079148D">
        <w:rPr>
          <w:rFonts w:cs="Arial"/>
        </w:rPr>
        <w:t xml:space="preserve">a </w:t>
      </w:r>
      <w:r>
        <w:rPr>
          <w:rFonts w:cs="Arial"/>
        </w:rPr>
        <w:t>special analytical skill</w:t>
      </w:r>
      <w:r w:rsidR="0079148D">
        <w:rPr>
          <w:rFonts w:cs="Arial"/>
        </w:rPr>
        <w:t xml:space="preserve"> </w:t>
      </w:r>
      <w:r>
        <w:rPr>
          <w:rFonts w:cs="Arial"/>
        </w:rPr>
        <w:t>set w</w:t>
      </w:r>
      <w:r w:rsidR="0079148D">
        <w:rPr>
          <w:rFonts w:cs="Arial"/>
        </w:rPr>
        <w:t>h</w:t>
      </w:r>
      <w:r>
        <w:rPr>
          <w:rFonts w:cs="Arial"/>
        </w:rPr>
        <w:t xml:space="preserve">ich may not be always available, which may lead to </w:t>
      </w:r>
      <w:r w:rsidR="0079148D">
        <w:rPr>
          <w:rFonts w:cs="Arial"/>
        </w:rPr>
        <w:t xml:space="preserve">the </w:t>
      </w:r>
      <w:r>
        <w:rPr>
          <w:rFonts w:cs="Arial"/>
        </w:rPr>
        <w:t>wrong interpretation of data.</w:t>
      </w:r>
    </w:p>
    <w:p w:rsidR="00171FE8" w:rsidRDefault="0043058C" w:rsidP="00171FE8">
      <w:pPr>
        <w:pStyle w:val="ListParagraph"/>
        <w:numPr>
          <w:ilvl w:val="0"/>
          <w:numId w:val="4"/>
        </w:numPr>
        <w:spacing w:line="360" w:lineRule="auto"/>
        <w:jc w:val="both"/>
        <w:rPr>
          <w:rFonts w:cs="Arial"/>
        </w:rPr>
      </w:pPr>
      <w:r>
        <w:rPr>
          <w:rFonts w:cs="Arial"/>
        </w:rPr>
        <w:t>Sometimes, data might be manipulated in the source, which may create wrong assumptions and forecasting.</w:t>
      </w:r>
    </w:p>
    <w:p w:rsidR="00DA692B" w:rsidRDefault="005B0802" w:rsidP="00DA692B">
      <w:pPr>
        <w:spacing w:line="360" w:lineRule="auto"/>
        <w:jc w:val="both"/>
        <w:rPr>
          <w:rFonts w:cs="Arial"/>
        </w:rPr>
      </w:pPr>
      <w:r>
        <w:rPr>
          <w:rFonts w:cs="Arial"/>
        </w:rPr>
        <w:t>These are the limitations of ratio analysis.</w:t>
      </w: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26245B" w:rsidRDefault="0026245B" w:rsidP="00DA692B">
      <w:pPr>
        <w:spacing w:line="360" w:lineRule="auto"/>
        <w:jc w:val="both"/>
        <w:rPr>
          <w:rFonts w:cs="Arial"/>
        </w:rPr>
      </w:pPr>
    </w:p>
    <w:p w:rsidR="00C2097D" w:rsidRPr="005B6B55" w:rsidRDefault="0073640C" w:rsidP="00DA692B">
      <w:pPr>
        <w:pStyle w:val="Heading1"/>
        <w:rPr>
          <w:rFonts w:cs="Arial"/>
        </w:rPr>
      </w:pPr>
      <w:bookmarkStart w:id="24" w:name="_Toc104625886"/>
      <w:r>
        <w:lastRenderedPageBreak/>
        <w:t>The necessity</w:t>
      </w:r>
      <w:r w:rsidR="005B01C7">
        <w:t xml:space="preserve"> of Understanding</w:t>
      </w:r>
      <w:r w:rsidR="00B10B83">
        <w:t xml:space="preserve"> Ratio Analysis</w:t>
      </w:r>
      <w:bookmarkEnd w:id="21"/>
      <w:bookmarkEnd w:id="24"/>
    </w:p>
    <w:p w:rsidR="00852F68" w:rsidRDefault="00852F68" w:rsidP="00491D1C">
      <w:pPr>
        <w:spacing w:line="360" w:lineRule="auto"/>
        <w:jc w:val="both"/>
        <w:rPr>
          <w:rFonts w:cs="Arial"/>
        </w:rPr>
      </w:pPr>
      <w:r>
        <w:rPr>
          <w:rFonts w:cs="Arial"/>
        </w:rPr>
        <w:t xml:space="preserve">Ratio </w:t>
      </w:r>
      <w:r w:rsidR="0079148D">
        <w:rPr>
          <w:rFonts w:cs="Arial"/>
        </w:rPr>
        <w:t xml:space="preserve">and </w:t>
      </w:r>
      <w:r>
        <w:rPr>
          <w:rFonts w:cs="Arial"/>
        </w:rPr>
        <w:t xml:space="preserve">trend analysis help to see </w:t>
      </w:r>
      <w:r w:rsidR="0079148D">
        <w:rPr>
          <w:rFonts w:cs="Arial"/>
        </w:rPr>
        <w:t xml:space="preserve">the </w:t>
      </w:r>
      <w:r>
        <w:rPr>
          <w:rFonts w:cs="Arial"/>
        </w:rPr>
        <w:t xml:space="preserve">probable future </w:t>
      </w:r>
      <w:r w:rsidR="00CA68E1">
        <w:rPr>
          <w:rFonts w:cs="Arial"/>
        </w:rPr>
        <w:t>performance of a</w:t>
      </w:r>
      <w:r>
        <w:rPr>
          <w:rFonts w:cs="Arial"/>
        </w:rPr>
        <w:t xml:space="preserve"> company which may help to avoid any pro</w:t>
      </w:r>
      <w:r w:rsidR="00E30D0C">
        <w:rPr>
          <w:rFonts w:cs="Arial"/>
        </w:rPr>
        <w:t>b</w:t>
      </w:r>
      <w:r>
        <w:rPr>
          <w:rFonts w:cs="Arial"/>
        </w:rPr>
        <w:t xml:space="preserve">able financial </w:t>
      </w:r>
      <w:r w:rsidR="00E30D0C">
        <w:rPr>
          <w:rFonts w:cs="Arial"/>
        </w:rPr>
        <w:t xml:space="preserve">issues </w:t>
      </w:r>
      <w:r>
        <w:rPr>
          <w:rFonts w:cs="Arial"/>
        </w:rPr>
        <w:t>beforehand</w:t>
      </w:r>
      <w:r w:rsidR="00F60E4B">
        <w:rPr>
          <w:rFonts w:cs="Arial"/>
        </w:rPr>
        <w:t xml:space="preserve"> (Kim, 2018)</w:t>
      </w:r>
      <w:r>
        <w:rPr>
          <w:rFonts w:cs="Arial"/>
        </w:rPr>
        <w:t xml:space="preserve">.  </w:t>
      </w:r>
      <w:r w:rsidR="00B20BB3">
        <w:rPr>
          <w:rFonts w:cs="Arial"/>
        </w:rPr>
        <w:t xml:space="preserve">For example, in this study, it has been </w:t>
      </w:r>
      <w:r w:rsidR="00117928">
        <w:rPr>
          <w:rFonts w:cs="Arial"/>
        </w:rPr>
        <w:t>se</w:t>
      </w:r>
      <w:r w:rsidR="00B20BB3">
        <w:rPr>
          <w:rFonts w:cs="Arial"/>
        </w:rPr>
        <w:t xml:space="preserve">en that Hilton is heavily using </w:t>
      </w:r>
      <w:r w:rsidR="00EA2674">
        <w:rPr>
          <w:rFonts w:cs="Arial"/>
        </w:rPr>
        <w:t xml:space="preserve">debts. They have increased their leverage volume from 2019 to 2020. It may possess </w:t>
      </w:r>
      <w:r w:rsidR="0079148D">
        <w:rPr>
          <w:rFonts w:cs="Arial"/>
        </w:rPr>
        <w:t xml:space="preserve">a </w:t>
      </w:r>
      <w:r w:rsidR="00EA2674">
        <w:rPr>
          <w:rFonts w:cs="Arial"/>
        </w:rPr>
        <w:t xml:space="preserve">significant problem in </w:t>
      </w:r>
      <w:r w:rsidR="0079148D">
        <w:rPr>
          <w:rFonts w:cs="Arial"/>
        </w:rPr>
        <w:t xml:space="preserve">the </w:t>
      </w:r>
      <w:r w:rsidR="00EA2674">
        <w:rPr>
          <w:rFonts w:cs="Arial"/>
        </w:rPr>
        <w:t>future as they need to have a lot of money to repay them, which might become tough due to low profitability.</w:t>
      </w:r>
    </w:p>
    <w:p w:rsidR="00F6788F" w:rsidRDefault="00F6788F" w:rsidP="00491D1C">
      <w:pPr>
        <w:spacing w:line="360" w:lineRule="auto"/>
        <w:jc w:val="both"/>
        <w:rPr>
          <w:rFonts w:cs="Arial"/>
        </w:rPr>
      </w:pPr>
      <w:r>
        <w:rPr>
          <w:rFonts w:cs="Arial"/>
        </w:rPr>
        <w:t>Like this, m</w:t>
      </w:r>
      <w:r w:rsidR="0079148D">
        <w:rPr>
          <w:rFonts w:cs="Arial"/>
        </w:rPr>
        <w:t>uch</w:t>
      </w:r>
      <w:r>
        <w:rPr>
          <w:rFonts w:cs="Arial"/>
        </w:rPr>
        <w:t xml:space="preserve"> other knowledge can be attained from this analysis, which </w:t>
      </w:r>
      <w:r w:rsidR="0079148D">
        <w:rPr>
          <w:rFonts w:cs="Arial"/>
        </w:rPr>
        <w:t>is</w:t>
      </w:r>
      <w:r>
        <w:rPr>
          <w:rFonts w:cs="Arial"/>
        </w:rPr>
        <w:t xml:space="preserve"> pointed </w:t>
      </w:r>
      <w:r w:rsidR="0079148D">
        <w:rPr>
          <w:rFonts w:cs="Arial"/>
        </w:rPr>
        <w:t xml:space="preserve">out </w:t>
      </w:r>
      <w:r>
        <w:rPr>
          <w:rFonts w:cs="Arial"/>
        </w:rPr>
        <w:t>here</w:t>
      </w:r>
      <w:r w:rsidR="00E03857">
        <w:rPr>
          <w:rFonts w:cs="Arial"/>
        </w:rPr>
        <w:t xml:space="preserve"> (Li, 2019)</w:t>
      </w:r>
      <w:r>
        <w:rPr>
          <w:rFonts w:cs="Arial"/>
        </w:rPr>
        <w:t>:</w:t>
      </w:r>
    </w:p>
    <w:p w:rsidR="00C45ADE" w:rsidRDefault="00C45ADE" w:rsidP="00C45ADE">
      <w:pPr>
        <w:pStyle w:val="ListParagraph"/>
        <w:numPr>
          <w:ilvl w:val="0"/>
          <w:numId w:val="5"/>
        </w:numPr>
        <w:spacing w:line="360" w:lineRule="auto"/>
        <w:jc w:val="both"/>
        <w:rPr>
          <w:rFonts w:cs="Arial"/>
        </w:rPr>
      </w:pPr>
      <w:r>
        <w:rPr>
          <w:rFonts w:cs="Arial"/>
        </w:rPr>
        <w:t>To gain knowledge of the operational efficiency</w:t>
      </w:r>
    </w:p>
    <w:p w:rsidR="00C45ADE" w:rsidRDefault="00FA6B5C" w:rsidP="00C45ADE">
      <w:pPr>
        <w:pStyle w:val="ListParagraph"/>
        <w:numPr>
          <w:ilvl w:val="0"/>
          <w:numId w:val="5"/>
        </w:numPr>
        <w:spacing w:line="360" w:lineRule="auto"/>
        <w:jc w:val="both"/>
        <w:rPr>
          <w:rFonts w:cs="Arial"/>
        </w:rPr>
      </w:pPr>
      <w:r>
        <w:rPr>
          <w:rFonts w:cs="Arial"/>
        </w:rPr>
        <w:t>To analy</w:t>
      </w:r>
      <w:r w:rsidR="00C45ADE">
        <w:rPr>
          <w:rFonts w:cs="Arial"/>
        </w:rPr>
        <w:t>s</w:t>
      </w:r>
      <w:r>
        <w:rPr>
          <w:rFonts w:cs="Arial"/>
        </w:rPr>
        <w:t>is</w:t>
      </w:r>
      <w:r w:rsidR="00C45ADE">
        <w:rPr>
          <w:rFonts w:cs="Arial"/>
        </w:rPr>
        <w:t xml:space="preserve"> the ability to generate profits</w:t>
      </w:r>
    </w:p>
    <w:p w:rsidR="00C45ADE" w:rsidRDefault="00C45ADE" w:rsidP="00C45ADE">
      <w:pPr>
        <w:pStyle w:val="ListParagraph"/>
        <w:numPr>
          <w:ilvl w:val="0"/>
          <w:numId w:val="5"/>
        </w:numPr>
        <w:spacing w:line="360" w:lineRule="auto"/>
        <w:jc w:val="both"/>
        <w:rPr>
          <w:rFonts w:cs="Arial"/>
        </w:rPr>
      </w:pPr>
      <w:r>
        <w:rPr>
          <w:rFonts w:cs="Arial"/>
        </w:rPr>
        <w:t xml:space="preserve">To predict the near future change </w:t>
      </w:r>
      <w:r w:rsidR="0079148D">
        <w:rPr>
          <w:rFonts w:cs="Arial"/>
        </w:rPr>
        <w:t>in</w:t>
      </w:r>
      <w:r>
        <w:rPr>
          <w:rFonts w:cs="Arial"/>
        </w:rPr>
        <w:t xml:space="preserve"> trends and activities of </w:t>
      </w:r>
      <w:r w:rsidR="0079148D">
        <w:rPr>
          <w:rFonts w:cs="Arial"/>
        </w:rPr>
        <w:t xml:space="preserve">the </w:t>
      </w:r>
      <w:r>
        <w:rPr>
          <w:rFonts w:cs="Arial"/>
        </w:rPr>
        <w:t>industry</w:t>
      </w:r>
    </w:p>
    <w:p w:rsidR="00C45ADE" w:rsidRDefault="00C45ADE" w:rsidP="00C45ADE">
      <w:pPr>
        <w:pStyle w:val="ListParagraph"/>
        <w:numPr>
          <w:ilvl w:val="0"/>
          <w:numId w:val="5"/>
        </w:numPr>
        <w:spacing w:line="360" w:lineRule="auto"/>
        <w:jc w:val="both"/>
        <w:rPr>
          <w:rFonts w:cs="Arial"/>
        </w:rPr>
      </w:pPr>
      <w:r>
        <w:rPr>
          <w:rFonts w:cs="Arial"/>
        </w:rPr>
        <w:t>To compare against peer groups and industry data</w:t>
      </w:r>
    </w:p>
    <w:p w:rsidR="00C45ADE" w:rsidRDefault="00C45ADE" w:rsidP="00C45ADE">
      <w:pPr>
        <w:pStyle w:val="ListParagraph"/>
        <w:numPr>
          <w:ilvl w:val="0"/>
          <w:numId w:val="5"/>
        </w:numPr>
        <w:spacing w:line="360" w:lineRule="auto"/>
        <w:jc w:val="both"/>
        <w:rPr>
          <w:rFonts w:cs="Arial"/>
        </w:rPr>
      </w:pPr>
      <w:r>
        <w:rPr>
          <w:rFonts w:cs="Arial"/>
        </w:rPr>
        <w:t>To identify proper reasons behind any significant change</w:t>
      </w:r>
    </w:p>
    <w:p w:rsidR="00C45ADE" w:rsidRDefault="00C45ADE" w:rsidP="00C45ADE">
      <w:pPr>
        <w:pStyle w:val="ListParagraph"/>
        <w:numPr>
          <w:ilvl w:val="0"/>
          <w:numId w:val="5"/>
        </w:numPr>
        <w:spacing w:line="360" w:lineRule="auto"/>
        <w:jc w:val="both"/>
        <w:rPr>
          <w:rFonts w:cs="Arial"/>
        </w:rPr>
      </w:pPr>
      <w:r>
        <w:rPr>
          <w:rFonts w:cs="Arial"/>
        </w:rPr>
        <w:t>To prepare strategies and ensure managerial support</w:t>
      </w:r>
    </w:p>
    <w:p w:rsidR="00831555" w:rsidRDefault="003D298D" w:rsidP="00491D1C">
      <w:pPr>
        <w:spacing w:line="360" w:lineRule="auto"/>
        <w:jc w:val="both"/>
        <w:rPr>
          <w:rFonts w:cs="Arial"/>
        </w:rPr>
      </w:pPr>
      <w:r>
        <w:rPr>
          <w:rFonts w:cs="Arial"/>
        </w:rPr>
        <w:t xml:space="preserve">These are the reasons why ratio analysis should be </w:t>
      </w:r>
      <w:r w:rsidR="004A20BF">
        <w:rPr>
          <w:rFonts w:cs="Arial"/>
        </w:rPr>
        <w:t>d</w:t>
      </w:r>
      <w:r>
        <w:rPr>
          <w:rFonts w:cs="Arial"/>
        </w:rPr>
        <w:t>one properly.</w:t>
      </w:r>
    </w:p>
    <w:p w:rsidR="00831555" w:rsidRDefault="00831555">
      <w:pPr>
        <w:rPr>
          <w:rFonts w:cs="Arial"/>
        </w:rPr>
      </w:pPr>
      <w:r>
        <w:rPr>
          <w:rFonts w:cs="Arial"/>
        </w:rPr>
        <w:br w:type="page"/>
      </w:r>
    </w:p>
    <w:p w:rsidR="00831555" w:rsidRDefault="00831555" w:rsidP="00831555">
      <w:pPr>
        <w:pStyle w:val="Heading1"/>
      </w:pPr>
      <w:bookmarkStart w:id="25" w:name="_Toc94728153"/>
      <w:bookmarkStart w:id="26" w:name="_Toc104625887"/>
      <w:r>
        <w:lastRenderedPageBreak/>
        <w:t>Conclusion</w:t>
      </w:r>
      <w:bookmarkEnd w:id="25"/>
      <w:bookmarkEnd w:id="26"/>
    </w:p>
    <w:p w:rsidR="0064281B" w:rsidRDefault="0064281B" w:rsidP="00FB269F">
      <w:pPr>
        <w:spacing w:line="360" w:lineRule="auto"/>
        <w:jc w:val="both"/>
      </w:pPr>
      <w:r>
        <w:t xml:space="preserve">The main purpose of this study was to calculate several ratios and show their trend analysis for 2020 and 2019 Hilton Hotel. Additionally, it has discussed the importance, limitations and benefits of understanding ratio analysis in </w:t>
      </w:r>
      <w:r w:rsidR="0079148D">
        <w:t xml:space="preserve">the </w:t>
      </w:r>
      <w:r>
        <w:t>hospitality industry.</w:t>
      </w:r>
      <w:r w:rsidR="00E0032A">
        <w:t xml:space="preserve"> After the analysis and interpretations have been performed, it can be seen that, Hilton’s efficiency has significantly reduced from 2019 </w:t>
      </w:r>
      <w:r w:rsidR="0079148D">
        <w:t>to</w:t>
      </w:r>
      <w:r w:rsidR="00E0032A">
        <w:t xml:space="preserve"> 2020. The reason behind this might be the covid-19 pandemic, </w:t>
      </w:r>
      <w:r w:rsidR="003C2AE5">
        <w:t xml:space="preserve">which is needed to be researched further. As the analysis goes, Hilton is unable to generate positive profit and its revenue and net profits have declined. Additionally, from the gearing ratio, it has been seen that they are taking a lot of debts against assets and their profit is not enough to cover the costs. So, they need to manage business better to generate more profit. In terms of liquidity ratios, they are doing better than </w:t>
      </w:r>
      <w:r w:rsidR="0079148D">
        <w:t xml:space="preserve">in </w:t>
      </w:r>
      <w:r w:rsidR="003C2AE5">
        <w:t xml:space="preserve">2019, </w:t>
      </w:r>
      <w:r w:rsidR="0079148D">
        <w:t>e</w:t>
      </w:r>
      <w:r w:rsidR="003C2AE5" w:rsidRPr="003C2AE5">
        <w:rPr>
          <w:lang w:val="en-GB"/>
        </w:rPr>
        <w:t>specially</w:t>
      </w:r>
      <w:r w:rsidR="003C2AE5">
        <w:t xml:space="preserve"> in repaying loans to creditors. But as they are not as efficient to collect receivables, </w:t>
      </w:r>
      <w:r w:rsidR="0079148D">
        <w:t xml:space="preserve">a </w:t>
      </w:r>
      <w:r w:rsidR="003C2AE5">
        <w:t>proper strategy should be made to resolve debtor payment issue</w:t>
      </w:r>
      <w:r w:rsidR="0079148D">
        <w:t>s</w:t>
      </w:r>
      <w:r w:rsidR="003C2AE5">
        <w:t xml:space="preserve"> too.</w:t>
      </w:r>
    </w:p>
    <w:p w:rsidR="003C2AE5" w:rsidRDefault="003C2AE5" w:rsidP="00FB269F">
      <w:pPr>
        <w:spacing w:line="360" w:lineRule="auto"/>
        <w:jc w:val="both"/>
      </w:pPr>
    </w:p>
    <w:p w:rsidR="003C2AE5" w:rsidRDefault="00BC1E3C" w:rsidP="00FB269F">
      <w:pPr>
        <w:spacing w:line="360" w:lineRule="auto"/>
        <w:jc w:val="both"/>
      </w:pPr>
      <w:r>
        <w:t>;</w:t>
      </w: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3C2AE5" w:rsidRDefault="003C2AE5" w:rsidP="00FB269F">
      <w:pPr>
        <w:spacing w:line="360" w:lineRule="auto"/>
        <w:jc w:val="both"/>
      </w:pPr>
    </w:p>
    <w:p w:rsidR="00FB269F" w:rsidRDefault="00BC1E3C" w:rsidP="00FC5653">
      <w:pPr>
        <w:pStyle w:val="Heading1"/>
      </w:pPr>
      <w:r>
        <w:lastRenderedPageBreak/>
        <w:t>References:</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Al-Wattar, Y.M.A., Almagtome, A.H. and Al-Shafeay, K.M., 2019. The role of integrating hotel sustainability reporting practices into an Accounting Information System to enhance Hotel Financial Performance: Evidence from Iraq. </w:t>
      </w:r>
      <w:r w:rsidRPr="003B3127">
        <w:rPr>
          <w:rFonts w:eastAsia="Times New Roman" w:cs="Arial"/>
          <w:i/>
          <w:iCs/>
          <w:szCs w:val="24"/>
        </w:rPr>
        <w:t>African Journal of Hospitality, Tourism and Leisure</w:t>
      </w:r>
      <w:r w:rsidRPr="003B3127">
        <w:rPr>
          <w:rFonts w:eastAsia="Times New Roman" w:cs="Arial"/>
          <w:szCs w:val="24"/>
        </w:rPr>
        <w:t xml:space="preserve">, </w:t>
      </w:r>
      <w:r w:rsidRPr="003B3127">
        <w:rPr>
          <w:rFonts w:eastAsia="Times New Roman" w:cs="Arial"/>
          <w:i/>
          <w:iCs/>
          <w:szCs w:val="24"/>
        </w:rPr>
        <w:t>8</w:t>
      </w:r>
      <w:r w:rsidRPr="003B3127">
        <w:rPr>
          <w:rFonts w:eastAsia="Times New Roman" w:cs="Arial"/>
          <w:szCs w:val="24"/>
        </w:rPr>
        <w:t>(5), pp.1-16.</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Gemar, G., Soler, I.P. and Guzman-Parra, V.F., 2019. Predicting bankruptcy in resort hotels: a survival analysis. </w:t>
      </w:r>
      <w:r w:rsidRPr="003B3127">
        <w:rPr>
          <w:rFonts w:eastAsia="Times New Roman" w:cs="Arial"/>
          <w:i/>
          <w:iCs/>
          <w:szCs w:val="24"/>
        </w:rPr>
        <w:t>International Journal of Contemporary Hospitality Management</w:t>
      </w:r>
      <w:r w:rsidRPr="003B3127">
        <w:rPr>
          <w:rFonts w:eastAsia="Times New Roman" w:cs="Arial"/>
          <w:szCs w:val="24"/>
        </w:rPr>
        <w:t>.</w:t>
      </w:r>
    </w:p>
    <w:p w:rsidR="003B3127" w:rsidRPr="003B3127" w:rsidRDefault="003B3127" w:rsidP="003B3127">
      <w:pPr>
        <w:spacing w:after="120" w:line="360" w:lineRule="auto"/>
        <w:ind w:left="720" w:hanging="720"/>
        <w:jc w:val="both"/>
        <w:rPr>
          <w:rFonts w:cs="Arial"/>
        </w:rPr>
      </w:pPr>
      <w:r w:rsidRPr="003B3127">
        <w:rPr>
          <w:rFonts w:cs="Arial"/>
        </w:rPr>
        <w:t xml:space="preserve">Hilton.com 2022 </w:t>
      </w:r>
      <w:r w:rsidRPr="003B3127">
        <w:rPr>
          <w:rFonts w:cs="Arial"/>
          <w:i/>
        </w:rPr>
        <w:t xml:space="preserve">Our Brands. </w:t>
      </w:r>
      <w:r w:rsidRPr="003B3127">
        <w:rPr>
          <w:rFonts w:cs="Arial"/>
        </w:rPr>
        <w:t>[online] Availabe at: https://www.hilton.com/en/corporate/ Accessed: 15 May 2022.</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Hosaka, T 2019. Bankruptcy prediction using imaged financial ratios and convolutional neural networks. </w:t>
      </w:r>
      <w:r w:rsidRPr="003B3127">
        <w:rPr>
          <w:rFonts w:eastAsia="Times New Roman" w:cs="Arial"/>
          <w:i/>
          <w:iCs/>
          <w:szCs w:val="24"/>
        </w:rPr>
        <w:t>Expert systems with applications</w:t>
      </w:r>
      <w:r w:rsidRPr="003B3127">
        <w:rPr>
          <w:rFonts w:eastAsia="Times New Roman" w:cs="Arial"/>
          <w:szCs w:val="24"/>
        </w:rPr>
        <w:t xml:space="preserve">, </w:t>
      </w:r>
      <w:r w:rsidRPr="003B3127">
        <w:rPr>
          <w:rFonts w:eastAsia="Times New Roman" w:cs="Arial"/>
          <w:i/>
          <w:iCs/>
          <w:szCs w:val="24"/>
        </w:rPr>
        <w:t>117</w:t>
      </w:r>
      <w:r w:rsidRPr="003B3127">
        <w:rPr>
          <w:rFonts w:eastAsia="Times New Roman" w:cs="Arial"/>
          <w:szCs w:val="24"/>
        </w:rPr>
        <w:t>, pp.287-299.</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Kim, S.Y., 2018. Predicting hospitality financial distress with ensemble models: the case of US hotels, restaurants, and amusement and recreation. </w:t>
      </w:r>
      <w:r w:rsidRPr="003B3127">
        <w:rPr>
          <w:rFonts w:eastAsia="Times New Roman" w:cs="Arial"/>
          <w:i/>
          <w:iCs/>
          <w:szCs w:val="24"/>
        </w:rPr>
        <w:t>Service Business</w:t>
      </w:r>
      <w:r w:rsidRPr="003B3127">
        <w:rPr>
          <w:rFonts w:eastAsia="Times New Roman" w:cs="Arial"/>
          <w:szCs w:val="24"/>
        </w:rPr>
        <w:t xml:space="preserve">, </w:t>
      </w:r>
      <w:r w:rsidRPr="003B3127">
        <w:rPr>
          <w:rFonts w:eastAsia="Times New Roman" w:cs="Arial"/>
          <w:i/>
          <w:iCs/>
          <w:szCs w:val="24"/>
        </w:rPr>
        <w:t>12</w:t>
      </w:r>
      <w:r w:rsidRPr="003B3127">
        <w:rPr>
          <w:rFonts w:eastAsia="Times New Roman" w:cs="Arial"/>
          <w:szCs w:val="24"/>
        </w:rPr>
        <w:t>(3), pp.483-503.</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Li, J 2019, December. Research on Limitations of Financial Statement Analysis. In </w:t>
      </w:r>
      <w:r w:rsidRPr="003B3127">
        <w:rPr>
          <w:rFonts w:eastAsia="Times New Roman" w:cs="Arial"/>
          <w:i/>
          <w:iCs/>
          <w:szCs w:val="24"/>
        </w:rPr>
        <w:t>5th International Conference on Economics, Management, Law and Education (EMLE 2019)</w:t>
      </w:r>
      <w:r w:rsidRPr="003B3127">
        <w:rPr>
          <w:rFonts w:eastAsia="Times New Roman" w:cs="Arial"/>
          <w:szCs w:val="24"/>
        </w:rPr>
        <w:t xml:space="preserve"> (pp. 378-382). Atlantis Press.</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Moghaddam, A. and Abbaspour, N., 2017. The effect of leverage and liquidity ratios on earnings management and capital of banks listed on the Tehran Stock Exchange. </w:t>
      </w:r>
      <w:r w:rsidRPr="003B3127">
        <w:rPr>
          <w:rFonts w:eastAsia="Times New Roman" w:cs="Arial"/>
          <w:i/>
          <w:iCs/>
          <w:szCs w:val="24"/>
        </w:rPr>
        <w:t>International Review of Management and Marketing</w:t>
      </w:r>
      <w:r w:rsidRPr="003B3127">
        <w:rPr>
          <w:rFonts w:eastAsia="Times New Roman" w:cs="Arial"/>
          <w:szCs w:val="24"/>
        </w:rPr>
        <w:t xml:space="preserve">, </w:t>
      </w:r>
      <w:r w:rsidRPr="003B3127">
        <w:rPr>
          <w:rFonts w:eastAsia="Times New Roman" w:cs="Arial"/>
          <w:i/>
          <w:iCs/>
          <w:szCs w:val="24"/>
        </w:rPr>
        <w:t>7</w:t>
      </w:r>
      <w:r w:rsidRPr="003B3127">
        <w:rPr>
          <w:rFonts w:eastAsia="Times New Roman" w:cs="Arial"/>
          <w:szCs w:val="24"/>
        </w:rPr>
        <w:t>(4), p.99.</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Purba, J.H.V. and Septian, M.R 2019. Analysis of Short Term Financial Performance: A Case Study of an Energy Service Provider. </w:t>
      </w:r>
      <w:r w:rsidRPr="003B3127">
        <w:rPr>
          <w:rFonts w:eastAsia="Times New Roman" w:cs="Arial"/>
          <w:i/>
          <w:iCs/>
          <w:szCs w:val="24"/>
        </w:rPr>
        <w:t>Journal of Accounting Research, Organization and Economics</w:t>
      </w:r>
      <w:r w:rsidRPr="003B3127">
        <w:rPr>
          <w:rFonts w:eastAsia="Times New Roman" w:cs="Arial"/>
          <w:szCs w:val="24"/>
        </w:rPr>
        <w:t xml:space="preserve">, </w:t>
      </w:r>
      <w:r w:rsidRPr="003B3127">
        <w:rPr>
          <w:rFonts w:eastAsia="Times New Roman" w:cs="Arial"/>
          <w:i/>
          <w:iCs/>
          <w:szCs w:val="24"/>
        </w:rPr>
        <w:t>2</w:t>
      </w:r>
      <w:r w:rsidRPr="003B3127">
        <w:rPr>
          <w:rFonts w:eastAsia="Times New Roman" w:cs="Arial"/>
          <w:szCs w:val="24"/>
        </w:rPr>
        <w:t>(2), pp.113-122.</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Rahmawati, I.Y., 2020. The Effect of Profitability Ratio, Liquidity Ratio, Leverage Ratio, and Company Size on Sukuk Rating Corporation During 2014-2017 Periods. In </w:t>
      </w:r>
      <w:r w:rsidRPr="003B3127">
        <w:rPr>
          <w:rFonts w:eastAsia="Times New Roman" w:cs="Arial"/>
          <w:i/>
          <w:iCs/>
          <w:szCs w:val="24"/>
        </w:rPr>
        <w:t>SHS Web of Conferences</w:t>
      </w:r>
      <w:r w:rsidRPr="003B3127">
        <w:rPr>
          <w:rFonts w:eastAsia="Times New Roman" w:cs="Arial"/>
          <w:szCs w:val="24"/>
        </w:rPr>
        <w:t xml:space="preserve"> (Vol. 86, p. 01027). EDP Sciences.</w:t>
      </w:r>
    </w:p>
    <w:p w:rsid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Robinson, T.R., 2020. </w:t>
      </w:r>
      <w:r w:rsidRPr="003B3127">
        <w:rPr>
          <w:rFonts w:eastAsia="Times New Roman" w:cs="Arial"/>
          <w:i/>
          <w:szCs w:val="24"/>
        </w:rPr>
        <w:t>International financial statement analysis</w:t>
      </w:r>
      <w:r w:rsidRPr="003B3127">
        <w:rPr>
          <w:rFonts w:eastAsia="Times New Roman" w:cs="Arial"/>
          <w:szCs w:val="24"/>
        </w:rPr>
        <w:t>. John Wiley &amp; Sons.</w:t>
      </w:r>
    </w:p>
    <w:p w:rsidR="003B3127" w:rsidRPr="003B3127" w:rsidRDefault="003B3127" w:rsidP="003B3127">
      <w:pPr>
        <w:spacing w:after="120" w:line="360" w:lineRule="auto"/>
        <w:ind w:left="720" w:hanging="720"/>
        <w:rPr>
          <w:rFonts w:eastAsia="Times New Roman" w:cs="Arial"/>
          <w:szCs w:val="24"/>
        </w:rPr>
      </w:pPr>
      <w:r w:rsidRPr="003B3127">
        <w:rPr>
          <w:rFonts w:eastAsia="Times New Roman" w:cs="Arial"/>
          <w:szCs w:val="24"/>
        </w:rPr>
        <w:lastRenderedPageBreak/>
        <w:t xml:space="preserve">Sagala, D.A.P.H 2019, October. Effect of Current Ratio, Debt To Equity Ratio, Net Profit Margin, and Total Asset Turnover on Earning Per Share. In </w:t>
      </w:r>
      <w:r w:rsidRPr="003B3127">
        <w:rPr>
          <w:rFonts w:eastAsia="Times New Roman" w:cs="Arial"/>
          <w:i/>
          <w:iCs/>
          <w:szCs w:val="24"/>
        </w:rPr>
        <w:t>International Conference on Global Education</w:t>
      </w:r>
      <w:r w:rsidRPr="003B3127">
        <w:rPr>
          <w:rFonts w:eastAsia="Times New Roman" w:cs="Arial"/>
          <w:szCs w:val="24"/>
        </w:rPr>
        <w:t xml:space="preserve"> (pp. 1507-1521).</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Sudharto, S.V. and Salim, S., 2021. Efek Firm Size, Profitability, Gearing Ratio, Dan Public Ownership Terhadap Risk Disclosure. </w:t>
      </w:r>
      <w:r w:rsidRPr="003B3127">
        <w:rPr>
          <w:rFonts w:eastAsia="Times New Roman" w:cs="Arial"/>
          <w:i/>
          <w:iCs/>
          <w:szCs w:val="24"/>
        </w:rPr>
        <w:t>Jurnal Ekonomi</w:t>
      </w:r>
      <w:r w:rsidRPr="003B3127">
        <w:rPr>
          <w:rFonts w:eastAsia="Times New Roman" w:cs="Arial"/>
          <w:szCs w:val="24"/>
        </w:rPr>
        <w:t>, pp.125-143.</w:t>
      </w:r>
    </w:p>
    <w:p w:rsidR="003B3127" w:rsidRPr="003B3127" w:rsidRDefault="003B3127" w:rsidP="003B3127">
      <w:pPr>
        <w:spacing w:after="120" w:line="360" w:lineRule="auto"/>
        <w:ind w:left="720" w:hanging="720"/>
        <w:jc w:val="both"/>
        <w:rPr>
          <w:rFonts w:eastAsia="Times New Roman" w:cs="Arial"/>
          <w:szCs w:val="24"/>
        </w:rPr>
      </w:pPr>
      <w:r w:rsidRPr="003B3127">
        <w:rPr>
          <w:rFonts w:eastAsia="Times New Roman" w:cs="Arial"/>
          <w:szCs w:val="24"/>
        </w:rPr>
        <w:t xml:space="preserve">Valaskova, K., Kliestik, T. and Kovacova, M., 2018. Management of financial risks in Slovak enterprises using regression analysis. </w:t>
      </w:r>
      <w:r w:rsidRPr="003B3127">
        <w:rPr>
          <w:rFonts w:eastAsia="Times New Roman" w:cs="Arial"/>
          <w:i/>
          <w:iCs/>
          <w:szCs w:val="24"/>
        </w:rPr>
        <w:t>Oeconomia Copernicana</w:t>
      </w:r>
      <w:r w:rsidRPr="003B3127">
        <w:rPr>
          <w:rFonts w:eastAsia="Times New Roman" w:cs="Arial"/>
          <w:szCs w:val="24"/>
        </w:rPr>
        <w:t xml:space="preserve">, </w:t>
      </w:r>
      <w:r w:rsidRPr="003B3127">
        <w:rPr>
          <w:rFonts w:eastAsia="Times New Roman" w:cs="Arial"/>
          <w:i/>
          <w:iCs/>
          <w:szCs w:val="24"/>
        </w:rPr>
        <w:t>9</w:t>
      </w:r>
      <w:r w:rsidRPr="003B3127">
        <w:rPr>
          <w:rFonts w:eastAsia="Times New Roman" w:cs="Arial"/>
          <w:szCs w:val="24"/>
        </w:rPr>
        <w:t>(1), pp.105-121.</w:t>
      </w:r>
    </w:p>
    <w:p w:rsidR="009B42CE" w:rsidRPr="009B42CE" w:rsidRDefault="009B42CE" w:rsidP="009B42CE">
      <w:pPr>
        <w:spacing w:after="0" w:line="240" w:lineRule="auto"/>
        <w:rPr>
          <w:rFonts w:ascii="Times New Roman" w:eastAsia="Times New Roman" w:hAnsi="Times New Roman" w:cs="Times New Roman"/>
          <w:szCs w:val="24"/>
        </w:rPr>
      </w:pPr>
    </w:p>
    <w:p w:rsidR="009B42CE" w:rsidRPr="00D16C63" w:rsidRDefault="009B42CE" w:rsidP="00D16C63"/>
    <w:sectPr w:rsidR="009B42CE" w:rsidRPr="00D16C63" w:rsidSect="000D59D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7EAC" w:rsidRDefault="00C97EAC" w:rsidP="00FC5653">
      <w:pPr>
        <w:spacing w:after="0" w:line="240" w:lineRule="auto"/>
      </w:pPr>
      <w:r>
        <w:separator/>
      </w:r>
    </w:p>
  </w:endnote>
  <w:endnote w:type="continuationSeparator" w:id="0">
    <w:p w:rsidR="00C97EAC" w:rsidRDefault="00C97EAC" w:rsidP="00FC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07218766"/>
      <w:docPartObj>
        <w:docPartGallery w:val="Page Numbers (Bottom of Page)"/>
        <w:docPartUnique/>
      </w:docPartObj>
    </w:sdtPr>
    <w:sdtContent>
      <w:p w:rsidR="00632551" w:rsidRDefault="00632551" w:rsidP="008A10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32551" w:rsidRDefault="00632551" w:rsidP="0049141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153133270"/>
      <w:docPartObj>
        <w:docPartGallery w:val="Page Numbers (Bottom of Page)"/>
        <w:docPartUnique/>
      </w:docPartObj>
    </w:sdtPr>
    <w:sdtContent>
      <w:p w:rsidR="00632551" w:rsidRDefault="00632551" w:rsidP="008A10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632551" w:rsidRDefault="00632551" w:rsidP="00491418">
    <w:pPr>
      <w:pStyle w:val="Footer"/>
      <w:pBdr>
        <w:top w:val="single" w:sz="4" w:space="1" w:color="D9D9D9" w:themeColor="background1" w:themeShade="D9"/>
      </w:pBdr>
      <w:ind w:right="360"/>
      <w:jc w:val="right"/>
    </w:pPr>
  </w:p>
  <w:p w:rsidR="00632551" w:rsidRDefault="0063255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1749093"/>
      <w:docPartObj>
        <w:docPartGallery w:val="Page Numbers (Bottom of Page)"/>
        <w:docPartUnique/>
      </w:docPartObj>
    </w:sdtPr>
    <w:sdtEndPr>
      <w:rPr>
        <w:noProof/>
      </w:rPr>
    </w:sdtEndPr>
    <w:sdtContent>
      <w:p w:rsidR="004F4156" w:rsidRDefault="004F4156">
        <w:pPr>
          <w:pStyle w:val="Footer"/>
          <w:jc w:val="right"/>
        </w:pPr>
        <w:r>
          <w:fldChar w:fldCharType="begin"/>
        </w:r>
        <w:r>
          <w:instrText xml:space="preserve"> PAGE   \* MERGEFORMAT </w:instrText>
        </w:r>
        <w:r>
          <w:fldChar w:fldCharType="separate"/>
        </w:r>
        <w:r w:rsidR="00EE0BC3">
          <w:rPr>
            <w:noProof/>
          </w:rPr>
          <w:t>15</w:t>
        </w:r>
        <w:r>
          <w:rPr>
            <w:noProof/>
          </w:rPr>
          <w:fldChar w:fldCharType="end"/>
        </w:r>
      </w:p>
    </w:sdtContent>
  </w:sdt>
  <w:p w:rsidR="004F4156" w:rsidRDefault="004F41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7EAC" w:rsidRDefault="00C97EAC" w:rsidP="00FC5653">
      <w:pPr>
        <w:spacing w:after="0" w:line="240" w:lineRule="auto"/>
      </w:pPr>
      <w:r>
        <w:separator/>
      </w:r>
    </w:p>
  </w:footnote>
  <w:footnote w:type="continuationSeparator" w:id="0">
    <w:p w:rsidR="00C97EAC" w:rsidRDefault="00C97EAC" w:rsidP="00FC56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96DFB"/>
    <w:multiLevelType w:val="hybridMultilevel"/>
    <w:tmpl w:val="DEC022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9A35A85"/>
    <w:multiLevelType w:val="hybridMultilevel"/>
    <w:tmpl w:val="CAC6A36A"/>
    <w:lvl w:ilvl="0" w:tplc="4B4ABBE8">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F9B3A7E"/>
    <w:multiLevelType w:val="hybridMultilevel"/>
    <w:tmpl w:val="82C8C20A"/>
    <w:lvl w:ilvl="0" w:tplc="4B4ABBE8">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C4460D4"/>
    <w:multiLevelType w:val="hybridMultilevel"/>
    <w:tmpl w:val="EAE27F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8D5694"/>
    <w:multiLevelType w:val="hybridMultilevel"/>
    <w:tmpl w:val="797E678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sDCyNDI0sjC0NDYwNDJT0lEKTi0uzszPAykwrgUAGlhDPywAAAA="/>
  </w:docVars>
  <w:rsids>
    <w:rsidRoot w:val="000D59D5"/>
    <w:rsid w:val="00001C86"/>
    <w:rsid w:val="0000477E"/>
    <w:rsid w:val="000079B6"/>
    <w:rsid w:val="000131AC"/>
    <w:rsid w:val="00033F83"/>
    <w:rsid w:val="000433FE"/>
    <w:rsid w:val="00043F1D"/>
    <w:rsid w:val="00044721"/>
    <w:rsid w:val="00045774"/>
    <w:rsid w:val="000613CD"/>
    <w:rsid w:val="00073FB3"/>
    <w:rsid w:val="00097676"/>
    <w:rsid w:val="000C021B"/>
    <w:rsid w:val="000C0395"/>
    <w:rsid w:val="000D007A"/>
    <w:rsid w:val="000D0E35"/>
    <w:rsid w:val="000D27FA"/>
    <w:rsid w:val="000D59D5"/>
    <w:rsid w:val="000F08D7"/>
    <w:rsid w:val="000F6BC5"/>
    <w:rsid w:val="00117928"/>
    <w:rsid w:val="001225E0"/>
    <w:rsid w:val="00122B00"/>
    <w:rsid w:val="00131EE1"/>
    <w:rsid w:val="001344F1"/>
    <w:rsid w:val="00154F99"/>
    <w:rsid w:val="00165606"/>
    <w:rsid w:val="00167493"/>
    <w:rsid w:val="00171FE8"/>
    <w:rsid w:val="00176179"/>
    <w:rsid w:val="0018111A"/>
    <w:rsid w:val="00186F39"/>
    <w:rsid w:val="001915E3"/>
    <w:rsid w:val="0019166D"/>
    <w:rsid w:val="001B0E4A"/>
    <w:rsid w:val="001C17C3"/>
    <w:rsid w:val="001C1B04"/>
    <w:rsid w:val="001C3DBD"/>
    <w:rsid w:val="001D1076"/>
    <w:rsid w:val="001D2D90"/>
    <w:rsid w:val="001F11E0"/>
    <w:rsid w:val="0022149B"/>
    <w:rsid w:val="00224C2A"/>
    <w:rsid w:val="00230C9A"/>
    <w:rsid w:val="00244DFA"/>
    <w:rsid w:val="0026245B"/>
    <w:rsid w:val="00275C9C"/>
    <w:rsid w:val="00280239"/>
    <w:rsid w:val="00295086"/>
    <w:rsid w:val="002A642D"/>
    <w:rsid w:val="002A75AA"/>
    <w:rsid w:val="002B6393"/>
    <w:rsid w:val="002C155C"/>
    <w:rsid w:val="002C173D"/>
    <w:rsid w:val="002C4A8F"/>
    <w:rsid w:val="002D2866"/>
    <w:rsid w:val="002D5547"/>
    <w:rsid w:val="002D634C"/>
    <w:rsid w:val="002E0303"/>
    <w:rsid w:val="002E3C9F"/>
    <w:rsid w:val="003116C1"/>
    <w:rsid w:val="00314962"/>
    <w:rsid w:val="0032170B"/>
    <w:rsid w:val="00321DEC"/>
    <w:rsid w:val="003254FB"/>
    <w:rsid w:val="00362769"/>
    <w:rsid w:val="00365678"/>
    <w:rsid w:val="00370204"/>
    <w:rsid w:val="003836D5"/>
    <w:rsid w:val="00397BD0"/>
    <w:rsid w:val="003A2FBF"/>
    <w:rsid w:val="003B11CC"/>
    <w:rsid w:val="003B3127"/>
    <w:rsid w:val="003B5B6D"/>
    <w:rsid w:val="003C2AE5"/>
    <w:rsid w:val="003D298D"/>
    <w:rsid w:val="003D6C0E"/>
    <w:rsid w:val="003E06D3"/>
    <w:rsid w:val="00405E31"/>
    <w:rsid w:val="00423558"/>
    <w:rsid w:val="00426EDC"/>
    <w:rsid w:val="0043058C"/>
    <w:rsid w:val="00443917"/>
    <w:rsid w:val="00443F03"/>
    <w:rsid w:val="00445A50"/>
    <w:rsid w:val="00453AE8"/>
    <w:rsid w:val="0046070C"/>
    <w:rsid w:val="00461FDA"/>
    <w:rsid w:val="0047067A"/>
    <w:rsid w:val="004767F2"/>
    <w:rsid w:val="00491D1C"/>
    <w:rsid w:val="004A20BF"/>
    <w:rsid w:val="004A532B"/>
    <w:rsid w:val="004B70F3"/>
    <w:rsid w:val="004C0A68"/>
    <w:rsid w:val="004D26CF"/>
    <w:rsid w:val="004D5487"/>
    <w:rsid w:val="004D730B"/>
    <w:rsid w:val="004F4156"/>
    <w:rsid w:val="00501608"/>
    <w:rsid w:val="00504747"/>
    <w:rsid w:val="00510869"/>
    <w:rsid w:val="005152F2"/>
    <w:rsid w:val="005426D2"/>
    <w:rsid w:val="00545198"/>
    <w:rsid w:val="0055459F"/>
    <w:rsid w:val="0056608F"/>
    <w:rsid w:val="0056657E"/>
    <w:rsid w:val="00576CA4"/>
    <w:rsid w:val="00576DAC"/>
    <w:rsid w:val="005B01C7"/>
    <w:rsid w:val="005B0802"/>
    <w:rsid w:val="005B6B55"/>
    <w:rsid w:val="005D1B24"/>
    <w:rsid w:val="005F53BA"/>
    <w:rsid w:val="00605F9B"/>
    <w:rsid w:val="006140A3"/>
    <w:rsid w:val="006151FC"/>
    <w:rsid w:val="00620E30"/>
    <w:rsid w:val="00622473"/>
    <w:rsid w:val="00626158"/>
    <w:rsid w:val="006267C3"/>
    <w:rsid w:val="00632551"/>
    <w:rsid w:val="0064281B"/>
    <w:rsid w:val="006438D7"/>
    <w:rsid w:val="006532A0"/>
    <w:rsid w:val="00657CD0"/>
    <w:rsid w:val="00695F69"/>
    <w:rsid w:val="006C74B8"/>
    <w:rsid w:val="006E039F"/>
    <w:rsid w:val="006E2CE5"/>
    <w:rsid w:val="006E5DC9"/>
    <w:rsid w:val="006E68BF"/>
    <w:rsid w:val="006F1DF9"/>
    <w:rsid w:val="006F34D1"/>
    <w:rsid w:val="006F6594"/>
    <w:rsid w:val="006F76BB"/>
    <w:rsid w:val="00700151"/>
    <w:rsid w:val="007126AF"/>
    <w:rsid w:val="0073640C"/>
    <w:rsid w:val="00737F04"/>
    <w:rsid w:val="00740CD2"/>
    <w:rsid w:val="00745810"/>
    <w:rsid w:val="0074659B"/>
    <w:rsid w:val="00747189"/>
    <w:rsid w:val="00751B0F"/>
    <w:rsid w:val="007534F1"/>
    <w:rsid w:val="007666D0"/>
    <w:rsid w:val="00783386"/>
    <w:rsid w:val="0079148D"/>
    <w:rsid w:val="007952CE"/>
    <w:rsid w:val="007A7670"/>
    <w:rsid w:val="007E03ED"/>
    <w:rsid w:val="007F20A7"/>
    <w:rsid w:val="008043BB"/>
    <w:rsid w:val="00807511"/>
    <w:rsid w:val="008220D9"/>
    <w:rsid w:val="00831555"/>
    <w:rsid w:val="008316AE"/>
    <w:rsid w:val="00834948"/>
    <w:rsid w:val="008529FA"/>
    <w:rsid w:val="00852F68"/>
    <w:rsid w:val="0086012F"/>
    <w:rsid w:val="00877971"/>
    <w:rsid w:val="008971A4"/>
    <w:rsid w:val="008B1418"/>
    <w:rsid w:val="008B648C"/>
    <w:rsid w:val="008B7365"/>
    <w:rsid w:val="008D3853"/>
    <w:rsid w:val="008D658E"/>
    <w:rsid w:val="008D79D5"/>
    <w:rsid w:val="008E1A02"/>
    <w:rsid w:val="008E30B5"/>
    <w:rsid w:val="008E5059"/>
    <w:rsid w:val="008E65FF"/>
    <w:rsid w:val="008F2AB6"/>
    <w:rsid w:val="008F780C"/>
    <w:rsid w:val="00901FD7"/>
    <w:rsid w:val="009042BF"/>
    <w:rsid w:val="00953A4A"/>
    <w:rsid w:val="00964508"/>
    <w:rsid w:val="00972A6C"/>
    <w:rsid w:val="00985186"/>
    <w:rsid w:val="009A2FEA"/>
    <w:rsid w:val="009A7473"/>
    <w:rsid w:val="009B001D"/>
    <w:rsid w:val="009B42CE"/>
    <w:rsid w:val="009D34E7"/>
    <w:rsid w:val="009D4E54"/>
    <w:rsid w:val="009D5923"/>
    <w:rsid w:val="009E3C4B"/>
    <w:rsid w:val="009E6EA4"/>
    <w:rsid w:val="009F5C87"/>
    <w:rsid w:val="00A1719F"/>
    <w:rsid w:val="00A26F27"/>
    <w:rsid w:val="00A3199D"/>
    <w:rsid w:val="00A37DE7"/>
    <w:rsid w:val="00A415DC"/>
    <w:rsid w:val="00A44023"/>
    <w:rsid w:val="00A53FBF"/>
    <w:rsid w:val="00A56D3B"/>
    <w:rsid w:val="00A6043D"/>
    <w:rsid w:val="00A705AA"/>
    <w:rsid w:val="00A73C73"/>
    <w:rsid w:val="00AA31F9"/>
    <w:rsid w:val="00AB297E"/>
    <w:rsid w:val="00AD3CB9"/>
    <w:rsid w:val="00AD536F"/>
    <w:rsid w:val="00AE5F7B"/>
    <w:rsid w:val="00AF53F4"/>
    <w:rsid w:val="00B0107C"/>
    <w:rsid w:val="00B1063D"/>
    <w:rsid w:val="00B10B83"/>
    <w:rsid w:val="00B12595"/>
    <w:rsid w:val="00B16165"/>
    <w:rsid w:val="00B201F4"/>
    <w:rsid w:val="00B20BB3"/>
    <w:rsid w:val="00B21345"/>
    <w:rsid w:val="00B23EA2"/>
    <w:rsid w:val="00B25BEA"/>
    <w:rsid w:val="00B403BA"/>
    <w:rsid w:val="00B47DA0"/>
    <w:rsid w:val="00B559D2"/>
    <w:rsid w:val="00B678E9"/>
    <w:rsid w:val="00B72D34"/>
    <w:rsid w:val="00B746CD"/>
    <w:rsid w:val="00B76C7D"/>
    <w:rsid w:val="00B81356"/>
    <w:rsid w:val="00B937ED"/>
    <w:rsid w:val="00B96911"/>
    <w:rsid w:val="00BA3B27"/>
    <w:rsid w:val="00BB00F4"/>
    <w:rsid w:val="00BB16BC"/>
    <w:rsid w:val="00BB5FEF"/>
    <w:rsid w:val="00BC1E3C"/>
    <w:rsid w:val="00BD53B3"/>
    <w:rsid w:val="00BE2040"/>
    <w:rsid w:val="00BF0973"/>
    <w:rsid w:val="00C14BEF"/>
    <w:rsid w:val="00C16968"/>
    <w:rsid w:val="00C2097D"/>
    <w:rsid w:val="00C24661"/>
    <w:rsid w:val="00C323AC"/>
    <w:rsid w:val="00C32F20"/>
    <w:rsid w:val="00C34F97"/>
    <w:rsid w:val="00C42EEA"/>
    <w:rsid w:val="00C43234"/>
    <w:rsid w:val="00C45ADE"/>
    <w:rsid w:val="00C547FF"/>
    <w:rsid w:val="00C56A6A"/>
    <w:rsid w:val="00C56BC4"/>
    <w:rsid w:val="00C67BE5"/>
    <w:rsid w:val="00C800C3"/>
    <w:rsid w:val="00C85207"/>
    <w:rsid w:val="00C85EEA"/>
    <w:rsid w:val="00C90BD5"/>
    <w:rsid w:val="00C97EAC"/>
    <w:rsid w:val="00CA68E1"/>
    <w:rsid w:val="00CB27CB"/>
    <w:rsid w:val="00CC325B"/>
    <w:rsid w:val="00CD7015"/>
    <w:rsid w:val="00CE3443"/>
    <w:rsid w:val="00CE6BFC"/>
    <w:rsid w:val="00CF305E"/>
    <w:rsid w:val="00D058EB"/>
    <w:rsid w:val="00D16C63"/>
    <w:rsid w:val="00D25861"/>
    <w:rsid w:val="00D313A7"/>
    <w:rsid w:val="00D569E7"/>
    <w:rsid w:val="00D708C7"/>
    <w:rsid w:val="00D735D0"/>
    <w:rsid w:val="00D7718A"/>
    <w:rsid w:val="00D85D03"/>
    <w:rsid w:val="00D878DB"/>
    <w:rsid w:val="00D938FA"/>
    <w:rsid w:val="00DA692B"/>
    <w:rsid w:val="00DB2972"/>
    <w:rsid w:val="00DC392C"/>
    <w:rsid w:val="00DD2352"/>
    <w:rsid w:val="00DD629A"/>
    <w:rsid w:val="00DE3920"/>
    <w:rsid w:val="00DE7185"/>
    <w:rsid w:val="00E0032A"/>
    <w:rsid w:val="00E01C2C"/>
    <w:rsid w:val="00E03857"/>
    <w:rsid w:val="00E06FAD"/>
    <w:rsid w:val="00E240BD"/>
    <w:rsid w:val="00E301A1"/>
    <w:rsid w:val="00E30D0C"/>
    <w:rsid w:val="00E40FBB"/>
    <w:rsid w:val="00E44029"/>
    <w:rsid w:val="00E52512"/>
    <w:rsid w:val="00E533A2"/>
    <w:rsid w:val="00E60F33"/>
    <w:rsid w:val="00E63EC9"/>
    <w:rsid w:val="00E67B05"/>
    <w:rsid w:val="00E72288"/>
    <w:rsid w:val="00E93BEF"/>
    <w:rsid w:val="00EA2674"/>
    <w:rsid w:val="00EB7E20"/>
    <w:rsid w:val="00EC5627"/>
    <w:rsid w:val="00ED10AA"/>
    <w:rsid w:val="00EE0BC3"/>
    <w:rsid w:val="00EE53C2"/>
    <w:rsid w:val="00F019BA"/>
    <w:rsid w:val="00F15D95"/>
    <w:rsid w:val="00F25F19"/>
    <w:rsid w:val="00F35A18"/>
    <w:rsid w:val="00F44547"/>
    <w:rsid w:val="00F54B84"/>
    <w:rsid w:val="00F57F6B"/>
    <w:rsid w:val="00F60E4B"/>
    <w:rsid w:val="00F6788F"/>
    <w:rsid w:val="00F91283"/>
    <w:rsid w:val="00F95134"/>
    <w:rsid w:val="00FA54B2"/>
    <w:rsid w:val="00FA6B5C"/>
    <w:rsid w:val="00FB269F"/>
    <w:rsid w:val="00FB5FF9"/>
    <w:rsid w:val="00FC5653"/>
    <w:rsid w:val="00FC6691"/>
    <w:rsid w:val="00FD16C7"/>
    <w:rsid w:val="00FE4F1C"/>
    <w:rsid w:val="00FE694F"/>
    <w:rsid w:val="00FF1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2C8C75-CA40-4FF0-8298-CB349680B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69E7"/>
    <w:rPr>
      <w:rFonts w:ascii="Arial" w:hAnsi="Arial"/>
      <w:sz w:val="24"/>
    </w:rPr>
  </w:style>
  <w:style w:type="paragraph" w:styleId="Heading1">
    <w:name w:val="heading 1"/>
    <w:basedOn w:val="Normal"/>
    <w:next w:val="Normal"/>
    <w:link w:val="Heading1Char"/>
    <w:uiPriority w:val="9"/>
    <w:qFormat/>
    <w:rsid w:val="006F1DF9"/>
    <w:pPr>
      <w:keepNext/>
      <w:keepLines/>
      <w:spacing w:before="360" w:after="12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21DEC"/>
    <w:pPr>
      <w:keepNext/>
      <w:keepLines/>
      <w:spacing w:before="280" w:after="240" w:line="360"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59D5"/>
    <w:pPr>
      <w:spacing w:after="0" w:line="240" w:lineRule="auto"/>
    </w:pPr>
    <w:rPr>
      <w:rFonts w:eastAsiaTheme="minorEastAsia"/>
    </w:rPr>
  </w:style>
  <w:style w:type="character" w:customStyle="1" w:styleId="NoSpacingChar">
    <w:name w:val="No Spacing Char"/>
    <w:basedOn w:val="DefaultParagraphFont"/>
    <w:link w:val="NoSpacing"/>
    <w:uiPriority w:val="1"/>
    <w:rsid w:val="000D59D5"/>
    <w:rPr>
      <w:rFonts w:eastAsiaTheme="minorEastAsia"/>
    </w:rPr>
  </w:style>
  <w:style w:type="character" w:customStyle="1" w:styleId="Heading1Char">
    <w:name w:val="Heading 1 Char"/>
    <w:basedOn w:val="DefaultParagraphFont"/>
    <w:link w:val="Heading1"/>
    <w:uiPriority w:val="9"/>
    <w:rsid w:val="006F1DF9"/>
    <w:rPr>
      <w:rFonts w:ascii="Arial" w:eastAsiaTheme="majorEastAsia" w:hAnsi="Arial" w:cstheme="majorBidi"/>
      <w:b/>
      <w:sz w:val="32"/>
      <w:szCs w:val="32"/>
    </w:rPr>
  </w:style>
  <w:style w:type="table" w:styleId="TableGrid">
    <w:name w:val="Table Grid"/>
    <w:basedOn w:val="TableNormal"/>
    <w:uiPriority w:val="39"/>
    <w:rsid w:val="00B559D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321DEC"/>
    <w:rPr>
      <w:rFonts w:ascii="Arial" w:eastAsiaTheme="majorEastAsia" w:hAnsi="Arial" w:cstheme="majorBidi"/>
      <w:b/>
      <w:color w:val="000000" w:themeColor="text1"/>
      <w:sz w:val="28"/>
      <w:szCs w:val="26"/>
    </w:rPr>
  </w:style>
  <w:style w:type="paragraph" w:styleId="ListParagraph">
    <w:name w:val="List Paragraph"/>
    <w:basedOn w:val="Normal"/>
    <w:uiPriority w:val="34"/>
    <w:qFormat/>
    <w:rsid w:val="00DE7185"/>
    <w:pPr>
      <w:ind w:left="720"/>
      <w:contextualSpacing/>
    </w:pPr>
  </w:style>
  <w:style w:type="paragraph" w:styleId="TOCHeading">
    <w:name w:val="TOC Heading"/>
    <w:basedOn w:val="Heading1"/>
    <w:next w:val="Normal"/>
    <w:uiPriority w:val="39"/>
    <w:unhideWhenUsed/>
    <w:qFormat/>
    <w:rsid w:val="00FC5653"/>
    <w:pPr>
      <w:spacing w:before="240" w:after="0" w:line="259" w:lineRule="auto"/>
      <w:outlineLvl w:val="9"/>
    </w:pPr>
    <w:rPr>
      <w:rFonts w:asciiTheme="majorHAnsi" w:hAnsiTheme="majorHAnsi"/>
      <w:b w:val="0"/>
    </w:rPr>
  </w:style>
  <w:style w:type="paragraph" w:styleId="TOC1">
    <w:name w:val="toc 1"/>
    <w:basedOn w:val="Normal"/>
    <w:next w:val="Normal"/>
    <w:autoRedefine/>
    <w:uiPriority w:val="39"/>
    <w:unhideWhenUsed/>
    <w:rsid w:val="0073640C"/>
    <w:pPr>
      <w:tabs>
        <w:tab w:val="right" w:leader="dot" w:pos="9350"/>
      </w:tabs>
      <w:spacing w:after="100" w:line="360" w:lineRule="auto"/>
      <w:jc w:val="both"/>
    </w:pPr>
  </w:style>
  <w:style w:type="paragraph" w:styleId="TOC2">
    <w:name w:val="toc 2"/>
    <w:basedOn w:val="Normal"/>
    <w:next w:val="Normal"/>
    <w:autoRedefine/>
    <w:uiPriority w:val="39"/>
    <w:unhideWhenUsed/>
    <w:rsid w:val="00FC5653"/>
    <w:pPr>
      <w:spacing w:after="100"/>
      <w:ind w:left="240"/>
    </w:pPr>
  </w:style>
  <w:style w:type="character" w:styleId="Hyperlink">
    <w:name w:val="Hyperlink"/>
    <w:basedOn w:val="DefaultParagraphFont"/>
    <w:uiPriority w:val="99"/>
    <w:unhideWhenUsed/>
    <w:rsid w:val="00FC5653"/>
    <w:rPr>
      <w:color w:val="0563C1" w:themeColor="hyperlink"/>
      <w:u w:val="single"/>
    </w:rPr>
  </w:style>
  <w:style w:type="paragraph" w:styleId="Header">
    <w:name w:val="header"/>
    <w:basedOn w:val="Normal"/>
    <w:link w:val="HeaderChar"/>
    <w:uiPriority w:val="99"/>
    <w:unhideWhenUsed/>
    <w:rsid w:val="00FC5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653"/>
    <w:rPr>
      <w:rFonts w:ascii="Arial" w:hAnsi="Arial"/>
      <w:sz w:val="24"/>
    </w:rPr>
  </w:style>
  <w:style w:type="paragraph" w:styleId="Footer">
    <w:name w:val="footer"/>
    <w:basedOn w:val="Normal"/>
    <w:link w:val="FooterChar"/>
    <w:uiPriority w:val="99"/>
    <w:unhideWhenUsed/>
    <w:rsid w:val="00FC5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5653"/>
    <w:rPr>
      <w:rFonts w:ascii="Arial" w:hAnsi="Arial"/>
      <w:sz w:val="24"/>
    </w:rPr>
  </w:style>
  <w:style w:type="paragraph" w:styleId="Title">
    <w:name w:val="Title"/>
    <w:basedOn w:val="Normal"/>
    <w:next w:val="Normal"/>
    <w:link w:val="TitleChar"/>
    <w:uiPriority w:val="10"/>
    <w:qFormat/>
    <w:rsid w:val="00632551"/>
    <w:pPr>
      <w:spacing w:after="0" w:line="240" w:lineRule="auto"/>
      <w:contextualSpacing/>
      <w:jc w:val="center"/>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32551"/>
    <w:rPr>
      <w:rFonts w:asciiTheme="majorHAnsi" w:eastAsiaTheme="majorEastAsia" w:hAnsiTheme="majorHAnsi" w:cstheme="majorBidi"/>
      <w:spacing w:val="-10"/>
      <w:kern w:val="28"/>
      <w:sz w:val="56"/>
      <w:szCs w:val="56"/>
      <w:lang w:val="en-GB"/>
    </w:rPr>
  </w:style>
  <w:style w:type="character" w:styleId="PageNumber">
    <w:name w:val="page number"/>
    <w:basedOn w:val="DefaultParagraphFont"/>
    <w:uiPriority w:val="99"/>
    <w:semiHidden/>
    <w:unhideWhenUsed/>
    <w:rsid w:val="006325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441767">
      <w:bodyDiv w:val="1"/>
      <w:marLeft w:val="0"/>
      <w:marRight w:val="0"/>
      <w:marTop w:val="0"/>
      <w:marBottom w:val="0"/>
      <w:divBdr>
        <w:top w:val="none" w:sz="0" w:space="0" w:color="auto"/>
        <w:left w:val="none" w:sz="0" w:space="0" w:color="auto"/>
        <w:bottom w:val="none" w:sz="0" w:space="0" w:color="auto"/>
        <w:right w:val="none" w:sz="0" w:space="0" w:color="auto"/>
      </w:divBdr>
      <w:divsChild>
        <w:div w:id="1578203141">
          <w:marLeft w:val="0"/>
          <w:marRight w:val="0"/>
          <w:marTop w:val="0"/>
          <w:marBottom w:val="0"/>
          <w:divBdr>
            <w:top w:val="none" w:sz="0" w:space="0" w:color="auto"/>
            <w:left w:val="none" w:sz="0" w:space="0" w:color="auto"/>
            <w:bottom w:val="none" w:sz="0" w:space="0" w:color="auto"/>
            <w:right w:val="none" w:sz="0" w:space="0" w:color="auto"/>
          </w:divBdr>
        </w:div>
      </w:divsChild>
    </w:div>
    <w:div w:id="442958979">
      <w:bodyDiv w:val="1"/>
      <w:marLeft w:val="0"/>
      <w:marRight w:val="0"/>
      <w:marTop w:val="0"/>
      <w:marBottom w:val="0"/>
      <w:divBdr>
        <w:top w:val="none" w:sz="0" w:space="0" w:color="auto"/>
        <w:left w:val="none" w:sz="0" w:space="0" w:color="auto"/>
        <w:bottom w:val="none" w:sz="0" w:space="0" w:color="auto"/>
        <w:right w:val="none" w:sz="0" w:space="0" w:color="auto"/>
      </w:divBdr>
      <w:divsChild>
        <w:div w:id="1273827470">
          <w:marLeft w:val="0"/>
          <w:marRight w:val="0"/>
          <w:marTop w:val="0"/>
          <w:marBottom w:val="0"/>
          <w:divBdr>
            <w:top w:val="none" w:sz="0" w:space="0" w:color="auto"/>
            <w:left w:val="none" w:sz="0" w:space="0" w:color="auto"/>
            <w:bottom w:val="none" w:sz="0" w:space="0" w:color="auto"/>
            <w:right w:val="none" w:sz="0" w:space="0" w:color="auto"/>
          </w:divBdr>
        </w:div>
      </w:divsChild>
    </w:div>
    <w:div w:id="464549450">
      <w:bodyDiv w:val="1"/>
      <w:marLeft w:val="0"/>
      <w:marRight w:val="0"/>
      <w:marTop w:val="0"/>
      <w:marBottom w:val="0"/>
      <w:divBdr>
        <w:top w:val="none" w:sz="0" w:space="0" w:color="auto"/>
        <w:left w:val="none" w:sz="0" w:space="0" w:color="auto"/>
        <w:bottom w:val="none" w:sz="0" w:space="0" w:color="auto"/>
        <w:right w:val="none" w:sz="0" w:space="0" w:color="auto"/>
      </w:divBdr>
      <w:divsChild>
        <w:div w:id="1223061392">
          <w:marLeft w:val="0"/>
          <w:marRight w:val="0"/>
          <w:marTop w:val="0"/>
          <w:marBottom w:val="0"/>
          <w:divBdr>
            <w:top w:val="none" w:sz="0" w:space="0" w:color="auto"/>
            <w:left w:val="none" w:sz="0" w:space="0" w:color="auto"/>
            <w:bottom w:val="none" w:sz="0" w:space="0" w:color="auto"/>
            <w:right w:val="none" w:sz="0" w:space="0" w:color="auto"/>
          </w:divBdr>
        </w:div>
      </w:divsChild>
    </w:div>
    <w:div w:id="524294461">
      <w:bodyDiv w:val="1"/>
      <w:marLeft w:val="0"/>
      <w:marRight w:val="0"/>
      <w:marTop w:val="0"/>
      <w:marBottom w:val="0"/>
      <w:divBdr>
        <w:top w:val="none" w:sz="0" w:space="0" w:color="auto"/>
        <w:left w:val="none" w:sz="0" w:space="0" w:color="auto"/>
        <w:bottom w:val="none" w:sz="0" w:space="0" w:color="auto"/>
        <w:right w:val="none" w:sz="0" w:space="0" w:color="auto"/>
      </w:divBdr>
      <w:divsChild>
        <w:div w:id="559709530">
          <w:marLeft w:val="0"/>
          <w:marRight w:val="0"/>
          <w:marTop w:val="0"/>
          <w:marBottom w:val="0"/>
          <w:divBdr>
            <w:top w:val="none" w:sz="0" w:space="0" w:color="auto"/>
            <w:left w:val="none" w:sz="0" w:space="0" w:color="auto"/>
            <w:bottom w:val="none" w:sz="0" w:space="0" w:color="auto"/>
            <w:right w:val="none" w:sz="0" w:space="0" w:color="auto"/>
          </w:divBdr>
        </w:div>
      </w:divsChild>
    </w:div>
    <w:div w:id="757872720">
      <w:bodyDiv w:val="1"/>
      <w:marLeft w:val="0"/>
      <w:marRight w:val="0"/>
      <w:marTop w:val="0"/>
      <w:marBottom w:val="0"/>
      <w:divBdr>
        <w:top w:val="none" w:sz="0" w:space="0" w:color="auto"/>
        <w:left w:val="none" w:sz="0" w:space="0" w:color="auto"/>
        <w:bottom w:val="none" w:sz="0" w:space="0" w:color="auto"/>
        <w:right w:val="none" w:sz="0" w:space="0" w:color="auto"/>
      </w:divBdr>
      <w:divsChild>
        <w:div w:id="430661433">
          <w:marLeft w:val="0"/>
          <w:marRight w:val="0"/>
          <w:marTop w:val="0"/>
          <w:marBottom w:val="0"/>
          <w:divBdr>
            <w:top w:val="none" w:sz="0" w:space="0" w:color="auto"/>
            <w:left w:val="none" w:sz="0" w:space="0" w:color="auto"/>
            <w:bottom w:val="none" w:sz="0" w:space="0" w:color="auto"/>
            <w:right w:val="none" w:sz="0" w:space="0" w:color="auto"/>
          </w:divBdr>
        </w:div>
      </w:divsChild>
    </w:div>
    <w:div w:id="767701606">
      <w:bodyDiv w:val="1"/>
      <w:marLeft w:val="0"/>
      <w:marRight w:val="0"/>
      <w:marTop w:val="0"/>
      <w:marBottom w:val="0"/>
      <w:divBdr>
        <w:top w:val="none" w:sz="0" w:space="0" w:color="auto"/>
        <w:left w:val="none" w:sz="0" w:space="0" w:color="auto"/>
        <w:bottom w:val="none" w:sz="0" w:space="0" w:color="auto"/>
        <w:right w:val="none" w:sz="0" w:space="0" w:color="auto"/>
      </w:divBdr>
      <w:divsChild>
        <w:div w:id="359429753">
          <w:marLeft w:val="0"/>
          <w:marRight w:val="0"/>
          <w:marTop w:val="0"/>
          <w:marBottom w:val="0"/>
          <w:divBdr>
            <w:top w:val="none" w:sz="0" w:space="0" w:color="auto"/>
            <w:left w:val="none" w:sz="0" w:space="0" w:color="auto"/>
            <w:bottom w:val="none" w:sz="0" w:space="0" w:color="auto"/>
            <w:right w:val="none" w:sz="0" w:space="0" w:color="auto"/>
          </w:divBdr>
        </w:div>
      </w:divsChild>
    </w:div>
    <w:div w:id="830752474">
      <w:bodyDiv w:val="1"/>
      <w:marLeft w:val="0"/>
      <w:marRight w:val="0"/>
      <w:marTop w:val="0"/>
      <w:marBottom w:val="0"/>
      <w:divBdr>
        <w:top w:val="none" w:sz="0" w:space="0" w:color="auto"/>
        <w:left w:val="none" w:sz="0" w:space="0" w:color="auto"/>
        <w:bottom w:val="none" w:sz="0" w:space="0" w:color="auto"/>
        <w:right w:val="none" w:sz="0" w:space="0" w:color="auto"/>
      </w:divBdr>
      <w:divsChild>
        <w:div w:id="747195308">
          <w:marLeft w:val="0"/>
          <w:marRight w:val="0"/>
          <w:marTop w:val="0"/>
          <w:marBottom w:val="0"/>
          <w:divBdr>
            <w:top w:val="none" w:sz="0" w:space="0" w:color="auto"/>
            <w:left w:val="none" w:sz="0" w:space="0" w:color="auto"/>
            <w:bottom w:val="none" w:sz="0" w:space="0" w:color="auto"/>
            <w:right w:val="none" w:sz="0" w:space="0" w:color="auto"/>
          </w:divBdr>
        </w:div>
      </w:divsChild>
    </w:div>
    <w:div w:id="850796402">
      <w:bodyDiv w:val="1"/>
      <w:marLeft w:val="0"/>
      <w:marRight w:val="0"/>
      <w:marTop w:val="0"/>
      <w:marBottom w:val="0"/>
      <w:divBdr>
        <w:top w:val="none" w:sz="0" w:space="0" w:color="auto"/>
        <w:left w:val="none" w:sz="0" w:space="0" w:color="auto"/>
        <w:bottom w:val="none" w:sz="0" w:space="0" w:color="auto"/>
        <w:right w:val="none" w:sz="0" w:space="0" w:color="auto"/>
      </w:divBdr>
      <w:divsChild>
        <w:div w:id="228198585">
          <w:marLeft w:val="0"/>
          <w:marRight w:val="0"/>
          <w:marTop w:val="0"/>
          <w:marBottom w:val="0"/>
          <w:divBdr>
            <w:top w:val="none" w:sz="0" w:space="0" w:color="auto"/>
            <w:left w:val="none" w:sz="0" w:space="0" w:color="auto"/>
            <w:bottom w:val="none" w:sz="0" w:space="0" w:color="auto"/>
            <w:right w:val="none" w:sz="0" w:space="0" w:color="auto"/>
          </w:divBdr>
        </w:div>
      </w:divsChild>
    </w:div>
    <w:div w:id="1117602362">
      <w:bodyDiv w:val="1"/>
      <w:marLeft w:val="0"/>
      <w:marRight w:val="0"/>
      <w:marTop w:val="0"/>
      <w:marBottom w:val="0"/>
      <w:divBdr>
        <w:top w:val="none" w:sz="0" w:space="0" w:color="auto"/>
        <w:left w:val="none" w:sz="0" w:space="0" w:color="auto"/>
        <w:bottom w:val="none" w:sz="0" w:space="0" w:color="auto"/>
        <w:right w:val="none" w:sz="0" w:space="0" w:color="auto"/>
      </w:divBdr>
    </w:div>
    <w:div w:id="1171338116">
      <w:bodyDiv w:val="1"/>
      <w:marLeft w:val="0"/>
      <w:marRight w:val="0"/>
      <w:marTop w:val="0"/>
      <w:marBottom w:val="0"/>
      <w:divBdr>
        <w:top w:val="none" w:sz="0" w:space="0" w:color="auto"/>
        <w:left w:val="none" w:sz="0" w:space="0" w:color="auto"/>
        <w:bottom w:val="none" w:sz="0" w:space="0" w:color="auto"/>
        <w:right w:val="none" w:sz="0" w:space="0" w:color="auto"/>
      </w:divBdr>
    </w:div>
    <w:div w:id="1363088321">
      <w:bodyDiv w:val="1"/>
      <w:marLeft w:val="0"/>
      <w:marRight w:val="0"/>
      <w:marTop w:val="0"/>
      <w:marBottom w:val="0"/>
      <w:divBdr>
        <w:top w:val="none" w:sz="0" w:space="0" w:color="auto"/>
        <w:left w:val="none" w:sz="0" w:space="0" w:color="auto"/>
        <w:bottom w:val="none" w:sz="0" w:space="0" w:color="auto"/>
        <w:right w:val="none" w:sz="0" w:space="0" w:color="auto"/>
      </w:divBdr>
      <w:divsChild>
        <w:div w:id="1485775526">
          <w:marLeft w:val="0"/>
          <w:marRight w:val="0"/>
          <w:marTop w:val="0"/>
          <w:marBottom w:val="0"/>
          <w:divBdr>
            <w:top w:val="none" w:sz="0" w:space="0" w:color="auto"/>
            <w:left w:val="none" w:sz="0" w:space="0" w:color="auto"/>
            <w:bottom w:val="none" w:sz="0" w:space="0" w:color="auto"/>
            <w:right w:val="none" w:sz="0" w:space="0" w:color="auto"/>
          </w:divBdr>
        </w:div>
      </w:divsChild>
    </w:div>
    <w:div w:id="1416173431">
      <w:bodyDiv w:val="1"/>
      <w:marLeft w:val="0"/>
      <w:marRight w:val="0"/>
      <w:marTop w:val="0"/>
      <w:marBottom w:val="0"/>
      <w:divBdr>
        <w:top w:val="none" w:sz="0" w:space="0" w:color="auto"/>
        <w:left w:val="none" w:sz="0" w:space="0" w:color="auto"/>
        <w:bottom w:val="none" w:sz="0" w:space="0" w:color="auto"/>
        <w:right w:val="none" w:sz="0" w:space="0" w:color="auto"/>
      </w:divBdr>
      <w:divsChild>
        <w:div w:id="702708990">
          <w:marLeft w:val="0"/>
          <w:marRight w:val="0"/>
          <w:marTop w:val="0"/>
          <w:marBottom w:val="0"/>
          <w:divBdr>
            <w:top w:val="none" w:sz="0" w:space="0" w:color="auto"/>
            <w:left w:val="none" w:sz="0" w:space="0" w:color="auto"/>
            <w:bottom w:val="none" w:sz="0" w:space="0" w:color="auto"/>
            <w:right w:val="none" w:sz="0" w:space="0" w:color="auto"/>
          </w:divBdr>
        </w:div>
      </w:divsChild>
    </w:div>
    <w:div w:id="1525706495">
      <w:bodyDiv w:val="1"/>
      <w:marLeft w:val="0"/>
      <w:marRight w:val="0"/>
      <w:marTop w:val="0"/>
      <w:marBottom w:val="0"/>
      <w:divBdr>
        <w:top w:val="none" w:sz="0" w:space="0" w:color="auto"/>
        <w:left w:val="none" w:sz="0" w:space="0" w:color="auto"/>
        <w:bottom w:val="none" w:sz="0" w:space="0" w:color="auto"/>
        <w:right w:val="none" w:sz="0" w:space="0" w:color="auto"/>
      </w:divBdr>
      <w:divsChild>
        <w:div w:id="1753817179">
          <w:marLeft w:val="0"/>
          <w:marRight w:val="0"/>
          <w:marTop w:val="0"/>
          <w:marBottom w:val="0"/>
          <w:divBdr>
            <w:top w:val="none" w:sz="0" w:space="0" w:color="auto"/>
            <w:left w:val="none" w:sz="0" w:space="0" w:color="auto"/>
            <w:bottom w:val="none" w:sz="0" w:space="0" w:color="auto"/>
            <w:right w:val="none" w:sz="0" w:space="0" w:color="auto"/>
          </w:divBdr>
        </w:div>
      </w:divsChild>
    </w:div>
    <w:div w:id="1526945389">
      <w:bodyDiv w:val="1"/>
      <w:marLeft w:val="0"/>
      <w:marRight w:val="0"/>
      <w:marTop w:val="0"/>
      <w:marBottom w:val="0"/>
      <w:divBdr>
        <w:top w:val="none" w:sz="0" w:space="0" w:color="auto"/>
        <w:left w:val="none" w:sz="0" w:space="0" w:color="auto"/>
        <w:bottom w:val="none" w:sz="0" w:space="0" w:color="auto"/>
        <w:right w:val="none" w:sz="0" w:space="0" w:color="auto"/>
      </w:divBdr>
      <w:divsChild>
        <w:div w:id="335574006">
          <w:marLeft w:val="0"/>
          <w:marRight w:val="0"/>
          <w:marTop w:val="0"/>
          <w:marBottom w:val="0"/>
          <w:divBdr>
            <w:top w:val="none" w:sz="0" w:space="0" w:color="auto"/>
            <w:left w:val="none" w:sz="0" w:space="0" w:color="auto"/>
            <w:bottom w:val="none" w:sz="0" w:space="0" w:color="auto"/>
            <w:right w:val="none" w:sz="0" w:space="0" w:color="auto"/>
          </w:divBdr>
        </w:div>
      </w:divsChild>
    </w:div>
    <w:div w:id="1600748080">
      <w:bodyDiv w:val="1"/>
      <w:marLeft w:val="0"/>
      <w:marRight w:val="0"/>
      <w:marTop w:val="0"/>
      <w:marBottom w:val="0"/>
      <w:divBdr>
        <w:top w:val="none" w:sz="0" w:space="0" w:color="auto"/>
        <w:left w:val="none" w:sz="0" w:space="0" w:color="auto"/>
        <w:bottom w:val="none" w:sz="0" w:space="0" w:color="auto"/>
        <w:right w:val="none" w:sz="0" w:space="0" w:color="auto"/>
      </w:divBdr>
    </w:div>
    <w:div w:id="1609778444">
      <w:bodyDiv w:val="1"/>
      <w:marLeft w:val="0"/>
      <w:marRight w:val="0"/>
      <w:marTop w:val="0"/>
      <w:marBottom w:val="0"/>
      <w:divBdr>
        <w:top w:val="none" w:sz="0" w:space="0" w:color="auto"/>
        <w:left w:val="none" w:sz="0" w:space="0" w:color="auto"/>
        <w:bottom w:val="none" w:sz="0" w:space="0" w:color="auto"/>
        <w:right w:val="none" w:sz="0" w:space="0" w:color="auto"/>
      </w:divBdr>
      <w:divsChild>
        <w:div w:id="1438216456">
          <w:marLeft w:val="0"/>
          <w:marRight w:val="0"/>
          <w:marTop w:val="0"/>
          <w:marBottom w:val="0"/>
          <w:divBdr>
            <w:top w:val="none" w:sz="0" w:space="0" w:color="auto"/>
            <w:left w:val="none" w:sz="0" w:space="0" w:color="auto"/>
            <w:bottom w:val="none" w:sz="0" w:space="0" w:color="auto"/>
            <w:right w:val="none" w:sz="0" w:space="0" w:color="auto"/>
          </w:divBdr>
        </w:div>
      </w:divsChild>
    </w:div>
    <w:div w:id="1768959623">
      <w:bodyDiv w:val="1"/>
      <w:marLeft w:val="0"/>
      <w:marRight w:val="0"/>
      <w:marTop w:val="0"/>
      <w:marBottom w:val="0"/>
      <w:divBdr>
        <w:top w:val="none" w:sz="0" w:space="0" w:color="auto"/>
        <w:left w:val="none" w:sz="0" w:space="0" w:color="auto"/>
        <w:bottom w:val="none" w:sz="0" w:space="0" w:color="auto"/>
        <w:right w:val="none" w:sz="0" w:space="0" w:color="auto"/>
      </w:divBdr>
      <w:divsChild>
        <w:div w:id="625089037">
          <w:marLeft w:val="0"/>
          <w:marRight w:val="0"/>
          <w:marTop w:val="0"/>
          <w:marBottom w:val="0"/>
          <w:divBdr>
            <w:top w:val="none" w:sz="0" w:space="0" w:color="auto"/>
            <w:left w:val="none" w:sz="0" w:space="0" w:color="auto"/>
            <w:bottom w:val="none" w:sz="0" w:space="0" w:color="auto"/>
            <w:right w:val="none" w:sz="0" w:space="0" w:color="auto"/>
          </w:divBdr>
        </w:div>
      </w:divsChild>
    </w:div>
    <w:div w:id="1842508677">
      <w:bodyDiv w:val="1"/>
      <w:marLeft w:val="0"/>
      <w:marRight w:val="0"/>
      <w:marTop w:val="0"/>
      <w:marBottom w:val="0"/>
      <w:divBdr>
        <w:top w:val="none" w:sz="0" w:space="0" w:color="auto"/>
        <w:left w:val="none" w:sz="0" w:space="0" w:color="auto"/>
        <w:bottom w:val="none" w:sz="0" w:space="0" w:color="auto"/>
        <w:right w:val="none" w:sz="0" w:space="0" w:color="auto"/>
      </w:divBdr>
      <w:divsChild>
        <w:div w:id="2118326296">
          <w:marLeft w:val="0"/>
          <w:marRight w:val="0"/>
          <w:marTop w:val="0"/>
          <w:marBottom w:val="0"/>
          <w:divBdr>
            <w:top w:val="none" w:sz="0" w:space="0" w:color="auto"/>
            <w:left w:val="none" w:sz="0" w:space="0" w:color="auto"/>
            <w:bottom w:val="none" w:sz="0" w:space="0" w:color="auto"/>
            <w:right w:val="none" w:sz="0" w:space="0" w:color="auto"/>
          </w:divBdr>
        </w:div>
      </w:divsChild>
    </w:div>
    <w:div w:id="1895196790">
      <w:bodyDiv w:val="1"/>
      <w:marLeft w:val="0"/>
      <w:marRight w:val="0"/>
      <w:marTop w:val="0"/>
      <w:marBottom w:val="0"/>
      <w:divBdr>
        <w:top w:val="none" w:sz="0" w:space="0" w:color="auto"/>
        <w:left w:val="none" w:sz="0" w:space="0" w:color="auto"/>
        <w:bottom w:val="none" w:sz="0" w:space="0" w:color="auto"/>
        <w:right w:val="none" w:sz="0" w:space="0" w:color="auto"/>
      </w:divBdr>
    </w:div>
    <w:div w:id="1916935793">
      <w:bodyDiv w:val="1"/>
      <w:marLeft w:val="0"/>
      <w:marRight w:val="0"/>
      <w:marTop w:val="0"/>
      <w:marBottom w:val="0"/>
      <w:divBdr>
        <w:top w:val="none" w:sz="0" w:space="0" w:color="auto"/>
        <w:left w:val="none" w:sz="0" w:space="0" w:color="auto"/>
        <w:bottom w:val="none" w:sz="0" w:space="0" w:color="auto"/>
        <w:right w:val="none" w:sz="0" w:space="0" w:color="auto"/>
      </w:divBdr>
      <w:divsChild>
        <w:div w:id="600797582">
          <w:marLeft w:val="0"/>
          <w:marRight w:val="0"/>
          <w:marTop w:val="0"/>
          <w:marBottom w:val="0"/>
          <w:divBdr>
            <w:top w:val="none" w:sz="0" w:space="0" w:color="auto"/>
            <w:left w:val="none" w:sz="0" w:space="0" w:color="auto"/>
            <w:bottom w:val="none" w:sz="0" w:space="0" w:color="auto"/>
            <w:right w:val="none" w:sz="0" w:space="0" w:color="auto"/>
          </w:divBdr>
        </w:div>
      </w:divsChild>
    </w:div>
    <w:div w:id="1936202684">
      <w:bodyDiv w:val="1"/>
      <w:marLeft w:val="0"/>
      <w:marRight w:val="0"/>
      <w:marTop w:val="0"/>
      <w:marBottom w:val="0"/>
      <w:divBdr>
        <w:top w:val="none" w:sz="0" w:space="0" w:color="auto"/>
        <w:left w:val="none" w:sz="0" w:space="0" w:color="auto"/>
        <w:bottom w:val="none" w:sz="0" w:space="0" w:color="auto"/>
        <w:right w:val="none" w:sz="0" w:space="0" w:color="auto"/>
      </w:divBdr>
      <w:divsChild>
        <w:div w:id="654846295">
          <w:marLeft w:val="0"/>
          <w:marRight w:val="0"/>
          <w:marTop w:val="0"/>
          <w:marBottom w:val="0"/>
          <w:divBdr>
            <w:top w:val="none" w:sz="0" w:space="0" w:color="auto"/>
            <w:left w:val="none" w:sz="0" w:space="0" w:color="auto"/>
            <w:bottom w:val="none" w:sz="0" w:space="0" w:color="auto"/>
            <w:right w:val="none" w:sz="0" w:space="0" w:color="auto"/>
          </w:divBdr>
        </w:div>
      </w:divsChild>
    </w:div>
    <w:div w:id="1953123004">
      <w:bodyDiv w:val="1"/>
      <w:marLeft w:val="0"/>
      <w:marRight w:val="0"/>
      <w:marTop w:val="0"/>
      <w:marBottom w:val="0"/>
      <w:divBdr>
        <w:top w:val="none" w:sz="0" w:space="0" w:color="auto"/>
        <w:left w:val="none" w:sz="0" w:space="0" w:color="auto"/>
        <w:bottom w:val="none" w:sz="0" w:space="0" w:color="auto"/>
        <w:right w:val="none" w:sz="0" w:space="0" w:color="auto"/>
      </w:divBdr>
    </w:div>
    <w:div w:id="2034571187">
      <w:bodyDiv w:val="1"/>
      <w:marLeft w:val="0"/>
      <w:marRight w:val="0"/>
      <w:marTop w:val="0"/>
      <w:marBottom w:val="0"/>
      <w:divBdr>
        <w:top w:val="none" w:sz="0" w:space="0" w:color="auto"/>
        <w:left w:val="none" w:sz="0" w:space="0" w:color="auto"/>
        <w:bottom w:val="none" w:sz="0" w:space="0" w:color="auto"/>
        <w:right w:val="none" w:sz="0" w:space="0" w:color="auto"/>
      </w:divBdr>
    </w:div>
    <w:div w:id="2083020802">
      <w:bodyDiv w:val="1"/>
      <w:marLeft w:val="0"/>
      <w:marRight w:val="0"/>
      <w:marTop w:val="0"/>
      <w:marBottom w:val="0"/>
      <w:divBdr>
        <w:top w:val="none" w:sz="0" w:space="0" w:color="auto"/>
        <w:left w:val="none" w:sz="0" w:space="0" w:color="auto"/>
        <w:bottom w:val="none" w:sz="0" w:space="0" w:color="auto"/>
        <w:right w:val="none" w:sz="0" w:space="0" w:color="auto"/>
      </w:divBdr>
      <w:divsChild>
        <w:div w:id="413473577">
          <w:marLeft w:val="0"/>
          <w:marRight w:val="0"/>
          <w:marTop w:val="0"/>
          <w:marBottom w:val="0"/>
          <w:divBdr>
            <w:top w:val="none" w:sz="0" w:space="0" w:color="auto"/>
            <w:left w:val="none" w:sz="0" w:space="0" w:color="auto"/>
            <w:bottom w:val="none" w:sz="0" w:space="0" w:color="auto"/>
            <w:right w:val="none" w:sz="0" w:space="0" w:color="auto"/>
          </w:divBdr>
        </w:div>
      </w:divsChild>
    </w:div>
    <w:div w:id="2143301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413"/>
    <w:rsid w:val="00384413"/>
    <w:rsid w:val="004049C3"/>
    <w:rsid w:val="005E2E45"/>
    <w:rsid w:val="00E05A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3F8EC460E54FE4A271A154D7CEFBCC">
    <w:name w:val="CE3F8EC460E54FE4A271A154D7CEFBCC"/>
    <w:rsid w:val="00384413"/>
  </w:style>
  <w:style w:type="paragraph" w:customStyle="1" w:styleId="64A8F0D6FF2D49F5A55F0634AD3C7A48">
    <w:name w:val="64A8F0D6FF2D49F5A55F0634AD3C7A48"/>
    <w:rsid w:val="00384413"/>
  </w:style>
  <w:style w:type="paragraph" w:customStyle="1" w:styleId="D93E07A05DDB4368B2C6ADDFAE3F1698">
    <w:name w:val="D93E07A05DDB4368B2C6ADDFAE3F1698"/>
    <w:rsid w:val="00384413"/>
  </w:style>
  <w:style w:type="paragraph" w:customStyle="1" w:styleId="DF6E7B74BB7D48269FB3EFF087EEB46E">
    <w:name w:val="DF6E7B74BB7D48269FB3EFF087EEB46E"/>
    <w:rsid w:val="003844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AC33D7-C437-47E0-AD46-8B34128BE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2788</Words>
  <Characters>15898</Characters>
  <Application>Microsoft Office Word</Application>
  <DocSecurity>0</DocSecurity>
  <Lines>132</Lines>
  <Paragraphs>37</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Assignment 01: Hilton worldwide inc.</vt:lpstr>
      <vt:lpstr>Executive Summary</vt:lpstr>
      <vt:lpstr>Introduction</vt:lpstr>
      <vt:lpstr>Financial Analysis</vt:lpstr>
      <vt:lpstr>    Profitability Ratios</vt:lpstr>
      <vt:lpstr>    Liquidity Ratios</vt:lpstr>
      <vt:lpstr>    Gearing Ratios</vt:lpstr>
      <vt:lpstr>Financial Analysis Trend</vt:lpstr>
      <vt:lpstr>    Profitability</vt:lpstr>
      <vt:lpstr>    Liquidity</vt:lpstr>
      <vt:lpstr>    Gearing</vt:lpstr>
      <vt:lpstr>Importance of Using Ratio Analysis</vt:lpstr>
      <vt:lpstr>Limitations of Ratio Analysis</vt:lpstr>
      <vt:lpstr>Importance of Understanding Ratio Analysis</vt:lpstr>
      <vt:lpstr>Conclusion</vt:lpstr>
      <vt:lpstr>Bibliography</vt:lpstr>
    </vt:vector>
  </TitlesOfParts>
  <Company>UNIVERSITY OF WALES TRinity saint david</Company>
  <LinksUpToDate>false</LinksUpToDate>
  <CharactersWithSpaces>18649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01: Hilton worldwide inc.</dc:title>
  <dc:subject>Ratio Analysis</dc:subject>
  <dc:creator>HP</dc:creator>
  <cp:keywords/>
  <dc:description/>
  <cp:lastModifiedBy>Rumel</cp:lastModifiedBy>
  <cp:revision>13</cp:revision>
  <dcterms:created xsi:type="dcterms:W3CDTF">2022-05-28T04:16:00Z</dcterms:created>
  <dcterms:modified xsi:type="dcterms:W3CDTF">2022-05-29T17:12:00Z</dcterms:modified>
</cp:coreProperties>
</file>