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44779163"/>
        <w:docPartObj>
          <w:docPartGallery w:val="Cover Pages"/>
          <w:docPartUnique/>
        </w:docPartObj>
      </w:sdtPr>
      <w:sdtEndPr>
        <w:rPr>
          <w:rFonts w:eastAsiaTheme="minorHAnsi"/>
          <w:color w:val="auto"/>
          <w:kern w:val="2"/>
          <w:sz w:val="24"/>
          <w:szCs w:val="24"/>
          <w:lang w:val="en-GB"/>
          <w14:ligatures w14:val="standardContextual"/>
        </w:rPr>
      </w:sdtEndPr>
      <w:sdtContent>
        <w:p w14:paraId="14DEB3A4" w14:textId="0EA96292" w:rsidR="003F4116" w:rsidRDefault="003F4116">
          <w:pPr>
            <w:pStyle w:val="NoSpacing"/>
            <w:spacing w:before="1540" w:after="240"/>
            <w:jc w:val="center"/>
            <w:rPr>
              <w:color w:val="156082" w:themeColor="accent1"/>
            </w:rPr>
          </w:pPr>
          <w:r>
            <w:rPr>
              <w:noProof/>
              <w:color w:val="156082" w:themeColor="accent1"/>
            </w:rPr>
            <w:drawing>
              <wp:inline distT="0" distB="0" distL="0" distR="0" wp14:anchorId="6DC3448B" wp14:editId="7729863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DDF094AFC224289B95BD30C725A7362"/>
            </w:placeholder>
            <w:dataBinding w:prefixMappings="xmlns:ns0='http://purl.org/dc/elements/1.1/' xmlns:ns1='http://schemas.openxmlformats.org/package/2006/metadata/core-properties' " w:xpath="/ns1:coreProperties[1]/ns0:title[1]" w:storeItemID="{6C3C8BC8-F283-45AE-878A-BAB7291924A1}"/>
            <w:text/>
          </w:sdtPr>
          <w:sdtContent>
            <w:p w14:paraId="3E9E5ADE" w14:textId="24BB6268" w:rsidR="003F4116" w:rsidRDefault="004A1EF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A1EFB">
                <w:rPr>
                  <w:rFonts w:asciiTheme="majorHAnsi" w:eastAsiaTheme="majorEastAsia" w:hAnsiTheme="majorHAnsi" w:cstheme="majorBidi"/>
                  <w:caps/>
                  <w:color w:val="156082" w:themeColor="accent1"/>
                  <w:sz w:val="72"/>
                  <w:szCs w:val="72"/>
                </w:rPr>
                <w:t xml:space="preserve">Synthesize a solution to a potential </w:t>
              </w:r>
              <w:r w:rsidR="002457C7" w:rsidRPr="004A1EFB">
                <w:rPr>
                  <w:rFonts w:asciiTheme="majorHAnsi" w:eastAsiaTheme="majorEastAsia" w:hAnsiTheme="majorHAnsi" w:cstheme="majorBidi"/>
                  <w:caps/>
                  <w:color w:val="156082" w:themeColor="accent1"/>
                  <w:sz w:val="72"/>
                  <w:szCs w:val="72"/>
                </w:rPr>
                <w:t>REAL-LIFE</w:t>
              </w:r>
              <w:r w:rsidRPr="004A1EFB">
                <w:rPr>
                  <w:rFonts w:asciiTheme="majorHAnsi" w:eastAsiaTheme="majorEastAsia" w:hAnsiTheme="majorHAnsi" w:cstheme="majorBidi"/>
                  <w:caps/>
                  <w:color w:val="156082" w:themeColor="accent1"/>
                  <w:sz w:val="72"/>
                  <w:szCs w:val="72"/>
                </w:rPr>
                <w:t xml:space="preserve"> scenario</w:t>
              </w:r>
            </w:p>
          </w:sdtContent>
        </w:sdt>
        <w:sdt>
          <w:sdtPr>
            <w:rPr>
              <w:color w:val="156082" w:themeColor="accent1"/>
              <w:sz w:val="28"/>
              <w:szCs w:val="28"/>
            </w:rPr>
            <w:alias w:val="Subtitle"/>
            <w:tag w:val=""/>
            <w:id w:val="328029620"/>
            <w:placeholder>
              <w:docPart w:val="02FE76129E3C46D381749DCFDB34966D"/>
            </w:placeholder>
            <w:dataBinding w:prefixMappings="xmlns:ns0='http://purl.org/dc/elements/1.1/' xmlns:ns1='http://schemas.openxmlformats.org/package/2006/metadata/core-properties' " w:xpath="/ns1:coreProperties[1]/ns0:subject[1]" w:storeItemID="{6C3C8BC8-F283-45AE-878A-BAB7291924A1}"/>
            <w:text/>
          </w:sdtPr>
          <w:sdtContent>
            <w:p w14:paraId="5C10CAA4" w14:textId="0612E4F8" w:rsidR="003F4116" w:rsidRDefault="002457C7">
              <w:pPr>
                <w:pStyle w:val="NoSpacing"/>
                <w:jc w:val="center"/>
                <w:rPr>
                  <w:color w:val="156082" w:themeColor="accent1"/>
                  <w:sz w:val="28"/>
                  <w:szCs w:val="28"/>
                </w:rPr>
              </w:pPr>
              <w:r w:rsidRPr="002457C7">
                <w:rPr>
                  <w:color w:val="156082" w:themeColor="accent1"/>
                  <w:sz w:val="28"/>
                  <w:szCs w:val="28"/>
                </w:rPr>
                <w:t>ACCA4024</w:t>
              </w:r>
            </w:p>
          </w:sdtContent>
        </w:sdt>
        <w:p w14:paraId="0B3AE72C" w14:textId="77777777" w:rsidR="003F4116" w:rsidRDefault="003F411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F0F311F" wp14:editId="54DC21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AEB5DAF" w14:textId="24B960CB" w:rsidR="003F4116" w:rsidRDefault="002457C7">
                                    <w:pPr>
                                      <w:pStyle w:val="NoSpacing"/>
                                      <w:spacing w:after="40"/>
                                      <w:jc w:val="center"/>
                                      <w:rPr>
                                        <w:caps/>
                                        <w:color w:val="156082" w:themeColor="accent1"/>
                                        <w:sz w:val="28"/>
                                        <w:szCs w:val="28"/>
                                      </w:rPr>
                                    </w:pPr>
                                    <w:r>
                                      <w:rPr>
                                        <w:caps/>
                                        <w:color w:val="156082" w:themeColor="accent1"/>
                                        <w:sz w:val="28"/>
                                        <w:szCs w:val="28"/>
                                      </w:rPr>
                                      <w:t>2418519</w:t>
                                    </w:r>
                                  </w:p>
                                </w:sdtContent>
                              </w:sdt>
                              <w:p w14:paraId="327605C6" w14:textId="7787CC4D" w:rsidR="003F4116" w:rsidRDefault="003F411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457C7">
                                      <w:rPr>
                                        <w:caps/>
                                        <w:color w:val="156082" w:themeColor="accent1"/>
                                      </w:rPr>
                                      <w:t>Leo Richards</w:t>
                                    </w:r>
                                  </w:sdtContent>
                                </w:sdt>
                              </w:p>
                              <w:p w14:paraId="74C858DD" w14:textId="47087D8C" w:rsidR="003F4116" w:rsidRDefault="00B16E2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B16E2C">
                                      <w:rPr>
                                        <w:color w:val="156082" w:themeColor="accent1"/>
                                      </w:rPr>
                                      <w:t>Networks and Cyber Security Essentials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0F311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AEB5DAF" w14:textId="24B960CB" w:rsidR="003F4116" w:rsidRDefault="002457C7">
                              <w:pPr>
                                <w:pStyle w:val="NoSpacing"/>
                                <w:spacing w:after="40"/>
                                <w:jc w:val="center"/>
                                <w:rPr>
                                  <w:caps/>
                                  <w:color w:val="156082" w:themeColor="accent1"/>
                                  <w:sz w:val="28"/>
                                  <w:szCs w:val="28"/>
                                </w:rPr>
                              </w:pPr>
                              <w:r>
                                <w:rPr>
                                  <w:caps/>
                                  <w:color w:val="156082" w:themeColor="accent1"/>
                                  <w:sz w:val="28"/>
                                  <w:szCs w:val="28"/>
                                </w:rPr>
                                <w:t>2418519</w:t>
                              </w:r>
                            </w:p>
                          </w:sdtContent>
                        </w:sdt>
                        <w:p w14:paraId="327605C6" w14:textId="7787CC4D" w:rsidR="003F4116" w:rsidRDefault="003F411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457C7">
                                <w:rPr>
                                  <w:caps/>
                                  <w:color w:val="156082" w:themeColor="accent1"/>
                                </w:rPr>
                                <w:t>Leo Richards</w:t>
                              </w:r>
                            </w:sdtContent>
                          </w:sdt>
                        </w:p>
                        <w:p w14:paraId="74C858DD" w14:textId="47087D8C" w:rsidR="003F4116" w:rsidRDefault="00B16E2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B16E2C">
                                <w:rPr>
                                  <w:color w:val="156082" w:themeColor="accent1"/>
                                </w:rPr>
                                <w:t>Networks and Cyber Security Essentials</w:t>
                              </w:r>
                            </w:sdtContent>
                          </w:sdt>
                        </w:p>
                      </w:txbxContent>
                    </v:textbox>
                    <w10:wrap anchorx="margin" anchory="page"/>
                  </v:shape>
                </w:pict>
              </mc:Fallback>
            </mc:AlternateContent>
          </w:r>
          <w:r>
            <w:rPr>
              <w:noProof/>
              <w:color w:val="156082" w:themeColor="accent1"/>
            </w:rPr>
            <w:drawing>
              <wp:inline distT="0" distB="0" distL="0" distR="0" wp14:anchorId="1C0B1C0F" wp14:editId="714034F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3D3361" w14:textId="51EB63C1" w:rsidR="003F4116" w:rsidRDefault="003F4116">
          <w:r>
            <w:br w:type="page"/>
          </w:r>
        </w:p>
      </w:sdtContent>
    </w:sdt>
    <w:sdt>
      <w:sdtPr>
        <w:id w:val="152490629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B368B0B" w14:textId="77777777" w:rsidR="00314D21" w:rsidRDefault="00314D21" w:rsidP="00314D21">
          <w:pPr>
            <w:pStyle w:val="TOCHeading"/>
          </w:pPr>
          <w:r>
            <w:t>Contents</w:t>
          </w:r>
        </w:p>
        <w:p w14:paraId="0CA62B4F" w14:textId="16746FC3" w:rsidR="007C655E" w:rsidRDefault="00314D21">
          <w:pPr>
            <w:pStyle w:val="TOC1"/>
            <w:rPr>
              <w:rFonts w:eastAsiaTheme="minorEastAsia"/>
              <w:b w:val="0"/>
              <w:bCs w:val="0"/>
              <w:lang w:eastAsia="en-GB"/>
            </w:rPr>
          </w:pPr>
          <w:r>
            <w:fldChar w:fldCharType="begin"/>
          </w:r>
          <w:r>
            <w:instrText xml:space="preserve"> TOC \o "1-3" \h \z \u </w:instrText>
          </w:r>
          <w:r>
            <w:fldChar w:fldCharType="separate"/>
          </w:r>
          <w:hyperlink w:anchor="_Toc198838984" w:history="1">
            <w:r w:rsidR="007C655E" w:rsidRPr="00D15894">
              <w:rPr>
                <w:rStyle w:val="Hyperlink"/>
              </w:rPr>
              <w:t>Introduction</w:t>
            </w:r>
            <w:r w:rsidR="007C655E">
              <w:rPr>
                <w:webHidden/>
              </w:rPr>
              <w:tab/>
            </w:r>
            <w:r w:rsidR="007C655E">
              <w:rPr>
                <w:webHidden/>
              </w:rPr>
              <w:fldChar w:fldCharType="begin"/>
            </w:r>
            <w:r w:rsidR="007C655E">
              <w:rPr>
                <w:webHidden/>
              </w:rPr>
              <w:instrText xml:space="preserve"> PAGEREF _Toc198838984 \h </w:instrText>
            </w:r>
            <w:r w:rsidR="007C655E">
              <w:rPr>
                <w:webHidden/>
              </w:rPr>
            </w:r>
            <w:r w:rsidR="007C655E">
              <w:rPr>
                <w:webHidden/>
              </w:rPr>
              <w:fldChar w:fldCharType="separate"/>
            </w:r>
            <w:r w:rsidR="007C655E">
              <w:rPr>
                <w:webHidden/>
              </w:rPr>
              <w:t>2</w:t>
            </w:r>
            <w:r w:rsidR="007C655E">
              <w:rPr>
                <w:webHidden/>
              </w:rPr>
              <w:fldChar w:fldCharType="end"/>
            </w:r>
          </w:hyperlink>
        </w:p>
        <w:p w14:paraId="5DD83EFA" w14:textId="0E233F09" w:rsidR="007C655E" w:rsidRDefault="007C655E">
          <w:pPr>
            <w:pStyle w:val="TOC1"/>
            <w:rPr>
              <w:rFonts w:eastAsiaTheme="minorEastAsia"/>
              <w:b w:val="0"/>
              <w:bCs w:val="0"/>
              <w:lang w:eastAsia="en-GB"/>
            </w:rPr>
          </w:pPr>
          <w:hyperlink w:anchor="_Toc198838985" w:history="1">
            <w:r w:rsidRPr="00D15894">
              <w:rPr>
                <w:rStyle w:val="Hyperlink"/>
              </w:rPr>
              <w:t>Identification of Threats</w:t>
            </w:r>
            <w:r>
              <w:rPr>
                <w:webHidden/>
              </w:rPr>
              <w:tab/>
            </w:r>
            <w:r>
              <w:rPr>
                <w:webHidden/>
              </w:rPr>
              <w:fldChar w:fldCharType="begin"/>
            </w:r>
            <w:r>
              <w:rPr>
                <w:webHidden/>
              </w:rPr>
              <w:instrText xml:space="preserve"> PAGEREF _Toc198838985 \h </w:instrText>
            </w:r>
            <w:r>
              <w:rPr>
                <w:webHidden/>
              </w:rPr>
            </w:r>
            <w:r>
              <w:rPr>
                <w:webHidden/>
              </w:rPr>
              <w:fldChar w:fldCharType="separate"/>
            </w:r>
            <w:r>
              <w:rPr>
                <w:webHidden/>
              </w:rPr>
              <w:t>2</w:t>
            </w:r>
            <w:r>
              <w:rPr>
                <w:webHidden/>
              </w:rPr>
              <w:fldChar w:fldCharType="end"/>
            </w:r>
          </w:hyperlink>
        </w:p>
        <w:p w14:paraId="4BF4EF63" w14:textId="7B5C60AE" w:rsidR="007C655E" w:rsidRDefault="007C655E">
          <w:pPr>
            <w:pStyle w:val="TOC1"/>
            <w:rPr>
              <w:rFonts w:eastAsiaTheme="minorEastAsia"/>
              <w:b w:val="0"/>
              <w:bCs w:val="0"/>
              <w:lang w:eastAsia="en-GB"/>
            </w:rPr>
          </w:pPr>
          <w:hyperlink w:anchor="_Toc198838986" w:history="1">
            <w:r w:rsidRPr="00D15894">
              <w:rPr>
                <w:rStyle w:val="Hyperlink"/>
              </w:rPr>
              <w:t>Security Policies</w:t>
            </w:r>
            <w:r>
              <w:rPr>
                <w:webHidden/>
              </w:rPr>
              <w:tab/>
            </w:r>
            <w:r>
              <w:rPr>
                <w:webHidden/>
              </w:rPr>
              <w:fldChar w:fldCharType="begin"/>
            </w:r>
            <w:r>
              <w:rPr>
                <w:webHidden/>
              </w:rPr>
              <w:instrText xml:space="preserve"> PAGEREF _Toc198838986 \h </w:instrText>
            </w:r>
            <w:r>
              <w:rPr>
                <w:webHidden/>
              </w:rPr>
            </w:r>
            <w:r>
              <w:rPr>
                <w:webHidden/>
              </w:rPr>
              <w:fldChar w:fldCharType="separate"/>
            </w:r>
            <w:r>
              <w:rPr>
                <w:webHidden/>
              </w:rPr>
              <w:t>3</w:t>
            </w:r>
            <w:r>
              <w:rPr>
                <w:webHidden/>
              </w:rPr>
              <w:fldChar w:fldCharType="end"/>
            </w:r>
          </w:hyperlink>
        </w:p>
        <w:p w14:paraId="0E907864" w14:textId="45442271" w:rsidR="007C655E" w:rsidRDefault="007C655E">
          <w:pPr>
            <w:pStyle w:val="TOC2"/>
            <w:tabs>
              <w:tab w:val="left" w:pos="720"/>
              <w:tab w:val="right" w:leader="dot" w:pos="9016"/>
            </w:tabs>
            <w:rPr>
              <w:rFonts w:eastAsiaTheme="minorEastAsia"/>
              <w:noProof/>
              <w:lang w:eastAsia="en-GB"/>
            </w:rPr>
          </w:pPr>
          <w:hyperlink w:anchor="_Toc198838987" w:history="1">
            <w:r w:rsidRPr="00D15894">
              <w:rPr>
                <w:rStyle w:val="Hyperlink"/>
                <w:noProof/>
              </w:rPr>
              <w:t>1.</w:t>
            </w:r>
            <w:r>
              <w:rPr>
                <w:rFonts w:eastAsiaTheme="minorEastAsia"/>
                <w:noProof/>
                <w:lang w:eastAsia="en-GB"/>
              </w:rPr>
              <w:tab/>
            </w:r>
            <w:r w:rsidRPr="00D15894">
              <w:rPr>
                <w:rStyle w:val="Hyperlink"/>
                <w:noProof/>
              </w:rPr>
              <w:t>Data Protection and Privacy Policy</w:t>
            </w:r>
            <w:r>
              <w:rPr>
                <w:noProof/>
                <w:webHidden/>
              </w:rPr>
              <w:tab/>
            </w:r>
            <w:r>
              <w:rPr>
                <w:noProof/>
                <w:webHidden/>
              </w:rPr>
              <w:fldChar w:fldCharType="begin"/>
            </w:r>
            <w:r>
              <w:rPr>
                <w:noProof/>
                <w:webHidden/>
              </w:rPr>
              <w:instrText xml:space="preserve"> PAGEREF _Toc198838987 \h </w:instrText>
            </w:r>
            <w:r>
              <w:rPr>
                <w:noProof/>
                <w:webHidden/>
              </w:rPr>
            </w:r>
            <w:r>
              <w:rPr>
                <w:noProof/>
                <w:webHidden/>
              </w:rPr>
              <w:fldChar w:fldCharType="separate"/>
            </w:r>
            <w:r>
              <w:rPr>
                <w:noProof/>
                <w:webHidden/>
              </w:rPr>
              <w:t>3</w:t>
            </w:r>
            <w:r>
              <w:rPr>
                <w:noProof/>
                <w:webHidden/>
              </w:rPr>
              <w:fldChar w:fldCharType="end"/>
            </w:r>
          </w:hyperlink>
        </w:p>
        <w:p w14:paraId="57675C7C" w14:textId="773920B1" w:rsidR="007C655E" w:rsidRDefault="007C655E">
          <w:pPr>
            <w:pStyle w:val="TOC2"/>
            <w:tabs>
              <w:tab w:val="left" w:pos="720"/>
              <w:tab w:val="right" w:leader="dot" w:pos="9016"/>
            </w:tabs>
            <w:rPr>
              <w:rFonts w:eastAsiaTheme="minorEastAsia"/>
              <w:noProof/>
              <w:lang w:eastAsia="en-GB"/>
            </w:rPr>
          </w:pPr>
          <w:hyperlink w:anchor="_Toc198838988" w:history="1">
            <w:r w:rsidRPr="00D15894">
              <w:rPr>
                <w:rStyle w:val="Hyperlink"/>
                <w:noProof/>
              </w:rPr>
              <w:t>2.</w:t>
            </w:r>
            <w:r>
              <w:rPr>
                <w:rFonts w:eastAsiaTheme="minorEastAsia"/>
                <w:noProof/>
                <w:lang w:eastAsia="en-GB"/>
              </w:rPr>
              <w:tab/>
            </w:r>
            <w:r w:rsidRPr="00D15894">
              <w:rPr>
                <w:rStyle w:val="Hyperlink"/>
                <w:noProof/>
              </w:rPr>
              <w:t>Access Control and Network Security Policy</w:t>
            </w:r>
            <w:r>
              <w:rPr>
                <w:noProof/>
                <w:webHidden/>
              </w:rPr>
              <w:tab/>
            </w:r>
            <w:r>
              <w:rPr>
                <w:noProof/>
                <w:webHidden/>
              </w:rPr>
              <w:fldChar w:fldCharType="begin"/>
            </w:r>
            <w:r>
              <w:rPr>
                <w:noProof/>
                <w:webHidden/>
              </w:rPr>
              <w:instrText xml:space="preserve"> PAGEREF _Toc198838988 \h </w:instrText>
            </w:r>
            <w:r>
              <w:rPr>
                <w:noProof/>
                <w:webHidden/>
              </w:rPr>
            </w:r>
            <w:r>
              <w:rPr>
                <w:noProof/>
                <w:webHidden/>
              </w:rPr>
              <w:fldChar w:fldCharType="separate"/>
            </w:r>
            <w:r>
              <w:rPr>
                <w:noProof/>
                <w:webHidden/>
              </w:rPr>
              <w:t>3</w:t>
            </w:r>
            <w:r>
              <w:rPr>
                <w:noProof/>
                <w:webHidden/>
              </w:rPr>
              <w:fldChar w:fldCharType="end"/>
            </w:r>
          </w:hyperlink>
        </w:p>
        <w:p w14:paraId="3353D7D1" w14:textId="594A07EF" w:rsidR="007C655E" w:rsidRDefault="007C655E">
          <w:pPr>
            <w:pStyle w:val="TOC2"/>
            <w:tabs>
              <w:tab w:val="left" w:pos="720"/>
              <w:tab w:val="right" w:leader="dot" w:pos="9016"/>
            </w:tabs>
            <w:rPr>
              <w:rFonts w:eastAsiaTheme="minorEastAsia"/>
              <w:noProof/>
              <w:lang w:eastAsia="en-GB"/>
            </w:rPr>
          </w:pPr>
          <w:hyperlink w:anchor="_Toc198838989" w:history="1">
            <w:r w:rsidRPr="00D15894">
              <w:rPr>
                <w:rStyle w:val="Hyperlink"/>
                <w:noProof/>
              </w:rPr>
              <w:t>3.</w:t>
            </w:r>
            <w:r>
              <w:rPr>
                <w:rFonts w:eastAsiaTheme="minorEastAsia"/>
                <w:noProof/>
                <w:lang w:eastAsia="en-GB"/>
              </w:rPr>
              <w:tab/>
            </w:r>
            <w:r w:rsidRPr="00D15894">
              <w:rPr>
                <w:rStyle w:val="Hyperlink"/>
                <w:noProof/>
              </w:rPr>
              <w:t>Remote Work and Telecommuting Policy:</w:t>
            </w:r>
            <w:r>
              <w:rPr>
                <w:noProof/>
                <w:webHidden/>
              </w:rPr>
              <w:tab/>
            </w:r>
            <w:r>
              <w:rPr>
                <w:noProof/>
                <w:webHidden/>
              </w:rPr>
              <w:fldChar w:fldCharType="begin"/>
            </w:r>
            <w:r>
              <w:rPr>
                <w:noProof/>
                <w:webHidden/>
              </w:rPr>
              <w:instrText xml:space="preserve"> PAGEREF _Toc198838989 \h </w:instrText>
            </w:r>
            <w:r>
              <w:rPr>
                <w:noProof/>
                <w:webHidden/>
              </w:rPr>
            </w:r>
            <w:r>
              <w:rPr>
                <w:noProof/>
                <w:webHidden/>
              </w:rPr>
              <w:fldChar w:fldCharType="separate"/>
            </w:r>
            <w:r>
              <w:rPr>
                <w:noProof/>
                <w:webHidden/>
              </w:rPr>
              <w:t>3</w:t>
            </w:r>
            <w:r>
              <w:rPr>
                <w:noProof/>
                <w:webHidden/>
              </w:rPr>
              <w:fldChar w:fldCharType="end"/>
            </w:r>
          </w:hyperlink>
        </w:p>
        <w:p w14:paraId="328B2D71" w14:textId="3D9BCADD" w:rsidR="007C655E" w:rsidRDefault="007C655E">
          <w:pPr>
            <w:pStyle w:val="TOC2"/>
            <w:tabs>
              <w:tab w:val="left" w:pos="720"/>
              <w:tab w:val="right" w:leader="dot" w:pos="9016"/>
            </w:tabs>
            <w:rPr>
              <w:rFonts w:eastAsiaTheme="minorEastAsia"/>
              <w:noProof/>
              <w:lang w:eastAsia="en-GB"/>
            </w:rPr>
          </w:pPr>
          <w:hyperlink w:anchor="_Toc198838990" w:history="1">
            <w:r w:rsidRPr="00D15894">
              <w:rPr>
                <w:rStyle w:val="Hyperlink"/>
                <w:noProof/>
              </w:rPr>
              <w:t>4.</w:t>
            </w:r>
            <w:r>
              <w:rPr>
                <w:rFonts w:eastAsiaTheme="minorEastAsia"/>
                <w:noProof/>
                <w:lang w:eastAsia="en-GB"/>
              </w:rPr>
              <w:tab/>
            </w:r>
            <w:r w:rsidRPr="00D15894">
              <w:rPr>
                <w:rStyle w:val="Hyperlink"/>
                <w:noProof/>
              </w:rPr>
              <w:t>Mobile Device and BYOD Policy:</w:t>
            </w:r>
            <w:r>
              <w:rPr>
                <w:noProof/>
                <w:webHidden/>
              </w:rPr>
              <w:tab/>
            </w:r>
            <w:r>
              <w:rPr>
                <w:noProof/>
                <w:webHidden/>
              </w:rPr>
              <w:fldChar w:fldCharType="begin"/>
            </w:r>
            <w:r>
              <w:rPr>
                <w:noProof/>
                <w:webHidden/>
              </w:rPr>
              <w:instrText xml:space="preserve"> PAGEREF _Toc198838990 \h </w:instrText>
            </w:r>
            <w:r>
              <w:rPr>
                <w:noProof/>
                <w:webHidden/>
              </w:rPr>
            </w:r>
            <w:r>
              <w:rPr>
                <w:noProof/>
                <w:webHidden/>
              </w:rPr>
              <w:fldChar w:fldCharType="separate"/>
            </w:r>
            <w:r>
              <w:rPr>
                <w:noProof/>
                <w:webHidden/>
              </w:rPr>
              <w:t>3</w:t>
            </w:r>
            <w:r>
              <w:rPr>
                <w:noProof/>
                <w:webHidden/>
              </w:rPr>
              <w:fldChar w:fldCharType="end"/>
            </w:r>
          </w:hyperlink>
        </w:p>
        <w:p w14:paraId="205B0A97" w14:textId="7DD17A73" w:rsidR="007C655E" w:rsidRDefault="007C655E">
          <w:pPr>
            <w:pStyle w:val="TOC2"/>
            <w:tabs>
              <w:tab w:val="left" w:pos="720"/>
              <w:tab w:val="right" w:leader="dot" w:pos="9016"/>
            </w:tabs>
            <w:rPr>
              <w:rFonts w:eastAsiaTheme="minorEastAsia"/>
              <w:noProof/>
              <w:lang w:eastAsia="en-GB"/>
            </w:rPr>
          </w:pPr>
          <w:hyperlink w:anchor="_Toc198838991" w:history="1">
            <w:r w:rsidRPr="00D15894">
              <w:rPr>
                <w:rStyle w:val="Hyperlink"/>
                <w:noProof/>
              </w:rPr>
              <w:t>5.</w:t>
            </w:r>
            <w:r>
              <w:rPr>
                <w:rFonts w:eastAsiaTheme="minorEastAsia"/>
                <w:noProof/>
                <w:lang w:eastAsia="en-GB"/>
              </w:rPr>
              <w:tab/>
            </w:r>
            <w:r w:rsidRPr="00D15894">
              <w:rPr>
                <w:rStyle w:val="Hyperlink"/>
                <w:noProof/>
              </w:rPr>
              <w:t>Acceptable Use Policy (AUP):</w:t>
            </w:r>
            <w:r>
              <w:rPr>
                <w:noProof/>
                <w:webHidden/>
              </w:rPr>
              <w:tab/>
            </w:r>
            <w:r>
              <w:rPr>
                <w:noProof/>
                <w:webHidden/>
              </w:rPr>
              <w:fldChar w:fldCharType="begin"/>
            </w:r>
            <w:r>
              <w:rPr>
                <w:noProof/>
                <w:webHidden/>
              </w:rPr>
              <w:instrText xml:space="preserve"> PAGEREF _Toc198838991 \h </w:instrText>
            </w:r>
            <w:r>
              <w:rPr>
                <w:noProof/>
                <w:webHidden/>
              </w:rPr>
            </w:r>
            <w:r>
              <w:rPr>
                <w:noProof/>
                <w:webHidden/>
              </w:rPr>
              <w:fldChar w:fldCharType="separate"/>
            </w:r>
            <w:r>
              <w:rPr>
                <w:noProof/>
                <w:webHidden/>
              </w:rPr>
              <w:t>3</w:t>
            </w:r>
            <w:r>
              <w:rPr>
                <w:noProof/>
                <w:webHidden/>
              </w:rPr>
              <w:fldChar w:fldCharType="end"/>
            </w:r>
          </w:hyperlink>
        </w:p>
        <w:p w14:paraId="5FB201B8" w14:textId="1CCBCD0C" w:rsidR="007C655E" w:rsidRDefault="007C655E">
          <w:pPr>
            <w:pStyle w:val="TOC1"/>
            <w:rPr>
              <w:rFonts w:eastAsiaTheme="minorEastAsia"/>
              <w:b w:val="0"/>
              <w:bCs w:val="0"/>
              <w:lang w:eastAsia="en-GB"/>
            </w:rPr>
          </w:pPr>
          <w:hyperlink w:anchor="_Toc198838992" w:history="1">
            <w:r w:rsidRPr="00D15894">
              <w:rPr>
                <w:rStyle w:val="Hyperlink"/>
              </w:rPr>
              <w:t>Mitigation Measures for Key Threats</w:t>
            </w:r>
            <w:r>
              <w:rPr>
                <w:webHidden/>
              </w:rPr>
              <w:tab/>
            </w:r>
            <w:r>
              <w:rPr>
                <w:webHidden/>
              </w:rPr>
              <w:fldChar w:fldCharType="begin"/>
            </w:r>
            <w:r>
              <w:rPr>
                <w:webHidden/>
              </w:rPr>
              <w:instrText xml:space="preserve"> PAGEREF _Toc198838992 \h </w:instrText>
            </w:r>
            <w:r>
              <w:rPr>
                <w:webHidden/>
              </w:rPr>
            </w:r>
            <w:r>
              <w:rPr>
                <w:webHidden/>
              </w:rPr>
              <w:fldChar w:fldCharType="separate"/>
            </w:r>
            <w:r>
              <w:rPr>
                <w:webHidden/>
              </w:rPr>
              <w:t>4</w:t>
            </w:r>
            <w:r>
              <w:rPr>
                <w:webHidden/>
              </w:rPr>
              <w:fldChar w:fldCharType="end"/>
            </w:r>
          </w:hyperlink>
        </w:p>
        <w:p w14:paraId="4AF8D8E5" w14:textId="4D1B39F8" w:rsidR="007C655E" w:rsidRDefault="007C655E">
          <w:pPr>
            <w:pStyle w:val="TOC2"/>
            <w:tabs>
              <w:tab w:val="left" w:pos="720"/>
              <w:tab w:val="right" w:leader="dot" w:pos="9016"/>
            </w:tabs>
            <w:rPr>
              <w:rFonts w:eastAsiaTheme="minorEastAsia"/>
              <w:noProof/>
              <w:lang w:eastAsia="en-GB"/>
            </w:rPr>
          </w:pPr>
          <w:hyperlink w:anchor="_Toc198838993" w:history="1">
            <w:r w:rsidRPr="00D15894">
              <w:rPr>
                <w:rStyle w:val="Hyperlink"/>
                <w:rFonts w:ascii="Symbol" w:hAnsi="Symbol"/>
                <w:noProof/>
              </w:rPr>
              <w:t></w:t>
            </w:r>
            <w:r>
              <w:rPr>
                <w:rFonts w:eastAsiaTheme="minorEastAsia"/>
                <w:noProof/>
                <w:lang w:eastAsia="en-GB"/>
              </w:rPr>
              <w:tab/>
            </w:r>
            <w:r w:rsidRPr="00D15894">
              <w:rPr>
                <w:rStyle w:val="Hyperlink"/>
                <w:noProof/>
              </w:rPr>
              <w:t>Mitigating Phishing and Social Engineering: A</w:t>
            </w:r>
            <w:r>
              <w:rPr>
                <w:noProof/>
                <w:webHidden/>
              </w:rPr>
              <w:tab/>
            </w:r>
            <w:r>
              <w:rPr>
                <w:noProof/>
                <w:webHidden/>
              </w:rPr>
              <w:fldChar w:fldCharType="begin"/>
            </w:r>
            <w:r>
              <w:rPr>
                <w:noProof/>
                <w:webHidden/>
              </w:rPr>
              <w:instrText xml:space="preserve"> PAGEREF _Toc198838993 \h </w:instrText>
            </w:r>
            <w:r>
              <w:rPr>
                <w:noProof/>
                <w:webHidden/>
              </w:rPr>
            </w:r>
            <w:r>
              <w:rPr>
                <w:noProof/>
                <w:webHidden/>
              </w:rPr>
              <w:fldChar w:fldCharType="separate"/>
            </w:r>
            <w:r>
              <w:rPr>
                <w:noProof/>
                <w:webHidden/>
              </w:rPr>
              <w:t>4</w:t>
            </w:r>
            <w:r>
              <w:rPr>
                <w:noProof/>
                <w:webHidden/>
              </w:rPr>
              <w:fldChar w:fldCharType="end"/>
            </w:r>
          </w:hyperlink>
        </w:p>
        <w:p w14:paraId="47A595FE" w14:textId="2BA811CB" w:rsidR="007C655E" w:rsidRDefault="007C655E">
          <w:pPr>
            <w:pStyle w:val="TOC2"/>
            <w:tabs>
              <w:tab w:val="left" w:pos="720"/>
              <w:tab w:val="right" w:leader="dot" w:pos="9016"/>
            </w:tabs>
            <w:rPr>
              <w:rFonts w:eastAsiaTheme="minorEastAsia"/>
              <w:noProof/>
              <w:lang w:eastAsia="en-GB"/>
            </w:rPr>
          </w:pPr>
          <w:hyperlink w:anchor="_Toc198838994" w:history="1">
            <w:r w:rsidRPr="00D15894">
              <w:rPr>
                <w:rStyle w:val="Hyperlink"/>
                <w:rFonts w:ascii="Symbol" w:hAnsi="Symbol"/>
                <w:noProof/>
              </w:rPr>
              <w:t></w:t>
            </w:r>
            <w:r>
              <w:rPr>
                <w:rFonts w:eastAsiaTheme="minorEastAsia"/>
                <w:noProof/>
                <w:lang w:eastAsia="en-GB"/>
              </w:rPr>
              <w:tab/>
            </w:r>
            <w:r w:rsidRPr="00D15894">
              <w:rPr>
                <w:rStyle w:val="Hyperlink"/>
                <w:noProof/>
              </w:rPr>
              <w:t>Preventing Malware and Ransomware:</w:t>
            </w:r>
            <w:r>
              <w:rPr>
                <w:noProof/>
                <w:webHidden/>
              </w:rPr>
              <w:tab/>
            </w:r>
            <w:r>
              <w:rPr>
                <w:noProof/>
                <w:webHidden/>
              </w:rPr>
              <w:fldChar w:fldCharType="begin"/>
            </w:r>
            <w:r>
              <w:rPr>
                <w:noProof/>
                <w:webHidden/>
              </w:rPr>
              <w:instrText xml:space="preserve"> PAGEREF _Toc198838994 \h </w:instrText>
            </w:r>
            <w:r>
              <w:rPr>
                <w:noProof/>
                <w:webHidden/>
              </w:rPr>
            </w:r>
            <w:r>
              <w:rPr>
                <w:noProof/>
                <w:webHidden/>
              </w:rPr>
              <w:fldChar w:fldCharType="separate"/>
            </w:r>
            <w:r>
              <w:rPr>
                <w:noProof/>
                <w:webHidden/>
              </w:rPr>
              <w:t>4</w:t>
            </w:r>
            <w:r>
              <w:rPr>
                <w:noProof/>
                <w:webHidden/>
              </w:rPr>
              <w:fldChar w:fldCharType="end"/>
            </w:r>
          </w:hyperlink>
        </w:p>
        <w:p w14:paraId="36781215" w14:textId="5C637CEA" w:rsidR="007C655E" w:rsidRDefault="007C655E">
          <w:pPr>
            <w:pStyle w:val="TOC2"/>
            <w:tabs>
              <w:tab w:val="left" w:pos="720"/>
              <w:tab w:val="right" w:leader="dot" w:pos="9016"/>
            </w:tabs>
            <w:rPr>
              <w:rFonts w:eastAsiaTheme="minorEastAsia"/>
              <w:noProof/>
              <w:lang w:eastAsia="en-GB"/>
            </w:rPr>
          </w:pPr>
          <w:hyperlink w:anchor="_Toc198838995" w:history="1">
            <w:r w:rsidRPr="00D15894">
              <w:rPr>
                <w:rStyle w:val="Hyperlink"/>
                <w:rFonts w:ascii="Symbol" w:hAnsi="Symbol"/>
                <w:noProof/>
              </w:rPr>
              <w:t></w:t>
            </w:r>
            <w:r>
              <w:rPr>
                <w:rFonts w:eastAsiaTheme="minorEastAsia"/>
                <w:noProof/>
                <w:lang w:eastAsia="en-GB"/>
              </w:rPr>
              <w:tab/>
            </w:r>
            <w:r w:rsidRPr="00D15894">
              <w:rPr>
                <w:rStyle w:val="Hyperlink"/>
                <w:noProof/>
              </w:rPr>
              <w:t>Securing Remote Access and Network Entry Points</w:t>
            </w:r>
            <w:r>
              <w:rPr>
                <w:noProof/>
                <w:webHidden/>
              </w:rPr>
              <w:tab/>
            </w:r>
            <w:r>
              <w:rPr>
                <w:noProof/>
                <w:webHidden/>
              </w:rPr>
              <w:fldChar w:fldCharType="begin"/>
            </w:r>
            <w:r>
              <w:rPr>
                <w:noProof/>
                <w:webHidden/>
              </w:rPr>
              <w:instrText xml:space="preserve"> PAGEREF _Toc198838995 \h </w:instrText>
            </w:r>
            <w:r>
              <w:rPr>
                <w:noProof/>
                <w:webHidden/>
              </w:rPr>
            </w:r>
            <w:r>
              <w:rPr>
                <w:noProof/>
                <w:webHidden/>
              </w:rPr>
              <w:fldChar w:fldCharType="separate"/>
            </w:r>
            <w:r>
              <w:rPr>
                <w:noProof/>
                <w:webHidden/>
              </w:rPr>
              <w:t>5</w:t>
            </w:r>
            <w:r>
              <w:rPr>
                <w:noProof/>
                <w:webHidden/>
              </w:rPr>
              <w:fldChar w:fldCharType="end"/>
            </w:r>
          </w:hyperlink>
        </w:p>
        <w:p w14:paraId="375A7D2E" w14:textId="462A22A8" w:rsidR="007C655E" w:rsidRDefault="007C655E">
          <w:pPr>
            <w:pStyle w:val="TOC2"/>
            <w:tabs>
              <w:tab w:val="left" w:pos="720"/>
              <w:tab w:val="right" w:leader="dot" w:pos="9016"/>
            </w:tabs>
            <w:rPr>
              <w:rFonts w:eastAsiaTheme="minorEastAsia"/>
              <w:noProof/>
              <w:lang w:eastAsia="en-GB"/>
            </w:rPr>
          </w:pPr>
          <w:hyperlink w:anchor="_Toc198838996" w:history="1">
            <w:r w:rsidRPr="00D15894">
              <w:rPr>
                <w:rStyle w:val="Hyperlink"/>
                <w:rFonts w:ascii="Symbol" w:hAnsi="Symbol"/>
                <w:noProof/>
              </w:rPr>
              <w:t></w:t>
            </w:r>
            <w:r>
              <w:rPr>
                <w:rFonts w:eastAsiaTheme="minorEastAsia"/>
                <w:noProof/>
                <w:lang w:eastAsia="en-GB"/>
              </w:rPr>
              <w:tab/>
            </w:r>
            <w:r w:rsidRPr="00D15894">
              <w:rPr>
                <w:rStyle w:val="Hyperlink"/>
                <w:noProof/>
              </w:rPr>
              <w:t>Network Access Control (NAC) solutions</w:t>
            </w:r>
            <w:r>
              <w:rPr>
                <w:noProof/>
                <w:webHidden/>
              </w:rPr>
              <w:tab/>
            </w:r>
            <w:r>
              <w:rPr>
                <w:noProof/>
                <w:webHidden/>
              </w:rPr>
              <w:fldChar w:fldCharType="begin"/>
            </w:r>
            <w:r>
              <w:rPr>
                <w:noProof/>
                <w:webHidden/>
              </w:rPr>
              <w:instrText xml:space="preserve"> PAGEREF _Toc198838996 \h </w:instrText>
            </w:r>
            <w:r>
              <w:rPr>
                <w:noProof/>
                <w:webHidden/>
              </w:rPr>
            </w:r>
            <w:r>
              <w:rPr>
                <w:noProof/>
                <w:webHidden/>
              </w:rPr>
              <w:fldChar w:fldCharType="separate"/>
            </w:r>
            <w:r>
              <w:rPr>
                <w:noProof/>
                <w:webHidden/>
              </w:rPr>
              <w:t>5</w:t>
            </w:r>
            <w:r>
              <w:rPr>
                <w:noProof/>
                <w:webHidden/>
              </w:rPr>
              <w:fldChar w:fldCharType="end"/>
            </w:r>
          </w:hyperlink>
        </w:p>
        <w:p w14:paraId="2581277A" w14:textId="78431AD4" w:rsidR="007C655E" w:rsidRDefault="007C655E">
          <w:pPr>
            <w:pStyle w:val="TOC2"/>
            <w:tabs>
              <w:tab w:val="left" w:pos="720"/>
              <w:tab w:val="right" w:leader="dot" w:pos="9016"/>
            </w:tabs>
            <w:rPr>
              <w:rFonts w:eastAsiaTheme="minorEastAsia"/>
              <w:noProof/>
              <w:lang w:eastAsia="en-GB"/>
            </w:rPr>
          </w:pPr>
          <w:hyperlink w:anchor="_Toc198838997" w:history="1">
            <w:r w:rsidRPr="00D15894">
              <w:rPr>
                <w:rStyle w:val="Hyperlink"/>
                <w:rFonts w:ascii="Symbol" w:hAnsi="Symbol"/>
                <w:bCs/>
                <w:noProof/>
              </w:rPr>
              <w:t></w:t>
            </w:r>
            <w:r>
              <w:rPr>
                <w:rFonts w:eastAsiaTheme="minorEastAsia"/>
                <w:noProof/>
                <w:lang w:eastAsia="en-GB"/>
              </w:rPr>
              <w:tab/>
            </w:r>
            <w:r w:rsidRPr="00D15894">
              <w:rPr>
                <w:rStyle w:val="Hyperlink"/>
                <w:noProof/>
              </w:rPr>
              <w:t>Addressing Insider and Human Factor Risks:</w:t>
            </w:r>
            <w:r>
              <w:rPr>
                <w:noProof/>
                <w:webHidden/>
              </w:rPr>
              <w:tab/>
            </w:r>
            <w:r>
              <w:rPr>
                <w:noProof/>
                <w:webHidden/>
              </w:rPr>
              <w:fldChar w:fldCharType="begin"/>
            </w:r>
            <w:r>
              <w:rPr>
                <w:noProof/>
                <w:webHidden/>
              </w:rPr>
              <w:instrText xml:space="preserve"> PAGEREF _Toc198838997 \h </w:instrText>
            </w:r>
            <w:r>
              <w:rPr>
                <w:noProof/>
                <w:webHidden/>
              </w:rPr>
            </w:r>
            <w:r>
              <w:rPr>
                <w:noProof/>
                <w:webHidden/>
              </w:rPr>
              <w:fldChar w:fldCharType="separate"/>
            </w:r>
            <w:r>
              <w:rPr>
                <w:noProof/>
                <w:webHidden/>
              </w:rPr>
              <w:t>5</w:t>
            </w:r>
            <w:r>
              <w:rPr>
                <w:noProof/>
                <w:webHidden/>
              </w:rPr>
              <w:fldChar w:fldCharType="end"/>
            </w:r>
          </w:hyperlink>
        </w:p>
        <w:p w14:paraId="66D43E06" w14:textId="0E66BDF8" w:rsidR="007C655E" w:rsidRDefault="007C655E">
          <w:pPr>
            <w:pStyle w:val="TOC2"/>
            <w:tabs>
              <w:tab w:val="left" w:pos="720"/>
              <w:tab w:val="right" w:leader="dot" w:pos="9016"/>
            </w:tabs>
            <w:rPr>
              <w:rFonts w:eastAsiaTheme="minorEastAsia"/>
              <w:noProof/>
              <w:lang w:eastAsia="en-GB"/>
            </w:rPr>
          </w:pPr>
          <w:hyperlink w:anchor="_Toc198838998" w:history="1">
            <w:r w:rsidRPr="00D15894">
              <w:rPr>
                <w:rStyle w:val="Hyperlink"/>
                <w:rFonts w:ascii="Symbol" w:hAnsi="Symbol"/>
                <w:bCs/>
                <w:noProof/>
              </w:rPr>
              <w:t></w:t>
            </w:r>
            <w:r>
              <w:rPr>
                <w:rFonts w:eastAsiaTheme="minorEastAsia"/>
                <w:noProof/>
                <w:lang w:eastAsia="en-GB"/>
              </w:rPr>
              <w:tab/>
            </w:r>
            <w:r w:rsidRPr="00D15894">
              <w:rPr>
                <w:rStyle w:val="Hyperlink"/>
                <w:noProof/>
              </w:rPr>
              <w:t>Incident Response Plan:</w:t>
            </w:r>
            <w:r>
              <w:rPr>
                <w:noProof/>
                <w:webHidden/>
              </w:rPr>
              <w:tab/>
            </w:r>
            <w:r>
              <w:rPr>
                <w:noProof/>
                <w:webHidden/>
              </w:rPr>
              <w:fldChar w:fldCharType="begin"/>
            </w:r>
            <w:r>
              <w:rPr>
                <w:noProof/>
                <w:webHidden/>
              </w:rPr>
              <w:instrText xml:space="preserve"> PAGEREF _Toc198838998 \h </w:instrText>
            </w:r>
            <w:r>
              <w:rPr>
                <w:noProof/>
                <w:webHidden/>
              </w:rPr>
            </w:r>
            <w:r>
              <w:rPr>
                <w:noProof/>
                <w:webHidden/>
              </w:rPr>
              <w:fldChar w:fldCharType="separate"/>
            </w:r>
            <w:r>
              <w:rPr>
                <w:noProof/>
                <w:webHidden/>
              </w:rPr>
              <w:t>6</w:t>
            </w:r>
            <w:r>
              <w:rPr>
                <w:noProof/>
                <w:webHidden/>
              </w:rPr>
              <w:fldChar w:fldCharType="end"/>
            </w:r>
          </w:hyperlink>
        </w:p>
        <w:p w14:paraId="775C49B0" w14:textId="59F30D80" w:rsidR="007C655E" w:rsidRDefault="007C655E">
          <w:pPr>
            <w:pStyle w:val="TOC1"/>
            <w:rPr>
              <w:rFonts w:eastAsiaTheme="minorEastAsia"/>
              <w:b w:val="0"/>
              <w:bCs w:val="0"/>
              <w:lang w:eastAsia="en-GB"/>
            </w:rPr>
          </w:pPr>
          <w:hyperlink w:anchor="_Toc198838999" w:history="1">
            <w:r w:rsidRPr="00D15894">
              <w:rPr>
                <w:rStyle w:val="Hyperlink"/>
              </w:rPr>
              <w:t>Training and Awareness Program</w:t>
            </w:r>
            <w:r>
              <w:rPr>
                <w:webHidden/>
              </w:rPr>
              <w:tab/>
            </w:r>
            <w:r>
              <w:rPr>
                <w:webHidden/>
              </w:rPr>
              <w:fldChar w:fldCharType="begin"/>
            </w:r>
            <w:r>
              <w:rPr>
                <w:webHidden/>
              </w:rPr>
              <w:instrText xml:space="preserve"> PAGEREF _Toc198838999 \h </w:instrText>
            </w:r>
            <w:r>
              <w:rPr>
                <w:webHidden/>
              </w:rPr>
            </w:r>
            <w:r>
              <w:rPr>
                <w:webHidden/>
              </w:rPr>
              <w:fldChar w:fldCharType="separate"/>
            </w:r>
            <w:r>
              <w:rPr>
                <w:webHidden/>
              </w:rPr>
              <w:t>7</w:t>
            </w:r>
            <w:r>
              <w:rPr>
                <w:webHidden/>
              </w:rPr>
              <w:fldChar w:fldCharType="end"/>
            </w:r>
          </w:hyperlink>
        </w:p>
        <w:p w14:paraId="2A83D927" w14:textId="33F04E25" w:rsidR="007C655E" w:rsidRDefault="007C655E">
          <w:pPr>
            <w:pStyle w:val="TOC2"/>
            <w:tabs>
              <w:tab w:val="left" w:pos="720"/>
              <w:tab w:val="right" w:leader="dot" w:pos="9016"/>
            </w:tabs>
            <w:rPr>
              <w:rFonts w:eastAsiaTheme="minorEastAsia"/>
              <w:noProof/>
              <w:lang w:eastAsia="en-GB"/>
            </w:rPr>
          </w:pPr>
          <w:hyperlink w:anchor="_Toc198839000" w:history="1">
            <w:r w:rsidRPr="00D15894">
              <w:rPr>
                <w:rStyle w:val="Hyperlink"/>
                <w:rFonts w:ascii="Symbol" w:hAnsi="Symbol"/>
                <w:noProof/>
              </w:rPr>
              <w:t></w:t>
            </w:r>
            <w:r>
              <w:rPr>
                <w:rFonts w:eastAsiaTheme="minorEastAsia"/>
                <w:noProof/>
                <w:lang w:eastAsia="en-GB"/>
              </w:rPr>
              <w:tab/>
            </w:r>
            <w:r w:rsidRPr="00D15894">
              <w:rPr>
                <w:rStyle w:val="Hyperlink"/>
                <w:noProof/>
              </w:rPr>
              <w:t>Phishing and Social Engineering Awareness:</w:t>
            </w:r>
            <w:r>
              <w:rPr>
                <w:noProof/>
                <w:webHidden/>
              </w:rPr>
              <w:tab/>
            </w:r>
            <w:r>
              <w:rPr>
                <w:noProof/>
                <w:webHidden/>
              </w:rPr>
              <w:fldChar w:fldCharType="begin"/>
            </w:r>
            <w:r>
              <w:rPr>
                <w:noProof/>
                <w:webHidden/>
              </w:rPr>
              <w:instrText xml:space="preserve"> PAGEREF _Toc198839000 \h </w:instrText>
            </w:r>
            <w:r>
              <w:rPr>
                <w:noProof/>
                <w:webHidden/>
              </w:rPr>
            </w:r>
            <w:r>
              <w:rPr>
                <w:noProof/>
                <w:webHidden/>
              </w:rPr>
              <w:fldChar w:fldCharType="separate"/>
            </w:r>
            <w:r>
              <w:rPr>
                <w:noProof/>
                <w:webHidden/>
              </w:rPr>
              <w:t>7</w:t>
            </w:r>
            <w:r>
              <w:rPr>
                <w:noProof/>
                <w:webHidden/>
              </w:rPr>
              <w:fldChar w:fldCharType="end"/>
            </w:r>
          </w:hyperlink>
        </w:p>
        <w:p w14:paraId="1F2E7C85" w14:textId="669883E7" w:rsidR="007C655E" w:rsidRDefault="007C655E">
          <w:pPr>
            <w:pStyle w:val="TOC2"/>
            <w:tabs>
              <w:tab w:val="left" w:pos="720"/>
              <w:tab w:val="right" w:leader="dot" w:pos="9016"/>
            </w:tabs>
            <w:rPr>
              <w:rFonts w:eastAsiaTheme="minorEastAsia"/>
              <w:noProof/>
              <w:lang w:eastAsia="en-GB"/>
            </w:rPr>
          </w:pPr>
          <w:hyperlink w:anchor="_Toc198839001" w:history="1">
            <w:r w:rsidRPr="00D15894">
              <w:rPr>
                <w:rStyle w:val="Hyperlink"/>
                <w:rFonts w:ascii="Symbol" w:hAnsi="Symbol"/>
                <w:noProof/>
              </w:rPr>
              <w:t></w:t>
            </w:r>
            <w:r>
              <w:rPr>
                <w:rFonts w:eastAsiaTheme="minorEastAsia"/>
                <w:noProof/>
                <w:lang w:eastAsia="en-GB"/>
              </w:rPr>
              <w:tab/>
            </w:r>
            <w:r w:rsidRPr="00D15894">
              <w:rPr>
                <w:rStyle w:val="Hyperlink"/>
                <w:noProof/>
              </w:rPr>
              <w:t>Secure Remote Work Practices:</w:t>
            </w:r>
            <w:r>
              <w:rPr>
                <w:noProof/>
                <w:webHidden/>
              </w:rPr>
              <w:tab/>
            </w:r>
            <w:r>
              <w:rPr>
                <w:noProof/>
                <w:webHidden/>
              </w:rPr>
              <w:fldChar w:fldCharType="begin"/>
            </w:r>
            <w:r>
              <w:rPr>
                <w:noProof/>
                <w:webHidden/>
              </w:rPr>
              <w:instrText xml:space="preserve"> PAGEREF _Toc198839001 \h </w:instrText>
            </w:r>
            <w:r>
              <w:rPr>
                <w:noProof/>
                <w:webHidden/>
              </w:rPr>
            </w:r>
            <w:r>
              <w:rPr>
                <w:noProof/>
                <w:webHidden/>
              </w:rPr>
              <w:fldChar w:fldCharType="separate"/>
            </w:r>
            <w:r>
              <w:rPr>
                <w:noProof/>
                <w:webHidden/>
              </w:rPr>
              <w:t>7</w:t>
            </w:r>
            <w:r>
              <w:rPr>
                <w:noProof/>
                <w:webHidden/>
              </w:rPr>
              <w:fldChar w:fldCharType="end"/>
            </w:r>
          </w:hyperlink>
        </w:p>
        <w:p w14:paraId="556BBB81" w14:textId="59C3D9A7" w:rsidR="007C655E" w:rsidRDefault="007C655E">
          <w:pPr>
            <w:pStyle w:val="TOC2"/>
            <w:tabs>
              <w:tab w:val="left" w:pos="720"/>
              <w:tab w:val="right" w:leader="dot" w:pos="9016"/>
            </w:tabs>
            <w:rPr>
              <w:rFonts w:eastAsiaTheme="minorEastAsia"/>
              <w:noProof/>
              <w:lang w:eastAsia="en-GB"/>
            </w:rPr>
          </w:pPr>
          <w:hyperlink w:anchor="_Toc198839002" w:history="1">
            <w:r w:rsidRPr="00D15894">
              <w:rPr>
                <w:rStyle w:val="Hyperlink"/>
                <w:rFonts w:ascii="Symbol" w:hAnsi="Symbol"/>
                <w:noProof/>
              </w:rPr>
              <w:t></w:t>
            </w:r>
            <w:r>
              <w:rPr>
                <w:rFonts w:eastAsiaTheme="minorEastAsia"/>
                <w:noProof/>
                <w:lang w:eastAsia="en-GB"/>
              </w:rPr>
              <w:tab/>
            </w:r>
            <w:r w:rsidRPr="00D15894">
              <w:rPr>
                <w:rStyle w:val="Hyperlink"/>
                <w:noProof/>
              </w:rPr>
              <w:t>Data Protection and Compliance:</w:t>
            </w:r>
            <w:r>
              <w:rPr>
                <w:noProof/>
                <w:webHidden/>
              </w:rPr>
              <w:tab/>
            </w:r>
            <w:r>
              <w:rPr>
                <w:noProof/>
                <w:webHidden/>
              </w:rPr>
              <w:fldChar w:fldCharType="begin"/>
            </w:r>
            <w:r>
              <w:rPr>
                <w:noProof/>
                <w:webHidden/>
              </w:rPr>
              <w:instrText xml:space="preserve"> PAGEREF _Toc198839002 \h </w:instrText>
            </w:r>
            <w:r>
              <w:rPr>
                <w:noProof/>
                <w:webHidden/>
              </w:rPr>
            </w:r>
            <w:r>
              <w:rPr>
                <w:noProof/>
                <w:webHidden/>
              </w:rPr>
              <w:fldChar w:fldCharType="separate"/>
            </w:r>
            <w:r>
              <w:rPr>
                <w:noProof/>
                <w:webHidden/>
              </w:rPr>
              <w:t>7</w:t>
            </w:r>
            <w:r>
              <w:rPr>
                <w:noProof/>
                <w:webHidden/>
              </w:rPr>
              <w:fldChar w:fldCharType="end"/>
            </w:r>
          </w:hyperlink>
        </w:p>
        <w:p w14:paraId="21051EC1" w14:textId="1DAF66F5" w:rsidR="007C655E" w:rsidRDefault="007C655E">
          <w:pPr>
            <w:pStyle w:val="TOC2"/>
            <w:tabs>
              <w:tab w:val="left" w:pos="720"/>
              <w:tab w:val="right" w:leader="dot" w:pos="9016"/>
            </w:tabs>
            <w:rPr>
              <w:rFonts w:eastAsiaTheme="minorEastAsia"/>
              <w:noProof/>
              <w:lang w:eastAsia="en-GB"/>
            </w:rPr>
          </w:pPr>
          <w:hyperlink w:anchor="_Toc198839003" w:history="1">
            <w:r w:rsidRPr="00D15894">
              <w:rPr>
                <w:rStyle w:val="Hyperlink"/>
                <w:rFonts w:ascii="Symbol" w:hAnsi="Symbol"/>
                <w:noProof/>
              </w:rPr>
              <w:t></w:t>
            </w:r>
            <w:r>
              <w:rPr>
                <w:rFonts w:eastAsiaTheme="minorEastAsia"/>
                <w:noProof/>
                <w:lang w:eastAsia="en-GB"/>
              </w:rPr>
              <w:tab/>
            </w:r>
            <w:r w:rsidRPr="00D15894">
              <w:rPr>
                <w:rStyle w:val="Hyperlink"/>
                <w:noProof/>
              </w:rPr>
              <w:t>Incident Reporting and Response:</w:t>
            </w:r>
            <w:r>
              <w:rPr>
                <w:noProof/>
                <w:webHidden/>
              </w:rPr>
              <w:tab/>
            </w:r>
            <w:r>
              <w:rPr>
                <w:noProof/>
                <w:webHidden/>
              </w:rPr>
              <w:fldChar w:fldCharType="begin"/>
            </w:r>
            <w:r>
              <w:rPr>
                <w:noProof/>
                <w:webHidden/>
              </w:rPr>
              <w:instrText xml:space="preserve"> PAGEREF _Toc198839003 \h </w:instrText>
            </w:r>
            <w:r>
              <w:rPr>
                <w:noProof/>
                <w:webHidden/>
              </w:rPr>
            </w:r>
            <w:r>
              <w:rPr>
                <w:noProof/>
                <w:webHidden/>
              </w:rPr>
              <w:fldChar w:fldCharType="separate"/>
            </w:r>
            <w:r>
              <w:rPr>
                <w:noProof/>
                <w:webHidden/>
              </w:rPr>
              <w:t>8</w:t>
            </w:r>
            <w:r>
              <w:rPr>
                <w:noProof/>
                <w:webHidden/>
              </w:rPr>
              <w:fldChar w:fldCharType="end"/>
            </w:r>
          </w:hyperlink>
        </w:p>
        <w:p w14:paraId="5C799240" w14:textId="0BEC187F" w:rsidR="007C655E" w:rsidRDefault="007C655E">
          <w:pPr>
            <w:pStyle w:val="TOC1"/>
            <w:rPr>
              <w:rFonts w:eastAsiaTheme="minorEastAsia"/>
              <w:b w:val="0"/>
              <w:bCs w:val="0"/>
              <w:lang w:eastAsia="en-GB"/>
            </w:rPr>
          </w:pPr>
          <w:hyperlink w:anchor="_Toc198839004" w:history="1">
            <w:r w:rsidRPr="00D15894">
              <w:rPr>
                <w:rStyle w:val="Hyperlink"/>
              </w:rPr>
              <w:t>Conclusion</w:t>
            </w:r>
            <w:r>
              <w:rPr>
                <w:webHidden/>
              </w:rPr>
              <w:tab/>
            </w:r>
            <w:r>
              <w:rPr>
                <w:webHidden/>
              </w:rPr>
              <w:fldChar w:fldCharType="begin"/>
            </w:r>
            <w:r>
              <w:rPr>
                <w:webHidden/>
              </w:rPr>
              <w:instrText xml:space="preserve"> PAGEREF _Toc198839004 \h </w:instrText>
            </w:r>
            <w:r>
              <w:rPr>
                <w:webHidden/>
              </w:rPr>
            </w:r>
            <w:r>
              <w:rPr>
                <w:webHidden/>
              </w:rPr>
              <w:fldChar w:fldCharType="separate"/>
            </w:r>
            <w:r>
              <w:rPr>
                <w:webHidden/>
              </w:rPr>
              <w:t>9</w:t>
            </w:r>
            <w:r>
              <w:rPr>
                <w:webHidden/>
              </w:rPr>
              <w:fldChar w:fldCharType="end"/>
            </w:r>
          </w:hyperlink>
        </w:p>
        <w:p w14:paraId="3EEC8DAC" w14:textId="69612AC3" w:rsidR="007C655E" w:rsidRDefault="007C655E">
          <w:pPr>
            <w:pStyle w:val="TOC1"/>
            <w:rPr>
              <w:rFonts w:eastAsiaTheme="minorEastAsia"/>
              <w:b w:val="0"/>
              <w:bCs w:val="0"/>
              <w:lang w:eastAsia="en-GB"/>
            </w:rPr>
          </w:pPr>
          <w:hyperlink w:anchor="_Toc198839005" w:history="1">
            <w:r w:rsidRPr="00D15894">
              <w:rPr>
                <w:rStyle w:val="Hyperlink"/>
              </w:rPr>
              <w:t>Bibliography</w:t>
            </w:r>
            <w:r>
              <w:rPr>
                <w:webHidden/>
              </w:rPr>
              <w:tab/>
            </w:r>
            <w:r>
              <w:rPr>
                <w:webHidden/>
              </w:rPr>
              <w:fldChar w:fldCharType="begin"/>
            </w:r>
            <w:r>
              <w:rPr>
                <w:webHidden/>
              </w:rPr>
              <w:instrText xml:space="preserve"> PAGEREF _Toc198839005 \h </w:instrText>
            </w:r>
            <w:r>
              <w:rPr>
                <w:webHidden/>
              </w:rPr>
            </w:r>
            <w:r>
              <w:rPr>
                <w:webHidden/>
              </w:rPr>
              <w:fldChar w:fldCharType="separate"/>
            </w:r>
            <w:r>
              <w:rPr>
                <w:webHidden/>
              </w:rPr>
              <w:t>10</w:t>
            </w:r>
            <w:r>
              <w:rPr>
                <w:webHidden/>
              </w:rPr>
              <w:fldChar w:fldCharType="end"/>
            </w:r>
          </w:hyperlink>
        </w:p>
        <w:p w14:paraId="7F556C6F" w14:textId="1403D2F5" w:rsidR="00314D21" w:rsidRPr="00314D21" w:rsidRDefault="00314D21">
          <w:pPr>
            <w:rPr>
              <w:b/>
              <w:bCs/>
              <w:noProof/>
            </w:rPr>
          </w:pPr>
          <w:r>
            <w:rPr>
              <w:b/>
              <w:bCs/>
              <w:noProof/>
            </w:rPr>
            <w:fldChar w:fldCharType="end"/>
          </w:r>
        </w:p>
      </w:sdtContent>
    </w:sdt>
    <w:p w14:paraId="5EDBAFF1" w14:textId="3C03E0D0" w:rsidR="00314D21" w:rsidRDefault="00314D21" w:rsidP="00F371F1">
      <w:pPr>
        <w:rPr>
          <w:b/>
          <w:bCs/>
        </w:rPr>
      </w:pPr>
    </w:p>
    <w:p w14:paraId="7BD46300" w14:textId="77777777" w:rsidR="00314D21" w:rsidRDefault="00314D21">
      <w:pPr>
        <w:rPr>
          <w:b/>
          <w:bCs/>
        </w:rPr>
      </w:pPr>
      <w:r>
        <w:rPr>
          <w:b/>
          <w:bCs/>
        </w:rPr>
        <w:br w:type="page"/>
      </w:r>
    </w:p>
    <w:p w14:paraId="76913750" w14:textId="756F6992" w:rsidR="00F371F1" w:rsidRPr="00F371F1" w:rsidRDefault="00314D21" w:rsidP="00314D21">
      <w:pPr>
        <w:pStyle w:val="Heading1"/>
      </w:pPr>
      <w:bookmarkStart w:id="0" w:name="_Toc198838984"/>
      <w:r w:rsidRPr="00F371F1">
        <w:lastRenderedPageBreak/>
        <w:t>Introduction</w:t>
      </w:r>
      <w:bookmarkEnd w:id="0"/>
    </w:p>
    <w:p w14:paraId="3DC742A5" w14:textId="06FDCB01" w:rsidR="00C00DFC" w:rsidRPr="00F371F1" w:rsidRDefault="00F371F1" w:rsidP="00577377">
      <w:proofErr w:type="spellStart"/>
      <w:r w:rsidRPr="00F371F1">
        <w:t>FinSecure</w:t>
      </w:r>
      <w:proofErr w:type="spellEnd"/>
      <w:r w:rsidRPr="00F371F1">
        <w:t xml:space="preserve"> Ltd (FSL) is a medium-sized financial services firm. In recent months, FSL has faced phishing attacks and unauthorized network access attempts, highlighting urgent security gaps. FSL must strengthen its cybersecurity posture. This report identifies internal and external threats facing FSL, and recommends comprehensive security policies, controls, monitoring, incident response, and training measures aligned with best practices and standards.</w:t>
      </w:r>
    </w:p>
    <w:p w14:paraId="096D0A8A" w14:textId="77777777" w:rsidR="00F371F1" w:rsidRPr="00F371F1" w:rsidRDefault="00F371F1" w:rsidP="00314D21">
      <w:pPr>
        <w:pStyle w:val="Heading1"/>
        <w:rPr>
          <w:b/>
          <w:bCs/>
        </w:rPr>
      </w:pPr>
      <w:bookmarkStart w:id="1" w:name="_Toc198838985"/>
      <w:r w:rsidRPr="00F371F1">
        <w:rPr>
          <w:b/>
          <w:bCs/>
        </w:rPr>
        <w:t>Identification of Threats</w:t>
      </w:r>
      <w:bookmarkEnd w:id="1"/>
    </w:p>
    <w:p w14:paraId="373A0149" w14:textId="38DA3738" w:rsidR="00F371F1" w:rsidRPr="00F371F1" w:rsidRDefault="00F371F1" w:rsidP="00F371F1">
      <w:r w:rsidRPr="00F371F1">
        <w:t>Financial organizations like FSL face intense external threats from cybercriminals. Phishing and Social Engineering are top concerns – the most common attacks against remote employees are fraudulent emails and messages aimed at stealing credentials or delivering malware</w:t>
      </w:r>
      <w:r>
        <w:t xml:space="preserve">. </w:t>
      </w:r>
      <w:r w:rsidRPr="00F371F1">
        <w:t xml:space="preserve">stolen passwords and phishing are among the primary ways intruders gain access to organizations. </w:t>
      </w:r>
      <w:sdt>
        <w:sdtPr>
          <w:id w:val="1391231866"/>
          <w:citation/>
        </w:sdtPr>
        <w:sdtContent>
          <w:r w:rsidR="00C037C9">
            <w:fldChar w:fldCharType="begin"/>
          </w:r>
          <w:r w:rsidR="00C037C9">
            <w:instrText xml:space="preserve">CITATION kee25 \l 2057 </w:instrText>
          </w:r>
          <w:r w:rsidR="00C037C9">
            <w:fldChar w:fldCharType="separate"/>
          </w:r>
          <w:r w:rsidR="00C037C9" w:rsidRPr="00C037C9">
            <w:rPr>
              <w:noProof/>
            </w:rPr>
            <w:t>[1]</w:t>
          </w:r>
          <w:r w:rsidR="00C037C9">
            <w:fldChar w:fldCharType="end"/>
          </w:r>
        </w:sdtContent>
      </w:sdt>
    </w:p>
    <w:p w14:paraId="47502D5A" w14:textId="17FEC9AA" w:rsidR="00F371F1" w:rsidRDefault="00F371F1" w:rsidP="00F371F1">
      <w:r w:rsidRPr="00F371F1">
        <w:t xml:space="preserve">FSL must also consider threats originating from within. Insider threats include malicious insiders (employees or contractors stealing data or misusing privileges) and unintentional insiders (employees whose errors cause security incidents). </w:t>
      </w:r>
    </w:p>
    <w:p w14:paraId="1ACCA0CB" w14:textId="25370114" w:rsidR="00C00DFC" w:rsidRDefault="00C00DFC" w:rsidP="00F371F1"/>
    <w:p w14:paraId="5D347E9A" w14:textId="47E75D10" w:rsidR="00C00DFC" w:rsidRDefault="00C00DFC" w:rsidP="00F371F1"/>
    <w:p w14:paraId="3F9CE0EE" w14:textId="05459DA3" w:rsidR="00C00DFC" w:rsidRDefault="00577377" w:rsidP="00F371F1">
      <w:r>
        <w:rPr>
          <w:noProof/>
        </w:rPr>
        <w:drawing>
          <wp:anchor distT="0" distB="0" distL="114300" distR="114300" simplePos="0" relativeHeight="251660288" behindDoc="1" locked="0" layoutInCell="1" allowOverlap="1" wp14:anchorId="15C8593E" wp14:editId="5AB88437">
            <wp:simplePos x="0" y="0"/>
            <wp:positionH relativeFrom="margin">
              <wp:align>center</wp:align>
            </wp:positionH>
            <wp:positionV relativeFrom="paragraph">
              <wp:posOffset>100965</wp:posOffset>
            </wp:positionV>
            <wp:extent cx="3419475" cy="3419475"/>
            <wp:effectExtent l="0" t="0" r="9525" b="9525"/>
            <wp:wrapSquare wrapText="bothSides"/>
            <wp:docPr id="2010448102"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9475"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54EA37" w14:textId="575C26B4" w:rsidR="00C00DFC" w:rsidRDefault="00C00DFC" w:rsidP="00F371F1"/>
    <w:p w14:paraId="04AB0D20" w14:textId="3EFB7C7D" w:rsidR="00C00DFC" w:rsidRDefault="00C00DFC" w:rsidP="00F371F1"/>
    <w:p w14:paraId="3014E4A5" w14:textId="4ADE8406" w:rsidR="00C00DFC" w:rsidRDefault="00C00DFC" w:rsidP="00F371F1"/>
    <w:p w14:paraId="50450488" w14:textId="77777777" w:rsidR="00C00DFC" w:rsidRDefault="00C00DFC" w:rsidP="00F371F1"/>
    <w:p w14:paraId="5C31287F" w14:textId="77777777" w:rsidR="00C00DFC" w:rsidRDefault="00C00DFC" w:rsidP="00F371F1"/>
    <w:p w14:paraId="37199B50" w14:textId="77777777" w:rsidR="00C00DFC" w:rsidRDefault="00C00DFC" w:rsidP="00F371F1"/>
    <w:p w14:paraId="733AD84F" w14:textId="77777777" w:rsidR="00C00DFC" w:rsidRDefault="00C00DFC" w:rsidP="00F371F1"/>
    <w:p w14:paraId="36513DE8" w14:textId="77777777" w:rsidR="00C00DFC" w:rsidRDefault="00C00DFC" w:rsidP="00F371F1"/>
    <w:p w14:paraId="2E0E742C" w14:textId="77777777" w:rsidR="00C00DFC" w:rsidRDefault="00C00DFC" w:rsidP="00F371F1"/>
    <w:p w14:paraId="30062A9E" w14:textId="77777777" w:rsidR="00C00DFC" w:rsidRDefault="00C00DFC" w:rsidP="00F371F1"/>
    <w:p w14:paraId="78D116C3" w14:textId="77777777" w:rsidR="00C00DFC" w:rsidRDefault="00C00DFC" w:rsidP="00F371F1"/>
    <w:p w14:paraId="6262E5CF" w14:textId="77777777" w:rsidR="00C00DFC" w:rsidRPr="00F371F1" w:rsidRDefault="00C00DFC" w:rsidP="00F371F1"/>
    <w:p w14:paraId="69E8BBBF" w14:textId="77777777" w:rsidR="00F371F1" w:rsidRPr="00F371F1" w:rsidRDefault="00F371F1" w:rsidP="00314D21">
      <w:pPr>
        <w:pStyle w:val="Heading1"/>
      </w:pPr>
      <w:bookmarkStart w:id="2" w:name="_Toc198838986"/>
      <w:r w:rsidRPr="00F371F1">
        <w:t>Security Policies</w:t>
      </w:r>
      <w:bookmarkEnd w:id="2"/>
    </w:p>
    <w:p w14:paraId="2077775D" w14:textId="3FE4FB22" w:rsidR="00F371F1" w:rsidRPr="00F371F1" w:rsidRDefault="00F371F1" w:rsidP="00F371F1">
      <w:r w:rsidRPr="00F371F1">
        <w:t>To address these threats, FSL should implement a set of policies aligned with industry best practices and regulatory expectations. The following key policies are recommended</w:t>
      </w:r>
      <w:sdt>
        <w:sdtPr>
          <w:id w:val="-354116694"/>
          <w:citation/>
        </w:sdtPr>
        <w:sdtContent>
          <w:r w:rsidR="008D13D3">
            <w:fldChar w:fldCharType="begin"/>
          </w:r>
          <w:r w:rsidR="008D13D3">
            <w:instrText xml:space="preserve"> CITATION Sec24 \l 2057 </w:instrText>
          </w:r>
          <w:r w:rsidR="008D13D3">
            <w:fldChar w:fldCharType="separate"/>
          </w:r>
          <w:r w:rsidR="008D13D3">
            <w:rPr>
              <w:noProof/>
            </w:rPr>
            <w:t xml:space="preserve"> </w:t>
          </w:r>
          <w:r w:rsidR="008D13D3" w:rsidRPr="008D13D3">
            <w:rPr>
              <w:noProof/>
            </w:rPr>
            <w:t>[2]</w:t>
          </w:r>
          <w:r w:rsidR="008D13D3">
            <w:fldChar w:fldCharType="end"/>
          </w:r>
        </w:sdtContent>
      </w:sdt>
      <w:r w:rsidRPr="00F371F1">
        <w:t>:</w:t>
      </w:r>
    </w:p>
    <w:p w14:paraId="222AF09F" w14:textId="796A14A8" w:rsidR="00F371F1" w:rsidRPr="00F371F1" w:rsidRDefault="00F371F1" w:rsidP="00F371F1">
      <w:pPr>
        <w:numPr>
          <w:ilvl w:val="0"/>
          <w:numId w:val="1"/>
        </w:numPr>
      </w:pPr>
      <w:bookmarkStart w:id="3" w:name="_Toc198838987"/>
      <w:r w:rsidRPr="00314D21">
        <w:rPr>
          <w:rStyle w:val="Heading2Char"/>
        </w:rPr>
        <w:t>Data Protection and Privacy Policy</w:t>
      </w:r>
      <w:bookmarkEnd w:id="3"/>
      <w:r w:rsidRPr="00F371F1">
        <w:rPr>
          <w:b/>
          <w:bCs/>
        </w:rPr>
        <w:t>:</w:t>
      </w:r>
      <w:r w:rsidRPr="00F371F1">
        <w:t xml:space="preserve"> This policy governs how FSL handles sensitive data. It should implement data classification and require appropriate safeguards for each level </w:t>
      </w:r>
    </w:p>
    <w:p w14:paraId="645DC253" w14:textId="6836941F" w:rsidR="00F371F1" w:rsidRPr="00F371F1" w:rsidRDefault="00F371F1" w:rsidP="00F371F1">
      <w:pPr>
        <w:numPr>
          <w:ilvl w:val="0"/>
          <w:numId w:val="1"/>
        </w:numPr>
      </w:pPr>
      <w:bookmarkStart w:id="4" w:name="_Toc198838988"/>
      <w:r w:rsidRPr="00314D21">
        <w:rPr>
          <w:rStyle w:val="Heading2Char"/>
        </w:rPr>
        <w:t>Access Control and Network Security Policy</w:t>
      </w:r>
      <w:bookmarkEnd w:id="4"/>
      <w:r w:rsidRPr="00F371F1">
        <w:rPr>
          <w:b/>
          <w:bCs/>
        </w:rPr>
        <w:t>:</w:t>
      </w:r>
      <w:r w:rsidRPr="00F371F1">
        <w:t xml:space="preserve"> This policy defines how users and devices may access FSL’s networks and systems. It should embody the principle of least privilege – granting employees only the minimum access needed for their roles</w:t>
      </w:r>
    </w:p>
    <w:p w14:paraId="7BF4DDB0" w14:textId="484F102D" w:rsidR="00F371F1" w:rsidRPr="00F371F1" w:rsidRDefault="00F371F1" w:rsidP="00F371F1">
      <w:pPr>
        <w:numPr>
          <w:ilvl w:val="0"/>
          <w:numId w:val="1"/>
        </w:numPr>
      </w:pPr>
      <w:bookmarkStart w:id="5" w:name="_Toc198838989"/>
      <w:r w:rsidRPr="00314D21">
        <w:rPr>
          <w:rStyle w:val="Heading2Char"/>
        </w:rPr>
        <w:t>Remote Work and Telecommuting Policy:</w:t>
      </w:r>
      <w:bookmarkEnd w:id="5"/>
      <w:r w:rsidRPr="00314D21">
        <w:rPr>
          <w:rStyle w:val="Heading2Char"/>
        </w:rPr>
        <w:t xml:space="preserve"> </w:t>
      </w:r>
      <w:r w:rsidRPr="00F371F1">
        <w:t xml:space="preserve">Given FSL’s increasingly remote workforce, a dedicated telework security policy is critical. This policy should define approved methods of remote access and the required security measures for remote connections. For example, FSL may permit VPN access to internal resources from company-issued laptops, while personal/BYOD devices might be limited to webmail or a virtual desktop with no direct network access. </w:t>
      </w:r>
    </w:p>
    <w:p w14:paraId="7BE9AC95" w14:textId="13048C5D" w:rsidR="00F371F1" w:rsidRPr="00F371F1" w:rsidRDefault="00F371F1" w:rsidP="00F371F1">
      <w:pPr>
        <w:numPr>
          <w:ilvl w:val="0"/>
          <w:numId w:val="1"/>
        </w:numPr>
      </w:pPr>
      <w:bookmarkStart w:id="6" w:name="_Toc198838990"/>
      <w:r w:rsidRPr="00314D21">
        <w:rPr>
          <w:rStyle w:val="Heading2Char"/>
        </w:rPr>
        <w:t>Mobile Device and BYOD Policy:</w:t>
      </w:r>
      <w:bookmarkEnd w:id="6"/>
      <w:r w:rsidRPr="00314D21">
        <w:rPr>
          <w:rStyle w:val="Heading2Char"/>
        </w:rPr>
        <w:t xml:space="preserve"> </w:t>
      </w:r>
      <w:r w:rsidRPr="00F371F1">
        <w:t xml:space="preserve">This policy addresses the use of mobile devices (smartphones, tablets) and any personal devices for work. It should enumerate security requirements that any mobile device must meet before it can access FSL email or data. Key controls include device encryption, strong authentication (e.g. phone PIN/password and preferably MFA for apps), automatic lock after inactivity, and the ability for FSL to remotely wipe corporate data if the device is lost. </w:t>
      </w:r>
    </w:p>
    <w:p w14:paraId="4E8ED5E0" w14:textId="3BE1D800" w:rsidR="00F371F1" w:rsidRDefault="00F371F1" w:rsidP="00F371F1">
      <w:pPr>
        <w:numPr>
          <w:ilvl w:val="0"/>
          <w:numId w:val="1"/>
        </w:numPr>
      </w:pPr>
      <w:bookmarkStart w:id="7" w:name="_Toc198838991"/>
      <w:r w:rsidRPr="00314D21">
        <w:rPr>
          <w:rStyle w:val="Heading2Char"/>
        </w:rPr>
        <w:t>Acceptable Use Policy (AUP):</w:t>
      </w:r>
      <w:bookmarkEnd w:id="7"/>
      <w:r w:rsidRPr="00314D21">
        <w:rPr>
          <w:rStyle w:val="Heading2Char"/>
        </w:rPr>
        <w:t xml:space="preserve"> </w:t>
      </w:r>
      <w:r w:rsidRPr="00F371F1">
        <w:t xml:space="preserve">FSL’s AUP will set the expected </w:t>
      </w:r>
      <w:r w:rsidR="00DB113B" w:rsidRPr="00F371F1">
        <w:t>behaviour</w:t>
      </w:r>
      <w:r w:rsidRPr="00F371F1">
        <w:t xml:space="preserve"> for employees when utilizing company IT resources. Acceptable use policies outline what is appropriate and inappropriate in using the organization’s networks, systems, and data</w:t>
      </w:r>
    </w:p>
    <w:p w14:paraId="4111C8AE" w14:textId="77777777" w:rsidR="00DB113B" w:rsidRDefault="00DB113B" w:rsidP="00DB113B">
      <w:pPr>
        <w:ind w:left="720"/>
      </w:pPr>
    </w:p>
    <w:p w14:paraId="17582994" w14:textId="77777777" w:rsidR="008D13D3" w:rsidRDefault="008D13D3" w:rsidP="00DB113B">
      <w:pPr>
        <w:ind w:left="720"/>
      </w:pPr>
    </w:p>
    <w:p w14:paraId="28E6A4B1" w14:textId="77777777" w:rsidR="008D13D3" w:rsidRDefault="008D13D3" w:rsidP="00DB113B">
      <w:pPr>
        <w:ind w:left="720"/>
      </w:pPr>
    </w:p>
    <w:p w14:paraId="0FD9659E" w14:textId="77777777" w:rsidR="008D13D3" w:rsidRPr="00F371F1" w:rsidRDefault="008D13D3" w:rsidP="00DB113B">
      <w:pPr>
        <w:ind w:left="720"/>
      </w:pPr>
    </w:p>
    <w:p w14:paraId="58AFD50E" w14:textId="77777777" w:rsidR="00F371F1" w:rsidRPr="00F371F1" w:rsidRDefault="00F371F1" w:rsidP="00AF5EBB">
      <w:pPr>
        <w:pStyle w:val="Heading1"/>
      </w:pPr>
      <w:bookmarkStart w:id="8" w:name="_Toc198838992"/>
      <w:r w:rsidRPr="00F371F1">
        <w:lastRenderedPageBreak/>
        <w:t>Mitigation Measures for Key Threats</w:t>
      </w:r>
      <w:bookmarkEnd w:id="8"/>
    </w:p>
    <w:p w14:paraId="5961D2B5" w14:textId="194547EC" w:rsidR="00B64028" w:rsidRDefault="00F371F1" w:rsidP="00F371F1">
      <w:r w:rsidRPr="00F371F1">
        <w:t xml:space="preserve">Implementing targeted controls for each identified threat will bolster FSL’s security. Below are specific, actionable mitigation strategies corresponding to the threats </w:t>
      </w:r>
      <w:r w:rsidR="00DB113B" w:rsidRPr="00F371F1">
        <w:t>analysed</w:t>
      </w:r>
      <w:r w:rsidRPr="00F371F1">
        <w:t>:</w:t>
      </w:r>
      <w:sdt>
        <w:sdtPr>
          <w:id w:val="875826785"/>
          <w:citation/>
        </w:sdtPr>
        <w:sdtContent>
          <w:r w:rsidR="000E5280">
            <w:fldChar w:fldCharType="begin"/>
          </w:r>
          <w:r w:rsidR="000E5280">
            <w:instrText xml:space="preserve"> CITATION Dat24 \l 2057 </w:instrText>
          </w:r>
          <w:r w:rsidR="000E5280">
            <w:fldChar w:fldCharType="separate"/>
          </w:r>
          <w:r w:rsidR="000E5280">
            <w:rPr>
              <w:noProof/>
            </w:rPr>
            <w:t xml:space="preserve"> </w:t>
          </w:r>
          <w:r w:rsidR="000E5280" w:rsidRPr="000E5280">
            <w:rPr>
              <w:noProof/>
            </w:rPr>
            <w:t>[3]</w:t>
          </w:r>
          <w:r w:rsidR="000E5280">
            <w:fldChar w:fldCharType="end"/>
          </w:r>
        </w:sdtContent>
      </w:sdt>
    </w:p>
    <w:p w14:paraId="17AC6994" w14:textId="77777777" w:rsidR="00B64028" w:rsidRDefault="00B64028" w:rsidP="00F371F1"/>
    <w:p w14:paraId="2A43DC79" w14:textId="24E0A6C6" w:rsidR="00B64028" w:rsidRPr="00F371F1" w:rsidRDefault="00B64028" w:rsidP="00F371F1">
      <w:r>
        <w:rPr>
          <w:noProof/>
        </w:rPr>
        <w:drawing>
          <wp:inline distT="0" distB="0" distL="0" distR="0" wp14:anchorId="57B4E065" wp14:editId="42254777">
            <wp:extent cx="5731510" cy="3166745"/>
            <wp:effectExtent l="0" t="0" r="2540" b="0"/>
            <wp:docPr id="1865471551" name="Picture 2" descr="A diagram of a cyber security inci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471551" name="Picture 2" descr="A diagram of a cyber security inciden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66745"/>
                    </a:xfrm>
                    <a:prstGeom prst="rect">
                      <a:avLst/>
                    </a:prstGeom>
                    <a:noFill/>
                    <a:ln>
                      <a:noFill/>
                    </a:ln>
                  </pic:spPr>
                </pic:pic>
              </a:graphicData>
            </a:graphic>
          </wp:inline>
        </w:drawing>
      </w:r>
      <w:sdt>
        <w:sdtPr>
          <w:id w:val="-2050755754"/>
          <w:citation/>
        </w:sdtPr>
        <w:sdtContent>
          <w:r>
            <w:fldChar w:fldCharType="begin"/>
          </w:r>
          <w:r>
            <w:instrText xml:space="preserve"> CITATION YuL \l 2057 </w:instrText>
          </w:r>
          <w:r>
            <w:fldChar w:fldCharType="separate"/>
          </w:r>
          <w:r>
            <w:rPr>
              <w:noProof/>
            </w:rPr>
            <w:t xml:space="preserve"> </w:t>
          </w:r>
          <w:r w:rsidRPr="00B64028">
            <w:rPr>
              <w:noProof/>
            </w:rPr>
            <w:t>[4]</w:t>
          </w:r>
          <w:r>
            <w:fldChar w:fldCharType="end"/>
          </w:r>
        </w:sdtContent>
      </w:sdt>
    </w:p>
    <w:p w14:paraId="061E4E29" w14:textId="00F36AB7" w:rsidR="00F371F1" w:rsidRPr="00F371F1" w:rsidRDefault="00F371F1" w:rsidP="00F371F1">
      <w:pPr>
        <w:numPr>
          <w:ilvl w:val="0"/>
          <w:numId w:val="2"/>
        </w:numPr>
      </w:pPr>
      <w:bookmarkStart w:id="9" w:name="_Toc198838993"/>
      <w:r w:rsidRPr="00C01E30">
        <w:rPr>
          <w:rStyle w:val="Heading2Char"/>
        </w:rPr>
        <w:t>Mitigating Phishing and Social Engineering: A</w:t>
      </w:r>
      <w:bookmarkEnd w:id="9"/>
      <w:r w:rsidRPr="00C01E30">
        <w:rPr>
          <w:rStyle w:val="Heading2Char"/>
        </w:rPr>
        <w:t xml:space="preserve"> </w:t>
      </w:r>
      <w:r w:rsidRPr="00F371F1">
        <w:t xml:space="preserve">multi-layered approach is needed to combat phishing. Technologically, FSL should deploy advanced email security filters that block known phishing domains, malicious attachments, and spam. Enabling DMARC/SPF/DKIM email authentication on FSL’s domains will help prevent spoofed emails from appearing legitimate. Web filtering can also block employees from clicking on known phishing URLs. Most importantly, </w:t>
      </w:r>
      <w:r w:rsidRPr="008D13D3">
        <w:t xml:space="preserve">security awareness </w:t>
      </w:r>
      <w:r w:rsidR="00DB113B" w:rsidRPr="008D13D3">
        <w:t>training</w:t>
      </w:r>
      <w:r w:rsidR="00DB113B" w:rsidRPr="00F371F1">
        <w:t xml:space="preserve"> </w:t>
      </w:r>
      <w:r w:rsidR="00DB113B">
        <w:t>is</w:t>
      </w:r>
      <w:r w:rsidRPr="00F371F1">
        <w:t xml:space="preserve"> crucial so that employees can recognize suspicious emails and avoid falling </w:t>
      </w:r>
      <w:r w:rsidR="00DB113B">
        <w:t>victim</w:t>
      </w:r>
      <w:r w:rsidRPr="00F371F1">
        <w:t>. Simulated phishing exercises can be run to gauge and improve staff vigilance</w:t>
      </w:r>
    </w:p>
    <w:p w14:paraId="53A928AD" w14:textId="24865F0E" w:rsidR="00F371F1" w:rsidRPr="00F371F1" w:rsidRDefault="00F371F1" w:rsidP="00F371F1">
      <w:pPr>
        <w:numPr>
          <w:ilvl w:val="0"/>
          <w:numId w:val="2"/>
        </w:numPr>
      </w:pPr>
      <w:bookmarkStart w:id="10" w:name="_Toc198838994"/>
      <w:r w:rsidRPr="00C01E30">
        <w:rPr>
          <w:rStyle w:val="Heading2Char"/>
        </w:rPr>
        <w:t>Preventing Malware and Ransomware:</w:t>
      </w:r>
      <w:bookmarkEnd w:id="10"/>
      <w:r w:rsidRPr="00C01E30">
        <w:rPr>
          <w:rStyle w:val="Heading2Char"/>
        </w:rPr>
        <w:t xml:space="preserve"> </w:t>
      </w:r>
      <w:r w:rsidRPr="00F371F1">
        <w:t xml:space="preserve">To </w:t>
      </w:r>
      <w:r w:rsidR="00DB113B">
        <w:t>prevent</w:t>
      </w:r>
      <w:r w:rsidRPr="00F371F1">
        <w:t xml:space="preserve"> malware, FSL must harden endpoints and networks against infection. Endpoint protection should be mandatory on all servers, PCs, and mobile devices – this includes next-generation anti-malware and Endpoint Detection and Response (EDR) tools. Another key measure is patch management: keeping all software (OS, applications, and firmware) updated to close known vulnerabilities. </w:t>
      </w:r>
    </w:p>
    <w:p w14:paraId="69DECA53" w14:textId="7F278BC8" w:rsidR="00DB113B" w:rsidRDefault="00F371F1" w:rsidP="00F371F1">
      <w:pPr>
        <w:numPr>
          <w:ilvl w:val="0"/>
          <w:numId w:val="2"/>
        </w:numPr>
      </w:pPr>
      <w:bookmarkStart w:id="11" w:name="_Toc198838995"/>
      <w:r w:rsidRPr="00C01E30">
        <w:rPr>
          <w:rStyle w:val="Heading2Char"/>
        </w:rPr>
        <w:lastRenderedPageBreak/>
        <w:t>Securing Remote Access and Network Entry Points</w:t>
      </w:r>
      <w:bookmarkEnd w:id="11"/>
      <w:r w:rsidRPr="00F371F1">
        <w:rPr>
          <w:b/>
          <w:bCs/>
        </w:rPr>
        <w:t>:</w:t>
      </w:r>
      <w:r w:rsidRPr="00F371F1">
        <w:t xml:space="preserve"> Given the attempted network intrusions, FSL should strengthen how users connect to corporate systems remotely. All remote access should funnel through secure, centrally managed gateways – for example, requiring employees to use a VPN with encryption and MFA rather than exposing desktop services directly. Any legacy remote desktop or administrative interfaces should be placed behind a VPN or zero-trust access proxy, never left open to the internet. To prevent brute-force login attempts, FSL can implement account lockout policies and use </w:t>
      </w:r>
      <w:r w:rsidR="0098532C" w:rsidRPr="00F371F1">
        <w:t>behaviour</w:t>
      </w:r>
      <w:r w:rsidRPr="00F371F1">
        <w:t xml:space="preserve"> analytics to detect unusual access patterns (e.g. an employee account trying hundreds of logins or logging in from abroad).</w:t>
      </w:r>
    </w:p>
    <w:p w14:paraId="1B8A4E04" w14:textId="49D56F9E" w:rsidR="00F371F1" w:rsidRPr="00F371F1" w:rsidRDefault="00F371F1" w:rsidP="00F371F1">
      <w:pPr>
        <w:numPr>
          <w:ilvl w:val="0"/>
          <w:numId w:val="2"/>
        </w:numPr>
      </w:pPr>
      <w:r w:rsidRPr="00F371F1">
        <w:t xml:space="preserve"> </w:t>
      </w:r>
      <w:bookmarkStart w:id="12" w:name="_Toc198838996"/>
      <w:r w:rsidRPr="00C01E30">
        <w:rPr>
          <w:rStyle w:val="Heading2Char"/>
        </w:rPr>
        <w:t>Network Access Control (NAC) solutions</w:t>
      </w:r>
      <w:bookmarkEnd w:id="12"/>
      <w:r w:rsidRPr="00C01E30">
        <w:rPr>
          <w:rStyle w:val="Heading2Char"/>
        </w:rPr>
        <w:t xml:space="preserve"> </w:t>
      </w:r>
      <w:r w:rsidRPr="00F371F1">
        <w:t>are highly effective: before allowing a device (especially BYOD or a contractor laptop) on FSL’s network or VPN, the NAC system can verify the device’s security posture (up-to-date patches, running FSL’s antivirus, etc.). Systems failing the check can be quarantined to a limited network until remediated. Furthermore, adopting a Zero Trust Architecture is recommended. In a zero-trust model, no user or device is inherently trusted even if already inside the network – each access to sensitive resources requires re-authentication or risk scoring</w:t>
      </w:r>
    </w:p>
    <w:p w14:paraId="2183F2C5" w14:textId="70EC5DD4" w:rsidR="00C70CDD" w:rsidRDefault="00F371F1" w:rsidP="00F371F1">
      <w:pPr>
        <w:numPr>
          <w:ilvl w:val="0"/>
          <w:numId w:val="2"/>
        </w:numPr>
        <w:rPr>
          <w:b/>
          <w:bCs/>
        </w:rPr>
      </w:pPr>
      <w:bookmarkStart w:id="13" w:name="_Toc198838997"/>
      <w:r w:rsidRPr="00C01E30">
        <w:rPr>
          <w:rStyle w:val="Heading2Char"/>
        </w:rPr>
        <w:t>Addressing Insider and Human Factor Risks:</w:t>
      </w:r>
      <w:bookmarkEnd w:id="13"/>
      <w:r w:rsidRPr="00C01E30">
        <w:rPr>
          <w:rStyle w:val="Heading2Char"/>
        </w:rPr>
        <w:t xml:space="preserve"> </w:t>
      </w:r>
      <w:r w:rsidRPr="00F371F1">
        <w:t xml:space="preserve">Mitigating insider threats – both malicious and accidental – requires a combination of technical controls and procedural safeguards. First, FSL should enhance monitoring of user activities: a Security Information and Event Management (SIEM) system can aggregate logs from servers, databases, and workstations to flag unusual </w:t>
      </w:r>
      <w:r w:rsidR="00C70CDD" w:rsidRPr="00F371F1">
        <w:t>behaviours</w:t>
      </w:r>
      <w:r w:rsidRPr="00F371F1">
        <w:t xml:space="preserve"> (e.g. large data downloads by a user at odd hours). User and Entity </w:t>
      </w:r>
      <w:r w:rsidR="00C70CDD" w:rsidRPr="00F371F1">
        <w:t>Behaviour</w:t>
      </w:r>
      <w:r w:rsidRPr="00F371F1">
        <w:t xml:space="preserve"> Analytics (UEBA) tools can learn baseline patterns and alert on anomalies like an employee accessing data they never typically use. </w:t>
      </w:r>
    </w:p>
    <w:p w14:paraId="64598F24" w14:textId="77777777" w:rsidR="00C70CDD" w:rsidRDefault="00C70CDD" w:rsidP="00F371F1">
      <w:pPr>
        <w:numPr>
          <w:ilvl w:val="0"/>
          <w:numId w:val="2"/>
        </w:numPr>
        <w:rPr>
          <w:b/>
          <w:bCs/>
        </w:rPr>
      </w:pPr>
      <w:r>
        <w:rPr>
          <w:b/>
          <w:bCs/>
        </w:rPr>
        <w:t>`</w:t>
      </w:r>
      <w:r w:rsidR="00F371F1" w:rsidRPr="00C01E30">
        <w:rPr>
          <w:rStyle w:val="Heading2Char"/>
        </w:rPr>
        <w:t xml:space="preserve">Continuous Security Monitoring: </w:t>
      </w:r>
      <w:r w:rsidR="00F371F1" w:rsidRPr="00F371F1">
        <w:t xml:space="preserve">Proactive monitoring is essential for FSL to detect attacks early and respond effectively. FSL should establish a Security Operations </w:t>
      </w:r>
      <w:r w:rsidRPr="00F371F1">
        <w:t>Centre</w:t>
      </w:r>
      <w:r w:rsidR="00F371F1" w:rsidRPr="00F371F1">
        <w:t xml:space="preserve"> (SOC) function – internally or via a managed service – to continuously monitor logs and alerts from across the enterprise. Key data sources include firewall and VPN logs, system event logs, antivirus/EDR alerts, cloud service logs, and authentication records. </w:t>
      </w:r>
      <w:r>
        <w:t xml:space="preserve">When </w:t>
      </w:r>
      <w:r w:rsidR="00F371F1" w:rsidRPr="00F371F1">
        <w:t>a high-risk alert fires, who is notified and how do they escalate it? FSL should maintain an on-call rotation so that at any time, a responsible security engineer can assess critical alerts and initiate response. Effective monitoring will significantly improve FSL’s reaction time, helping contain incidents before they escalate.</w:t>
      </w:r>
    </w:p>
    <w:p w14:paraId="0E37B3CA" w14:textId="6E36B1EB" w:rsidR="00F371F1" w:rsidRPr="00F371F1" w:rsidRDefault="00F371F1" w:rsidP="00F371F1">
      <w:pPr>
        <w:numPr>
          <w:ilvl w:val="0"/>
          <w:numId w:val="2"/>
        </w:numPr>
        <w:rPr>
          <w:b/>
          <w:bCs/>
        </w:rPr>
      </w:pPr>
      <w:bookmarkStart w:id="14" w:name="_Toc198838998"/>
      <w:r w:rsidRPr="00C01E30">
        <w:rPr>
          <w:rStyle w:val="Heading2Char"/>
        </w:rPr>
        <w:lastRenderedPageBreak/>
        <w:t>Incident Response Plan:</w:t>
      </w:r>
      <w:bookmarkEnd w:id="14"/>
      <w:r w:rsidRPr="00F371F1">
        <w:t xml:space="preserve"> FSL needs a formal incident response (IR) plan to guide actions when a security incident is detected. The plan should define IR team roles (e.g. an Incident Manager, technical leads, communications lead), communication channels, and the step-by-step procedures to follow for various incident types. FSL’s IR process can align to the well-known NIST and SANS frameworks. NIST, for example, defines four major phases of incident response: </w:t>
      </w:r>
      <w:r w:rsidRPr="00F371F1">
        <w:rPr>
          <w:b/>
          <w:bCs/>
        </w:rPr>
        <w:t>Preparation, Detection &amp; Analysis, Containment/Eradication &amp; Recovery, and Post-Incident Activity</w:t>
      </w:r>
      <w:r w:rsidRPr="00F371F1">
        <w:t xml:space="preserve">. In the Preparation phase, FSL will establish the IR team, tools, and policies (much of which is being addressed by this report). When an incident occurs (Detection &amp; Analysis), staff must identify that an incident is happening (through monitoring alerts or reports), classify its severity, and gather initial evidence. FSL’s plan should include an up-to-date contact list for key responders and perhaps predefined criteria for what constitutes a “major incident” requiring full activation of the team. Next, </w:t>
      </w:r>
      <w:r w:rsidRPr="00F371F1">
        <w:rPr>
          <w:b/>
          <w:bCs/>
        </w:rPr>
        <w:t>Containment</w:t>
      </w:r>
      <w:r w:rsidRPr="00F371F1">
        <w:t xml:space="preserve"> is about limiting damage: isolating affected systems (e.g. disabling a compromised user account, taking an infected server offline), and avoiding further spread. For example, if a workstation is found infected with ransomware, the IR team should disconnect it from the network immediately to contain the threat. Following containment, </w:t>
      </w:r>
      <w:r w:rsidRPr="00F371F1">
        <w:rPr>
          <w:b/>
          <w:bCs/>
        </w:rPr>
        <w:t>Eradication</w:t>
      </w:r>
      <w:r w:rsidRPr="00F371F1">
        <w:t xml:space="preserve"> involves removing the threat (cleaning malware, closing vulnerabilities) and </w:t>
      </w:r>
      <w:r w:rsidRPr="00F371F1">
        <w:rPr>
          <w:b/>
          <w:bCs/>
        </w:rPr>
        <w:t>Recovery</w:t>
      </w:r>
      <w:r w:rsidRPr="00F371F1">
        <w:t xml:space="preserve"> means restoring systems to normal operation (from clean backups, for instance) and verifying they are secure (patching, password resets, etc.). Once systems are restored, the IR process doesn’t end – the </w:t>
      </w:r>
      <w:r w:rsidR="00A14CF3" w:rsidRPr="00F371F1">
        <w:rPr>
          <w:b/>
          <w:bCs/>
        </w:rPr>
        <w:t>post-incident</w:t>
      </w:r>
      <w:r w:rsidRPr="00F371F1">
        <w:t xml:space="preserve"> phase is critical. Here FSL should perform a root cause analysis and impact assessment (what data was affected? was any customer information stolen?). All findings should be documented in an incident report. The IR plan must also cover </w:t>
      </w:r>
      <w:r w:rsidRPr="00F371F1">
        <w:rPr>
          <w:b/>
          <w:bCs/>
        </w:rPr>
        <w:t>notification obligations</w:t>
      </w:r>
      <w:r w:rsidRPr="00F371F1">
        <w:t>: for a significant data breach, FSL may need to inform regulators, customers, or law enforcement within certain timeframes. Finally, a lessons-learned meeting should be held to review what went well or poorly in the response, and to update policies accordingly. By drilling this IR plan (e.g. periodic tabletop exercises simulating a cyberattack), FSL will ensure that in the event of a real incident, the team can react swiftly and effectively to minimize harm.</w:t>
      </w:r>
      <w:sdt>
        <w:sdtPr>
          <w:id w:val="458773029"/>
          <w:citation/>
        </w:sdtPr>
        <w:sdtContent>
          <w:r w:rsidR="00CE7EEE">
            <w:fldChar w:fldCharType="begin"/>
          </w:r>
          <w:r w:rsidR="00CE7EEE">
            <w:instrText xml:space="preserve"> CITATION Sab25 \l 2057 </w:instrText>
          </w:r>
          <w:r w:rsidR="00CE7EEE">
            <w:fldChar w:fldCharType="separate"/>
          </w:r>
          <w:r w:rsidR="00CE7EEE">
            <w:rPr>
              <w:noProof/>
            </w:rPr>
            <w:t xml:space="preserve"> </w:t>
          </w:r>
          <w:r w:rsidR="00CE7EEE" w:rsidRPr="00CE7EEE">
            <w:rPr>
              <w:noProof/>
            </w:rPr>
            <w:t>[5]</w:t>
          </w:r>
          <w:r w:rsidR="00CE7EEE">
            <w:fldChar w:fldCharType="end"/>
          </w:r>
        </w:sdtContent>
      </w:sdt>
    </w:p>
    <w:p w14:paraId="64E2D2AB" w14:textId="77777777" w:rsidR="001178DC" w:rsidRDefault="001178DC" w:rsidP="00F371F1">
      <w:pPr>
        <w:rPr>
          <w:b/>
          <w:bCs/>
        </w:rPr>
      </w:pPr>
    </w:p>
    <w:p w14:paraId="0C10CEB1" w14:textId="77777777" w:rsidR="001178DC" w:rsidRDefault="001178DC" w:rsidP="00F371F1">
      <w:pPr>
        <w:rPr>
          <w:b/>
          <w:bCs/>
        </w:rPr>
      </w:pPr>
    </w:p>
    <w:p w14:paraId="5E3F15EE" w14:textId="77777777" w:rsidR="001178DC" w:rsidRDefault="001178DC" w:rsidP="00F371F1">
      <w:pPr>
        <w:rPr>
          <w:b/>
          <w:bCs/>
        </w:rPr>
      </w:pPr>
    </w:p>
    <w:p w14:paraId="6D1C43D9" w14:textId="77777777" w:rsidR="001178DC" w:rsidRDefault="001178DC" w:rsidP="00F371F1">
      <w:pPr>
        <w:rPr>
          <w:b/>
          <w:bCs/>
        </w:rPr>
      </w:pPr>
    </w:p>
    <w:p w14:paraId="402B6BF8" w14:textId="77777777" w:rsidR="001178DC" w:rsidRDefault="001178DC" w:rsidP="00F371F1">
      <w:pPr>
        <w:rPr>
          <w:b/>
          <w:bCs/>
        </w:rPr>
      </w:pPr>
    </w:p>
    <w:p w14:paraId="3D66A232" w14:textId="77777777" w:rsidR="00CE7EEE" w:rsidRDefault="00CE7EEE" w:rsidP="00F371F1">
      <w:pPr>
        <w:rPr>
          <w:b/>
          <w:bCs/>
        </w:rPr>
      </w:pPr>
    </w:p>
    <w:p w14:paraId="09F8F60C" w14:textId="264197BB" w:rsidR="00F371F1" w:rsidRPr="00F371F1" w:rsidRDefault="00F371F1" w:rsidP="00A53939">
      <w:pPr>
        <w:pStyle w:val="Heading1"/>
      </w:pPr>
      <w:bookmarkStart w:id="15" w:name="_Toc198838999"/>
      <w:r w:rsidRPr="00F371F1">
        <w:lastRenderedPageBreak/>
        <w:t>Training and Awareness Program</w:t>
      </w:r>
      <w:bookmarkEnd w:id="15"/>
    </w:p>
    <w:p w14:paraId="2F03DD89" w14:textId="64E6A7F3" w:rsidR="00F371F1" w:rsidRPr="00F371F1" w:rsidRDefault="00F371F1" w:rsidP="00F371F1">
      <w:r w:rsidRPr="00F371F1">
        <w:t xml:space="preserve">Even the best policies and tools are only as effective as the people using them. Therefore, FSL must cultivate a strong security awareness culture through ongoing training. The goal is to empower every employee to be a “human firewall” who understands cyber risks and knows how to behave securely. A comprehensive </w:t>
      </w:r>
      <w:r w:rsidRPr="00F371F1">
        <w:rPr>
          <w:b/>
          <w:bCs/>
        </w:rPr>
        <w:t>Training and Awareness Program</w:t>
      </w:r>
      <w:r w:rsidRPr="00F371F1">
        <w:t xml:space="preserve"> should be launched covering multiple facets:</w:t>
      </w:r>
      <w:sdt>
        <w:sdtPr>
          <w:id w:val="-1862507950"/>
          <w:citation/>
        </w:sdtPr>
        <w:sdtContent>
          <w:r w:rsidR="007744AE">
            <w:fldChar w:fldCharType="begin"/>
          </w:r>
          <w:r w:rsidR="007744AE">
            <w:instrText xml:space="preserve"> CITATION Dip22 \l 2057 </w:instrText>
          </w:r>
          <w:r w:rsidR="007744AE">
            <w:fldChar w:fldCharType="separate"/>
          </w:r>
          <w:r w:rsidR="007744AE">
            <w:rPr>
              <w:noProof/>
            </w:rPr>
            <w:t xml:space="preserve"> </w:t>
          </w:r>
          <w:r w:rsidR="007744AE" w:rsidRPr="007744AE">
            <w:rPr>
              <w:noProof/>
            </w:rPr>
            <w:t>[6]</w:t>
          </w:r>
          <w:r w:rsidR="007744AE">
            <w:fldChar w:fldCharType="end"/>
          </w:r>
        </w:sdtContent>
      </w:sdt>
    </w:p>
    <w:p w14:paraId="4256ACEE" w14:textId="77777777" w:rsidR="00F371F1" w:rsidRPr="00F371F1" w:rsidRDefault="00F371F1" w:rsidP="00F371F1">
      <w:pPr>
        <w:numPr>
          <w:ilvl w:val="0"/>
          <w:numId w:val="3"/>
        </w:numPr>
      </w:pPr>
      <w:bookmarkStart w:id="16" w:name="_Toc198839000"/>
      <w:r w:rsidRPr="00A53939">
        <w:rPr>
          <w:rStyle w:val="Heading2Char"/>
        </w:rPr>
        <w:t>Phishing and Social Engineering Awareness:</w:t>
      </w:r>
      <w:bookmarkEnd w:id="16"/>
      <w:r w:rsidRPr="00A53939">
        <w:rPr>
          <w:rStyle w:val="Heading2Char"/>
        </w:rPr>
        <w:t xml:space="preserve"> </w:t>
      </w:r>
      <w:r w:rsidRPr="00F371F1">
        <w:t>Given the prevalence of phishing attacks, all staff (from tellers to executives) need regular training on how to spot suspicious emails, messages, or phone calls. Training modules can show examples of phishing emails, highlighting red flags (odd sender addresses, urgent tone, unexpected links/attachments). FSL should incorporate interactive phishing simulations – sending fake phishing emails to employees to test their response. This not only reinforces learning but lets the company measure improvement. Notably, security awareness training has proven impact: organizations implementing such training report a 70% drop in phishing-related incidents. This dramatic reduction is achieved by employees learning to identify and report phishing attempts rather than falling victim. FSL should strive for a similar outcome, using metrics like click rates on test emails to track progress.</w:t>
      </w:r>
    </w:p>
    <w:p w14:paraId="12351056" w14:textId="77777777" w:rsidR="00F371F1" w:rsidRPr="00F371F1" w:rsidRDefault="00F371F1" w:rsidP="00F371F1">
      <w:pPr>
        <w:numPr>
          <w:ilvl w:val="0"/>
          <w:numId w:val="3"/>
        </w:numPr>
      </w:pPr>
      <w:bookmarkStart w:id="17" w:name="_Toc198839001"/>
      <w:r w:rsidRPr="00A53939">
        <w:rPr>
          <w:rStyle w:val="Heading2Char"/>
        </w:rPr>
        <w:t>Secure Remote Work Practices:</w:t>
      </w:r>
      <w:bookmarkEnd w:id="17"/>
      <w:r w:rsidRPr="00F371F1">
        <w:t xml:space="preserve"> Since many FSL employees work remotely, the training program must address home office security. Topics should include securing home Wi-Fi (changing default router passwords, enabling encryption), the importance of using the company VPN for all work, and not circumventing security controls. Employees should be reminded that even at home, they are handling sensitive financial data that requires the same protection as in-office. Additionally, guidance on recognizing signs of compromise on their devices (unexpected slowdowns, strange pop-ups) and how to respond (disconnect and report to IT) is valuable. This training reinforces the Remote Work Policy in practical terms.</w:t>
      </w:r>
    </w:p>
    <w:p w14:paraId="18C07FF9" w14:textId="77777777" w:rsidR="00F371F1" w:rsidRPr="00F371F1" w:rsidRDefault="00F371F1" w:rsidP="00F371F1">
      <w:pPr>
        <w:numPr>
          <w:ilvl w:val="0"/>
          <w:numId w:val="3"/>
        </w:numPr>
      </w:pPr>
      <w:bookmarkStart w:id="18" w:name="_Toc198839002"/>
      <w:r w:rsidRPr="00A53939">
        <w:rPr>
          <w:rStyle w:val="Heading2Char"/>
        </w:rPr>
        <w:t>Data Protection and Compliance:</w:t>
      </w:r>
      <w:bookmarkEnd w:id="18"/>
      <w:r w:rsidRPr="00F371F1">
        <w:t xml:space="preserve"> Employees should be educated on proper handling of sensitive data. This covers everything from creating strong, unique passwords (and preferably using password managers) to never sharing credentials via email. They must understand classification labels – e.g. what information is “Confidential” and how it must be handled (encrypted before sending, only shared with authorized parties, etc.). Training should reference real-world examples of data breaches caused by negligence (without blaming, but to illustrate impact). Emphasize that human error is a leading cause of breaches and that each person’s diligence matters in protecting client trust. </w:t>
      </w:r>
      <w:r w:rsidRPr="00F371F1">
        <w:lastRenderedPageBreak/>
        <w:t>Simple practices like clearing desks of papers, locking screens when away, and double-checking recipient addresses on emails with attachments should become second nature.</w:t>
      </w:r>
    </w:p>
    <w:p w14:paraId="2BFA26EF" w14:textId="0CCB063A" w:rsidR="00F371F1" w:rsidRPr="00F371F1" w:rsidRDefault="00F371F1" w:rsidP="00F371F1">
      <w:pPr>
        <w:numPr>
          <w:ilvl w:val="0"/>
          <w:numId w:val="3"/>
        </w:numPr>
      </w:pPr>
      <w:bookmarkStart w:id="19" w:name="_Toc198839003"/>
      <w:r w:rsidRPr="00A53939">
        <w:rPr>
          <w:rStyle w:val="Heading2Char"/>
        </w:rPr>
        <w:t>Incident Reporting and Response:</w:t>
      </w:r>
      <w:bookmarkEnd w:id="19"/>
      <w:r w:rsidRPr="00F371F1">
        <w:t xml:space="preserve"> Employees are the eyes and ears of the organization. FSL should train staff that if they see something, they must say something. Clear instruction must be given on how to report a potential security incident – whether it’s a suspected phishing email, a lost device, or any unusual IT </w:t>
      </w:r>
      <w:r w:rsidR="007C655E" w:rsidRPr="00F371F1">
        <w:t>behaviour</w:t>
      </w:r>
      <w:r w:rsidRPr="00F371F1">
        <w:t>. This ties into the AUP requirement for prompt reporting of incidents. The training should reassure employees that timely reporting is critical and that they won’t be penalized for honest mistakes. Role-playing scenarios can help, such as walking through what to do if you realize you accidentally emailed a client file to the wrong address. By ingraining the incident reporting process, FSL can dramatically speed up detection and response (e.g. an employee reporting a lost smartphone immediately allows IT to trigger a remote wipe before any misuse).</w:t>
      </w:r>
    </w:p>
    <w:p w14:paraId="36B4707F" w14:textId="1E53CE51" w:rsidR="00F371F1" w:rsidRPr="00F371F1" w:rsidRDefault="00F371F1" w:rsidP="00F371F1">
      <w:r w:rsidRPr="00F371F1">
        <w:t xml:space="preserve">FSL’s security awareness program should be delivered regularly – not just a one-off at hiring. Best practice is to have short e-learning modules or workshops throughout the year (e.g. quarterly), each focusing on specific topics or new threats. Keeping the training engaging is important: use quizzes, videos, and even gamification (friendly competitions for phishing spotters) to maintain interest. It’s also effective to customize training to roles – e.g. finance staff might need extra training on fraud scams, while IT admins get deeper dives into technical security. Executive leadership should visibly support and participate in the training program to set the tone from the top. Lastly, FSL should evaluate the program’s effectiveness by tracking metrics (phishing test success rates, survey feedback, incident frequencies) and continuously improve the content. With well-trained, aware employees, FSL will significantly bolster its </w:t>
      </w:r>
      <w:proofErr w:type="spellStart"/>
      <w:r w:rsidRPr="00F371F1">
        <w:t>defense</w:t>
      </w:r>
      <w:proofErr w:type="spellEnd"/>
      <w:r w:rsidRPr="00F371F1">
        <w:t xml:space="preserve">, since “untrained employees who cannot identify phishing emails or handle sensitive data safely are prime targets for hackers”. By converting that weak link into a strong first line of </w:t>
      </w:r>
      <w:proofErr w:type="spellStart"/>
      <w:r w:rsidRPr="00F371F1">
        <w:t>defense</w:t>
      </w:r>
      <w:proofErr w:type="spellEnd"/>
      <w:r w:rsidRPr="00F371F1">
        <w:t>, FSL will greatly reduce cybersecurity risk across the board.</w:t>
      </w:r>
      <w:sdt>
        <w:sdtPr>
          <w:id w:val="-1076829144"/>
          <w:citation/>
        </w:sdtPr>
        <w:sdtContent>
          <w:r w:rsidR="00CD42D0">
            <w:fldChar w:fldCharType="begin"/>
          </w:r>
          <w:r w:rsidR="00CD42D0">
            <w:instrText xml:space="preserve"> CITATION Dip22 \l 2057 </w:instrText>
          </w:r>
          <w:r w:rsidR="00CD42D0">
            <w:fldChar w:fldCharType="separate"/>
          </w:r>
          <w:r w:rsidR="00CD42D0">
            <w:rPr>
              <w:noProof/>
            </w:rPr>
            <w:t xml:space="preserve"> </w:t>
          </w:r>
          <w:r w:rsidR="00CD42D0" w:rsidRPr="00CD42D0">
            <w:rPr>
              <w:noProof/>
            </w:rPr>
            <w:t>[6]</w:t>
          </w:r>
          <w:r w:rsidR="00CD42D0">
            <w:fldChar w:fldCharType="end"/>
          </w:r>
        </w:sdtContent>
      </w:sdt>
    </w:p>
    <w:p w14:paraId="48D1C81B" w14:textId="6B0FF012" w:rsidR="00A14CF3" w:rsidRDefault="00A14CF3" w:rsidP="00F371F1">
      <w:pPr>
        <w:rPr>
          <w:b/>
          <w:bCs/>
        </w:rPr>
      </w:pPr>
    </w:p>
    <w:p w14:paraId="6DD5071E" w14:textId="0128C559" w:rsidR="00D26DD7" w:rsidRDefault="00CD42D0" w:rsidP="00F371F1">
      <w:pPr>
        <w:rPr>
          <w:b/>
          <w:bCs/>
        </w:rPr>
      </w:pPr>
      <w:r>
        <w:rPr>
          <w:b/>
          <w:bCs/>
          <w:noProof/>
        </w:rPr>
        <w:drawing>
          <wp:anchor distT="0" distB="0" distL="114300" distR="114300" simplePos="0" relativeHeight="251661312" behindDoc="1" locked="0" layoutInCell="1" allowOverlap="1" wp14:anchorId="5E416272" wp14:editId="142789E1">
            <wp:simplePos x="0" y="0"/>
            <wp:positionH relativeFrom="margin">
              <wp:align>center</wp:align>
            </wp:positionH>
            <wp:positionV relativeFrom="paragraph">
              <wp:posOffset>31359</wp:posOffset>
            </wp:positionV>
            <wp:extent cx="2954020" cy="1877695"/>
            <wp:effectExtent l="0" t="0" r="0" b="8255"/>
            <wp:wrapTight wrapText="bothSides">
              <wp:wrapPolygon edited="0">
                <wp:start x="0" y="0"/>
                <wp:lineTo x="0" y="21476"/>
                <wp:lineTo x="21451" y="21476"/>
                <wp:lineTo x="21451" y="0"/>
                <wp:lineTo x="0" y="0"/>
              </wp:wrapPolygon>
            </wp:wrapTight>
            <wp:docPr id="1276724194" name="Picture 7" descr="A diagram of training and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24194" name="Picture 7" descr="A diagram of training and training&#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54020" cy="1877695"/>
                    </a:xfrm>
                    <a:prstGeom prst="rect">
                      <a:avLst/>
                    </a:prstGeom>
                  </pic:spPr>
                </pic:pic>
              </a:graphicData>
            </a:graphic>
            <wp14:sizeRelH relativeFrom="margin">
              <wp14:pctWidth>0</wp14:pctWidth>
            </wp14:sizeRelH>
            <wp14:sizeRelV relativeFrom="margin">
              <wp14:pctHeight>0</wp14:pctHeight>
            </wp14:sizeRelV>
          </wp:anchor>
        </w:drawing>
      </w:r>
    </w:p>
    <w:p w14:paraId="5A13C230" w14:textId="2167092E" w:rsidR="00A53939" w:rsidRDefault="00A53939" w:rsidP="00F371F1">
      <w:pPr>
        <w:rPr>
          <w:b/>
          <w:bCs/>
        </w:rPr>
      </w:pPr>
    </w:p>
    <w:p w14:paraId="7A54143A" w14:textId="7EC1E8F7" w:rsidR="00A53939" w:rsidRDefault="00A53939" w:rsidP="00F371F1">
      <w:pPr>
        <w:rPr>
          <w:b/>
          <w:bCs/>
        </w:rPr>
      </w:pPr>
    </w:p>
    <w:p w14:paraId="341D7ABA" w14:textId="1E37BE2F" w:rsidR="00A53939" w:rsidRDefault="00A53939" w:rsidP="00F371F1">
      <w:pPr>
        <w:rPr>
          <w:b/>
          <w:bCs/>
        </w:rPr>
      </w:pPr>
    </w:p>
    <w:p w14:paraId="38E22953" w14:textId="0D85AA79" w:rsidR="00A53939" w:rsidRDefault="00A53939" w:rsidP="00F371F1">
      <w:pPr>
        <w:rPr>
          <w:b/>
          <w:bCs/>
        </w:rPr>
      </w:pPr>
    </w:p>
    <w:p w14:paraId="6D90F220" w14:textId="103CA23D" w:rsidR="00A53939" w:rsidRDefault="00A53939" w:rsidP="00F371F1">
      <w:pPr>
        <w:rPr>
          <w:b/>
          <w:bCs/>
        </w:rPr>
      </w:pPr>
    </w:p>
    <w:p w14:paraId="01AF7499" w14:textId="77777777" w:rsidR="00A53939" w:rsidRDefault="00A53939" w:rsidP="00F371F1">
      <w:pPr>
        <w:rPr>
          <w:b/>
          <w:bCs/>
        </w:rPr>
      </w:pPr>
    </w:p>
    <w:p w14:paraId="434C9187" w14:textId="09CE424A" w:rsidR="00F371F1" w:rsidRPr="00F371F1" w:rsidRDefault="00F371F1" w:rsidP="007C655E">
      <w:pPr>
        <w:pStyle w:val="Heading1"/>
      </w:pPr>
      <w:bookmarkStart w:id="20" w:name="_Toc198839004"/>
      <w:r w:rsidRPr="00F371F1">
        <w:t>Conclusion</w:t>
      </w:r>
      <w:bookmarkEnd w:id="20"/>
    </w:p>
    <w:p w14:paraId="6B77B644" w14:textId="1474A720" w:rsidR="00F371F1" w:rsidRPr="00F371F1" w:rsidRDefault="00F371F1" w:rsidP="00F371F1">
      <w:r w:rsidRPr="00F371F1">
        <w:t xml:space="preserve">Through identifying its unique threat landscape and implementing these targeted strategies, </w:t>
      </w:r>
      <w:proofErr w:type="spellStart"/>
      <w:r w:rsidRPr="00F371F1">
        <w:t>FinSecure</w:t>
      </w:r>
      <w:proofErr w:type="spellEnd"/>
      <w:r w:rsidRPr="00F371F1">
        <w:t xml:space="preserve"> Ltd can vastly improve its cybersecurity resilience. This report has detailed how a combination of clear policies, robust technical controls, vigilant monitoring, practiced incident response, and continuous employee awareness will protect FSL’s data and operations. Financial institutions operate in a high-threat environment, but by aligning security efforts with best practices and frameworks (such as NIST, SANS, and industry guidance), FSL can confidently defend against cyber-attacks and minimize damage from any incidents. The journey to stronger security is ongoing – threats will evolve, and so must FSL’s </w:t>
      </w:r>
      <w:r w:rsidR="007C655E" w:rsidRPr="00F371F1">
        <w:t>defences</w:t>
      </w:r>
      <w:r w:rsidRPr="00F371F1">
        <w:t xml:space="preserve"> – but with leadership commitment and company-wide engagement in these initiatives, FSL can safeguard its clients’ trust and its critical financial services in the digital age.</w:t>
      </w:r>
    </w:p>
    <w:p w14:paraId="77679A0A" w14:textId="10DC6802" w:rsidR="00CD42D0" w:rsidRDefault="00CD42D0"/>
    <w:p w14:paraId="728EC773" w14:textId="77777777" w:rsidR="00CD42D0" w:rsidRDefault="00CD42D0">
      <w:r>
        <w:br w:type="page"/>
      </w:r>
    </w:p>
    <w:bookmarkStart w:id="21" w:name="_Toc198839005" w:displacedByCustomXml="next"/>
    <w:sdt>
      <w:sdtPr>
        <w:id w:val="686639995"/>
        <w:docPartObj>
          <w:docPartGallery w:val="Bibliographies"/>
          <w:docPartUnique/>
        </w:docPartObj>
      </w:sdtPr>
      <w:sdtEndPr>
        <w:rPr>
          <w:rFonts w:asciiTheme="minorHAnsi" w:eastAsiaTheme="minorHAnsi" w:hAnsiTheme="minorHAnsi" w:cstheme="minorBidi"/>
          <w:color w:val="auto"/>
          <w:sz w:val="24"/>
          <w:szCs w:val="24"/>
        </w:rPr>
      </w:sdtEndPr>
      <w:sdtContent>
        <w:p w14:paraId="6E605CB0" w14:textId="6082C96F" w:rsidR="0051567A" w:rsidRDefault="0051567A">
          <w:pPr>
            <w:pStyle w:val="Heading1"/>
          </w:pPr>
          <w:r>
            <w:t>Bibliography</w:t>
          </w:r>
          <w:bookmarkEnd w:id="21"/>
        </w:p>
        <w:sdt>
          <w:sdtPr>
            <w:id w:val="111145805"/>
            <w:bibliography/>
          </w:sdtPr>
          <w:sdtContent>
            <w:p w14:paraId="1945EDD0" w14:textId="77777777" w:rsidR="0051567A" w:rsidRDefault="0051567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1567A" w14:paraId="2CC78612" w14:textId="77777777">
                <w:trPr>
                  <w:divId w:val="1504314846"/>
                  <w:tblCellSpacing w:w="15" w:type="dxa"/>
                </w:trPr>
                <w:tc>
                  <w:tcPr>
                    <w:tcW w:w="50" w:type="pct"/>
                    <w:hideMark/>
                  </w:tcPr>
                  <w:p w14:paraId="0E7A9403" w14:textId="429640EF" w:rsidR="0051567A" w:rsidRDefault="0051567A">
                    <w:pPr>
                      <w:pStyle w:val="Bibliography"/>
                      <w:rPr>
                        <w:noProof/>
                        <w:kern w:val="0"/>
                        <w14:ligatures w14:val="none"/>
                      </w:rPr>
                    </w:pPr>
                    <w:r>
                      <w:rPr>
                        <w:noProof/>
                      </w:rPr>
                      <w:t xml:space="preserve">[1] </w:t>
                    </w:r>
                  </w:p>
                </w:tc>
                <w:tc>
                  <w:tcPr>
                    <w:tcW w:w="0" w:type="auto"/>
                    <w:hideMark/>
                  </w:tcPr>
                  <w:p w14:paraId="0F8CEF5D" w14:textId="77777777" w:rsidR="0051567A" w:rsidRDefault="0051567A">
                    <w:pPr>
                      <w:pStyle w:val="Bibliography"/>
                      <w:rPr>
                        <w:noProof/>
                      </w:rPr>
                    </w:pPr>
                    <w:r>
                      <w:rPr>
                        <w:noProof/>
                      </w:rPr>
                      <w:t>keepnetlabs.com, “keepnetlabs.com,” 26th Feb 2025. [Online]. Available: https://keepnetlabs.com/blog/top-phishing-statistics-and-trends-you-must-know.</w:t>
                    </w:r>
                  </w:p>
                </w:tc>
              </w:tr>
              <w:tr w:rsidR="0051567A" w14:paraId="5F95FDB1" w14:textId="77777777">
                <w:trPr>
                  <w:divId w:val="1504314846"/>
                  <w:tblCellSpacing w:w="15" w:type="dxa"/>
                </w:trPr>
                <w:tc>
                  <w:tcPr>
                    <w:tcW w:w="50" w:type="pct"/>
                    <w:hideMark/>
                  </w:tcPr>
                  <w:p w14:paraId="7D6F3EB8" w14:textId="77777777" w:rsidR="0051567A" w:rsidRDefault="0051567A">
                    <w:pPr>
                      <w:pStyle w:val="Bibliography"/>
                      <w:rPr>
                        <w:noProof/>
                      </w:rPr>
                    </w:pPr>
                    <w:r>
                      <w:rPr>
                        <w:noProof/>
                      </w:rPr>
                      <w:t xml:space="preserve">[2] </w:t>
                    </w:r>
                  </w:p>
                </w:tc>
                <w:tc>
                  <w:tcPr>
                    <w:tcW w:w="0" w:type="auto"/>
                    <w:hideMark/>
                  </w:tcPr>
                  <w:p w14:paraId="2FC62569" w14:textId="77777777" w:rsidR="0051567A" w:rsidRDefault="0051567A">
                    <w:pPr>
                      <w:pStyle w:val="Bibliography"/>
                      <w:rPr>
                        <w:noProof/>
                      </w:rPr>
                    </w:pPr>
                    <w:r>
                      <w:rPr>
                        <w:noProof/>
                      </w:rPr>
                      <w:t>U. D. o. H. Security, “The Risk,” Cybersecurity and Infrastructure Security Agency, 2024.</w:t>
                    </w:r>
                  </w:p>
                </w:tc>
              </w:tr>
              <w:tr w:rsidR="0051567A" w14:paraId="624D6561" w14:textId="77777777">
                <w:trPr>
                  <w:divId w:val="1504314846"/>
                  <w:tblCellSpacing w:w="15" w:type="dxa"/>
                </w:trPr>
                <w:tc>
                  <w:tcPr>
                    <w:tcW w:w="50" w:type="pct"/>
                    <w:hideMark/>
                  </w:tcPr>
                  <w:p w14:paraId="18325342" w14:textId="77777777" w:rsidR="0051567A" w:rsidRDefault="0051567A">
                    <w:pPr>
                      <w:pStyle w:val="Bibliography"/>
                      <w:rPr>
                        <w:noProof/>
                      </w:rPr>
                    </w:pPr>
                    <w:r>
                      <w:rPr>
                        <w:noProof/>
                      </w:rPr>
                      <w:t xml:space="preserve">[3] </w:t>
                    </w:r>
                  </w:p>
                </w:tc>
                <w:tc>
                  <w:tcPr>
                    <w:tcW w:w="0" w:type="auto"/>
                    <w:hideMark/>
                  </w:tcPr>
                  <w:p w14:paraId="5DB0CA4A" w14:textId="77777777" w:rsidR="0051567A" w:rsidRDefault="0051567A">
                    <w:pPr>
                      <w:pStyle w:val="Bibliography"/>
                      <w:rPr>
                        <w:noProof/>
                      </w:rPr>
                    </w:pPr>
                    <w:r>
                      <w:rPr>
                        <w:noProof/>
                      </w:rPr>
                      <w:t>DataGuard, “Cyber risk mitigation strategies: How to strengthen your efforts,” 2024 .</w:t>
                    </w:r>
                  </w:p>
                </w:tc>
              </w:tr>
              <w:tr w:rsidR="0051567A" w14:paraId="3A0563B4" w14:textId="77777777">
                <w:trPr>
                  <w:divId w:val="1504314846"/>
                  <w:tblCellSpacing w:w="15" w:type="dxa"/>
                </w:trPr>
                <w:tc>
                  <w:tcPr>
                    <w:tcW w:w="50" w:type="pct"/>
                    <w:hideMark/>
                  </w:tcPr>
                  <w:p w14:paraId="4E3714AD" w14:textId="77777777" w:rsidR="0051567A" w:rsidRDefault="0051567A">
                    <w:pPr>
                      <w:pStyle w:val="Bibliography"/>
                      <w:rPr>
                        <w:noProof/>
                      </w:rPr>
                    </w:pPr>
                    <w:r>
                      <w:rPr>
                        <w:noProof/>
                      </w:rPr>
                      <w:t xml:space="preserve">[4] </w:t>
                    </w:r>
                  </w:p>
                </w:tc>
                <w:tc>
                  <w:tcPr>
                    <w:tcW w:w="0" w:type="auto"/>
                    <w:hideMark/>
                  </w:tcPr>
                  <w:p w14:paraId="322113E7" w14:textId="77777777" w:rsidR="0051567A" w:rsidRDefault="0051567A">
                    <w:pPr>
                      <w:pStyle w:val="Bibliography"/>
                      <w:rPr>
                        <w:noProof/>
                      </w:rPr>
                    </w:pPr>
                    <w:r>
                      <w:rPr>
                        <w:noProof/>
                      </w:rPr>
                      <w:t>Y. L. Lok, “A complete guide to the Essential Eight and Strategies to Mitigate Cyber Security Incidents,” [Online]. Available: https://blog.usecure.io/a-complete-guide-to-the-essential-eight-and-strategies-to-mitigate-cyber-security-incidents.</w:t>
                    </w:r>
                  </w:p>
                </w:tc>
              </w:tr>
              <w:tr w:rsidR="0051567A" w14:paraId="35E252D9" w14:textId="77777777">
                <w:trPr>
                  <w:divId w:val="1504314846"/>
                  <w:tblCellSpacing w:w="15" w:type="dxa"/>
                </w:trPr>
                <w:tc>
                  <w:tcPr>
                    <w:tcW w:w="50" w:type="pct"/>
                    <w:hideMark/>
                  </w:tcPr>
                  <w:p w14:paraId="7BCEC19C" w14:textId="77777777" w:rsidR="0051567A" w:rsidRDefault="0051567A">
                    <w:pPr>
                      <w:pStyle w:val="Bibliography"/>
                      <w:rPr>
                        <w:noProof/>
                      </w:rPr>
                    </w:pPr>
                    <w:r>
                      <w:rPr>
                        <w:noProof/>
                      </w:rPr>
                      <w:t xml:space="preserve">[5] </w:t>
                    </w:r>
                  </w:p>
                </w:tc>
                <w:tc>
                  <w:tcPr>
                    <w:tcW w:w="0" w:type="auto"/>
                    <w:hideMark/>
                  </w:tcPr>
                  <w:p w14:paraId="45E679FA" w14:textId="77777777" w:rsidR="0051567A" w:rsidRDefault="0051567A">
                    <w:pPr>
                      <w:pStyle w:val="Bibliography"/>
                      <w:rPr>
                        <w:noProof/>
                      </w:rPr>
                    </w:pPr>
                    <w:r>
                      <w:rPr>
                        <w:noProof/>
                      </w:rPr>
                      <w:t>S. Pagnotta, “How to Create an Incident Response Plan: 5 Steps,” 2025. [Online]. Available: https://www.bitsight.com/blog/how-create-incident-response-plan-5-steps.</w:t>
                    </w:r>
                  </w:p>
                </w:tc>
              </w:tr>
              <w:tr w:rsidR="0051567A" w14:paraId="44C6C396" w14:textId="77777777">
                <w:trPr>
                  <w:divId w:val="1504314846"/>
                  <w:tblCellSpacing w:w="15" w:type="dxa"/>
                </w:trPr>
                <w:tc>
                  <w:tcPr>
                    <w:tcW w:w="50" w:type="pct"/>
                    <w:hideMark/>
                  </w:tcPr>
                  <w:p w14:paraId="46911F4E" w14:textId="77777777" w:rsidR="0051567A" w:rsidRDefault="0051567A">
                    <w:pPr>
                      <w:pStyle w:val="Bibliography"/>
                      <w:rPr>
                        <w:noProof/>
                      </w:rPr>
                    </w:pPr>
                    <w:r>
                      <w:rPr>
                        <w:noProof/>
                      </w:rPr>
                      <w:t xml:space="preserve">[6] </w:t>
                    </w:r>
                  </w:p>
                </w:tc>
                <w:tc>
                  <w:tcPr>
                    <w:tcW w:w="0" w:type="auto"/>
                    <w:hideMark/>
                  </w:tcPr>
                  <w:p w14:paraId="486AD052" w14:textId="77777777" w:rsidR="0051567A" w:rsidRDefault="0051567A">
                    <w:pPr>
                      <w:pStyle w:val="Bibliography"/>
                      <w:rPr>
                        <w:noProof/>
                      </w:rPr>
                    </w:pPr>
                    <w:r>
                      <w:rPr>
                        <w:noProof/>
                      </w:rPr>
                      <w:t>D. J. Thapa, “A Guide to Security Awareness Training for Employees,” 2022. [Online]. Available: https://threatcop.com/blog/guide-to-security-awareness-training-for-employees/.</w:t>
                    </w:r>
                  </w:p>
                </w:tc>
              </w:tr>
            </w:tbl>
            <w:p w14:paraId="184A3D9E" w14:textId="77777777" w:rsidR="0051567A" w:rsidRDefault="0051567A">
              <w:pPr>
                <w:divId w:val="1504314846"/>
                <w:rPr>
                  <w:rFonts w:eastAsia="Times New Roman"/>
                  <w:noProof/>
                </w:rPr>
              </w:pPr>
            </w:p>
            <w:p w14:paraId="01D0CADF" w14:textId="4A5CADC2" w:rsidR="0051567A" w:rsidRDefault="0051567A">
              <w:r>
                <w:rPr>
                  <w:b/>
                  <w:bCs/>
                  <w:noProof/>
                </w:rPr>
                <w:fldChar w:fldCharType="end"/>
              </w:r>
            </w:p>
          </w:sdtContent>
        </w:sdt>
      </w:sdtContent>
    </w:sdt>
    <w:p w14:paraId="177F7C9E" w14:textId="77777777" w:rsidR="00F371F1" w:rsidRDefault="00F371F1"/>
    <w:sectPr w:rsidR="00F371F1" w:rsidSect="003F41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12836" w14:textId="77777777" w:rsidR="00DB6BEC" w:rsidRDefault="00DB6BEC" w:rsidP="003F4116">
      <w:pPr>
        <w:spacing w:after="0" w:line="240" w:lineRule="auto"/>
      </w:pPr>
      <w:r>
        <w:separator/>
      </w:r>
    </w:p>
  </w:endnote>
  <w:endnote w:type="continuationSeparator" w:id="0">
    <w:p w14:paraId="4373C662" w14:textId="77777777" w:rsidR="00DB6BEC" w:rsidRDefault="00DB6BEC" w:rsidP="003F4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138B2" w14:textId="77777777" w:rsidR="00DB6BEC" w:rsidRDefault="00DB6BEC" w:rsidP="003F4116">
      <w:pPr>
        <w:spacing w:after="0" w:line="240" w:lineRule="auto"/>
      </w:pPr>
      <w:r>
        <w:separator/>
      </w:r>
    </w:p>
  </w:footnote>
  <w:footnote w:type="continuationSeparator" w:id="0">
    <w:p w14:paraId="037CEDA6" w14:textId="77777777" w:rsidR="00DB6BEC" w:rsidRDefault="00DB6BEC" w:rsidP="003F4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C73E5"/>
    <w:multiLevelType w:val="multilevel"/>
    <w:tmpl w:val="ADAC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C10C04"/>
    <w:multiLevelType w:val="multilevel"/>
    <w:tmpl w:val="7284A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D35E9A"/>
    <w:multiLevelType w:val="multilevel"/>
    <w:tmpl w:val="FBD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1985060">
    <w:abstractNumId w:val="1"/>
  </w:num>
  <w:num w:numId="2" w16cid:durableId="1507279705">
    <w:abstractNumId w:val="0"/>
  </w:num>
  <w:num w:numId="3" w16cid:durableId="636111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1F1"/>
    <w:rsid w:val="00067EBB"/>
    <w:rsid w:val="000E5280"/>
    <w:rsid w:val="001178DC"/>
    <w:rsid w:val="002457C7"/>
    <w:rsid w:val="00314D21"/>
    <w:rsid w:val="00372A7A"/>
    <w:rsid w:val="003F4116"/>
    <w:rsid w:val="004A1EFB"/>
    <w:rsid w:val="0051567A"/>
    <w:rsid w:val="00577377"/>
    <w:rsid w:val="006761E7"/>
    <w:rsid w:val="007744AE"/>
    <w:rsid w:val="007C655E"/>
    <w:rsid w:val="007D6C59"/>
    <w:rsid w:val="007F7C02"/>
    <w:rsid w:val="00835902"/>
    <w:rsid w:val="008C4775"/>
    <w:rsid w:val="008C6CFD"/>
    <w:rsid w:val="008D13D3"/>
    <w:rsid w:val="0098532C"/>
    <w:rsid w:val="00A14CF3"/>
    <w:rsid w:val="00A53939"/>
    <w:rsid w:val="00AF5EBB"/>
    <w:rsid w:val="00B16E2C"/>
    <w:rsid w:val="00B64028"/>
    <w:rsid w:val="00BF28FB"/>
    <w:rsid w:val="00C00DFC"/>
    <w:rsid w:val="00C01E30"/>
    <w:rsid w:val="00C037C9"/>
    <w:rsid w:val="00C70CDD"/>
    <w:rsid w:val="00CD42D0"/>
    <w:rsid w:val="00CE7EEE"/>
    <w:rsid w:val="00D26DD7"/>
    <w:rsid w:val="00DB113B"/>
    <w:rsid w:val="00DB6BEC"/>
    <w:rsid w:val="00F3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B476"/>
  <w15:chartTrackingRefBased/>
  <w15:docId w15:val="{AE676B10-D615-441A-BCF5-E16742C28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1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71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1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1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1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1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1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1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1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1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71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1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1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1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1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1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1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1F1"/>
    <w:rPr>
      <w:rFonts w:eastAsiaTheme="majorEastAsia" w:cstheme="majorBidi"/>
      <w:color w:val="272727" w:themeColor="text1" w:themeTint="D8"/>
    </w:rPr>
  </w:style>
  <w:style w:type="paragraph" w:styleId="Title">
    <w:name w:val="Title"/>
    <w:basedOn w:val="Normal"/>
    <w:next w:val="Normal"/>
    <w:link w:val="TitleChar"/>
    <w:uiPriority w:val="10"/>
    <w:qFormat/>
    <w:rsid w:val="00F371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1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1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1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1F1"/>
    <w:pPr>
      <w:spacing w:before="160"/>
      <w:jc w:val="center"/>
    </w:pPr>
    <w:rPr>
      <w:i/>
      <w:iCs/>
      <w:color w:val="404040" w:themeColor="text1" w:themeTint="BF"/>
    </w:rPr>
  </w:style>
  <w:style w:type="character" w:customStyle="1" w:styleId="QuoteChar">
    <w:name w:val="Quote Char"/>
    <w:basedOn w:val="DefaultParagraphFont"/>
    <w:link w:val="Quote"/>
    <w:uiPriority w:val="29"/>
    <w:rsid w:val="00F371F1"/>
    <w:rPr>
      <w:i/>
      <w:iCs/>
      <w:color w:val="404040" w:themeColor="text1" w:themeTint="BF"/>
    </w:rPr>
  </w:style>
  <w:style w:type="paragraph" w:styleId="ListParagraph">
    <w:name w:val="List Paragraph"/>
    <w:basedOn w:val="Normal"/>
    <w:uiPriority w:val="34"/>
    <w:qFormat/>
    <w:rsid w:val="00F371F1"/>
    <w:pPr>
      <w:ind w:left="720"/>
      <w:contextualSpacing/>
    </w:pPr>
  </w:style>
  <w:style w:type="character" w:styleId="IntenseEmphasis">
    <w:name w:val="Intense Emphasis"/>
    <w:basedOn w:val="DefaultParagraphFont"/>
    <w:uiPriority w:val="21"/>
    <w:qFormat/>
    <w:rsid w:val="00F371F1"/>
    <w:rPr>
      <w:i/>
      <w:iCs/>
      <w:color w:val="0F4761" w:themeColor="accent1" w:themeShade="BF"/>
    </w:rPr>
  </w:style>
  <w:style w:type="paragraph" w:styleId="IntenseQuote">
    <w:name w:val="Intense Quote"/>
    <w:basedOn w:val="Normal"/>
    <w:next w:val="Normal"/>
    <w:link w:val="IntenseQuoteChar"/>
    <w:uiPriority w:val="30"/>
    <w:qFormat/>
    <w:rsid w:val="00F371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1F1"/>
    <w:rPr>
      <w:i/>
      <w:iCs/>
      <w:color w:val="0F4761" w:themeColor="accent1" w:themeShade="BF"/>
    </w:rPr>
  </w:style>
  <w:style w:type="character" w:styleId="IntenseReference">
    <w:name w:val="Intense Reference"/>
    <w:basedOn w:val="DefaultParagraphFont"/>
    <w:uiPriority w:val="32"/>
    <w:qFormat/>
    <w:rsid w:val="00F371F1"/>
    <w:rPr>
      <w:b/>
      <w:bCs/>
      <w:smallCaps/>
      <w:color w:val="0F4761" w:themeColor="accent1" w:themeShade="BF"/>
      <w:spacing w:val="5"/>
    </w:rPr>
  </w:style>
  <w:style w:type="paragraph" w:styleId="Header">
    <w:name w:val="header"/>
    <w:basedOn w:val="Normal"/>
    <w:link w:val="HeaderChar"/>
    <w:uiPriority w:val="99"/>
    <w:unhideWhenUsed/>
    <w:rsid w:val="003F4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116"/>
  </w:style>
  <w:style w:type="paragraph" w:styleId="Footer">
    <w:name w:val="footer"/>
    <w:basedOn w:val="Normal"/>
    <w:link w:val="FooterChar"/>
    <w:uiPriority w:val="99"/>
    <w:unhideWhenUsed/>
    <w:rsid w:val="003F4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116"/>
  </w:style>
  <w:style w:type="paragraph" w:styleId="NoSpacing">
    <w:name w:val="No Spacing"/>
    <w:link w:val="NoSpacingChar"/>
    <w:uiPriority w:val="1"/>
    <w:qFormat/>
    <w:rsid w:val="003F411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F411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14D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7C02"/>
    <w:pPr>
      <w:tabs>
        <w:tab w:val="right" w:leader="dot" w:pos="9016"/>
      </w:tabs>
      <w:spacing w:after="100"/>
    </w:pPr>
    <w:rPr>
      <w:b/>
      <w:bCs/>
      <w:noProof/>
    </w:rPr>
  </w:style>
  <w:style w:type="paragraph" w:styleId="TOC2">
    <w:name w:val="toc 2"/>
    <w:basedOn w:val="Normal"/>
    <w:next w:val="Normal"/>
    <w:autoRedefine/>
    <w:uiPriority w:val="39"/>
    <w:unhideWhenUsed/>
    <w:rsid w:val="00314D21"/>
    <w:pPr>
      <w:spacing w:after="100"/>
      <w:ind w:left="240"/>
    </w:pPr>
  </w:style>
  <w:style w:type="character" w:styleId="Hyperlink">
    <w:name w:val="Hyperlink"/>
    <w:basedOn w:val="DefaultParagraphFont"/>
    <w:uiPriority w:val="99"/>
    <w:unhideWhenUsed/>
    <w:rsid w:val="00314D21"/>
    <w:rPr>
      <w:color w:val="467886" w:themeColor="hyperlink"/>
      <w:u w:val="single"/>
    </w:rPr>
  </w:style>
  <w:style w:type="paragraph" w:styleId="Bibliography">
    <w:name w:val="Bibliography"/>
    <w:basedOn w:val="Normal"/>
    <w:next w:val="Normal"/>
    <w:uiPriority w:val="37"/>
    <w:unhideWhenUsed/>
    <w:rsid w:val="00515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94364">
      <w:bodyDiv w:val="1"/>
      <w:marLeft w:val="0"/>
      <w:marRight w:val="0"/>
      <w:marTop w:val="0"/>
      <w:marBottom w:val="0"/>
      <w:divBdr>
        <w:top w:val="none" w:sz="0" w:space="0" w:color="auto"/>
        <w:left w:val="none" w:sz="0" w:space="0" w:color="auto"/>
        <w:bottom w:val="none" w:sz="0" w:space="0" w:color="auto"/>
        <w:right w:val="none" w:sz="0" w:space="0" w:color="auto"/>
      </w:divBdr>
    </w:div>
    <w:div w:id="715814211">
      <w:bodyDiv w:val="1"/>
      <w:marLeft w:val="0"/>
      <w:marRight w:val="0"/>
      <w:marTop w:val="0"/>
      <w:marBottom w:val="0"/>
      <w:divBdr>
        <w:top w:val="none" w:sz="0" w:space="0" w:color="auto"/>
        <w:left w:val="none" w:sz="0" w:space="0" w:color="auto"/>
        <w:bottom w:val="none" w:sz="0" w:space="0" w:color="auto"/>
        <w:right w:val="none" w:sz="0" w:space="0" w:color="auto"/>
      </w:divBdr>
    </w:div>
    <w:div w:id="869222100">
      <w:bodyDiv w:val="1"/>
      <w:marLeft w:val="0"/>
      <w:marRight w:val="0"/>
      <w:marTop w:val="0"/>
      <w:marBottom w:val="0"/>
      <w:divBdr>
        <w:top w:val="none" w:sz="0" w:space="0" w:color="auto"/>
        <w:left w:val="none" w:sz="0" w:space="0" w:color="auto"/>
        <w:bottom w:val="none" w:sz="0" w:space="0" w:color="auto"/>
        <w:right w:val="none" w:sz="0" w:space="0" w:color="auto"/>
      </w:divBdr>
    </w:div>
    <w:div w:id="1086027605">
      <w:bodyDiv w:val="1"/>
      <w:marLeft w:val="0"/>
      <w:marRight w:val="0"/>
      <w:marTop w:val="0"/>
      <w:marBottom w:val="0"/>
      <w:divBdr>
        <w:top w:val="none" w:sz="0" w:space="0" w:color="auto"/>
        <w:left w:val="none" w:sz="0" w:space="0" w:color="auto"/>
        <w:bottom w:val="none" w:sz="0" w:space="0" w:color="auto"/>
        <w:right w:val="none" w:sz="0" w:space="0" w:color="auto"/>
      </w:divBdr>
    </w:div>
    <w:div w:id="1301181728">
      <w:bodyDiv w:val="1"/>
      <w:marLeft w:val="0"/>
      <w:marRight w:val="0"/>
      <w:marTop w:val="0"/>
      <w:marBottom w:val="0"/>
      <w:divBdr>
        <w:top w:val="none" w:sz="0" w:space="0" w:color="auto"/>
        <w:left w:val="none" w:sz="0" w:space="0" w:color="auto"/>
        <w:bottom w:val="none" w:sz="0" w:space="0" w:color="auto"/>
        <w:right w:val="none" w:sz="0" w:space="0" w:color="auto"/>
      </w:divBdr>
    </w:div>
    <w:div w:id="1455176136">
      <w:bodyDiv w:val="1"/>
      <w:marLeft w:val="0"/>
      <w:marRight w:val="0"/>
      <w:marTop w:val="0"/>
      <w:marBottom w:val="0"/>
      <w:divBdr>
        <w:top w:val="none" w:sz="0" w:space="0" w:color="auto"/>
        <w:left w:val="none" w:sz="0" w:space="0" w:color="auto"/>
        <w:bottom w:val="none" w:sz="0" w:space="0" w:color="auto"/>
        <w:right w:val="none" w:sz="0" w:space="0" w:color="auto"/>
      </w:divBdr>
    </w:div>
    <w:div w:id="1472022261">
      <w:bodyDiv w:val="1"/>
      <w:marLeft w:val="0"/>
      <w:marRight w:val="0"/>
      <w:marTop w:val="0"/>
      <w:marBottom w:val="0"/>
      <w:divBdr>
        <w:top w:val="none" w:sz="0" w:space="0" w:color="auto"/>
        <w:left w:val="none" w:sz="0" w:space="0" w:color="auto"/>
        <w:bottom w:val="none" w:sz="0" w:space="0" w:color="auto"/>
        <w:right w:val="none" w:sz="0" w:space="0" w:color="auto"/>
      </w:divBdr>
    </w:div>
    <w:div w:id="1485665536">
      <w:bodyDiv w:val="1"/>
      <w:marLeft w:val="0"/>
      <w:marRight w:val="0"/>
      <w:marTop w:val="0"/>
      <w:marBottom w:val="0"/>
      <w:divBdr>
        <w:top w:val="none" w:sz="0" w:space="0" w:color="auto"/>
        <w:left w:val="none" w:sz="0" w:space="0" w:color="auto"/>
        <w:bottom w:val="none" w:sz="0" w:space="0" w:color="auto"/>
        <w:right w:val="none" w:sz="0" w:space="0" w:color="auto"/>
      </w:divBdr>
    </w:div>
    <w:div w:id="1504314846">
      <w:bodyDiv w:val="1"/>
      <w:marLeft w:val="0"/>
      <w:marRight w:val="0"/>
      <w:marTop w:val="0"/>
      <w:marBottom w:val="0"/>
      <w:divBdr>
        <w:top w:val="none" w:sz="0" w:space="0" w:color="auto"/>
        <w:left w:val="none" w:sz="0" w:space="0" w:color="auto"/>
        <w:bottom w:val="none" w:sz="0" w:space="0" w:color="auto"/>
        <w:right w:val="none" w:sz="0" w:space="0" w:color="auto"/>
      </w:divBdr>
    </w:div>
    <w:div w:id="1561817858">
      <w:bodyDiv w:val="1"/>
      <w:marLeft w:val="0"/>
      <w:marRight w:val="0"/>
      <w:marTop w:val="0"/>
      <w:marBottom w:val="0"/>
      <w:divBdr>
        <w:top w:val="none" w:sz="0" w:space="0" w:color="auto"/>
        <w:left w:val="none" w:sz="0" w:space="0" w:color="auto"/>
        <w:bottom w:val="none" w:sz="0" w:space="0" w:color="auto"/>
        <w:right w:val="none" w:sz="0" w:space="0" w:color="auto"/>
      </w:divBdr>
    </w:div>
    <w:div w:id="1568034579">
      <w:bodyDiv w:val="1"/>
      <w:marLeft w:val="0"/>
      <w:marRight w:val="0"/>
      <w:marTop w:val="0"/>
      <w:marBottom w:val="0"/>
      <w:divBdr>
        <w:top w:val="none" w:sz="0" w:space="0" w:color="auto"/>
        <w:left w:val="none" w:sz="0" w:space="0" w:color="auto"/>
        <w:bottom w:val="none" w:sz="0" w:space="0" w:color="auto"/>
        <w:right w:val="none" w:sz="0" w:space="0" w:color="auto"/>
      </w:divBdr>
    </w:div>
    <w:div w:id="1654022247">
      <w:bodyDiv w:val="1"/>
      <w:marLeft w:val="0"/>
      <w:marRight w:val="0"/>
      <w:marTop w:val="0"/>
      <w:marBottom w:val="0"/>
      <w:divBdr>
        <w:top w:val="none" w:sz="0" w:space="0" w:color="auto"/>
        <w:left w:val="none" w:sz="0" w:space="0" w:color="auto"/>
        <w:bottom w:val="none" w:sz="0" w:space="0" w:color="auto"/>
        <w:right w:val="none" w:sz="0" w:space="0" w:color="auto"/>
      </w:divBdr>
    </w:div>
    <w:div w:id="186320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DDF094AFC224289B95BD30C725A7362"/>
        <w:category>
          <w:name w:val="General"/>
          <w:gallery w:val="placeholder"/>
        </w:category>
        <w:types>
          <w:type w:val="bbPlcHdr"/>
        </w:types>
        <w:behaviors>
          <w:behavior w:val="content"/>
        </w:behaviors>
        <w:guid w:val="{6F32A709-DE79-40B6-96F8-AD1C84B45D91}"/>
      </w:docPartPr>
      <w:docPartBody>
        <w:p w:rsidR="00000000" w:rsidRDefault="00D63CCC" w:rsidP="00D63CCC">
          <w:pPr>
            <w:pStyle w:val="6DDF094AFC224289B95BD30C725A7362"/>
          </w:pPr>
          <w:r>
            <w:rPr>
              <w:rFonts w:asciiTheme="majorHAnsi" w:eastAsiaTheme="majorEastAsia" w:hAnsiTheme="majorHAnsi" w:cstheme="majorBidi"/>
              <w:caps/>
              <w:color w:val="156082" w:themeColor="accent1"/>
              <w:sz w:val="80"/>
              <w:szCs w:val="80"/>
            </w:rPr>
            <w:t>[Document title]</w:t>
          </w:r>
        </w:p>
      </w:docPartBody>
    </w:docPart>
    <w:docPart>
      <w:docPartPr>
        <w:name w:val="02FE76129E3C46D381749DCFDB34966D"/>
        <w:category>
          <w:name w:val="General"/>
          <w:gallery w:val="placeholder"/>
        </w:category>
        <w:types>
          <w:type w:val="bbPlcHdr"/>
        </w:types>
        <w:behaviors>
          <w:behavior w:val="content"/>
        </w:behaviors>
        <w:guid w:val="{0AAA7763-A06B-4777-ADD5-C32091B7F648}"/>
      </w:docPartPr>
      <w:docPartBody>
        <w:p w:rsidR="00000000" w:rsidRDefault="00D63CCC" w:rsidP="00D63CCC">
          <w:pPr>
            <w:pStyle w:val="02FE76129E3C46D381749DCFDB34966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CCC"/>
    <w:rsid w:val="008C6CFD"/>
    <w:rsid w:val="009D451D"/>
    <w:rsid w:val="00D63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DF094AFC224289B95BD30C725A7362">
    <w:name w:val="6DDF094AFC224289B95BD30C725A7362"/>
    <w:rsid w:val="00D63CCC"/>
  </w:style>
  <w:style w:type="paragraph" w:customStyle="1" w:styleId="02FE76129E3C46D381749DCFDB34966D">
    <w:name w:val="02FE76129E3C46D381749DCFDB34966D"/>
    <w:rsid w:val="00D63C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2418519</PublishDate>
  <Abstract/>
  <CompanyAddress>Networks and Cyber Security Essentials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kee25</b:Tag>
    <b:SourceType>DocumentFromInternetSite</b:SourceType>
    <b:Guid>{E2B02ADE-78B1-4CC4-A108-279895E53066}</b:Guid>
    <b:Title>keepnetlabs.com</b:Title>
    <b:Year>2025</b:Year>
    <b:Author>
      <b:Author>
        <b:NameList>
          <b:Person>
            <b:Last>keepnetlabs.com</b:Last>
          </b:Person>
        </b:NameList>
      </b:Author>
    </b:Author>
    <b:Month>Feb</b:Month>
    <b:Day>26th</b:Day>
    <b:URL>https://keepnetlabs.com/blog/top-phishing-statistics-and-trends-you-must-know</b:URL>
    <b:RefOrder>1</b:RefOrder>
  </b:Source>
  <b:Source>
    <b:Tag>Sec24</b:Tag>
    <b:SourceType>Report</b:SourceType>
    <b:Guid>{259E3BED-AA5A-49C3-ABDC-8DDABBE346E9}</b:Guid>
    <b:Title>The Risk</b:Title>
    <b:Year>2024</b:Year>
    <b:URL>https://www.cisa.gov/sites/default/files/2024-07/The_Risk_Management_Process_2024_Edition.pdf</b:URL>
    <b:Author>
      <b:Author>
        <b:NameList>
          <b:Person>
            <b:Last>Security</b:Last>
            <b:First>U.S.</b:First>
            <b:Middle>Department of Homeland</b:Middle>
          </b:Person>
        </b:NameList>
      </b:Author>
    </b:Author>
    <b:Publisher>Cybersecurity and Infrastructure Security Agency</b:Publisher>
    <b:RefOrder>2</b:RefOrder>
  </b:Source>
  <b:Source>
    <b:Tag>Dat24</b:Tag>
    <b:SourceType>Report</b:SourceType>
    <b:Guid>{C7C51E8E-8F87-4A76-81BB-0CB871B22486}</b:Guid>
    <b:Title>Cyber risk mitigation strategies: How to strengthen your efforts</b:Title>
    <b:Year>2024 </b:Year>
    <b:Author>
      <b:Author>
        <b:NameList>
          <b:Person>
            <b:Last>DataGuard</b:Last>
          </b:Person>
        </b:NameList>
      </b:Author>
    </b:Author>
    <b:URL>https://www.dataguard.com/blog/cyber-risk-mitigation-strategies/</b:URL>
    <b:RefOrder>3</b:RefOrder>
  </b:Source>
  <b:Source>
    <b:Tag>YuL</b:Tag>
    <b:SourceType>DocumentFromInternetSite</b:SourceType>
    <b:Guid>{F09B175D-4A62-462A-B744-23DBE3F65130}</b:Guid>
    <b:Title>A complete guide to the Essential Eight and Strategies to Mitigate Cyber Security Incidents</b:Title>
    <b:Author>
      <b:Author>
        <b:NameList>
          <b:Person>
            <b:Last>Lok</b:Last>
            <b:First>Yu</b:First>
            <b:Middle>Ling</b:Middle>
          </b:Person>
        </b:NameList>
      </b:Author>
    </b:Author>
    <b:URL>https://blog.usecure.io/a-complete-guide-to-the-essential-eight-and-strategies-to-mitigate-cyber-security-incidents</b:URL>
    <b:RefOrder>4</b:RefOrder>
  </b:Source>
  <b:Source>
    <b:Tag>Sab25</b:Tag>
    <b:SourceType>DocumentFromInternetSite</b:SourceType>
    <b:Guid>{F7E4DC2A-CF10-4CB6-A307-0FF6951C001E}</b:Guid>
    <b:Author>
      <b:Author>
        <b:NameList>
          <b:Person>
            <b:Last>Pagnotta</b:Last>
            <b:First>Sabrina</b:First>
          </b:Person>
        </b:NameList>
      </b:Author>
    </b:Author>
    <b:Title>How to Create an Incident Response Plan: 5 Steps</b:Title>
    <b:Year>2025</b:Year>
    <b:URL>https://www.bitsight.com/blog/how-create-incident-response-plan-5-steps</b:URL>
    <b:RefOrder>5</b:RefOrder>
  </b:Source>
  <b:Source>
    <b:Tag>Dip22</b:Tag>
    <b:SourceType>DocumentFromInternetSite</b:SourceType>
    <b:Guid>{CE54E1FB-8401-4F8D-B867-06B1086D2776}</b:Guid>
    <b:Author>
      <b:Author>
        <b:NameList>
          <b:Person>
            <b:Last>Thapa</b:Last>
            <b:First>Dip</b:First>
            <b:Middle>Jung</b:Middle>
          </b:Person>
        </b:NameList>
      </b:Author>
    </b:Author>
    <b:Title>A Guide to Security Awareness Training for Employees</b:Title>
    <b:Year>2022</b:Year>
    <b:URL>https://threatcop.com/blog/guide-to-security-awareness-training-for-employees/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28307A-E1E4-4500-86F1-E184EF418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Leo Richards</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ACCA4024</dc:subject>
  <dc:creator>L Richards</dc:creator>
  <cp:keywords/>
  <dc:description/>
  <cp:lastModifiedBy>L Richards</cp:lastModifiedBy>
  <cp:revision>30</cp:revision>
  <dcterms:created xsi:type="dcterms:W3CDTF">2025-05-19T11:01:00Z</dcterms:created>
  <dcterms:modified xsi:type="dcterms:W3CDTF">2025-05-22T19:42:00Z</dcterms:modified>
</cp:coreProperties>
</file>