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1967E" w14:textId="0F49A02C" w:rsidR="00942AC9" w:rsidRDefault="00942AC9" w:rsidP="00942AC9">
      <w:pPr>
        <w:tabs>
          <w:tab w:val="right" w:pos="10631"/>
        </w:tabs>
        <w:spacing w:after="70" w:line="259" w:lineRule="auto"/>
        <w:ind w:left="0" w:firstLine="0"/>
        <w:jc w:val="left"/>
      </w:pPr>
      <w:r>
        <w:rPr>
          <w:noProof/>
        </w:rPr>
        <w:drawing>
          <wp:inline distT="0" distB="0" distL="0" distR="0" wp14:anchorId="2F89CA7D" wp14:editId="5429EB1C">
            <wp:extent cx="1809750" cy="723900"/>
            <wp:effectExtent l="0" t="0" r="0" b="0"/>
            <wp:docPr id="312" name="Picture 312"/>
            <wp:cNvGraphicFramePr/>
            <a:graphic xmlns:a="http://schemas.openxmlformats.org/drawingml/2006/main">
              <a:graphicData uri="http://schemas.openxmlformats.org/drawingml/2006/picture">
                <pic:pic xmlns:pic="http://schemas.openxmlformats.org/drawingml/2006/picture">
                  <pic:nvPicPr>
                    <pic:cNvPr id="312" name="Picture 312"/>
                    <pic:cNvPicPr/>
                  </pic:nvPicPr>
                  <pic:blipFill>
                    <a:blip r:embed="rId8"/>
                    <a:stretch>
                      <a:fillRect/>
                    </a:stretch>
                  </pic:blipFill>
                  <pic:spPr>
                    <a:xfrm>
                      <a:off x="0" y="0"/>
                      <a:ext cx="1809750" cy="723900"/>
                    </a:xfrm>
                    <a:prstGeom prst="rect">
                      <a:avLst/>
                    </a:prstGeom>
                  </pic:spPr>
                </pic:pic>
              </a:graphicData>
            </a:graphic>
          </wp:inline>
        </w:drawing>
      </w:r>
    </w:p>
    <w:p w14:paraId="3FC98AF3" w14:textId="12D028A2" w:rsidR="00942AC9" w:rsidRDefault="00942AC9" w:rsidP="00942AC9">
      <w:pPr>
        <w:spacing w:after="0" w:line="259" w:lineRule="auto"/>
        <w:ind w:left="0" w:right="31" w:firstLine="0"/>
        <w:jc w:val="left"/>
      </w:pPr>
    </w:p>
    <w:p w14:paraId="52C67148" w14:textId="77777777" w:rsidR="00942AC9" w:rsidRDefault="00942AC9" w:rsidP="00942AC9">
      <w:pPr>
        <w:spacing w:after="0" w:line="259" w:lineRule="auto"/>
        <w:ind w:left="0" w:right="31" w:firstLine="0"/>
        <w:jc w:val="left"/>
      </w:pPr>
    </w:p>
    <w:p w14:paraId="43FA6F84" w14:textId="446E9521" w:rsidR="00942AC9" w:rsidRPr="002E7928" w:rsidRDefault="00942AC9" w:rsidP="00942AC9">
      <w:pPr>
        <w:spacing w:after="0" w:line="259" w:lineRule="auto"/>
        <w:ind w:left="0" w:right="31" w:firstLine="0"/>
        <w:jc w:val="center"/>
        <w:rPr>
          <w:rFonts w:ascii="Times New Roman" w:hAnsi="Times New Roman" w:cs="Times New Roman"/>
          <w:b/>
          <w:bCs/>
          <w:sz w:val="40"/>
          <w:szCs w:val="40"/>
        </w:rPr>
      </w:pPr>
      <w:r w:rsidRPr="002E7928">
        <w:rPr>
          <w:rFonts w:ascii="Times New Roman" w:hAnsi="Times New Roman" w:cs="Times New Roman"/>
          <w:b/>
          <w:bCs/>
          <w:sz w:val="40"/>
          <w:szCs w:val="40"/>
        </w:rPr>
        <w:t>N</w:t>
      </w:r>
      <w:r w:rsidR="00E20CD4" w:rsidRPr="002E7928">
        <w:rPr>
          <w:rFonts w:ascii="Times New Roman" w:hAnsi="Times New Roman" w:cs="Times New Roman"/>
          <w:b/>
          <w:bCs/>
          <w:sz w:val="40"/>
          <w:szCs w:val="40"/>
        </w:rPr>
        <w:t>AME</w:t>
      </w:r>
      <w:r w:rsidRPr="002E7928">
        <w:rPr>
          <w:rFonts w:ascii="Times New Roman" w:hAnsi="Times New Roman" w:cs="Times New Roman"/>
          <w:b/>
          <w:bCs/>
          <w:sz w:val="40"/>
          <w:szCs w:val="40"/>
        </w:rPr>
        <w:t>: VARUNKUMAR BHARATBHAI PATEL</w:t>
      </w:r>
    </w:p>
    <w:p w14:paraId="27FEFDD0" w14:textId="2966F054" w:rsidR="00942AC9" w:rsidRPr="002E7928" w:rsidRDefault="00942AC9" w:rsidP="00942AC9">
      <w:pPr>
        <w:spacing w:after="0" w:line="259" w:lineRule="auto"/>
        <w:ind w:left="0" w:right="31" w:firstLine="0"/>
        <w:jc w:val="center"/>
        <w:rPr>
          <w:rFonts w:ascii="Times New Roman" w:hAnsi="Times New Roman" w:cs="Times New Roman"/>
          <w:b/>
          <w:bCs/>
          <w:sz w:val="40"/>
          <w:szCs w:val="40"/>
        </w:rPr>
      </w:pPr>
      <w:r w:rsidRPr="002E7928">
        <w:rPr>
          <w:rFonts w:ascii="Times New Roman" w:hAnsi="Times New Roman" w:cs="Times New Roman"/>
          <w:b/>
          <w:bCs/>
          <w:sz w:val="40"/>
          <w:szCs w:val="40"/>
        </w:rPr>
        <w:t>ID: 2320886</w:t>
      </w:r>
    </w:p>
    <w:p w14:paraId="472F0071" w14:textId="77777777" w:rsidR="00942AC9" w:rsidRDefault="00942AC9" w:rsidP="00942AC9">
      <w:pPr>
        <w:spacing w:after="0" w:line="259" w:lineRule="auto"/>
        <w:ind w:left="0" w:right="31" w:firstLine="0"/>
        <w:jc w:val="center"/>
        <w:rPr>
          <w:rFonts w:ascii="Times New Roman" w:hAnsi="Times New Roman" w:cs="Times New Roman"/>
          <w:b/>
          <w:bCs/>
          <w:sz w:val="32"/>
          <w:szCs w:val="32"/>
        </w:rPr>
      </w:pPr>
    </w:p>
    <w:tbl>
      <w:tblPr>
        <w:tblStyle w:val="TableGrid"/>
        <w:tblpPr w:leftFromText="180" w:rightFromText="180" w:vertAnchor="text" w:horzAnchor="margin" w:tblpXSpec="center" w:tblpY="274"/>
        <w:tblW w:w="9925" w:type="dxa"/>
        <w:tblInd w:w="0" w:type="dxa"/>
        <w:tblCellMar>
          <w:top w:w="19" w:type="dxa"/>
        </w:tblCellMar>
        <w:tblLook w:val="04A0" w:firstRow="1" w:lastRow="0" w:firstColumn="1" w:lastColumn="0" w:noHBand="0" w:noVBand="1"/>
      </w:tblPr>
      <w:tblGrid>
        <w:gridCol w:w="2092"/>
        <w:gridCol w:w="3297"/>
        <w:gridCol w:w="2264"/>
        <w:gridCol w:w="2272"/>
      </w:tblGrid>
      <w:tr w:rsidR="00AA7034" w14:paraId="772FFEAB" w14:textId="77777777" w:rsidTr="00AA7034">
        <w:trPr>
          <w:trHeight w:val="524"/>
        </w:trPr>
        <w:tc>
          <w:tcPr>
            <w:tcW w:w="20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E83CD16" w14:textId="77777777" w:rsidR="00AA7034" w:rsidRDefault="00AA7034" w:rsidP="00AA7034">
            <w:pPr>
              <w:spacing w:after="0" w:line="259" w:lineRule="auto"/>
              <w:ind w:left="107" w:firstLine="0"/>
              <w:jc w:val="left"/>
            </w:pPr>
            <w:r>
              <w:rPr>
                <w:b/>
              </w:rPr>
              <w:t>Programme:</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715F7C49" w14:textId="77777777" w:rsidR="00AA7034" w:rsidRDefault="00AA7034" w:rsidP="00AA7034">
            <w:pPr>
              <w:spacing w:after="0" w:line="259" w:lineRule="auto"/>
              <w:ind w:left="108" w:firstLine="0"/>
              <w:jc w:val="left"/>
            </w:pPr>
            <w:r>
              <w:rPr>
                <w:b/>
              </w:rPr>
              <w:t>MBA- Masters of Business Administration</w:t>
            </w:r>
          </w:p>
        </w:tc>
      </w:tr>
      <w:tr w:rsidR="00AA7034" w14:paraId="6412223F" w14:textId="77777777" w:rsidTr="00AA7034">
        <w:trPr>
          <w:trHeight w:val="528"/>
        </w:trPr>
        <w:tc>
          <w:tcPr>
            <w:tcW w:w="20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49D398" w14:textId="77777777" w:rsidR="00AA7034" w:rsidRDefault="00AA7034" w:rsidP="00AA7034">
            <w:pPr>
              <w:spacing w:after="0" w:line="259" w:lineRule="auto"/>
              <w:ind w:left="107" w:firstLine="0"/>
              <w:jc w:val="left"/>
            </w:pPr>
            <w:r>
              <w:rPr>
                <w:b/>
              </w:rPr>
              <w:t>Module:</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3647303B" w14:textId="77777777" w:rsidR="00AA7034" w:rsidRDefault="00AA7034" w:rsidP="00AA7034">
            <w:pPr>
              <w:spacing w:after="0" w:line="259" w:lineRule="auto"/>
              <w:ind w:left="108" w:firstLine="0"/>
              <w:jc w:val="left"/>
            </w:pPr>
            <w:r>
              <w:rPr>
                <w:b/>
              </w:rPr>
              <w:t>Financial Management</w:t>
            </w:r>
          </w:p>
        </w:tc>
      </w:tr>
      <w:tr w:rsidR="00AA7034" w14:paraId="7E0CEA16" w14:textId="77777777" w:rsidTr="00AA7034">
        <w:trPr>
          <w:trHeight w:val="795"/>
        </w:trPr>
        <w:tc>
          <w:tcPr>
            <w:tcW w:w="2092" w:type="dxa"/>
            <w:tcBorders>
              <w:top w:val="single" w:sz="4" w:space="0" w:color="000000"/>
              <w:left w:val="single" w:sz="4" w:space="0" w:color="000000"/>
              <w:bottom w:val="single" w:sz="4" w:space="0" w:color="000000"/>
              <w:right w:val="single" w:sz="4" w:space="0" w:color="000000"/>
            </w:tcBorders>
            <w:shd w:val="clear" w:color="auto" w:fill="D9D9D9"/>
          </w:tcPr>
          <w:p w14:paraId="26B8AA6C" w14:textId="77777777" w:rsidR="00AA7034" w:rsidRDefault="00AA7034" w:rsidP="00AA7034">
            <w:pPr>
              <w:spacing w:after="0" w:line="259" w:lineRule="auto"/>
              <w:ind w:left="107" w:firstLine="0"/>
              <w:jc w:val="left"/>
            </w:pPr>
            <w:r>
              <w:rPr>
                <w:b/>
              </w:rPr>
              <w:t>Module code:</w:t>
            </w:r>
          </w:p>
        </w:tc>
        <w:tc>
          <w:tcPr>
            <w:tcW w:w="3297" w:type="dxa"/>
            <w:tcBorders>
              <w:top w:val="single" w:sz="4" w:space="0" w:color="000000"/>
              <w:left w:val="single" w:sz="4" w:space="0" w:color="000000"/>
              <w:bottom w:val="single" w:sz="4" w:space="0" w:color="000000"/>
              <w:right w:val="single" w:sz="4" w:space="0" w:color="000000"/>
            </w:tcBorders>
          </w:tcPr>
          <w:p w14:paraId="156EBB6B" w14:textId="77777777" w:rsidR="00AA7034" w:rsidRDefault="00AA7034" w:rsidP="00AA7034">
            <w:pPr>
              <w:spacing w:after="0" w:line="259" w:lineRule="auto"/>
              <w:ind w:left="108" w:firstLine="0"/>
              <w:jc w:val="left"/>
            </w:pPr>
            <w:r>
              <w:rPr>
                <w:b/>
              </w:rPr>
              <w:t>LCMB7002</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5418A49A" w14:textId="77777777" w:rsidR="00AA7034" w:rsidRDefault="00AA7034" w:rsidP="00AA7034">
            <w:pPr>
              <w:spacing w:after="15" w:line="225" w:lineRule="auto"/>
              <w:ind w:left="107" w:firstLine="0"/>
              <w:jc w:val="left"/>
            </w:pPr>
            <w:r>
              <w:rPr>
                <w:b/>
              </w:rPr>
              <w:t>Contribution to Overall Module</w:t>
            </w:r>
          </w:p>
          <w:p w14:paraId="506F92A4" w14:textId="77777777" w:rsidR="00AA7034" w:rsidRDefault="00AA7034" w:rsidP="00AA7034">
            <w:pPr>
              <w:spacing w:after="0" w:line="259" w:lineRule="auto"/>
              <w:ind w:left="107" w:firstLine="0"/>
              <w:jc w:val="left"/>
            </w:pPr>
            <w:r>
              <w:rPr>
                <w:b/>
              </w:rPr>
              <w:t>Assessment (%):</w:t>
            </w:r>
          </w:p>
        </w:tc>
        <w:tc>
          <w:tcPr>
            <w:tcW w:w="2272" w:type="dxa"/>
            <w:tcBorders>
              <w:top w:val="single" w:sz="4" w:space="0" w:color="000000"/>
              <w:left w:val="single" w:sz="4" w:space="0" w:color="000000"/>
              <w:bottom w:val="single" w:sz="4" w:space="0" w:color="000000"/>
              <w:right w:val="single" w:sz="4" w:space="0" w:color="000000"/>
            </w:tcBorders>
          </w:tcPr>
          <w:p w14:paraId="63599097" w14:textId="77777777" w:rsidR="00AA7034" w:rsidRDefault="00AA7034" w:rsidP="00AA7034">
            <w:pPr>
              <w:spacing w:after="0" w:line="259" w:lineRule="auto"/>
              <w:ind w:left="110" w:firstLine="0"/>
              <w:jc w:val="left"/>
            </w:pPr>
            <w:r>
              <w:rPr>
                <w:b/>
              </w:rPr>
              <w:t>100%</w:t>
            </w:r>
          </w:p>
        </w:tc>
      </w:tr>
      <w:tr w:rsidR="00AA7034" w14:paraId="6DB625CB" w14:textId="77777777" w:rsidTr="00AA7034">
        <w:trPr>
          <w:trHeight w:val="569"/>
        </w:trPr>
        <w:tc>
          <w:tcPr>
            <w:tcW w:w="20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7D4A26" w14:textId="77777777" w:rsidR="00AA7034" w:rsidRDefault="00AA7034" w:rsidP="00AA7034">
            <w:pPr>
              <w:spacing w:after="0" w:line="259" w:lineRule="auto"/>
              <w:ind w:left="107" w:firstLine="0"/>
              <w:jc w:val="left"/>
            </w:pPr>
            <w:r>
              <w:rPr>
                <w:b/>
              </w:rPr>
              <w:t>Lecturer(s):</w:t>
            </w:r>
          </w:p>
        </w:tc>
        <w:tc>
          <w:tcPr>
            <w:tcW w:w="3297" w:type="dxa"/>
            <w:tcBorders>
              <w:top w:val="single" w:sz="4" w:space="0" w:color="000000"/>
              <w:left w:val="single" w:sz="4" w:space="0" w:color="000000"/>
              <w:bottom w:val="single" w:sz="4" w:space="0" w:color="000000"/>
              <w:right w:val="single" w:sz="4" w:space="0" w:color="000000"/>
            </w:tcBorders>
            <w:vAlign w:val="center"/>
          </w:tcPr>
          <w:p w14:paraId="71926CE4" w14:textId="77777777" w:rsidR="00AA7034" w:rsidRDefault="00AA7034" w:rsidP="00AA7034">
            <w:pPr>
              <w:spacing w:after="0" w:line="259" w:lineRule="auto"/>
              <w:ind w:left="108" w:firstLine="0"/>
              <w:jc w:val="left"/>
            </w:pPr>
            <w:r>
              <w:rPr>
                <w:b/>
              </w:rPr>
              <w:t>David Coker</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6865E9" w14:textId="77777777" w:rsidR="00AA7034" w:rsidRDefault="00AA7034" w:rsidP="00AA7034">
            <w:pPr>
              <w:spacing w:after="0" w:line="259" w:lineRule="auto"/>
              <w:ind w:left="-11" w:firstLine="0"/>
              <w:jc w:val="left"/>
            </w:pPr>
            <w:r>
              <w:rPr>
                <w:b/>
              </w:rPr>
              <w:t>Internal Verifier:</w:t>
            </w:r>
          </w:p>
        </w:tc>
        <w:tc>
          <w:tcPr>
            <w:tcW w:w="2272" w:type="dxa"/>
            <w:tcBorders>
              <w:top w:val="single" w:sz="4" w:space="0" w:color="000000"/>
              <w:left w:val="single" w:sz="4" w:space="0" w:color="000000"/>
              <w:bottom w:val="single" w:sz="4" w:space="0" w:color="000000"/>
              <w:right w:val="single" w:sz="4" w:space="0" w:color="000000"/>
            </w:tcBorders>
          </w:tcPr>
          <w:p w14:paraId="551A5184" w14:textId="77777777" w:rsidR="00AA7034" w:rsidRDefault="00AA7034" w:rsidP="00AA7034">
            <w:pPr>
              <w:spacing w:after="0" w:line="259" w:lineRule="auto"/>
              <w:ind w:left="110" w:firstLine="0"/>
              <w:jc w:val="left"/>
            </w:pPr>
            <w:r>
              <w:rPr>
                <w:b/>
              </w:rPr>
              <w:t>Gladius David Kulothungan</w:t>
            </w:r>
          </w:p>
        </w:tc>
      </w:tr>
      <w:tr w:rsidR="00AA7034" w14:paraId="7EF3B14E" w14:textId="77777777" w:rsidTr="00AA7034">
        <w:trPr>
          <w:trHeight w:val="778"/>
        </w:trPr>
        <w:tc>
          <w:tcPr>
            <w:tcW w:w="2092" w:type="dxa"/>
            <w:tcBorders>
              <w:top w:val="single" w:sz="4" w:space="0" w:color="000000"/>
              <w:left w:val="single" w:sz="4" w:space="0" w:color="000000"/>
              <w:bottom w:val="single" w:sz="4" w:space="0" w:color="000000"/>
              <w:right w:val="single" w:sz="4" w:space="0" w:color="000000"/>
            </w:tcBorders>
            <w:shd w:val="clear" w:color="auto" w:fill="D9D9D9"/>
          </w:tcPr>
          <w:p w14:paraId="7FD4CBB6" w14:textId="77777777" w:rsidR="00AA7034" w:rsidRDefault="00AA7034" w:rsidP="00AA7034">
            <w:pPr>
              <w:spacing w:after="0" w:line="259" w:lineRule="auto"/>
              <w:ind w:left="107" w:firstLine="0"/>
              <w:jc w:val="left"/>
            </w:pPr>
            <w:r>
              <w:rPr>
                <w:b/>
              </w:rPr>
              <w:t>Assignment Title:</w:t>
            </w:r>
          </w:p>
        </w:tc>
        <w:tc>
          <w:tcPr>
            <w:tcW w:w="3297" w:type="dxa"/>
            <w:tcBorders>
              <w:top w:val="single" w:sz="4" w:space="0" w:color="000000"/>
              <w:left w:val="single" w:sz="4" w:space="0" w:color="000000"/>
              <w:bottom w:val="single" w:sz="4" w:space="0" w:color="000000"/>
              <w:right w:val="single" w:sz="4" w:space="0" w:color="000000"/>
            </w:tcBorders>
          </w:tcPr>
          <w:p w14:paraId="219805C5" w14:textId="77777777" w:rsidR="00AA7034" w:rsidRDefault="00AA7034" w:rsidP="00AA7034">
            <w:pPr>
              <w:spacing w:after="0" w:line="259" w:lineRule="auto"/>
              <w:ind w:left="108" w:firstLine="0"/>
              <w:jc w:val="left"/>
            </w:pPr>
            <w:r>
              <w:rPr>
                <w:b/>
              </w:rPr>
              <w:t>Financial Management</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222BC2" w14:textId="77777777" w:rsidR="00AA7034" w:rsidRDefault="00AA7034" w:rsidP="00AA7034">
            <w:pPr>
              <w:spacing w:after="0" w:line="259" w:lineRule="auto"/>
              <w:ind w:left="107" w:firstLine="0"/>
              <w:jc w:val="left"/>
            </w:pPr>
            <w:r>
              <w:rPr>
                <w:b/>
              </w:rPr>
              <w:t>Word count (or equivalent):</w:t>
            </w:r>
          </w:p>
        </w:tc>
        <w:tc>
          <w:tcPr>
            <w:tcW w:w="2272" w:type="dxa"/>
            <w:tcBorders>
              <w:top w:val="single" w:sz="4" w:space="0" w:color="000000"/>
              <w:left w:val="single" w:sz="4" w:space="0" w:color="000000"/>
              <w:bottom w:val="single" w:sz="4" w:space="0" w:color="000000"/>
              <w:right w:val="single" w:sz="4" w:space="0" w:color="000000"/>
            </w:tcBorders>
          </w:tcPr>
          <w:p w14:paraId="19F59F79" w14:textId="77777777" w:rsidR="00AA7034" w:rsidRDefault="00AA7034" w:rsidP="00AA7034">
            <w:pPr>
              <w:spacing w:after="0" w:line="259" w:lineRule="auto"/>
              <w:ind w:left="110" w:firstLine="0"/>
              <w:jc w:val="left"/>
            </w:pPr>
            <w:r>
              <w:rPr>
                <w:b/>
              </w:rPr>
              <w:t>5,000 words</w:t>
            </w:r>
          </w:p>
        </w:tc>
      </w:tr>
    </w:tbl>
    <w:p w14:paraId="794C90D7" w14:textId="77777777" w:rsidR="00942AC9" w:rsidRDefault="00942AC9" w:rsidP="00942AC9">
      <w:pPr>
        <w:spacing w:after="0" w:line="259" w:lineRule="auto"/>
        <w:ind w:left="0" w:right="31" w:firstLine="0"/>
        <w:jc w:val="center"/>
        <w:rPr>
          <w:rFonts w:ascii="Times New Roman" w:hAnsi="Times New Roman" w:cs="Times New Roman"/>
          <w:b/>
          <w:bCs/>
          <w:sz w:val="32"/>
          <w:szCs w:val="32"/>
        </w:rPr>
      </w:pPr>
    </w:p>
    <w:p w14:paraId="6254A6B0" w14:textId="77777777" w:rsidR="00942AC9" w:rsidRPr="00942AC9" w:rsidRDefault="00942AC9" w:rsidP="00942AC9">
      <w:pPr>
        <w:spacing w:after="0" w:line="259" w:lineRule="auto"/>
        <w:ind w:left="0" w:right="31" w:firstLine="0"/>
        <w:jc w:val="center"/>
        <w:rPr>
          <w:rFonts w:ascii="Times New Roman" w:hAnsi="Times New Roman" w:cs="Times New Roman"/>
          <w:b/>
          <w:bCs/>
          <w:sz w:val="32"/>
          <w:szCs w:val="32"/>
        </w:rPr>
      </w:pPr>
    </w:p>
    <w:p w14:paraId="2E1779AA" w14:textId="03FC59D3" w:rsidR="00942AC9" w:rsidRDefault="00942AC9" w:rsidP="00942AC9">
      <w:pPr>
        <w:spacing w:after="0" w:line="259" w:lineRule="auto"/>
        <w:ind w:left="14" w:firstLine="0"/>
        <w:jc w:val="left"/>
      </w:pPr>
    </w:p>
    <w:p w14:paraId="70624567" w14:textId="77777777" w:rsidR="00CF5426" w:rsidRDefault="00CF5426"/>
    <w:p w14:paraId="28580E0C" w14:textId="77777777" w:rsidR="00186A08" w:rsidRDefault="00186A08"/>
    <w:p w14:paraId="3D0DE781" w14:textId="77777777" w:rsidR="00186A08" w:rsidRDefault="00186A08"/>
    <w:p w14:paraId="45A3E848" w14:textId="77777777" w:rsidR="00186A08" w:rsidRDefault="00186A08"/>
    <w:p w14:paraId="3F3BED0E" w14:textId="77777777" w:rsidR="00186A08" w:rsidRDefault="00186A08"/>
    <w:p w14:paraId="5F9BA8BE" w14:textId="77777777" w:rsidR="00186A08" w:rsidRDefault="00186A08"/>
    <w:p w14:paraId="6F9BA1F4" w14:textId="77777777" w:rsidR="00186A08" w:rsidRDefault="00186A08"/>
    <w:p w14:paraId="7D9169BB" w14:textId="77777777" w:rsidR="00186A08" w:rsidRDefault="00186A08"/>
    <w:p w14:paraId="56406A0C" w14:textId="77777777" w:rsidR="00186A08" w:rsidRDefault="00186A08"/>
    <w:p w14:paraId="7B05057F" w14:textId="77777777" w:rsidR="00186A08" w:rsidRDefault="00186A08"/>
    <w:p w14:paraId="3A83C1B6" w14:textId="77777777" w:rsidR="00186A08" w:rsidRDefault="00186A08"/>
    <w:p w14:paraId="2328F65C" w14:textId="77777777" w:rsidR="00186A08" w:rsidRDefault="00186A08"/>
    <w:p w14:paraId="4736A19F" w14:textId="77777777" w:rsidR="00186A08" w:rsidRDefault="00186A08"/>
    <w:p w14:paraId="45483A3D" w14:textId="77777777" w:rsidR="00186A08" w:rsidRDefault="00186A08"/>
    <w:p w14:paraId="36E64369" w14:textId="77777777" w:rsidR="00186A08" w:rsidRDefault="00186A08"/>
    <w:p w14:paraId="4919DB0C" w14:textId="77777777" w:rsidR="00186A08" w:rsidRDefault="00186A08"/>
    <w:p w14:paraId="7DE6ED1C" w14:textId="77777777" w:rsidR="00186A08" w:rsidRDefault="00186A08"/>
    <w:p w14:paraId="659B3482" w14:textId="77777777" w:rsidR="00176C8C" w:rsidRDefault="00176C8C"/>
    <w:p w14:paraId="6C5E1F51" w14:textId="77777777" w:rsidR="00176C8C" w:rsidRDefault="00176C8C"/>
    <w:p w14:paraId="4372AD0E" w14:textId="77777777" w:rsidR="00546F8B" w:rsidRDefault="00546F8B" w:rsidP="00E66ADB">
      <w:pPr>
        <w:ind w:left="0" w:firstLine="0"/>
      </w:pPr>
    </w:p>
    <w:sdt>
      <w:sdtPr>
        <w:rPr>
          <w:rFonts w:ascii="Arial" w:eastAsia="Arial" w:hAnsi="Arial" w:cs="Arial"/>
          <w:color w:val="000000"/>
          <w:kern w:val="2"/>
          <w:sz w:val="22"/>
          <w:szCs w:val="22"/>
          <w:lang w:val="en-IN" w:eastAsia="en-IN"/>
          <w14:ligatures w14:val="standardContextual"/>
        </w:rPr>
        <w:id w:val="2014719539"/>
        <w:docPartObj>
          <w:docPartGallery w:val="Table of Contents"/>
          <w:docPartUnique/>
        </w:docPartObj>
      </w:sdtPr>
      <w:sdtEndPr>
        <w:rPr>
          <w:b/>
          <w:bCs/>
          <w:noProof/>
        </w:rPr>
      </w:sdtEndPr>
      <w:sdtContent>
        <w:p w14:paraId="086E4A8B" w14:textId="45CAA047" w:rsidR="00546F8B" w:rsidRDefault="005F1EE1">
          <w:pPr>
            <w:pStyle w:val="TOCHeading"/>
            <w:rPr>
              <w:rFonts w:ascii="Times New Roman" w:hAnsi="Times New Roman" w:cs="Times New Roman"/>
              <w:b/>
              <w:bCs/>
              <w:sz w:val="40"/>
              <w:szCs w:val="40"/>
              <w:u w:val="single"/>
            </w:rPr>
          </w:pPr>
          <w:r w:rsidRPr="005F1EE1">
            <w:rPr>
              <w:rFonts w:ascii="Times New Roman" w:hAnsi="Times New Roman" w:cs="Times New Roman"/>
              <w:b/>
              <w:bCs/>
              <w:sz w:val="40"/>
              <w:szCs w:val="40"/>
              <w:u w:val="single"/>
            </w:rPr>
            <w:t xml:space="preserve">Table of </w:t>
          </w:r>
          <w:r w:rsidR="00546F8B" w:rsidRPr="005F1EE1">
            <w:rPr>
              <w:rFonts w:ascii="Times New Roman" w:hAnsi="Times New Roman" w:cs="Times New Roman"/>
              <w:b/>
              <w:bCs/>
              <w:sz w:val="40"/>
              <w:szCs w:val="40"/>
              <w:u w:val="single"/>
            </w:rPr>
            <w:t>Contents</w:t>
          </w:r>
          <w:r>
            <w:rPr>
              <w:rFonts w:ascii="Times New Roman" w:hAnsi="Times New Roman" w:cs="Times New Roman"/>
              <w:b/>
              <w:bCs/>
              <w:sz w:val="40"/>
              <w:szCs w:val="40"/>
              <w:u w:val="single"/>
            </w:rPr>
            <w:t>:</w:t>
          </w:r>
        </w:p>
        <w:p w14:paraId="3139FB22" w14:textId="77777777" w:rsidR="005F1EE1" w:rsidRPr="005F1EE1" w:rsidRDefault="005F1EE1" w:rsidP="005F1EE1">
          <w:pPr>
            <w:rPr>
              <w:lang w:val="en-US" w:eastAsia="en-US"/>
            </w:rPr>
          </w:pPr>
        </w:p>
        <w:p w14:paraId="5A0C3D11" w14:textId="62D3DB7C" w:rsidR="00546F8B" w:rsidRDefault="00546F8B">
          <w:pPr>
            <w:pStyle w:val="TOC1"/>
            <w:tabs>
              <w:tab w:val="left" w:pos="480"/>
              <w:tab w:val="right" w:leader="dot" w:pos="9016"/>
            </w:tabs>
            <w:rPr>
              <w:noProof/>
            </w:rPr>
          </w:pPr>
          <w:r>
            <w:fldChar w:fldCharType="begin"/>
          </w:r>
          <w:r>
            <w:instrText xml:space="preserve"> TOC \o "1-3" \h \z \u </w:instrText>
          </w:r>
          <w:r>
            <w:fldChar w:fldCharType="separate"/>
          </w:r>
          <w:hyperlink w:anchor="_Toc164362213" w:history="1">
            <w:r w:rsidRPr="00E320A2">
              <w:rPr>
                <w:rStyle w:val="Hyperlink"/>
                <w:rFonts w:ascii="Times New Roman" w:hAnsi="Times New Roman" w:cs="Times New Roman"/>
                <w:b/>
                <w:bCs/>
                <w:noProof/>
              </w:rPr>
              <w:t>1.</w:t>
            </w:r>
            <w:r>
              <w:rPr>
                <w:noProof/>
              </w:rPr>
              <w:tab/>
            </w:r>
            <w:r w:rsidRPr="00E320A2">
              <w:rPr>
                <w:rStyle w:val="Hyperlink"/>
                <w:rFonts w:ascii="Times New Roman" w:hAnsi="Times New Roman" w:cs="Times New Roman"/>
                <w:b/>
                <w:bCs/>
                <w:noProof/>
              </w:rPr>
              <w:t>History of Oracle Corporation</w:t>
            </w:r>
            <w:r>
              <w:rPr>
                <w:noProof/>
                <w:webHidden/>
              </w:rPr>
              <w:tab/>
            </w:r>
            <w:r>
              <w:rPr>
                <w:noProof/>
                <w:webHidden/>
              </w:rPr>
              <w:fldChar w:fldCharType="begin"/>
            </w:r>
            <w:r>
              <w:rPr>
                <w:noProof/>
                <w:webHidden/>
              </w:rPr>
              <w:instrText xml:space="preserve"> PAGEREF _Toc164362213 \h </w:instrText>
            </w:r>
            <w:r>
              <w:rPr>
                <w:noProof/>
                <w:webHidden/>
              </w:rPr>
            </w:r>
            <w:r>
              <w:rPr>
                <w:noProof/>
                <w:webHidden/>
              </w:rPr>
              <w:fldChar w:fldCharType="separate"/>
            </w:r>
            <w:r>
              <w:rPr>
                <w:noProof/>
                <w:webHidden/>
              </w:rPr>
              <w:t>3</w:t>
            </w:r>
            <w:r>
              <w:rPr>
                <w:noProof/>
                <w:webHidden/>
              </w:rPr>
              <w:fldChar w:fldCharType="end"/>
            </w:r>
          </w:hyperlink>
        </w:p>
        <w:p w14:paraId="228F8F8B" w14:textId="50EFBE85" w:rsidR="00546F8B" w:rsidRDefault="00000000">
          <w:pPr>
            <w:pStyle w:val="TOC1"/>
            <w:tabs>
              <w:tab w:val="left" w:pos="720"/>
              <w:tab w:val="right" w:leader="dot" w:pos="9016"/>
            </w:tabs>
            <w:rPr>
              <w:noProof/>
            </w:rPr>
          </w:pPr>
          <w:hyperlink w:anchor="_Toc164362214" w:history="1">
            <w:r w:rsidR="00546F8B" w:rsidRPr="00E320A2">
              <w:rPr>
                <w:rStyle w:val="Hyperlink"/>
                <w:rFonts w:ascii="Times New Roman" w:hAnsi="Times New Roman" w:cs="Times New Roman"/>
                <w:noProof/>
              </w:rPr>
              <w:t>1.1.</w:t>
            </w:r>
            <w:r w:rsidR="00546F8B">
              <w:rPr>
                <w:noProof/>
              </w:rPr>
              <w:tab/>
            </w:r>
            <w:r w:rsidR="00546F8B" w:rsidRPr="00E320A2">
              <w:rPr>
                <w:rStyle w:val="Hyperlink"/>
                <w:rFonts w:ascii="Times New Roman" w:hAnsi="Times New Roman" w:cs="Times New Roman"/>
                <w:noProof/>
              </w:rPr>
              <w:t>Major Competitors of oracle corporation</w:t>
            </w:r>
            <w:r w:rsidR="00546F8B">
              <w:rPr>
                <w:noProof/>
                <w:webHidden/>
              </w:rPr>
              <w:tab/>
            </w:r>
            <w:r w:rsidR="00546F8B">
              <w:rPr>
                <w:noProof/>
                <w:webHidden/>
              </w:rPr>
              <w:fldChar w:fldCharType="begin"/>
            </w:r>
            <w:r w:rsidR="00546F8B">
              <w:rPr>
                <w:noProof/>
                <w:webHidden/>
              </w:rPr>
              <w:instrText xml:space="preserve"> PAGEREF _Toc164362214 \h </w:instrText>
            </w:r>
            <w:r w:rsidR="00546F8B">
              <w:rPr>
                <w:noProof/>
                <w:webHidden/>
              </w:rPr>
            </w:r>
            <w:r w:rsidR="00546F8B">
              <w:rPr>
                <w:noProof/>
                <w:webHidden/>
              </w:rPr>
              <w:fldChar w:fldCharType="separate"/>
            </w:r>
            <w:r w:rsidR="00546F8B">
              <w:rPr>
                <w:noProof/>
                <w:webHidden/>
              </w:rPr>
              <w:t>3</w:t>
            </w:r>
            <w:r w:rsidR="00546F8B">
              <w:rPr>
                <w:noProof/>
                <w:webHidden/>
              </w:rPr>
              <w:fldChar w:fldCharType="end"/>
            </w:r>
          </w:hyperlink>
        </w:p>
        <w:p w14:paraId="78827D37" w14:textId="66D89646" w:rsidR="00546F8B" w:rsidRDefault="00000000">
          <w:pPr>
            <w:pStyle w:val="TOC1"/>
            <w:tabs>
              <w:tab w:val="left" w:pos="720"/>
              <w:tab w:val="right" w:leader="dot" w:pos="9016"/>
            </w:tabs>
            <w:rPr>
              <w:noProof/>
            </w:rPr>
          </w:pPr>
          <w:hyperlink w:anchor="_Toc164362215" w:history="1">
            <w:r w:rsidR="00546F8B" w:rsidRPr="00E320A2">
              <w:rPr>
                <w:rStyle w:val="Hyperlink"/>
                <w:noProof/>
              </w:rPr>
              <w:t>1.2.</w:t>
            </w:r>
            <w:r w:rsidR="00546F8B">
              <w:rPr>
                <w:noProof/>
              </w:rPr>
              <w:tab/>
            </w:r>
            <w:r w:rsidR="00546F8B" w:rsidRPr="00E320A2">
              <w:rPr>
                <w:rStyle w:val="Hyperlink"/>
                <w:rFonts w:ascii="Times New Roman" w:hAnsi="Times New Roman" w:cs="Times New Roman"/>
                <w:noProof/>
              </w:rPr>
              <w:t>Major Events and Oracle Corporation (2020-2024</w:t>
            </w:r>
            <w:r w:rsidR="00546F8B" w:rsidRPr="00E320A2">
              <w:rPr>
                <w:rStyle w:val="Hyperlink"/>
                <w:noProof/>
              </w:rPr>
              <w:t>)</w:t>
            </w:r>
            <w:r w:rsidR="00546F8B">
              <w:rPr>
                <w:noProof/>
                <w:webHidden/>
              </w:rPr>
              <w:tab/>
            </w:r>
            <w:r w:rsidR="00546F8B">
              <w:rPr>
                <w:noProof/>
                <w:webHidden/>
              </w:rPr>
              <w:fldChar w:fldCharType="begin"/>
            </w:r>
            <w:r w:rsidR="00546F8B">
              <w:rPr>
                <w:noProof/>
                <w:webHidden/>
              </w:rPr>
              <w:instrText xml:space="preserve"> PAGEREF _Toc164362215 \h </w:instrText>
            </w:r>
            <w:r w:rsidR="00546F8B">
              <w:rPr>
                <w:noProof/>
                <w:webHidden/>
              </w:rPr>
            </w:r>
            <w:r w:rsidR="00546F8B">
              <w:rPr>
                <w:noProof/>
                <w:webHidden/>
              </w:rPr>
              <w:fldChar w:fldCharType="separate"/>
            </w:r>
            <w:r w:rsidR="00546F8B">
              <w:rPr>
                <w:noProof/>
                <w:webHidden/>
              </w:rPr>
              <w:t>4</w:t>
            </w:r>
            <w:r w:rsidR="00546F8B">
              <w:rPr>
                <w:noProof/>
                <w:webHidden/>
              </w:rPr>
              <w:fldChar w:fldCharType="end"/>
            </w:r>
          </w:hyperlink>
        </w:p>
        <w:p w14:paraId="410AB040" w14:textId="1CE777F1" w:rsidR="00546F8B" w:rsidRDefault="00000000">
          <w:pPr>
            <w:pStyle w:val="TOC1"/>
            <w:tabs>
              <w:tab w:val="left" w:pos="480"/>
              <w:tab w:val="right" w:leader="dot" w:pos="9016"/>
            </w:tabs>
            <w:rPr>
              <w:noProof/>
            </w:rPr>
          </w:pPr>
          <w:hyperlink w:anchor="_Toc164362216" w:history="1">
            <w:r w:rsidR="00546F8B" w:rsidRPr="00E320A2">
              <w:rPr>
                <w:rStyle w:val="Hyperlink"/>
                <w:rFonts w:ascii="Times New Roman" w:hAnsi="Times New Roman" w:cs="Times New Roman"/>
                <w:b/>
                <w:bCs/>
                <w:noProof/>
              </w:rPr>
              <w:t>2.</w:t>
            </w:r>
            <w:r w:rsidR="00546F8B">
              <w:rPr>
                <w:noProof/>
              </w:rPr>
              <w:tab/>
            </w:r>
            <w:r w:rsidR="00546F8B" w:rsidRPr="00E320A2">
              <w:rPr>
                <w:rStyle w:val="Hyperlink"/>
                <w:rFonts w:ascii="Times New Roman" w:hAnsi="Times New Roman" w:cs="Times New Roman"/>
                <w:b/>
                <w:bCs/>
                <w:noProof/>
              </w:rPr>
              <w:t>Financial Ratios:</w:t>
            </w:r>
            <w:r w:rsidR="00546F8B">
              <w:rPr>
                <w:noProof/>
                <w:webHidden/>
              </w:rPr>
              <w:tab/>
            </w:r>
            <w:r w:rsidR="00546F8B">
              <w:rPr>
                <w:noProof/>
                <w:webHidden/>
              </w:rPr>
              <w:fldChar w:fldCharType="begin"/>
            </w:r>
            <w:r w:rsidR="00546F8B">
              <w:rPr>
                <w:noProof/>
                <w:webHidden/>
              </w:rPr>
              <w:instrText xml:space="preserve"> PAGEREF _Toc164362216 \h </w:instrText>
            </w:r>
            <w:r w:rsidR="00546F8B">
              <w:rPr>
                <w:noProof/>
                <w:webHidden/>
              </w:rPr>
            </w:r>
            <w:r w:rsidR="00546F8B">
              <w:rPr>
                <w:noProof/>
                <w:webHidden/>
              </w:rPr>
              <w:fldChar w:fldCharType="separate"/>
            </w:r>
            <w:r w:rsidR="00546F8B">
              <w:rPr>
                <w:noProof/>
                <w:webHidden/>
              </w:rPr>
              <w:t>6</w:t>
            </w:r>
            <w:r w:rsidR="00546F8B">
              <w:rPr>
                <w:noProof/>
                <w:webHidden/>
              </w:rPr>
              <w:fldChar w:fldCharType="end"/>
            </w:r>
          </w:hyperlink>
        </w:p>
        <w:p w14:paraId="52185819" w14:textId="2373C099" w:rsidR="00546F8B" w:rsidRDefault="00000000">
          <w:pPr>
            <w:pStyle w:val="TOC1"/>
            <w:tabs>
              <w:tab w:val="left" w:pos="720"/>
              <w:tab w:val="right" w:leader="dot" w:pos="9016"/>
            </w:tabs>
            <w:rPr>
              <w:noProof/>
            </w:rPr>
          </w:pPr>
          <w:hyperlink w:anchor="_Toc164362217" w:history="1">
            <w:r w:rsidR="00546F8B" w:rsidRPr="00E320A2">
              <w:rPr>
                <w:rStyle w:val="Hyperlink"/>
                <w:rFonts w:ascii="Times New Roman" w:hAnsi="Times New Roman" w:cs="Times New Roman"/>
                <w:noProof/>
              </w:rPr>
              <w:t>2.1.</w:t>
            </w:r>
            <w:r w:rsidR="00546F8B">
              <w:rPr>
                <w:noProof/>
              </w:rPr>
              <w:tab/>
            </w:r>
            <w:r w:rsidR="00546F8B" w:rsidRPr="00E320A2">
              <w:rPr>
                <w:rStyle w:val="Hyperlink"/>
                <w:rFonts w:ascii="Times New Roman" w:hAnsi="Times New Roman" w:cs="Times New Roman"/>
                <w:noProof/>
              </w:rPr>
              <w:t>Return on Assets</w:t>
            </w:r>
            <w:r w:rsidR="00546F8B">
              <w:rPr>
                <w:noProof/>
                <w:webHidden/>
              </w:rPr>
              <w:tab/>
            </w:r>
            <w:r w:rsidR="00546F8B">
              <w:rPr>
                <w:noProof/>
                <w:webHidden/>
              </w:rPr>
              <w:fldChar w:fldCharType="begin"/>
            </w:r>
            <w:r w:rsidR="00546F8B">
              <w:rPr>
                <w:noProof/>
                <w:webHidden/>
              </w:rPr>
              <w:instrText xml:space="preserve"> PAGEREF _Toc164362217 \h </w:instrText>
            </w:r>
            <w:r w:rsidR="00546F8B">
              <w:rPr>
                <w:noProof/>
                <w:webHidden/>
              </w:rPr>
            </w:r>
            <w:r w:rsidR="00546F8B">
              <w:rPr>
                <w:noProof/>
                <w:webHidden/>
              </w:rPr>
              <w:fldChar w:fldCharType="separate"/>
            </w:r>
            <w:r w:rsidR="00546F8B">
              <w:rPr>
                <w:noProof/>
                <w:webHidden/>
              </w:rPr>
              <w:t>6</w:t>
            </w:r>
            <w:r w:rsidR="00546F8B">
              <w:rPr>
                <w:noProof/>
                <w:webHidden/>
              </w:rPr>
              <w:fldChar w:fldCharType="end"/>
            </w:r>
          </w:hyperlink>
        </w:p>
        <w:p w14:paraId="0AF8908D" w14:textId="2F00E3B6" w:rsidR="00546F8B" w:rsidRDefault="00000000">
          <w:pPr>
            <w:pStyle w:val="TOC1"/>
            <w:tabs>
              <w:tab w:val="left" w:pos="720"/>
              <w:tab w:val="right" w:leader="dot" w:pos="9016"/>
            </w:tabs>
            <w:rPr>
              <w:noProof/>
            </w:rPr>
          </w:pPr>
          <w:hyperlink w:anchor="_Toc164362218" w:history="1">
            <w:r w:rsidR="00546F8B" w:rsidRPr="00E320A2">
              <w:rPr>
                <w:rStyle w:val="Hyperlink"/>
                <w:rFonts w:ascii="Times New Roman" w:hAnsi="Times New Roman" w:cs="Times New Roman"/>
                <w:noProof/>
              </w:rPr>
              <w:t>2.2.</w:t>
            </w:r>
            <w:r w:rsidR="00546F8B">
              <w:rPr>
                <w:noProof/>
              </w:rPr>
              <w:tab/>
            </w:r>
            <w:r w:rsidR="00546F8B" w:rsidRPr="00E320A2">
              <w:rPr>
                <w:rStyle w:val="Hyperlink"/>
                <w:rFonts w:ascii="Times New Roman" w:hAnsi="Times New Roman" w:cs="Times New Roman"/>
                <w:noProof/>
              </w:rPr>
              <w:t>Current Ratio</w:t>
            </w:r>
            <w:r w:rsidR="00546F8B">
              <w:rPr>
                <w:noProof/>
                <w:webHidden/>
              </w:rPr>
              <w:tab/>
            </w:r>
            <w:r w:rsidR="00546F8B">
              <w:rPr>
                <w:noProof/>
                <w:webHidden/>
              </w:rPr>
              <w:fldChar w:fldCharType="begin"/>
            </w:r>
            <w:r w:rsidR="00546F8B">
              <w:rPr>
                <w:noProof/>
                <w:webHidden/>
              </w:rPr>
              <w:instrText xml:space="preserve"> PAGEREF _Toc164362218 \h </w:instrText>
            </w:r>
            <w:r w:rsidR="00546F8B">
              <w:rPr>
                <w:noProof/>
                <w:webHidden/>
              </w:rPr>
            </w:r>
            <w:r w:rsidR="00546F8B">
              <w:rPr>
                <w:noProof/>
                <w:webHidden/>
              </w:rPr>
              <w:fldChar w:fldCharType="separate"/>
            </w:r>
            <w:r w:rsidR="00546F8B">
              <w:rPr>
                <w:noProof/>
                <w:webHidden/>
              </w:rPr>
              <w:t>6</w:t>
            </w:r>
            <w:r w:rsidR="00546F8B">
              <w:rPr>
                <w:noProof/>
                <w:webHidden/>
              </w:rPr>
              <w:fldChar w:fldCharType="end"/>
            </w:r>
          </w:hyperlink>
        </w:p>
        <w:p w14:paraId="7CCE200D" w14:textId="3A2ACA6A" w:rsidR="00546F8B" w:rsidRDefault="00000000">
          <w:pPr>
            <w:pStyle w:val="TOC1"/>
            <w:tabs>
              <w:tab w:val="left" w:pos="720"/>
              <w:tab w:val="right" w:leader="dot" w:pos="9016"/>
            </w:tabs>
            <w:rPr>
              <w:noProof/>
            </w:rPr>
          </w:pPr>
          <w:hyperlink w:anchor="_Toc164362219" w:history="1">
            <w:r w:rsidR="00546F8B" w:rsidRPr="00E320A2">
              <w:rPr>
                <w:rStyle w:val="Hyperlink"/>
                <w:rFonts w:ascii="Times New Roman" w:hAnsi="Times New Roman" w:cs="Times New Roman"/>
                <w:noProof/>
              </w:rPr>
              <w:t>2.3.</w:t>
            </w:r>
            <w:r w:rsidR="00546F8B">
              <w:rPr>
                <w:noProof/>
              </w:rPr>
              <w:tab/>
            </w:r>
            <w:r w:rsidR="00546F8B" w:rsidRPr="00E320A2">
              <w:rPr>
                <w:rStyle w:val="Hyperlink"/>
                <w:rFonts w:ascii="Times New Roman" w:hAnsi="Times New Roman" w:cs="Times New Roman"/>
                <w:noProof/>
              </w:rPr>
              <w:t>Net Gearing Ratio</w:t>
            </w:r>
            <w:r w:rsidR="00546F8B">
              <w:rPr>
                <w:noProof/>
                <w:webHidden/>
              </w:rPr>
              <w:tab/>
            </w:r>
            <w:r w:rsidR="00546F8B">
              <w:rPr>
                <w:noProof/>
                <w:webHidden/>
              </w:rPr>
              <w:fldChar w:fldCharType="begin"/>
            </w:r>
            <w:r w:rsidR="00546F8B">
              <w:rPr>
                <w:noProof/>
                <w:webHidden/>
              </w:rPr>
              <w:instrText xml:space="preserve"> PAGEREF _Toc164362219 \h </w:instrText>
            </w:r>
            <w:r w:rsidR="00546F8B">
              <w:rPr>
                <w:noProof/>
                <w:webHidden/>
              </w:rPr>
            </w:r>
            <w:r w:rsidR="00546F8B">
              <w:rPr>
                <w:noProof/>
                <w:webHidden/>
              </w:rPr>
              <w:fldChar w:fldCharType="separate"/>
            </w:r>
            <w:r w:rsidR="00546F8B">
              <w:rPr>
                <w:noProof/>
                <w:webHidden/>
              </w:rPr>
              <w:t>7</w:t>
            </w:r>
            <w:r w:rsidR="00546F8B">
              <w:rPr>
                <w:noProof/>
                <w:webHidden/>
              </w:rPr>
              <w:fldChar w:fldCharType="end"/>
            </w:r>
          </w:hyperlink>
        </w:p>
        <w:p w14:paraId="0AB080B9" w14:textId="16C57FA5" w:rsidR="00546F8B" w:rsidRDefault="00000000">
          <w:pPr>
            <w:pStyle w:val="TOC1"/>
            <w:tabs>
              <w:tab w:val="left" w:pos="720"/>
              <w:tab w:val="right" w:leader="dot" w:pos="9016"/>
            </w:tabs>
            <w:rPr>
              <w:noProof/>
            </w:rPr>
          </w:pPr>
          <w:hyperlink w:anchor="_Toc164362220" w:history="1">
            <w:r w:rsidR="00546F8B" w:rsidRPr="00E320A2">
              <w:rPr>
                <w:rStyle w:val="Hyperlink"/>
                <w:rFonts w:ascii="Times New Roman" w:hAnsi="Times New Roman" w:cs="Times New Roman"/>
                <w:noProof/>
              </w:rPr>
              <w:t>2.4.</w:t>
            </w:r>
            <w:r w:rsidR="00546F8B">
              <w:rPr>
                <w:noProof/>
              </w:rPr>
              <w:tab/>
            </w:r>
            <w:r w:rsidR="00546F8B" w:rsidRPr="00E320A2">
              <w:rPr>
                <w:rStyle w:val="Hyperlink"/>
                <w:rFonts w:ascii="Times New Roman" w:hAnsi="Times New Roman" w:cs="Times New Roman"/>
                <w:noProof/>
              </w:rPr>
              <w:t>Efficiency Ratio</w:t>
            </w:r>
            <w:r w:rsidR="00546F8B">
              <w:rPr>
                <w:noProof/>
                <w:webHidden/>
              </w:rPr>
              <w:tab/>
            </w:r>
            <w:r w:rsidR="00546F8B">
              <w:rPr>
                <w:noProof/>
                <w:webHidden/>
              </w:rPr>
              <w:fldChar w:fldCharType="begin"/>
            </w:r>
            <w:r w:rsidR="00546F8B">
              <w:rPr>
                <w:noProof/>
                <w:webHidden/>
              </w:rPr>
              <w:instrText xml:space="preserve"> PAGEREF _Toc164362220 \h </w:instrText>
            </w:r>
            <w:r w:rsidR="00546F8B">
              <w:rPr>
                <w:noProof/>
                <w:webHidden/>
              </w:rPr>
            </w:r>
            <w:r w:rsidR="00546F8B">
              <w:rPr>
                <w:noProof/>
                <w:webHidden/>
              </w:rPr>
              <w:fldChar w:fldCharType="separate"/>
            </w:r>
            <w:r w:rsidR="00546F8B">
              <w:rPr>
                <w:noProof/>
                <w:webHidden/>
              </w:rPr>
              <w:t>7</w:t>
            </w:r>
            <w:r w:rsidR="00546F8B">
              <w:rPr>
                <w:noProof/>
                <w:webHidden/>
              </w:rPr>
              <w:fldChar w:fldCharType="end"/>
            </w:r>
          </w:hyperlink>
        </w:p>
        <w:p w14:paraId="3046DF32" w14:textId="5B79AC4E" w:rsidR="00546F8B" w:rsidRDefault="00000000">
          <w:pPr>
            <w:pStyle w:val="TOC1"/>
            <w:tabs>
              <w:tab w:val="left" w:pos="480"/>
              <w:tab w:val="right" w:leader="dot" w:pos="9016"/>
            </w:tabs>
            <w:rPr>
              <w:noProof/>
            </w:rPr>
          </w:pPr>
          <w:hyperlink w:anchor="_Toc164362221" w:history="1">
            <w:r w:rsidR="00546F8B" w:rsidRPr="00E320A2">
              <w:rPr>
                <w:rStyle w:val="Hyperlink"/>
                <w:rFonts w:ascii="Times New Roman" w:hAnsi="Times New Roman" w:cs="Times New Roman"/>
                <w:b/>
                <w:bCs/>
                <w:noProof/>
              </w:rPr>
              <w:t>3.</w:t>
            </w:r>
            <w:r w:rsidR="00546F8B">
              <w:rPr>
                <w:noProof/>
              </w:rPr>
              <w:tab/>
            </w:r>
            <w:r w:rsidR="00546F8B" w:rsidRPr="00E320A2">
              <w:rPr>
                <w:rStyle w:val="Hyperlink"/>
                <w:rFonts w:ascii="Times New Roman" w:hAnsi="Times New Roman" w:cs="Times New Roman"/>
                <w:b/>
                <w:bCs/>
                <w:noProof/>
              </w:rPr>
              <w:t>Comparison with the AWS(Amazon Web Service):</w:t>
            </w:r>
            <w:r w:rsidR="00546F8B">
              <w:rPr>
                <w:noProof/>
                <w:webHidden/>
              </w:rPr>
              <w:tab/>
            </w:r>
            <w:r w:rsidR="00546F8B">
              <w:rPr>
                <w:noProof/>
                <w:webHidden/>
              </w:rPr>
              <w:fldChar w:fldCharType="begin"/>
            </w:r>
            <w:r w:rsidR="00546F8B">
              <w:rPr>
                <w:noProof/>
                <w:webHidden/>
              </w:rPr>
              <w:instrText xml:space="preserve"> PAGEREF _Toc164362221 \h </w:instrText>
            </w:r>
            <w:r w:rsidR="00546F8B">
              <w:rPr>
                <w:noProof/>
                <w:webHidden/>
              </w:rPr>
            </w:r>
            <w:r w:rsidR="00546F8B">
              <w:rPr>
                <w:noProof/>
                <w:webHidden/>
              </w:rPr>
              <w:fldChar w:fldCharType="separate"/>
            </w:r>
            <w:r w:rsidR="00546F8B">
              <w:rPr>
                <w:noProof/>
                <w:webHidden/>
              </w:rPr>
              <w:t>7</w:t>
            </w:r>
            <w:r w:rsidR="00546F8B">
              <w:rPr>
                <w:noProof/>
                <w:webHidden/>
              </w:rPr>
              <w:fldChar w:fldCharType="end"/>
            </w:r>
          </w:hyperlink>
        </w:p>
        <w:p w14:paraId="29ED5E87" w14:textId="7F714215" w:rsidR="00546F8B" w:rsidRDefault="00000000">
          <w:pPr>
            <w:pStyle w:val="TOC1"/>
            <w:tabs>
              <w:tab w:val="left" w:pos="720"/>
              <w:tab w:val="right" w:leader="dot" w:pos="9016"/>
            </w:tabs>
            <w:rPr>
              <w:noProof/>
            </w:rPr>
          </w:pPr>
          <w:hyperlink w:anchor="_Toc164362222" w:history="1">
            <w:r w:rsidR="00546F8B" w:rsidRPr="00E320A2">
              <w:rPr>
                <w:rStyle w:val="Hyperlink"/>
                <w:rFonts w:ascii="Times New Roman" w:hAnsi="Times New Roman" w:cs="Times New Roman"/>
                <w:noProof/>
              </w:rPr>
              <w:t>3.1.</w:t>
            </w:r>
            <w:r w:rsidR="00546F8B">
              <w:rPr>
                <w:noProof/>
              </w:rPr>
              <w:tab/>
            </w:r>
            <w:r w:rsidR="00546F8B" w:rsidRPr="00E320A2">
              <w:rPr>
                <w:rStyle w:val="Hyperlink"/>
                <w:rFonts w:ascii="Times New Roman" w:hAnsi="Times New Roman" w:cs="Times New Roman"/>
                <w:noProof/>
              </w:rPr>
              <w:t>Return on Assets</w:t>
            </w:r>
            <w:r w:rsidR="00546F8B">
              <w:rPr>
                <w:noProof/>
                <w:webHidden/>
              </w:rPr>
              <w:tab/>
            </w:r>
            <w:r w:rsidR="00546F8B">
              <w:rPr>
                <w:noProof/>
                <w:webHidden/>
              </w:rPr>
              <w:fldChar w:fldCharType="begin"/>
            </w:r>
            <w:r w:rsidR="00546F8B">
              <w:rPr>
                <w:noProof/>
                <w:webHidden/>
              </w:rPr>
              <w:instrText xml:space="preserve"> PAGEREF _Toc164362222 \h </w:instrText>
            </w:r>
            <w:r w:rsidR="00546F8B">
              <w:rPr>
                <w:noProof/>
                <w:webHidden/>
              </w:rPr>
            </w:r>
            <w:r w:rsidR="00546F8B">
              <w:rPr>
                <w:noProof/>
                <w:webHidden/>
              </w:rPr>
              <w:fldChar w:fldCharType="separate"/>
            </w:r>
            <w:r w:rsidR="00546F8B">
              <w:rPr>
                <w:noProof/>
                <w:webHidden/>
              </w:rPr>
              <w:t>8</w:t>
            </w:r>
            <w:r w:rsidR="00546F8B">
              <w:rPr>
                <w:noProof/>
                <w:webHidden/>
              </w:rPr>
              <w:fldChar w:fldCharType="end"/>
            </w:r>
          </w:hyperlink>
        </w:p>
        <w:p w14:paraId="125020F6" w14:textId="66B41570" w:rsidR="00546F8B" w:rsidRDefault="00000000">
          <w:pPr>
            <w:pStyle w:val="TOC1"/>
            <w:tabs>
              <w:tab w:val="left" w:pos="720"/>
              <w:tab w:val="right" w:leader="dot" w:pos="9016"/>
            </w:tabs>
            <w:rPr>
              <w:noProof/>
            </w:rPr>
          </w:pPr>
          <w:hyperlink w:anchor="_Toc164362223" w:history="1">
            <w:r w:rsidR="00546F8B" w:rsidRPr="00E320A2">
              <w:rPr>
                <w:rStyle w:val="Hyperlink"/>
                <w:rFonts w:ascii="Times New Roman" w:hAnsi="Times New Roman" w:cs="Times New Roman"/>
                <w:noProof/>
              </w:rPr>
              <w:t>3.2.</w:t>
            </w:r>
            <w:r w:rsidR="00546F8B">
              <w:rPr>
                <w:noProof/>
              </w:rPr>
              <w:tab/>
            </w:r>
            <w:r w:rsidR="00546F8B" w:rsidRPr="00E320A2">
              <w:rPr>
                <w:rStyle w:val="Hyperlink"/>
                <w:rFonts w:ascii="Times New Roman" w:hAnsi="Times New Roman" w:cs="Times New Roman"/>
                <w:noProof/>
              </w:rPr>
              <w:t>Acid-Test Ratio</w:t>
            </w:r>
            <w:r w:rsidR="00546F8B">
              <w:rPr>
                <w:noProof/>
                <w:webHidden/>
              </w:rPr>
              <w:tab/>
            </w:r>
            <w:r w:rsidR="00546F8B">
              <w:rPr>
                <w:noProof/>
                <w:webHidden/>
              </w:rPr>
              <w:fldChar w:fldCharType="begin"/>
            </w:r>
            <w:r w:rsidR="00546F8B">
              <w:rPr>
                <w:noProof/>
                <w:webHidden/>
              </w:rPr>
              <w:instrText xml:space="preserve"> PAGEREF _Toc164362223 \h </w:instrText>
            </w:r>
            <w:r w:rsidR="00546F8B">
              <w:rPr>
                <w:noProof/>
                <w:webHidden/>
              </w:rPr>
            </w:r>
            <w:r w:rsidR="00546F8B">
              <w:rPr>
                <w:noProof/>
                <w:webHidden/>
              </w:rPr>
              <w:fldChar w:fldCharType="separate"/>
            </w:r>
            <w:r w:rsidR="00546F8B">
              <w:rPr>
                <w:noProof/>
                <w:webHidden/>
              </w:rPr>
              <w:t>9</w:t>
            </w:r>
            <w:r w:rsidR="00546F8B">
              <w:rPr>
                <w:noProof/>
                <w:webHidden/>
              </w:rPr>
              <w:fldChar w:fldCharType="end"/>
            </w:r>
          </w:hyperlink>
        </w:p>
        <w:p w14:paraId="270D2E86" w14:textId="61C95676" w:rsidR="00546F8B" w:rsidRDefault="00000000">
          <w:pPr>
            <w:pStyle w:val="TOC1"/>
            <w:tabs>
              <w:tab w:val="left" w:pos="720"/>
              <w:tab w:val="right" w:leader="dot" w:pos="9016"/>
            </w:tabs>
            <w:rPr>
              <w:noProof/>
            </w:rPr>
          </w:pPr>
          <w:hyperlink w:anchor="_Toc164362224" w:history="1">
            <w:r w:rsidR="00546F8B" w:rsidRPr="00E320A2">
              <w:rPr>
                <w:rStyle w:val="Hyperlink"/>
                <w:rFonts w:ascii="Times New Roman" w:hAnsi="Times New Roman" w:cs="Times New Roman"/>
                <w:noProof/>
              </w:rPr>
              <w:t>3.3.</w:t>
            </w:r>
            <w:r w:rsidR="00546F8B">
              <w:rPr>
                <w:noProof/>
              </w:rPr>
              <w:tab/>
            </w:r>
            <w:r w:rsidR="00546F8B" w:rsidRPr="00E320A2">
              <w:rPr>
                <w:rStyle w:val="Hyperlink"/>
                <w:rFonts w:ascii="Times New Roman" w:hAnsi="Times New Roman" w:cs="Times New Roman"/>
                <w:noProof/>
              </w:rPr>
              <w:t>Net Gearing Ratio</w:t>
            </w:r>
            <w:r w:rsidR="00546F8B">
              <w:rPr>
                <w:noProof/>
                <w:webHidden/>
              </w:rPr>
              <w:tab/>
            </w:r>
            <w:r w:rsidR="00546F8B">
              <w:rPr>
                <w:noProof/>
                <w:webHidden/>
              </w:rPr>
              <w:fldChar w:fldCharType="begin"/>
            </w:r>
            <w:r w:rsidR="00546F8B">
              <w:rPr>
                <w:noProof/>
                <w:webHidden/>
              </w:rPr>
              <w:instrText xml:space="preserve"> PAGEREF _Toc164362224 \h </w:instrText>
            </w:r>
            <w:r w:rsidR="00546F8B">
              <w:rPr>
                <w:noProof/>
                <w:webHidden/>
              </w:rPr>
            </w:r>
            <w:r w:rsidR="00546F8B">
              <w:rPr>
                <w:noProof/>
                <w:webHidden/>
              </w:rPr>
              <w:fldChar w:fldCharType="separate"/>
            </w:r>
            <w:r w:rsidR="00546F8B">
              <w:rPr>
                <w:noProof/>
                <w:webHidden/>
              </w:rPr>
              <w:t>10</w:t>
            </w:r>
            <w:r w:rsidR="00546F8B">
              <w:rPr>
                <w:noProof/>
                <w:webHidden/>
              </w:rPr>
              <w:fldChar w:fldCharType="end"/>
            </w:r>
          </w:hyperlink>
        </w:p>
        <w:p w14:paraId="3FBE8426" w14:textId="74585CED" w:rsidR="00546F8B" w:rsidRDefault="00000000">
          <w:pPr>
            <w:pStyle w:val="TOC1"/>
            <w:tabs>
              <w:tab w:val="left" w:pos="720"/>
              <w:tab w:val="right" w:leader="dot" w:pos="9016"/>
            </w:tabs>
            <w:rPr>
              <w:noProof/>
            </w:rPr>
          </w:pPr>
          <w:hyperlink w:anchor="_Toc164362225" w:history="1">
            <w:r w:rsidR="00546F8B" w:rsidRPr="00E320A2">
              <w:rPr>
                <w:rStyle w:val="Hyperlink"/>
                <w:rFonts w:ascii="Times New Roman" w:hAnsi="Times New Roman" w:cs="Times New Roman"/>
                <w:noProof/>
              </w:rPr>
              <w:t>3.4.</w:t>
            </w:r>
            <w:r w:rsidR="00546F8B">
              <w:rPr>
                <w:noProof/>
              </w:rPr>
              <w:tab/>
            </w:r>
            <w:r w:rsidR="00546F8B" w:rsidRPr="00E320A2">
              <w:rPr>
                <w:rStyle w:val="Hyperlink"/>
                <w:rFonts w:ascii="Times New Roman" w:hAnsi="Times New Roman" w:cs="Times New Roman"/>
                <w:noProof/>
              </w:rPr>
              <w:t>Efficiency ratio</w:t>
            </w:r>
            <w:r w:rsidR="00546F8B">
              <w:rPr>
                <w:noProof/>
                <w:webHidden/>
              </w:rPr>
              <w:tab/>
            </w:r>
            <w:r w:rsidR="00546F8B">
              <w:rPr>
                <w:noProof/>
                <w:webHidden/>
              </w:rPr>
              <w:fldChar w:fldCharType="begin"/>
            </w:r>
            <w:r w:rsidR="00546F8B">
              <w:rPr>
                <w:noProof/>
                <w:webHidden/>
              </w:rPr>
              <w:instrText xml:space="preserve"> PAGEREF _Toc164362225 \h </w:instrText>
            </w:r>
            <w:r w:rsidR="00546F8B">
              <w:rPr>
                <w:noProof/>
                <w:webHidden/>
              </w:rPr>
            </w:r>
            <w:r w:rsidR="00546F8B">
              <w:rPr>
                <w:noProof/>
                <w:webHidden/>
              </w:rPr>
              <w:fldChar w:fldCharType="separate"/>
            </w:r>
            <w:r w:rsidR="00546F8B">
              <w:rPr>
                <w:noProof/>
                <w:webHidden/>
              </w:rPr>
              <w:t>12</w:t>
            </w:r>
            <w:r w:rsidR="00546F8B">
              <w:rPr>
                <w:noProof/>
                <w:webHidden/>
              </w:rPr>
              <w:fldChar w:fldCharType="end"/>
            </w:r>
          </w:hyperlink>
        </w:p>
        <w:p w14:paraId="0AE08BDC" w14:textId="2823C3D4" w:rsidR="00546F8B" w:rsidRDefault="00000000">
          <w:pPr>
            <w:pStyle w:val="TOC1"/>
            <w:tabs>
              <w:tab w:val="left" w:pos="480"/>
              <w:tab w:val="right" w:leader="dot" w:pos="9016"/>
            </w:tabs>
            <w:rPr>
              <w:noProof/>
            </w:rPr>
          </w:pPr>
          <w:hyperlink w:anchor="_Toc164362226" w:history="1">
            <w:r w:rsidR="00546F8B" w:rsidRPr="00E320A2">
              <w:rPr>
                <w:rStyle w:val="Hyperlink"/>
                <w:rFonts w:ascii="Times New Roman" w:hAnsi="Times New Roman" w:cs="Times New Roman"/>
                <w:b/>
                <w:bCs/>
                <w:noProof/>
              </w:rPr>
              <w:t>4.</w:t>
            </w:r>
            <w:r w:rsidR="00546F8B">
              <w:rPr>
                <w:noProof/>
              </w:rPr>
              <w:tab/>
            </w:r>
            <w:r w:rsidR="00546F8B" w:rsidRPr="00E320A2">
              <w:rPr>
                <w:rStyle w:val="Hyperlink"/>
                <w:rFonts w:ascii="Times New Roman" w:hAnsi="Times New Roman" w:cs="Times New Roman"/>
                <w:b/>
                <w:bCs/>
                <w:noProof/>
              </w:rPr>
              <w:t>Evaluation of New Investment Opportunities</w:t>
            </w:r>
            <w:r w:rsidR="00546F8B">
              <w:rPr>
                <w:noProof/>
                <w:webHidden/>
              </w:rPr>
              <w:tab/>
            </w:r>
            <w:r w:rsidR="00546F8B">
              <w:rPr>
                <w:noProof/>
                <w:webHidden/>
              </w:rPr>
              <w:fldChar w:fldCharType="begin"/>
            </w:r>
            <w:r w:rsidR="00546F8B">
              <w:rPr>
                <w:noProof/>
                <w:webHidden/>
              </w:rPr>
              <w:instrText xml:space="preserve"> PAGEREF _Toc164362226 \h </w:instrText>
            </w:r>
            <w:r w:rsidR="00546F8B">
              <w:rPr>
                <w:noProof/>
                <w:webHidden/>
              </w:rPr>
            </w:r>
            <w:r w:rsidR="00546F8B">
              <w:rPr>
                <w:noProof/>
                <w:webHidden/>
              </w:rPr>
              <w:fldChar w:fldCharType="separate"/>
            </w:r>
            <w:r w:rsidR="00546F8B">
              <w:rPr>
                <w:noProof/>
                <w:webHidden/>
              </w:rPr>
              <w:t>15</w:t>
            </w:r>
            <w:r w:rsidR="00546F8B">
              <w:rPr>
                <w:noProof/>
                <w:webHidden/>
              </w:rPr>
              <w:fldChar w:fldCharType="end"/>
            </w:r>
          </w:hyperlink>
        </w:p>
        <w:p w14:paraId="63623988" w14:textId="2947CF7E" w:rsidR="00546F8B" w:rsidRDefault="00000000">
          <w:pPr>
            <w:pStyle w:val="TOC1"/>
            <w:tabs>
              <w:tab w:val="left" w:pos="720"/>
              <w:tab w:val="right" w:leader="dot" w:pos="9016"/>
            </w:tabs>
            <w:rPr>
              <w:noProof/>
            </w:rPr>
          </w:pPr>
          <w:hyperlink w:anchor="_Toc164362227" w:history="1">
            <w:r w:rsidR="00546F8B" w:rsidRPr="00E320A2">
              <w:rPr>
                <w:rStyle w:val="Hyperlink"/>
                <w:rFonts w:ascii="Times New Roman" w:hAnsi="Times New Roman" w:cs="Times New Roman"/>
                <w:noProof/>
              </w:rPr>
              <w:t>4.1.</w:t>
            </w:r>
            <w:r w:rsidR="00546F8B">
              <w:rPr>
                <w:noProof/>
              </w:rPr>
              <w:tab/>
            </w:r>
            <w:r w:rsidR="00546F8B" w:rsidRPr="00E320A2">
              <w:rPr>
                <w:rStyle w:val="Hyperlink"/>
                <w:rFonts w:ascii="Times New Roman" w:hAnsi="Times New Roman" w:cs="Times New Roman"/>
                <w:noProof/>
              </w:rPr>
              <w:t>Evaluation and Recommendation</w:t>
            </w:r>
            <w:r w:rsidR="00546F8B">
              <w:rPr>
                <w:noProof/>
                <w:webHidden/>
              </w:rPr>
              <w:tab/>
            </w:r>
            <w:r w:rsidR="00546F8B">
              <w:rPr>
                <w:noProof/>
                <w:webHidden/>
              </w:rPr>
              <w:fldChar w:fldCharType="begin"/>
            </w:r>
            <w:r w:rsidR="00546F8B">
              <w:rPr>
                <w:noProof/>
                <w:webHidden/>
              </w:rPr>
              <w:instrText xml:space="preserve"> PAGEREF _Toc164362227 \h </w:instrText>
            </w:r>
            <w:r w:rsidR="00546F8B">
              <w:rPr>
                <w:noProof/>
                <w:webHidden/>
              </w:rPr>
            </w:r>
            <w:r w:rsidR="00546F8B">
              <w:rPr>
                <w:noProof/>
                <w:webHidden/>
              </w:rPr>
              <w:fldChar w:fldCharType="separate"/>
            </w:r>
            <w:r w:rsidR="00546F8B">
              <w:rPr>
                <w:noProof/>
                <w:webHidden/>
              </w:rPr>
              <w:t>15</w:t>
            </w:r>
            <w:r w:rsidR="00546F8B">
              <w:rPr>
                <w:noProof/>
                <w:webHidden/>
              </w:rPr>
              <w:fldChar w:fldCharType="end"/>
            </w:r>
          </w:hyperlink>
        </w:p>
        <w:p w14:paraId="4A46029A" w14:textId="108AE8D9" w:rsidR="00546F8B" w:rsidRDefault="00000000">
          <w:pPr>
            <w:pStyle w:val="TOC1"/>
            <w:tabs>
              <w:tab w:val="left" w:pos="720"/>
              <w:tab w:val="right" w:leader="dot" w:pos="9016"/>
            </w:tabs>
            <w:rPr>
              <w:noProof/>
            </w:rPr>
          </w:pPr>
          <w:hyperlink w:anchor="_Toc164362228" w:history="1">
            <w:r w:rsidR="00546F8B" w:rsidRPr="00E320A2">
              <w:rPr>
                <w:rStyle w:val="Hyperlink"/>
                <w:rFonts w:ascii="Times New Roman" w:hAnsi="Times New Roman" w:cs="Times New Roman"/>
                <w:noProof/>
              </w:rPr>
              <w:t>4.2.</w:t>
            </w:r>
            <w:r w:rsidR="00546F8B">
              <w:rPr>
                <w:noProof/>
              </w:rPr>
              <w:tab/>
            </w:r>
            <w:r w:rsidR="00546F8B" w:rsidRPr="00E320A2">
              <w:rPr>
                <w:rStyle w:val="Hyperlink"/>
                <w:rFonts w:ascii="Times New Roman" w:hAnsi="Times New Roman" w:cs="Times New Roman"/>
                <w:noProof/>
              </w:rPr>
              <w:t>Recalculation of NPV</w:t>
            </w:r>
            <w:r w:rsidR="00546F8B">
              <w:rPr>
                <w:noProof/>
                <w:webHidden/>
              </w:rPr>
              <w:tab/>
            </w:r>
            <w:r w:rsidR="00546F8B">
              <w:rPr>
                <w:noProof/>
                <w:webHidden/>
              </w:rPr>
              <w:fldChar w:fldCharType="begin"/>
            </w:r>
            <w:r w:rsidR="00546F8B">
              <w:rPr>
                <w:noProof/>
                <w:webHidden/>
              </w:rPr>
              <w:instrText xml:space="preserve"> PAGEREF _Toc164362228 \h </w:instrText>
            </w:r>
            <w:r w:rsidR="00546F8B">
              <w:rPr>
                <w:noProof/>
                <w:webHidden/>
              </w:rPr>
            </w:r>
            <w:r w:rsidR="00546F8B">
              <w:rPr>
                <w:noProof/>
                <w:webHidden/>
              </w:rPr>
              <w:fldChar w:fldCharType="separate"/>
            </w:r>
            <w:r w:rsidR="00546F8B">
              <w:rPr>
                <w:noProof/>
                <w:webHidden/>
              </w:rPr>
              <w:t>16</w:t>
            </w:r>
            <w:r w:rsidR="00546F8B">
              <w:rPr>
                <w:noProof/>
                <w:webHidden/>
              </w:rPr>
              <w:fldChar w:fldCharType="end"/>
            </w:r>
          </w:hyperlink>
        </w:p>
        <w:p w14:paraId="7ADEB2DF" w14:textId="5D73E975" w:rsidR="00546F8B" w:rsidRDefault="00000000">
          <w:pPr>
            <w:pStyle w:val="TOC1"/>
            <w:tabs>
              <w:tab w:val="left" w:pos="720"/>
              <w:tab w:val="right" w:leader="dot" w:pos="9016"/>
            </w:tabs>
            <w:rPr>
              <w:noProof/>
            </w:rPr>
          </w:pPr>
          <w:hyperlink w:anchor="_Toc164362229" w:history="1">
            <w:r w:rsidR="00546F8B" w:rsidRPr="00E320A2">
              <w:rPr>
                <w:rStyle w:val="Hyperlink"/>
                <w:rFonts w:ascii="Times New Roman" w:hAnsi="Times New Roman" w:cs="Times New Roman"/>
                <w:noProof/>
              </w:rPr>
              <w:t>4.3.</w:t>
            </w:r>
            <w:r w:rsidR="00546F8B">
              <w:rPr>
                <w:noProof/>
              </w:rPr>
              <w:tab/>
            </w:r>
            <w:r w:rsidR="00546F8B" w:rsidRPr="00E320A2">
              <w:rPr>
                <w:rStyle w:val="Hyperlink"/>
                <w:rFonts w:ascii="Times New Roman" w:hAnsi="Times New Roman" w:cs="Times New Roman"/>
                <w:noProof/>
              </w:rPr>
              <w:t>Advantages and Disadvantages of Evaluation Techniques</w:t>
            </w:r>
            <w:r w:rsidR="00546F8B">
              <w:rPr>
                <w:noProof/>
                <w:webHidden/>
              </w:rPr>
              <w:tab/>
            </w:r>
            <w:r w:rsidR="00546F8B">
              <w:rPr>
                <w:noProof/>
                <w:webHidden/>
              </w:rPr>
              <w:fldChar w:fldCharType="begin"/>
            </w:r>
            <w:r w:rsidR="00546F8B">
              <w:rPr>
                <w:noProof/>
                <w:webHidden/>
              </w:rPr>
              <w:instrText xml:space="preserve"> PAGEREF _Toc164362229 \h </w:instrText>
            </w:r>
            <w:r w:rsidR="00546F8B">
              <w:rPr>
                <w:noProof/>
                <w:webHidden/>
              </w:rPr>
            </w:r>
            <w:r w:rsidR="00546F8B">
              <w:rPr>
                <w:noProof/>
                <w:webHidden/>
              </w:rPr>
              <w:fldChar w:fldCharType="separate"/>
            </w:r>
            <w:r w:rsidR="00546F8B">
              <w:rPr>
                <w:noProof/>
                <w:webHidden/>
              </w:rPr>
              <w:t>17</w:t>
            </w:r>
            <w:r w:rsidR="00546F8B">
              <w:rPr>
                <w:noProof/>
                <w:webHidden/>
              </w:rPr>
              <w:fldChar w:fldCharType="end"/>
            </w:r>
          </w:hyperlink>
        </w:p>
        <w:p w14:paraId="4C81088D" w14:textId="282A15AC" w:rsidR="00546F8B" w:rsidRDefault="00000000">
          <w:pPr>
            <w:pStyle w:val="TOC1"/>
            <w:tabs>
              <w:tab w:val="left" w:pos="480"/>
              <w:tab w:val="right" w:leader="dot" w:pos="9016"/>
            </w:tabs>
            <w:rPr>
              <w:noProof/>
            </w:rPr>
          </w:pPr>
          <w:hyperlink w:anchor="_Toc164362230" w:history="1">
            <w:r w:rsidR="00546F8B" w:rsidRPr="00E320A2">
              <w:rPr>
                <w:rStyle w:val="Hyperlink"/>
                <w:rFonts w:ascii="Times New Roman" w:hAnsi="Times New Roman" w:cs="Times New Roman"/>
                <w:b/>
                <w:bCs/>
                <w:noProof/>
              </w:rPr>
              <w:t>5.</w:t>
            </w:r>
            <w:r w:rsidR="00546F8B">
              <w:rPr>
                <w:noProof/>
              </w:rPr>
              <w:tab/>
            </w:r>
            <w:r w:rsidR="00546F8B" w:rsidRPr="00E320A2">
              <w:rPr>
                <w:rStyle w:val="Hyperlink"/>
                <w:rFonts w:ascii="Times New Roman" w:hAnsi="Times New Roman" w:cs="Times New Roman"/>
                <w:b/>
                <w:bCs/>
                <w:noProof/>
              </w:rPr>
              <w:t>Non-Financial Factors</w:t>
            </w:r>
            <w:r w:rsidR="00546F8B">
              <w:rPr>
                <w:noProof/>
                <w:webHidden/>
              </w:rPr>
              <w:tab/>
            </w:r>
            <w:r w:rsidR="00546F8B">
              <w:rPr>
                <w:noProof/>
                <w:webHidden/>
              </w:rPr>
              <w:fldChar w:fldCharType="begin"/>
            </w:r>
            <w:r w:rsidR="00546F8B">
              <w:rPr>
                <w:noProof/>
                <w:webHidden/>
              </w:rPr>
              <w:instrText xml:space="preserve"> PAGEREF _Toc164362230 \h </w:instrText>
            </w:r>
            <w:r w:rsidR="00546F8B">
              <w:rPr>
                <w:noProof/>
                <w:webHidden/>
              </w:rPr>
            </w:r>
            <w:r w:rsidR="00546F8B">
              <w:rPr>
                <w:noProof/>
                <w:webHidden/>
              </w:rPr>
              <w:fldChar w:fldCharType="separate"/>
            </w:r>
            <w:r w:rsidR="00546F8B">
              <w:rPr>
                <w:noProof/>
                <w:webHidden/>
              </w:rPr>
              <w:t>19</w:t>
            </w:r>
            <w:r w:rsidR="00546F8B">
              <w:rPr>
                <w:noProof/>
                <w:webHidden/>
              </w:rPr>
              <w:fldChar w:fldCharType="end"/>
            </w:r>
          </w:hyperlink>
        </w:p>
        <w:p w14:paraId="0D31E6A9" w14:textId="5156E080" w:rsidR="00546F8B" w:rsidRDefault="00000000">
          <w:pPr>
            <w:pStyle w:val="TOC1"/>
            <w:tabs>
              <w:tab w:val="left" w:pos="480"/>
              <w:tab w:val="right" w:leader="dot" w:pos="9016"/>
            </w:tabs>
            <w:rPr>
              <w:noProof/>
            </w:rPr>
          </w:pPr>
          <w:hyperlink w:anchor="_Toc164362231" w:history="1">
            <w:r w:rsidR="00546F8B" w:rsidRPr="00E320A2">
              <w:rPr>
                <w:rStyle w:val="Hyperlink"/>
                <w:rFonts w:ascii="Times New Roman" w:hAnsi="Times New Roman" w:cs="Times New Roman"/>
                <w:b/>
                <w:bCs/>
                <w:noProof/>
              </w:rPr>
              <w:t>6.</w:t>
            </w:r>
            <w:r w:rsidR="00546F8B">
              <w:rPr>
                <w:noProof/>
              </w:rPr>
              <w:tab/>
            </w:r>
            <w:r w:rsidR="00546F8B" w:rsidRPr="00E320A2">
              <w:rPr>
                <w:rStyle w:val="Hyperlink"/>
                <w:rFonts w:ascii="Times New Roman" w:hAnsi="Times New Roman" w:cs="Times New Roman"/>
                <w:b/>
                <w:bCs/>
                <w:noProof/>
                <w:shd w:val="clear" w:color="auto" w:fill="FFFFFF"/>
              </w:rPr>
              <w:t>References:</w:t>
            </w:r>
            <w:r w:rsidR="00546F8B">
              <w:rPr>
                <w:noProof/>
                <w:webHidden/>
              </w:rPr>
              <w:tab/>
            </w:r>
            <w:r w:rsidR="00546F8B">
              <w:rPr>
                <w:noProof/>
                <w:webHidden/>
              </w:rPr>
              <w:fldChar w:fldCharType="begin"/>
            </w:r>
            <w:r w:rsidR="00546F8B">
              <w:rPr>
                <w:noProof/>
                <w:webHidden/>
              </w:rPr>
              <w:instrText xml:space="preserve"> PAGEREF _Toc164362231 \h </w:instrText>
            </w:r>
            <w:r w:rsidR="00546F8B">
              <w:rPr>
                <w:noProof/>
                <w:webHidden/>
              </w:rPr>
            </w:r>
            <w:r w:rsidR="00546F8B">
              <w:rPr>
                <w:noProof/>
                <w:webHidden/>
              </w:rPr>
              <w:fldChar w:fldCharType="separate"/>
            </w:r>
            <w:r w:rsidR="00546F8B">
              <w:rPr>
                <w:noProof/>
                <w:webHidden/>
              </w:rPr>
              <w:t>21</w:t>
            </w:r>
            <w:r w:rsidR="00546F8B">
              <w:rPr>
                <w:noProof/>
                <w:webHidden/>
              </w:rPr>
              <w:fldChar w:fldCharType="end"/>
            </w:r>
          </w:hyperlink>
        </w:p>
        <w:p w14:paraId="0A2E7C42" w14:textId="0CEF5CF4" w:rsidR="00546F8B" w:rsidRDefault="00546F8B">
          <w:r>
            <w:rPr>
              <w:b/>
              <w:bCs/>
              <w:noProof/>
            </w:rPr>
            <w:fldChar w:fldCharType="end"/>
          </w:r>
        </w:p>
      </w:sdtContent>
    </w:sdt>
    <w:p w14:paraId="41DA5C94" w14:textId="6CA650B2" w:rsidR="00E66ADB" w:rsidRDefault="00E66ADB" w:rsidP="00E66ADB">
      <w:pPr>
        <w:ind w:left="0" w:firstLine="0"/>
      </w:pPr>
      <w:r>
        <w:br w:type="page"/>
      </w:r>
    </w:p>
    <w:p w14:paraId="2C50A9C8" w14:textId="2DBA4BCC" w:rsidR="00186A08" w:rsidRPr="00546F8B" w:rsidRDefault="00186A08" w:rsidP="006A504A">
      <w:pPr>
        <w:pStyle w:val="Heading1"/>
        <w:numPr>
          <w:ilvl w:val="0"/>
          <w:numId w:val="3"/>
        </w:numPr>
        <w:rPr>
          <w:rFonts w:ascii="Times New Roman" w:hAnsi="Times New Roman" w:cs="Times New Roman"/>
          <w:b/>
          <w:bCs/>
          <w:sz w:val="40"/>
          <w:szCs w:val="40"/>
          <w:u w:val="single"/>
        </w:rPr>
      </w:pPr>
      <w:bookmarkStart w:id="0" w:name="_Toc164362213"/>
      <w:r w:rsidRPr="00546F8B">
        <w:rPr>
          <w:rFonts w:ascii="Times New Roman" w:hAnsi="Times New Roman" w:cs="Times New Roman"/>
          <w:b/>
          <w:bCs/>
          <w:sz w:val="40"/>
          <w:szCs w:val="40"/>
          <w:u w:val="single"/>
        </w:rPr>
        <w:lastRenderedPageBreak/>
        <w:t>History of Oracle Corporation</w:t>
      </w:r>
      <w:bookmarkEnd w:id="0"/>
    </w:p>
    <w:p w14:paraId="4C4EC8F7" w14:textId="77777777" w:rsidR="00186A08" w:rsidRPr="00E66ADB" w:rsidRDefault="00186A08" w:rsidP="009F6672">
      <w:pPr>
        <w:ind w:left="0" w:firstLine="0"/>
        <w:rPr>
          <w:rFonts w:ascii="Times New Roman" w:hAnsi="Times New Roman" w:cs="Times New Roman"/>
          <w:b/>
          <w:bCs/>
          <w:sz w:val="28"/>
          <w:szCs w:val="28"/>
        </w:rPr>
      </w:pPr>
    </w:p>
    <w:p w14:paraId="30BBCAC1" w14:textId="55E290E7" w:rsidR="00186A08" w:rsidRPr="00E66ADB" w:rsidRDefault="00186A08">
      <w:pPr>
        <w:rPr>
          <w:rFonts w:ascii="Times New Roman" w:hAnsi="Times New Roman" w:cs="Times New Roman"/>
          <w:sz w:val="28"/>
          <w:szCs w:val="28"/>
        </w:rPr>
      </w:pPr>
      <w:r w:rsidRPr="00E66ADB">
        <w:rPr>
          <w:rFonts w:ascii="Times New Roman" w:hAnsi="Times New Roman" w:cs="Times New Roman"/>
          <w:sz w:val="28"/>
          <w:szCs w:val="28"/>
        </w:rPr>
        <w:t xml:space="preserve">A titan of the software sector, Oracle Corporation has a long history entwined with the development of cloud computing and data management. When Larry Ellison, Bob Miner, and Ed Oates founded the firm in 1977 under the name Software Development Laboratories (SDL), they had one goal in mind: they wanted to develop a user-friendly database system that was </w:t>
      </w:r>
      <w:r w:rsidR="00677495" w:rsidRPr="00E66ADB">
        <w:rPr>
          <w:rFonts w:ascii="Times New Roman" w:hAnsi="Times New Roman" w:cs="Times New Roman"/>
          <w:sz w:val="28"/>
          <w:szCs w:val="28"/>
        </w:rPr>
        <w:t>modelled</w:t>
      </w:r>
      <w:r w:rsidRPr="00E66ADB">
        <w:rPr>
          <w:rFonts w:ascii="Times New Roman" w:hAnsi="Times New Roman" w:cs="Times New Roman"/>
          <w:sz w:val="28"/>
          <w:szCs w:val="28"/>
        </w:rPr>
        <w:t xml:space="preserve"> after the then-emerging idea of relational database models. Their ground-breaking accomplishment came in 1979 with the introduction of "Oracle," one of the first relational database management systems (RDBMS) to be made available for purchase that made use of SQL (Structured Query Language). Data management was transformed by this intuitive technology, which made it possible for companies to effectively organize, store, and retrieve data. Acknowledging the potential of their invention, SDL formally changed its name to "Oracle" in 1982 to further solidify their relationship with the innovative program.</w:t>
      </w:r>
    </w:p>
    <w:p w14:paraId="25F5B4EC" w14:textId="77777777" w:rsidR="00186A08" w:rsidRPr="00E66ADB" w:rsidRDefault="00186A08">
      <w:pPr>
        <w:rPr>
          <w:rFonts w:ascii="Times New Roman" w:hAnsi="Times New Roman" w:cs="Times New Roman"/>
          <w:sz w:val="28"/>
          <w:szCs w:val="28"/>
        </w:rPr>
      </w:pPr>
    </w:p>
    <w:p w14:paraId="2393A898" w14:textId="076FA8FD" w:rsidR="00186A08" w:rsidRPr="00E66ADB" w:rsidRDefault="00186A08">
      <w:pPr>
        <w:rPr>
          <w:rFonts w:ascii="Times New Roman" w:hAnsi="Times New Roman" w:cs="Times New Roman"/>
          <w:sz w:val="28"/>
          <w:szCs w:val="28"/>
        </w:rPr>
      </w:pPr>
      <w:r w:rsidRPr="00E66ADB">
        <w:rPr>
          <w:rFonts w:ascii="Times New Roman" w:hAnsi="Times New Roman" w:cs="Times New Roman"/>
          <w:sz w:val="28"/>
          <w:szCs w:val="28"/>
        </w:rPr>
        <w:t>Oracle saw a rapid rise in the 1980s. Oracle's cutting-edge database solutions became the standard as companies' reliance on data management grew. Their quick expansion was spurred by their success and resulted in a 1986 public offering. Oracle didn't sit back and take it all in, though. By adding new products to its lineup in addition to its core database software, the company has clearly embraced continual innovation. Strategic acquisitions, most notably the 2010 acquisition of Sun Microsystems, resulted from this commitment to expansion. Oracle entered a new age of software distribution with this audacious move that greatly enhanced the company's cloud computing capabilities.</w:t>
      </w:r>
    </w:p>
    <w:p w14:paraId="1BC20CAF" w14:textId="77777777" w:rsidR="00186A08" w:rsidRPr="00E66ADB" w:rsidRDefault="00186A08">
      <w:pPr>
        <w:rPr>
          <w:rFonts w:ascii="Times New Roman" w:hAnsi="Times New Roman" w:cs="Times New Roman"/>
          <w:sz w:val="28"/>
          <w:szCs w:val="28"/>
        </w:rPr>
      </w:pPr>
    </w:p>
    <w:p w14:paraId="768012B8" w14:textId="32D4146B" w:rsidR="00D84AA4" w:rsidRPr="006565D6" w:rsidRDefault="00186A08" w:rsidP="00D84AA4">
      <w:pPr>
        <w:rPr>
          <w:rFonts w:ascii="Times New Roman" w:hAnsi="Times New Roman" w:cs="Times New Roman"/>
          <w:sz w:val="28"/>
          <w:szCs w:val="28"/>
        </w:rPr>
      </w:pPr>
      <w:r w:rsidRPr="00E66ADB">
        <w:rPr>
          <w:rFonts w:ascii="Times New Roman" w:hAnsi="Times New Roman" w:cs="Times New Roman"/>
          <w:sz w:val="28"/>
          <w:szCs w:val="28"/>
        </w:rPr>
        <w:t xml:space="preserve">Oracle is a powerful player in the rapidly changing technology industry today. Their whole business model now revolves around cloud computing, which provides a full range of services to compete industry titans like Microsoft Azure and Amazon Web Services. These services include software as a </w:t>
      </w:r>
      <w:r w:rsidR="006A504A" w:rsidRPr="00E66ADB">
        <w:rPr>
          <w:rFonts w:ascii="Times New Roman" w:hAnsi="Times New Roman" w:cs="Times New Roman"/>
          <w:sz w:val="28"/>
          <w:szCs w:val="28"/>
        </w:rPr>
        <w:t>service (SaaS) product</w:t>
      </w:r>
      <w:r w:rsidRPr="00E66ADB">
        <w:rPr>
          <w:rFonts w:ascii="Times New Roman" w:hAnsi="Times New Roman" w:cs="Times New Roman"/>
          <w:sz w:val="28"/>
          <w:szCs w:val="28"/>
        </w:rPr>
        <w:t>, database management solutions, and infrastructure management—a reflection of their primary competency. In spite of intense competition, Oracle continues to lead the industry. They keep at the forefront of technological breakthroughs and are constantly innovating to fulfil the ever-changing needs of the industry thanks to their everlasting dedication to research and development</w:t>
      </w:r>
      <w:r w:rsidR="00D84AA4" w:rsidRPr="00D84AA4">
        <w:rPr>
          <w:rFonts w:ascii="Times New Roman" w:eastAsia="Times New Roman" w:hAnsi="Times New Roman" w:cs="Times New Roman"/>
          <w:color w:val="0D0D0D"/>
          <w:kern w:val="0"/>
          <w:sz w:val="24"/>
          <w:szCs w:val="24"/>
          <w14:ligatures w14:val="none"/>
        </w:rPr>
        <w:t>.</w:t>
      </w:r>
      <w:r w:rsidR="00DC147F" w:rsidRPr="00E66ADB">
        <w:rPr>
          <w:rFonts w:ascii="Times New Roman" w:hAnsi="Times New Roman" w:cs="Times New Roman"/>
          <w:color w:val="2C3E50"/>
          <w:sz w:val="23"/>
          <w:szCs w:val="23"/>
          <w:shd w:val="clear" w:color="auto" w:fill="FFFFFF"/>
        </w:rPr>
        <w:t xml:space="preserve"> </w:t>
      </w:r>
      <w:r w:rsidR="00DC147F" w:rsidRPr="006565D6">
        <w:rPr>
          <w:rFonts w:ascii="Times New Roman" w:hAnsi="Times New Roman" w:cs="Times New Roman"/>
          <w:color w:val="2C3E50"/>
          <w:sz w:val="28"/>
          <w:szCs w:val="28"/>
          <w:shd w:val="clear" w:color="auto" w:fill="FFFFFF"/>
        </w:rPr>
        <w:t>(Symonds and Ellison, 2013)</w:t>
      </w:r>
    </w:p>
    <w:p w14:paraId="4E40FB4F" w14:textId="77777777" w:rsidR="00B76982" w:rsidRPr="00E66ADB" w:rsidRDefault="00B76982" w:rsidP="00B76982">
      <w:pPr>
        <w:rPr>
          <w:rFonts w:ascii="Times New Roman" w:hAnsi="Times New Roman" w:cs="Times New Roman"/>
          <w:sz w:val="28"/>
          <w:szCs w:val="28"/>
        </w:rPr>
      </w:pPr>
    </w:p>
    <w:p w14:paraId="4BF529A9" w14:textId="295B6EE4" w:rsidR="00B76982" w:rsidRPr="00546F8B" w:rsidRDefault="00B76982" w:rsidP="006A504A">
      <w:pPr>
        <w:pStyle w:val="Heading1"/>
        <w:numPr>
          <w:ilvl w:val="1"/>
          <w:numId w:val="3"/>
        </w:numPr>
        <w:rPr>
          <w:rFonts w:ascii="Times New Roman" w:hAnsi="Times New Roman" w:cs="Times New Roman"/>
        </w:rPr>
      </w:pPr>
      <w:bookmarkStart w:id="1" w:name="_Toc164362214"/>
      <w:r w:rsidRPr="00546F8B">
        <w:rPr>
          <w:rFonts w:ascii="Times New Roman" w:hAnsi="Times New Roman" w:cs="Times New Roman"/>
        </w:rPr>
        <w:t>Major Competitors of oracle corporation</w:t>
      </w:r>
      <w:bookmarkEnd w:id="1"/>
    </w:p>
    <w:p w14:paraId="7CC473A6" w14:textId="77777777" w:rsidR="008B6462" w:rsidRPr="00E66ADB" w:rsidRDefault="008B6462" w:rsidP="008B6462">
      <w:pPr>
        <w:rPr>
          <w:rFonts w:ascii="Times New Roman" w:hAnsi="Times New Roman" w:cs="Times New Roman"/>
          <w:b/>
          <w:bCs/>
          <w:sz w:val="28"/>
          <w:szCs w:val="28"/>
        </w:rPr>
      </w:pPr>
    </w:p>
    <w:p w14:paraId="5A8FCE8C" w14:textId="288F2F0D" w:rsidR="00B76982" w:rsidRPr="006565D6" w:rsidRDefault="00B76982" w:rsidP="00B76982">
      <w:pPr>
        <w:rPr>
          <w:rFonts w:ascii="Times New Roman" w:hAnsi="Times New Roman" w:cs="Times New Roman"/>
          <w:sz w:val="28"/>
          <w:szCs w:val="28"/>
        </w:rPr>
      </w:pPr>
      <w:r w:rsidRPr="00E66ADB">
        <w:rPr>
          <w:rFonts w:ascii="Times New Roman" w:hAnsi="Times New Roman" w:cs="Times New Roman"/>
          <w:sz w:val="28"/>
          <w:szCs w:val="28"/>
        </w:rPr>
        <w:t xml:space="preserve">The software sector is rife with competitors, and Oracle Corporation has several of them for its range of products. In the cloud computing arena, Amazon Web Services (AWS) reigns supreme, offering a comprehensive suite of IaaS, PaaS, </w:t>
      </w:r>
      <w:r w:rsidRPr="00E66ADB">
        <w:rPr>
          <w:rFonts w:ascii="Times New Roman" w:hAnsi="Times New Roman" w:cs="Times New Roman"/>
          <w:sz w:val="28"/>
          <w:szCs w:val="28"/>
        </w:rPr>
        <w:lastRenderedPageBreak/>
        <w:t>and SaaS solutions that directly compete with Oracle Cloud Infrastructure and Oracle Cloud Platform. Another strong competitor to Oracle is Microsoft Azure, which offers cloud services that disrupt its hegemony, especially in enterprise software.</w:t>
      </w:r>
      <w:r w:rsidR="00152B1D" w:rsidRPr="00E66ADB">
        <w:rPr>
          <w:rFonts w:ascii="Times New Roman" w:hAnsi="Times New Roman" w:cs="Times New Roman"/>
          <w:color w:val="2C3E50"/>
          <w:sz w:val="23"/>
          <w:szCs w:val="23"/>
          <w:shd w:val="clear" w:color="auto" w:fill="FFFFFF"/>
        </w:rPr>
        <w:t xml:space="preserve">  </w:t>
      </w:r>
      <w:r w:rsidR="00152B1D" w:rsidRPr="006565D6">
        <w:rPr>
          <w:rFonts w:ascii="Times New Roman" w:hAnsi="Times New Roman" w:cs="Times New Roman"/>
          <w:color w:val="2C3E50"/>
          <w:sz w:val="28"/>
          <w:szCs w:val="28"/>
          <w:shd w:val="clear" w:color="auto" w:fill="FFFFFF"/>
        </w:rPr>
        <w:t>(Demsetz, 2020)</w:t>
      </w:r>
    </w:p>
    <w:p w14:paraId="436E709E" w14:textId="77777777" w:rsidR="00B76982" w:rsidRPr="00E66ADB" w:rsidRDefault="00B76982" w:rsidP="00B76982">
      <w:pPr>
        <w:rPr>
          <w:rFonts w:ascii="Times New Roman" w:hAnsi="Times New Roman" w:cs="Times New Roman"/>
          <w:sz w:val="28"/>
          <w:szCs w:val="28"/>
        </w:rPr>
      </w:pPr>
    </w:p>
    <w:p w14:paraId="6E074E1D" w14:textId="1E3CA7C3" w:rsidR="00B76982" w:rsidRPr="00E66ADB" w:rsidRDefault="00B76982" w:rsidP="00B76982">
      <w:pPr>
        <w:rPr>
          <w:rFonts w:ascii="Times New Roman" w:hAnsi="Times New Roman" w:cs="Times New Roman"/>
          <w:sz w:val="28"/>
          <w:szCs w:val="28"/>
        </w:rPr>
      </w:pPr>
      <w:r w:rsidRPr="00E66ADB">
        <w:rPr>
          <w:rFonts w:ascii="Times New Roman" w:hAnsi="Times New Roman" w:cs="Times New Roman"/>
          <w:sz w:val="28"/>
          <w:szCs w:val="28"/>
        </w:rPr>
        <w:t>In the realm of database management systems, Oracle is up against IBM Db2, a reputable contender for extensive enterprise applications, and Microsoft SQL Server, a more affordable option that is well-liked in Windows contexts. SAP is a strong rival in the ERP and CRM solution space. While SAP C/4HANA directly competes with Oracle's CRM products, their SAP S/4HANA ERP system is a rival to Oracle Fusion Cloud ERP. Furthermore, Salesforce, a pioneer in cloud-based customer relationship management, poses a serious threat with its powerful platform, which competes with Oracle Siebel CRM.</w:t>
      </w:r>
    </w:p>
    <w:p w14:paraId="52737702" w14:textId="77777777" w:rsidR="00B76982" w:rsidRPr="00E66ADB" w:rsidRDefault="00B76982" w:rsidP="00B76982">
      <w:pPr>
        <w:rPr>
          <w:rFonts w:ascii="Times New Roman" w:hAnsi="Times New Roman" w:cs="Times New Roman"/>
          <w:sz w:val="28"/>
          <w:szCs w:val="28"/>
        </w:rPr>
      </w:pPr>
    </w:p>
    <w:p w14:paraId="48FCC49C" w14:textId="697B44AD" w:rsidR="00B76982" w:rsidRPr="006565D6" w:rsidRDefault="00B76982" w:rsidP="00B76982">
      <w:pPr>
        <w:rPr>
          <w:rFonts w:ascii="Times New Roman" w:hAnsi="Times New Roman" w:cs="Times New Roman"/>
          <w:color w:val="2C3E50"/>
          <w:sz w:val="28"/>
          <w:szCs w:val="28"/>
          <w:shd w:val="clear" w:color="auto" w:fill="FFFFFF"/>
        </w:rPr>
      </w:pPr>
      <w:r w:rsidRPr="00E66ADB">
        <w:rPr>
          <w:rFonts w:ascii="Times New Roman" w:hAnsi="Times New Roman" w:cs="Times New Roman"/>
          <w:sz w:val="28"/>
          <w:szCs w:val="28"/>
        </w:rPr>
        <w:t>There is further rivalry in the hardware business. Hewlett Packard Enterprise (HPE) and Dell Technologies are two significant vendors that directly compete with Oracle's hardware offerings by providing server and storage solutions.  Oracle makes use of its advantages in this changing market, including a big product portfolio, a solid reputation as a brand, and a devoted client base, particularly among large businesses. But there are still difficulties.  It is necessary to pay attention to the migration of current clients to the cloud and maybe less user-friendly interfaces in comparison to competitors.  Looking ahead, there are exciting prospects for growing cloud services and bringing on new clients, especially in the SMB market. But Oracle needs to be on guard because competitors' aggressive pricing techniques could jeopardize its profit margins and the constantly evolving tech market demands constant innovation.</w:t>
      </w:r>
      <w:r w:rsidR="00DC147F" w:rsidRPr="00E66ADB">
        <w:rPr>
          <w:rFonts w:ascii="Times New Roman" w:hAnsi="Times New Roman" w:cs="Times New Roman"/>
          <w:color w:val="2C3E50"/>
          <w:sz w:val="23"/>
          <w:szCs w:val="23"/>
          <w:shd w:val="clear" w:color="auto" w:fill="FFFFFF"/>
        </w:rPr>
        <w:t xml:space="preserve"> </w:t>
      </w:r>
      <w:r w:rsidR="00DC147F" w:rsidRPr="006565D6">
        <w:rPr>
          <w:rFonts w:ascii="Times New Roman" w:hAnsi="Times New Roman" w:cs="Times New Roman"/>
          <w:color w:val="2C3E50"/>
          <w:sz w:val="28"/>
          <w:szCs w:val="28"/>
          <w:shd w:val="clear" w:color="auto" w:fill="FFFFFF"/>
        </w:rPr>
        <w:t>(Scalzo, 2006)</w:t>
      </w:r>
    </w:p>
    <w:p w14:paraId="1D5C85FE" w14:textId="77777777" w:rsidR="00072906" w:rsidRDefault="00072906" w:rsidP="00B76982">
      <w:pPr>
        <w:rPr>
          <w:rFonts w:ascii="Times New Roman" w:hAnsi="Times New Roman" w:cs="Times New Roman"/>
          <w:color w:val="2C3E50"/>
          <w:sz w:val="23"/>
          <w:szCs w:val="23"/>
          <w:shd w:val="clear" w:color="auto" w:fill="FFFFFF"/>
        </w:rPr>
      </w:pPr>
    </w:p>
    <w:p w14:paraId="1FBA74E3" w14:textId="77777777" w:rsidR="00072906" w:rsidRPr="00E66ADB" w:rsidRDefault="00072906" w:rsidP="00B76982">
      <w:pPr>
        <w:rPr>
          <w:rFonts w:ascii="Times New Roman" w:hAnsi="Times New Roman" w:cs="Times New Roman"/>
          <w:sz w:val="28"/>
          <w:szCs w:val="28"/>
        </w:rPr>
      </w:pPr>
    </w:p>
    <w:p w14:paraId="6110B28E" w14:textId="22A47793" w:rsidR="00B76982" w:rsidRPr="006A504A" w:rsidRDefault="00B76982" w:rsidP="006A504A">
      <w:pPr>
        <w:pStyle w:val="Heading1"/>
        <w:numPr>
          <w:ilvl w:val="1"/>
          <w:numId w:val="3"/>
        </w:numPr>
      </w:pPr>
      <w:bookmarkStart w:id="2" w:name="_Toc164362215"/>
      <w:r w:rsidRPr="00546F8B">
        <w:rPr>
          <w:rFonts w:ascii="Times New Roman" w:hAnsi="Times New Roman" w:cs="Times New Roman"/>
        </w:rPr>
        <w:t>Major Events and Oracle Corporation (2020-2024</w:t>
      </w:r>
      <w:r w:rsidRPr="006A504A">
        <w:t>)</w:t>
      </w:r>
      <w:bookmarkEnd w:id="2"/>
    </w:p>
    <w:p w14:paraId="2B718E1D" w14:textId="77777777" w:rsidR="00B76982" w:rsidRPr="00E66ADB" w:rsidRDefault="00B76982" w:rsidP="00B76982">
      <w:pPr>
        <w:rPr>
          <w:rFonts w:ascii="Times New Roman" w:hAnsi="Times New Roman" w:cs="Times New Roman"/>
          <w:b/>
          <w:bCs/>
          <w:sz w:val="28"/>
          <w:szCs w:val="28"/>
        </w:rPr>
      </w:pPr>
    </w:p>
    <w:p w14:paraId="7CB98428" w14:textId="100A6582" w:rsidR="00B76982" w:rsidRPr="00E66ADB" w:rsidRDefault="00B76982" w:rsidP="00B76982">
      <w:pPr>
        <w:rPr>
          <w:rFonts w:ascii="Times New Roman" w:hAnsi="Times New Roman" w:cs="Times New Roman"/>
          <w:sz w:val="28"/>
          <w:szCs w:val="28"/>
        </w:rPr>
      </w:pPr>
      <w:r w:rsidRPr="00E66ADB">
        <w:rPr>
          <w:rFonts w:ascii="Times New Roman" w:hAnsi="Times New Roman" w:cs="Times New Roman"/>
          <w:sz w:val="28"/>
          <w:szCs w:val="28"/>
        </w:rPr>
        <w:t>There has been a great deal of global upheaval between 2020 and 2024, and Oracle Corporation and the computer sector have surely felt the repercussions. Although it's challenging to establish a clear causal relationship between each significant event and Oracle's particular actions, let's examine some significant advancements and their possible knock-on effects on the business:</w:t>
      </w:r>
    </w:p>
    <w:p w14:paraId="5E04C7BD" w14:textId="77777777" w:rsidR="00B76982" w:rsidRPr="00E66ADB" w:rsidRDefault="00B76982" w:rsidP="00B76982">
      <w:pPr>
        <w:rPr>
          <w:rFonts w:ascii="Times New Roman" w:hAnsi="Times New Roman" w:cs="Times New Roman"/>
          <w:sz w:val="28"/>
          <w:szCs w:val="28"/>
        </w:rPr>
      </w:pPr>
    </w:p>
    <w:p w14:paraId="6C4481C0" w14:textId="1DDEB702" w:rsidR="00B76982" w:rsidRPr="00E66ADB" w:rsidRDefault="00B76982" w:rsidP="00B76982">
      <w:pPr>
        <w:rPr>
          <w:rFonts w:ascii="Times New Roman" w:hAnsi="Times New Roman" w:cs="Times New Roman"/>
          <w:sz w:val="28"/>
          <w:szCs w:val="28"/>
        </w:rPr>
      </w:pPr>
      <w:r w:rsidRPr="00E66ADB">
        <w:rPr>
          <w:rFonts w:ascii="Times New Roman" w:hAnsi="Times New Roman" w:cs="Times New Roman"/>
          <w:sz w:val="28"/>
          <w:szCs w:val="28"/>
        </w:rPr>
        <w:t xml:space="preserve">The COVID-19 epidemic that emerged in 2020 drastically changed how businesses function. The increased popularity of remote work arrangements probably increased demand for cloud-based software. Given that Oracle provides organizations with the capabilities and flexibility required for remote operations through cloud services like Oracle Cloud Infrastructure and Oracle Cloud Platform, this might have been advantageous for Oracle. But the pandemic also </w:t>
      </w:r>
      <w:r w:rsidRPr="00E66ADB">
        <w:rPr>
          <w:rFonts w:ascii="Times New Roman" w:hAnsi="Times New Roman" w:cs="Times New Roman"/>
          <w:sz w:val="28"/>
          <w:szCs w:val="28"/>
        </w:rPr>
        <w:lastRenderedPageBreak/>
        <w:t>brought about a wider economic slump and problems in global supply systems. Oracle might not have sold as much software licenses and hardware if companies had cut back on technology purchases because of economic uncertainties.</w:t>
      </w:r>
    </w:p>
    <w:p w14:paraId="4AC59D86" w14:textId="77777777" w:rsidR="00B76982" w:rsidRPr="00E66ADB" w:rsidRDefault="00B76982" w:rsidP="00B76982">
      <w:pPr>
        <w:rPr>
          <w:rFonts w:ascii="Times New Roman" w:hAnsi="Times New Roman" w:cs="Times New Roman"/>
          <w:sz w:val="28"/>
          <w:szCs w:val="28"/>
        </w:rPr>
      </w:pPr>
    </w:p>
    <w:p w14:paraId="1506CBCE" w14:textId="3756CD5F" w:rsidR="00B76982" w:rsidRPr="00E66ADB" w:rsidRDefault="00B76982" w:rsidP="00B76982">
      <w:pPr>
        <w:rPr>
          <w:rFonts w:ascii="Times New Roman" w:hAnsi="Times New Roman" w:cs="Times New Roman"/>
          <w:sz w:val="28"/>
          <w:szCs w:val="28"/>
        </w:rPr>
      </w:pPr>
      <w:r w:rsidRPr="00E66ADB">
        <w:rPr>
          <w:rFonts w:ascii="Times New Roman" w:hAnsi="Times New Roman" w:cs="Times New Roman"/>
          <w:sz w:val="28"/>
          <w:szCs w:val="28"/>
        </w:rPr>
        <w:t>The tech scene has been gradually changing for years due to a broader movement towards cloud computing, and this tendency persisted from 2020 to 2024. Oracle was probably well-positioned to gain from this change as more and more companies realized the advantages of cloud solutions' scalability, flexibility, and affordability. This is because Oracle's cloud portfolio was growing.</w:t>
      </w:r>
    </w:p>
    <w:p w14:paraId="74CF2033" w14:textId="77777777" w:rsidR="00B76982" w:rsidRPr="00E66ADB" w:rsidRDefault="00B76982" w:rsidP="00B76982">
      <w:pPr>
        <w:rPr>
          <w:rFonts w:ascii="Times New Roman" w:hAnsi="Times New Roman" w:cs="Times New Roman"/>
          <w:sz w:val="28"/>
          <w:szCs w:val="28"/>
        </w:rPr>
      </w:pPr>
    </w:p>
    <w:p w14:paraId="0A647606" w14:textId="12BC688F" w:rsidR="00345617" w:rsidRPr="00E66ADB" w:rsidRDefault="00345617" w:rsidP="00B76982">
      <w:pPr>
        <w:rPr>
          <w:rFonts w:ascii="Times New Roman" w:hAnsi="Times New Roman" w:cs="Times New Roman"/>
          <w:sz w:val="28"/>
          <w:szCs w:val="28"/>
        </w:rPr>
      </w:pPr>
      <w:r w:rsidRPr="00E66ADB">
        <w:rPr>
          <w:rFonts w:ascii="Times New Roman" w:hAnsi="Times New Roman" w:cs="Times New Roman"/>
          <w:sz w:val="28"/>
          <w:szCs w:val="28"/>
        </w:rPr>
        <w:t>The protracted conflict in Ukraine, which began in 2022, has created a cloud of uncertainty over the world economy. This would have caused companies to postpone or cut back on their IT expenditures, which might have affected Oracle's sales. However, increased tensions around the world frequently make cybersecurity worries worse. Due to organizations' increasing emphasis on data protection in a potentially unstable environment, there may have been a rise in demand for Oracle's security products.</w:t>
      </w:r>
    </w:p>
    <w:p w14:paraId="6D4A15D6" w14:textId="77777777" w:rsidR="00345617" w:rsidRPr="00E66ADB" w:rsidRDefault="00345617" w:rsidP="00B76982">
      <w:pPr>
        <w:rPr>
          <w:rFonts w:ascii="Times New Roman" w:hAnsi="Times New Roman" w:cs="Times New Roman"/>
          <w:sz w:val="28"/>
          <w:szCs w:val="28"/>
        </w:rPr>
      </w:pPr>
    </w:p>
    <w:p w14:paraId="5665C3CC" w14:textId="63CB28A9" w:rsidR="00345617" w:rsidRPr="00E66ADB" w:rsidRDefault="00345617" w:rsidP="00B76982">
      <w:pPr>
        <w:rPr>
          <w:rFonts w:ascii="Times New Roman" w:hAnsi="Times New Roman" w:cs="Times New Roman"/>
          <w:sz w:val="28"/>
          <w:szCs w:val="28"/>
        </w:rPr>
      </w:pPr>
      <w:r w:rsidRPr="00E66ADB">
        <w:rPr>
          <w:rFonts w:ascii="Times New Roman" w:hAnsi="Times New Roman" w:cs="Times New Roman"/>
          <w:sz w:val="28"/>
          <w:szCs w:val="28"/>
        </w:rPr>
        <w:t>Oracle faces further challenges due to a wider economic downturn that began in 2022. Tighter budgets may make companies less willing to invest in new technology, which could slow down the sales of Oracle's hardware and software licenses.</w:t>
      </w:r>
    </w:p>
    <w:p w14:paraId="55E55FD7" w14:textId="77777777" w:rsidR="00345617" w:rsidRPr="00E66ADB" w:rsidRDefault="00345617" w:rsidP="00B76982">
      <w:pPr>
        <w:rPr>
          <w:rFonts w:ascii="Times New Roman" w:hAnsi="Times New Roman" w:cs="Times New Roman"/>
          <w:sz w:val="28"/>
          <w:szCs w:val="28"/>
        </w:rPr>
      </w:pPr>
    </w:p>
    <w:p w14:paraId="1249FFD6" w14:textId="7832BF68" w:rsidR="00345617" w:rsidRPr="006565D6" w:rsidRDefault="00345617" w:rsidP="00CE3604">
      <w:pPr>
        <w:rPr>
          <w:rFonts w:ascii="Times New Roman" w:hAnsi="Times New Roman" w:cs="Times New Roman"/>
          <w:sz w:val="28"/>
          <w:szCs w:val="28"/>
        </w:rPr>
      </w:pPr>
      <w:r w:rsidRPr="00E66ADB">
        <w:rPr>
          <w:rFonts w:ascii="Times New Roman" w:hAnsi="Times New Roman" w:cs="Times New Roman"/>
          <w:sz w:val="28"/>
          <w:szCs w:val="28"/>
        </w:rPr>
        <w:t>The unstoppable speed of innovation is one thing that never changes in the tech sector. Artificial intelligence, automation, and other emerging technologies are continuously transforming various sectors. Oracle probably kept spending a lot of money on research and development to make sure their product offerings stayed up to date with these developments in order to keep its competitive advantage.</w:t>
      </w:r>
      <w:r w:rsidR="00CE3604" w:rsidRPr="00E66ADB">
        <w:rPr>
          <w:rFonts w:ascii="Times New Roman" w:hAnsi="Times New Roman" w:cs="Times New Roman"/>
          <w:sz w:val="28"/>
          <w:szCs w:val="28"/>
        </w:rPr>
        <w:t xml:space="preserve"> </w:t>
      </w:r>
      <w:r w:rsidRPr="00E66ADB">
        <w:rPr>
          <w:rFonts w:ascii="Times New Roman" w:hAnsi="Times New Roman" w:cs="Times New Roman"/>
          <w:sz w:val="28"/>
          <w:szCs w:val="28"/>
        </w:rPr>
        <w:t>It's important to keep in mind that these are only possible side effects and that many company-specific factors will determine how Oracle's business is really affected. Their client base's durability during economic downturns, their product development lifecycles, and their marketing methods all play a part. A closer look at Oracle's financial reports and news statements from these years may provide a more nuanced view of how they handled these events and maneuverer through this dynamic environment.</w:t>
      </w:r>
      <w:r w:rsidR="00CE3604" w:rsidRPr="00E66ADB">
        <w:rPr>
          <w:rFonts w:ascii="Times New Roman" w:hAnsi="Times New Roman" w:cs="Times New Roman"/>
          <w:color w:val="0D0D0D"/>
          <w:shd w:val="clear" w:color="auto" w:fill="FFFFFF"/>
        </w:rPr>
        <w:t xml:space="preserve"> (</w:t>
      </w:r>
      <w:r w:rsidR="00CE3604" w:rsidRPr="006565D6">
        <w:rPr>
          <w:rFonts w:ascii="Times New Roman" w:hAnsi="Times New Roman" w:cs="Times New Roman"/>
          <w:color w:val="0D0D0D"/>
          <w:sz w:val="28"/>
          <w:szCs w:val="28"/>
          <w:shd w:val="clear" w:color="auto" w:fill="FFFFFF"/>
        </w:rPr>
        <w:t>Davenport &amp; Harris, 2007)</w:t>
      </w:r>
    </w:p>
    <w:p w14:paraId="1805CDCB" w14:textId="77777777" w:rsidR="00345617" w:rsidRPr="006565D6" w:rsidRDefault="00345617" w:rsidP="00B76982">
      <w:pPr>
        <w:rPr>
          <w:rFonts w:ascii="Times New Roman" w:hAnsi="Times New Roman" w:cs="Times New Roman"/>
          <w:sz w:val="28"/>
          <w:szCs w:val="28"/>
        </w:rPr>
      </w:pPr>
    </w:p>
    <w:p w14:paraId="0B42C539" w14:textId="77777777" w:rsidR="00CE3604" w:rsidRPr="00E66ADB" w:rsidRDefault="00CE3604" w:rsidP="00B76982">
      <w:pPr>
        <w:rPr>
          <w:rFonts w:ascii="Times New Roman" w:hAnsi="Times New Roman" w:cs="Times New Roman"/>
          <w:sz w:val="28"/>
          <w:szCs w:val="28"/>
        </w:rPr>
      </w:pPr>
    </w:p>
    <w:p w14:paraId="3A388914" w14:textId="77777777" w:rsidR="00CE3604" w:rsidRPr="00E66ADB" w:rsidRDefault="00CE3604" w:rsidP="00B76982">
      <w:pPr>
        <w:rPr>
          <w:rFonts w:ascii="Times New Roman" w:hAnsi="Times New Roman" w:cs="Times New Roman"/>
          <w:sz w:val="28"/>
          <w:szCs w:val="28"/>
        </w:rPr>
      </w:pPr>
    </w:p>
    <w:p w14:paraId="58CF6F85" w14:textId="77777777" w:rsidR="00072906" w:rsidRDefault="00072906" w:rsidP="00B76982">
      <w:pPr>
        <w:rPr>
          <w:rFonts w:ascii="Times New Roman" w:hAnsi="Times New Roman" w:cs="Times New Roman"/>
          <w:b/>
          <w:bCs/>
          <w:sz w:val="28"/>
          <w:szCs w:val="28"/>
        </w:rPr>
      </w:pPr>
      <w:r>
        <w:rPr>
          <w:rFonts w:ascii="Times New Roman" w:hAnsi="Times New Roman" w:cs="Times New Roman"/>
          <w:b/>
          <w:bCs/>
          <w:sz w:val="28"/>
          <w:szCs w:val="28"/>
        </w:rPr>
        <w:br w:type="page"/>
      </w:r>
    </w:p>
    <w:p w14:paraId="77DBF8E7" w14:textId="29AA7CB6" w:rsidR="00345617" w:rsidRPr="00546F8B" w:rsidRDefault="00345617" w:rsidP="006A504A">
      <w:pPr>
        <w:pStyle w:val="Heading1"/>
        <w:numPr>
          <w:ilvl w:val="0"/>
          <w:numId w:val="3"/>
        </w:numPr>
        <w:rPr>
          <w:rFonts w:ascii="Times New Roman" w:hAnsi="Times New Roman" w:cs="Times New Roman"/>
          <w:b/>
          <w:bCs/>
          <w:sz w:val="40"/>
          <w:szCs w:val="40"/>
          <w:u w:val="single"/>
        </w:rPr>
      </w:pPr>
      <w:bookmarkStart w:id="3" w:name="_Toc164362216"/>
      <w:r w:rsidRPr="00546F8B">
        <w:rPr>
          <w:rFonts w:ascii="Times New Roman" w:hAnsi="Times New Roman" w:cs="Times New Roman"/>
          <w:b/>
          <w:bCs/>
          <w:sz w:val="40"/>
          <w:szCs w:val="40"/>
          <w:u w:val="single"/>
        </w:rPr>
        <w:lastRenderedPageBreak/>
        <w:t>Financial Ratios</w:t>
      </w:r>
      <w:r w:rsidR="00546F8B">
        <w:rPr>
          <w:rFonts w:ascii="Times New Roman" w:hAnsi="Times New Roman" w:cs="Times New Roman"/>
          <w:b/>
          <w:bCs/>
          <w:sz w:val="40"/>
          <w:szCs w:val="40"/>
          <w:u w:val="single"/>
        </w:rPr>
        <w:t>:</w:t>
      </w:r>
      <w:bookmarkEnd w:id="3"/>
    </w:p>
    <w:p w14:paraId="768390E2" w14:textId="77777777" w:rsidR="00345617" w:rsidRPr="00E66ADB" w:rsidRDefault="00345617" w:rsidP="00B76982">
      <w:pPr>
        <w:rPr>
          <w:rFonts w:ascii="Times New Roman" w:hAnsi="Times New Roman" w:cs="Times New Roman"/>
          <w:b/>
          <w:bCs/>
          <w:sz w:val="28"/>
          <w:szCs w:val="28"/>
        </w:rPr>
      </w:pPr>
    </w:p>
    <w:tbl>
      <w:tblPr>
        <w:tblStyle w:val="TableGrid0"/>
        <w:tblW w:w="0" w:type="auto"/>
        <w:tblInd w:w="20" w:type="dxa"/>
        <w:tblLook w:val="04A0" w:firstRow="1" w:lastRow="0" w:firstColumn="1" w:lastColumn="0" w:noHBand="0" w:noVBand="1"/>
      </w:tblPr>
      <w:tblGrid>
        <w:gridCol w:w="4497"/>
        <w:gridCol w:w="4499"/>
      </w:tblGrid>
      <w:tr w:rsidR="00345617" w:rsidRPr="00E66ADB" w14:paraId="0C468608" w14:textId="77777777" w:rsidTr="005D1399">
        <w:tc>
          <w:tcPr>
            <w:tcW w:w="4497" w:type="dxa"/>
          </w:tcPr>
          <w:p w14:paraId="4AAE5BC6" w14:textId="7701178A" w:rsidR="00345617" w:rsidRPr="00E66ADB" w:rsidRDefault="00345617" w:rsidP="00B76982">
            <w:pPr>
              <w:ind w:left="0" w:firstLine="0"/>
              <w:rPr>
                <w:rFonts w:ascii="Times New Roman" w:hAnsi="Times New Roman" w:cs="Times New Roman"/>
                <w:b/>
                <w:bCs/>
                <w:sz w:val="28"/>
                <w:szCs w:val="28"/>
              </w:rPr>
            </w:pPr>
            <w:r w:rsidRPr="00E66ADB">
              <w:rPr>
                <w:rFonts w:ascii="Times New Roman" w:hAnsi="Times New Roman" w:cs="Times New Roman"/>
                <w:b/>
                <w:bCs/>
                <w:sz w:val="28"/>
                <w:szCs w:val="28"/>
              </w:rPr>
              <w:t>RATIOS</w:t>
            </w:r>
          </w:p>
        </w:tc>
        <w:tc>
          <w:tcPr>
            <w:tcW w:w="4499" w:type="dxa"/>
          </w:tcPr>
          <w:p w14:paraId="1E03A10F" w14:textId="30212F89" w:rsidR="00345617" w:rsidRPr="00E66ADB" w:rsidRDefault="00345617" w:rsidP="00B76982">
            <w:pPr>
              <w:ind w:left="0" w:firstLine="0"/>
              <w:rPr>
                <w:rFonts w:ascii="Times New Roman" w:hAnsi="Times New Roman" w:cs="Times New Roman"/>
                <w:b/>
                <w:bCs/>
                <w:sz w:val="28"/>
                <w:szCs w:val="28"/>
              </w:rPr>
            </w:pPr>
            <w:r w:rsidRPr="00E66ADB">
              <w:rPr>
                <w:rFonts w:ascii="Times New Roman" w:hAnsi="Times New Roman" w:cs="Times New Roman"/>
                <w:b/>
                <w:bCs/>
                <w:sz w:val="28"/>
                <w:szCs w:val="28"/>
              </w:rPr>
              <w:t>CALCULATIONS</w:t>
            </w:r>
          </w:p>
        </w:tc>
      </w:tr>
      <w:tr w:rsidR="00345617" w:rsidRPr="00E66ADB" w14:paraId="4445FF0C" w14:textId="77777777" w:rsidTr="005D1399">
        <w:tc>
          <w:tcPr>
            <w:tcW w:w="4497" w:type="dxa"/>
          </w:tcPr>
          <w:p w14:paraId="0890A29F" w14:textId="24A05749" w:rsidR="00345617" w:rsidRPr="00E66ADB" w:rsidRDefault="00345617" w:rsidP="00B76982">
            <w:pPr>
              <w:ind w:left="0" w:firstLine="0"/>
              <w:rPr>
                <w:rFonts w:ascii="Times New Roman" w:hAnsi="Times New Roman" w:cs="Times New Roman"/>
                <w:sz w:val="28"/>
                <w:szCs w:val="28"/>
              </w:rPr>
            </w:pPr>
            <w:r w:rsidRPr="00E66ADB">
              <w:rPr>
                <w:rStyle w:val="Strong"/>
                <w:rFonts w:ascii="Times New Roman" w:hAnsi="Times New Roman" w:cs="Times New Roman"/>
                <w:color w:val="1F1F1F"/>
                <w:sz w:val="28"/>
                <w:szCs w:val="28"/>
                <w:shd w:val="clear" w:color="auto" w:fill="FFFFFF"/>
              </w:rPr>
              <w:t>Current Ratio</w:t>
            </w:r>
            <w:r w:rsidRPr="00E66ADB">
              <w:rPr>
                <w:rFonts w:ascii="Times New Roman" w:hAnsi="Times New Roman" w:cs="Times New Roman"/>
                <w:color w:val="1F1F1F"/>
                <w:sz w:val="28"/>
                <w:szCs w:val="28"/>
                <w:shd w:val="clear" w:color="auto" w:fill="FFFFFF"/>
              </w:rPr>
              <w:t xml:space="preserve"> Current Assets / Current Liabilities</w:t>
            </w:r>
          </w:p>
        </w:tc>
        <w:tc>
          <w:tcPr>
            <w:tcW w:w="4499" w:type="dxa"/>
          </w:tcPr>
          <w:p w14:paraId="2FBB6CB4" w14:textId="1E2741F2" w:rsidR="00345617" w:rsidRPr="00E66ADB" w:rsidRDefault="00345617" w:rsidP="00B76982">
            <w:pPr>
              <w:ind w:left="0" w:firstLine="0"/>
              <w:rPr>
                <w:rFonts w:ascii="Times New Roman" w:hAnsi="Times New Roman" w:cs="Times New Roman"/>
                <w:sz w:val="28"/>
                <w:szCs w:val="28"/>
              </w:rPr>
            </w:pPr>
            <w:r w:rsidRPr="00E66ADB">
              <w:rPr>
                <w:rFonts w:ascii="Times New Roman" w:hAnsi="Times New Roman" w:cs="Times New Roman"/>
                <w:color w:val="1F1F1F"/>
                <w:sz w:val="28"/>
                <w:szCs w:val="28"/>
                <w:shd w:val="clear" w:color="auto" w:fill="FFFFFF"/>
              </w:rPr>
              <w:t> </w:t>
            </w:r>
            <w:r w:rsidRPr="00E66ADB">
              <w:rPr>
                <w:rStyle w:val="Strong"/>
                <w:rFonts w:ascii="Times New Roman" w:hAnsi="Times New Roman" w:cs="Times New Roman"/>
                <w:color w:val="1F1F1F"/>
                <w:sz w:val="28"/>
                <w:szCs w:val="28"/>
                <w:shd w:val="clear" w:color="auto" w:fill="FFFFFF"/>
              </w:rPr>
              <w:t>$50 Billion / $30 Billion = 1.67</w:t>
            </w:r>
          </w:p>
        </w:tc>
      </w:tr>
      <w:tr w:rsidR="00345617" w:rsidRPr="00E66ADB" w14:paraId="70AEF3F4" w14:textId="77777777" w:rsidTr="005D1399">
        <w:tc>
          <w:tcPr>
            <w:tcW w:w="4497" w:type="dxa"/>
          </w:tcPr>
          <w:p w14:paraId="4C56380A" w14:textId="7FEBC0C3" w:rsidR="00345617" w:rsidRPr="00E66ADB" w:rsidRDefault="00345617" w:rsidP="00B76982">
            <w:pPr>
              <w:ind w:left="0" w:firstLine="0"/>
              <w:rPr>
                <w:rFonts w:ascii="Times New Roman" w:hAnsi="Times New Roman" w:cs="Times New Roman"/>
                <w:b/>
                <w:bCs/>
                <w:sz w:val="28"/>
                <w:szCs w:val="28"/>
              </w:rPr>
            </w:pPr>
            <w:r w:rsidRPr="00E66ADB">
              <w:rPr>
                <w:rStyle w:val="Strong"/>
                <w:rFonts w:ascii="Times New Roman" w:hAnsi="Times New Roman" w:cs="Times New Roman"/>
                <w:color w:val="1F1F1F"/>
                <w:sz w:val="28"/>
                <w:szCs w:val="28"/>
                <w:shd w:val="clear" w:color="auto" w:fill="FFFFFF"/>
              </w:rPr>
              <w:t>Quick Ratio (Liquidity)</w:t>
            </w:r>
            <w:r w:rsidRPr="00E66ADB">
              <w:rPr>
                <w:rFonts w:ascii="Times New Roman" w:hAnsi="Times New Roman" w:cs="Times New Roman"/>
                <w:color w:val="1F1F1F"/>
                <w:sz w:val="28"/>
                <w:szCs w:val="28"/>
                <w:shd w:val="clear" w:color="auto" w:fill="FFFFFF"/>
              </w:rPr>
              <w:t xml:space="preserve"> (Current Assets - Inventory) / Current Liabilities</w:t>
            </w:r>
          </w:p>
        </w:tc>
        <w:tc>
          <w:tcPr>
            <w:tcW w:w="4499" w:type="dxa"/>
          </w:tcPr>
          <w:p w14:paraId="22B0B8D1" w14:textId="467BDFC8" w:rsidR="00345617" w:rsidRPr="00E66ADB" w:rsidRDefault="00345617" w:rsidP="00B76982">
            <w:pPr>
              <w:ind w:left="0" w:firstLine="0"/>
              <w:rPr>
                <w:rFonts w:ascii="Times New Roman" w:hAnsi="Times New Roman" w:cs="Times New Roman"/>
                <w:b/>
                <w:bCs/>
                <w:sz w:val="28"/>
                <w:szCs w:val="28"/>
              </w:rPr>
            </w:pPr>
            <w:r w:rsidRPr="00E66ADB">
              <w:rPr>
                <w:rFonts w:ascii="Times New Roman" w:hAnsi="Times New Roman" w:cs="Times New Roman"/>
                <w:color w:val="1F1F1F"/>
                <w:sz w:val="28"/>
                <w:szCs w:val="28"/>
                <w:shd w:val="clear" w:color="auto" w:fill="FFFFFF"/>
              </w:rPr>
              <w:t> ($50 Billion - $10 Billion) / $30 Billion = $40 Billion / $30 Billion = 1.33</w:t>
            </w:r>
          </w:p>
        </w:tc>
      </w:tr>
      <w:tr w:rsidR="00345617" w:rsidRPr="00E66ADB" w14:paraId="57323384" w14:textId="77777777" w:rsidTr="005D1399">
        <w:tc>
          <w:tcPr>
            <w:tcW w:w="4497" w:type="dxa"/>
          </w:tcPr>
          <w:p w14:paraId="02D1C32B" w14:textId="4F34A233" w:rsidR="00345617" w:rsidRPr="00E66ADB" w:rsidRDefault="00345617" w:rsidP="00B76982">
            <w:pPr>
              <w:ind w:left="0" w:firstLine="0"/>
              <w:rPr>
                <w:rFonts w:ascii="Times New Roman" w:hAnsi="Times New Roman" w:cs="Times New Roman"/>
                <w:b/>
                <w:bCs/>
                <w:sz w:val="28"/>
                <w:szCs w:val="28"/>
              </w:rPr>
            </w:pPr>
            <w:r w:rsidRPr="00E66ADB">
              <w:rPr>
                <w:rStyle w:val="Strong"/>
                <w:rFonts w:ascii="Times New Roman" w:hAnsi="Times New Roman" w:cs="Times New Roman"/>
                <w:color w:val="1F1F1F"/>
                <w:sz w:val="28"/>
                <w:szCs w:val="28"/>
                <w:shd w:val="clear" w:color="auto" w:fill="FFFFFF"/>
              </w:rPr>
              <w:t>Profit Margin (Profitability)</w:t>
            </w:r>
            <w:r w:rsidR="00134EE2" w:rsidRPr="00E66ADB">
              <w:rPr>
                <w:rFonts w:ascii="Times New Roman" w:hAnsi="Times New Roman" w:cs="Times New Roman"/>
                <w:color w:val="333333"/>
                <w:sz w:val="28"/>
                <w:szCs w:val="28"/>
              </w:rPr>
              <w:t xml:space="preserve"> Gross Profit / Total Revenue</w:t>
            </w:r>
          </w:p>
        </w:tc>
        <w:tc>
          <w:tcPr>
            <w:tcW w:w="4499" w:type="dxa"/>
          </w:tcPr>
          <w:p w14:paraId="4438EEE9" w14:textId="26E50656" w:rsidR="00345617" w:rsidRPr="00E66ADB" w:rsidRDefault="00134EE2" w:rsidP="00B76982">
            <w:pPr>
              <w:ind w:left="0" w:firstLine="0"/>
              <w:rPr>
                <w:rFonts w:ascii="Times New Roman" w:hAnsi="Times New Roman" w:cs="Times New Roman"/>
                <w:b/>
                <w:bCs/>
                <w:sz w:val="28"/>
                <w:szCs w:val="28"/>
              </w:rPr>
            </w:pPr>
            <w:r w:rsidRPr="00E66ADB">
              <w:rPr>
                <w:rFonts w:ascii="Times New Roman" w:hAnsi="Times New Roman" w:cs="Times New Roman"/>
                <w:color w:val="333333"/>
                <w:sz w:val="28"/>
                <w:szCs w:val="28"/>
              </w:rPr>
              <w:t>71.5% = 37.561 B / 52.51 B</w:t>
            </w:r>
          </w:p>
        </w:tc>
      </w:tr>
      <w:tr w:rsidR="00345617" w:rsidRPr="00E66ADB" w14:paraId="57C51999" w14:textId="77777777" w:rsidTr="005D1399">
        <w:tc>
          <w:tcPr>
            <w:tcW w:w="4497" w:type="dxa"/>
          </w:tcPr>
          <w:p w14:paraId="3BEF3BC0" w14:textId="545142EB" w:rsidR="00345617" w:rsidRPr="00E66ADB" w:rsidRDefault="00134EE2" w:rsidP="00B76982">
            <w:pPr>
              <w:ind w:left="0" w:firstLine="0"/>
              <w:rPr>
                <w:rFonts w:ascii="Times New Roman" w:hAnsi="Times New Roman" w:cs="Times New Roman"/>
                <w:b/>
                <w:bCs/>
                <w:sz w:val="28"/>
                <w:szCs w:val="28"/>
              </w:rPr>
            </w:pPr>
            <w:r w:rsidRPr="00E66ADB">
              <w:rPr>
                <w:rFonts w:ascii="Times New Roman" w:hAnsi="Times New Roman" w:cs="Times New Roman"/>
                <w:b/>
                <w:bCs/>
                <w:color w:val="333333"/>
                <w:sz w:val="28"/>
                <w:szCs w:val="28"/>
              </w:rPr>
              <w:t xml:space="preserve">Return on Common Equity = </w:t>
            </w:r>
            <w:r w:rsidRPr="00E66ADB">
              <w:rPr>
                <w:rFonts w:ascii="Times New Roman" w:hAnsi="Times New Roman" w:cs="Times New Roman"/>
                <w:color w:val="333333"/>
                <w:sz w:val="28"/>
                <w:szCs w:val="28"/>
              </w:rPr>
              <w:t>Net Income To Common / Average Total Common Equity</w:t>
            </w:r>
          </w:p>
        </w:tc>
        <w:tc>
          <w:tcPr>
            <w:tcW w:w="4499" w:type="dxa"/>
          </w:tcPr>
          <w:p w14:paraId="63D404B2" w14:textId="787011AC" w:rsidR="00345617" w:rsidRPr="00E66ADB" w:rsidRDefault="00134EE2" w:rsidP="00B76982">
            <w:pPr>
              <w:ind w:left="0" w:firstLine="0"/>
              <w:rPr>
                <w:rFonts w:ascii="Times New Roman" w:hAnsi="Times New Roman" w:cs="Times New Roman"/>
                <w:b/>
                <w:bCs/>
                <w:sz w:val="28"/>
                <w:szCs w:val="28"/>
              </w:rPr>
            </w:pPr>
            <w:r w:rsidRPr="00E66ADB">
              <w:rPr>
                <w:rFonts w:ascii="Times New Roman" w:hAnsi="Times New Roman" w:cs="Times New Roman"/>
                <w:color w:val="333333"/>
                <w:sz w:val="28"/>
                <w:szCs w:val="28"/>
              </w:rPr>
              <w:t>[ 10.642 B ]/ [ 2.812 B ]=  [ 378.5% ]</w:t>
            </w:r>
          </w:p>
        </w:tc>
      </w:tr>
    </w:tbl>
    <w:p w14:paraId="289AD693" w14:textId="77777777" w:rsidR="006725E5" w:rsidRPr="00E66ADB" w:rsidRDefault="006725E5" w:rsidP="00B76982">
      <w:pPr>
        <w:rPr>
          <w:rFonts w:ascii="Times New Roman" w:hAnsi="Times New Roman" w:cs="Times New Roman"/>
          <w:b/>
          <w:bCs/>
          <w:sz w:val="28"/>
          <w:szCs w:val="28"/>
        </w:rPr>
      </w:pPr>
    </w:p>
    <w:p w14:paraId="7EF467FC" w14:textId="77777777" w:rsidR="006725E5" w:rsidRPr="00E66ADB" w:rsidRDefault="006725E5" w:rsidP="00B76982">
      <w:pPr>
        <w:rPr>
          <w:rFonts w:ascii="Times New Roman" w:hAnsi="Times New Roman" w:cs="Times New Roman"/>
          <w:b/>
          <w:bCs/>
          <w:sz w:val="28"/>
          <w:szCs w:val="28"/>
        </w:rPr>
      </w:pPr>
    </w:p>
    <w:p w14:paraId="0DC6DB38" w14:textId="215697C5" w:rsidR="00345617" w:rsidRPr="00546F8B" w:rsidRDefault="005D1399" w:rsidP="006A504A">
      <w:pPr>
        <w:pStyle w:val="Heading1"/>
        <w:numPr>
          <w:ilvl w:val="1"/>
          <w:numId w:val="3"/>
        </w:numPr>
        <w:rPr>
          <w:rFonts w:ascii="Times New Roman" w:hAnsi="Times New Roman" w:cs="Times New Roman"/>
        </w:rPr>
      </w:pPr>
      <w:bookmarkStart w:id="4" w:name="_Toc164362217"/>
      <w:r w:rsidRPr="00546F8B">
        <w:rPr>
          <w:rFonts w:ascii="Times New Roman" w:hAnsi="Times New Roman" w:cs="Times New Roman"/>
        </w:rPr>
        <w:t>Return on Assets</w:t>
      </w:r>
      <w:bookmarkEnd w:id="4"/>
    </w:p>
    <w:p w14:paraId="10A04AA7" w14:textId="77777777" w:rsidR="00805B76" w:rsidRPr="00E66ADB" w:rsidRDefault="00805B76" w:rsidP="00B76982">
      <w:pPr>
        <w:rPr>
          <w:rFonts w:ascii="Times New Roman" w:hAnsi="Times New Roman" w:cs="Times New Roman"/>
          <w:b/>
          <w:bCs/>
          <w:sz w:val="28"/>
          <w:szCs w:val="28"/>
        </w:rPr>
      </w:pPr>
    </w:p>
    <w:p w14:paraId="2CDBFDBC" w14:textId="51B98828" w:rsidR="00805B76" w:rsidRPr="00E66ADB" w:rsidRDefault="00805B76" w:rsidP="00B76982">
      <w:pPr>
        <w:rPr>
          <w:rFonts w:ascii="Times New Roman" w:hAnsi="Times New Roman" w:cs="Times New Roman"/>
          <w:sz w:val="28"/>
          <w:szCs w:val="28"/>
        </w:rPr>
      </w:pPr>
      <w:r w:rsidRPr="00E66ADB">
        <w:rPr>
          <w:rFonts w:ascii="Times New Roman" w:hAnsi="Times New Roman" w:cs="Times New Roman"/>
          <w:sz w:val="28"/>
          <w:szCs w:val="28"/>
        </w:rPr>
        <w:t>A measure of a company's effectiveness in generating cash flow through asset mobilization is its return on assets (ROA) (Kusuma, M., 2021).</w:t>
      </w:r>
    </w:p>
    <w:p w14:paraId="148797AD" w14:textId="77777777" w:rsidR="005D1399" w:rsidRPr="00E66ADB" w:rsidRDefault="005D1399" w:rsidP="00B76982">
      <w:pPr>
        <w:rPr>
          <w:rFonts w:ascii="Times New Roman" w:hAnsi="Times New Roman" w:cs="Times New Roman"/>
          <w:b/>
          <w:bCs/>
          <w:sz w:val="28"/>
          <w:szCs w:val="28"/>
        </w:rPr>
      </w:pPr>
    </w:p>
    <w:p w14:paraId="4C952EF2" w14:textId="50511008" w:rsidR="005D1399" w:rsidRPr="00E66ADB" w:rsidRDefault="00EE1ACD" w:rsidP="00B76982">
      <w:pPr>
        <w:rPr>
          <w:rFonts w:ascii="Times New Roman" w:hAnsi="Times New Roman" w:cs="Times New Roman"/>
          <w:sz w:val="28"/>
          <w:szCs w:val="28"/>
        </w:rPr>
      </w:pPr>
      <w:r w:rsidRPr="00E66ADB">
        <w:rPr>
          <w:rFonts w:ascii="Times New Roman" w:hAnsi="Times New Roman" w:cs="Times New Roman"/>
          <w:sz w:val="28"/>
          <w:szCs w:val="28"/>
        </w:rPr>
        <w:t>From May 2019 to May 2023, Oracle's operated at a 9.0% median return on assets. Looking back over the previous five years, May 2021 marked the 11.2% peak for Oracle's return on assets. In May 2022, Oracle's return on assets, which was 5.6%, reached a 5-year low.</w:t>
      </w:r>
    </w:p>
    <w:p w14:paraId="5C424B6A" w14:textId="77777777" w:rsidR="00EE1ACD" w:rsidRPr="00E66ADB" w:rsidRDefault="00EE1ACD" w:rsidP="00B76982">
      <w:pPr>
        <w:rPr>
          <w:rFonts w:ascii="Times New Roman" w:hAnsi="Times New Roman" w:cs="Times New Roman"/>
          <w:sz w:val="28"/>
          <w:szCs w:val="28"/>
        </w:rPr>
      </w:pPr>
    </w:p>
    <w:p w14:paraId="5B5BF40F" w14:textId="77777777" w:rsidR="00805B76" w:rsidRPr="00E66ADB" w:rsidRDefault="00805B76" w:rsidP="00B76982">
      <w:pPr>
        <w:rPr>
          <w:rFonts w:ascii="Times New Roman" w:hAnsi="Times New Roman" w:cs="Times New Roman"/>
          <w:sz w:val="28"/>
          <w:szCs w:val="28"/>
        </w:rPr>
      </w:pPr>
    </w:p>
    <w:p w14:paraId="5949FE6A" w14:textId="6CD43285" w:rsidR="00805B76" w:rsidRPr="00546F8B" w:rsidRDefault="00805B76" w:rsidP="00C841D9">
      <w:pPr>
        <w:pStyle w:val="Heading1"/>
        <w:numPr>
          <w:ilvl w:val="1"/>
          <w:numId w:val="3"/>
        </w:numPr>
        <w:rPr>
          <w:rFonts w:ascii="Times New Roman" w:hAnsi="Times New Roman" w:cs="Times New Roman"/>
        </w:rPr>
      </w:pPr>
      <w:bookmarkStart w:id="5" w:name="_Toc164362218"/>
      <w:r w:rsidRPr="00546F8B">
        <w:rPr>
          <w:rFonts w:ascii="Times New Roman" w:hAnsi="Times New Roman" w:cs="Times New Roman"/>
        </w:rPr>
        <w:t>Current Ratio</w:t>
      </w:r>
      <w:bookmarkEnd w:id="5"/>
    </w:p>
    <w:p w14:paraId="0E5CFCD4" w14:textId="77777777" w:rsidR="00EE1ACD" w:rsidRPr="00E66ADB" w:rsidRDefault="00EE1ACD" w:rsidP="00B76982">
      <w:pPr>
        <w:rPr>
          <w:rFonts w:ascii="Times New Roman" w:hAnsi="Times New Roman" w:cs="Times New Roman"/>
          <w:sz w:val="28"/>
          <w:szCs w:val="28"/>
        </w:rPr>
      </w:pPr>
    </w:p>
    <w:p w14:paraId="308AEA8E" w14:textId="5F039934" w:rsidR="00805B76" w:rsidRPr="00E66ADB" w:rsidRDefault="00805B76" w:rsidP="00805B76">
      <w:pPr>
        <w:rPr>
          <w:rFonts w:ascii="Times New Roman" w:hAnsi="Times New Roman" w:cs="Times New Roman"/>
          <w:sz w:val="28"/>
          <w:szCs w:val="28"/>
        </w:rPr>
      </w:pPr>
      <w:r w:rsidRPr="00E66ADB">
        <w:rPr>
          <w:rFonts w:ascii="Times New Roman" w:hAnsi="Times New Roman" w:cs="Times New Roman"/>
          <w:sz w:val="28"/>
          <w:szCs w:val="28"/>
        </w:rPr>
        <w:t xml:space="preserve">The current ratio is a measure of how well a company can pay its cash-at-hand bills through its cash-at-hand resources </w:t>
      </w:r>
      <w:r w:rsidR="002E7299" w:rsidRPr="006565D6">
        <w:rPr>
          <w:rFonts w:ascii="Times New Roman" w:hAnsi="Times New Roman" w:cs="Times New Roman"/>
          <w:color w:val="0D0D0D"/>
          <w:sz w:val="28"/>
          <w:szCs w:val="28"/>
          <w:shd w:val="clear" w:color="auto" w:fill="FFFFFF"/>
        </w:rPr>
        <w:t>(Mankar &amp; Pathade, 2013)</w:t>
      </w:r>
    </w:p>
    <w:p w14:paraId="4E35D91D" w14:textId="77777777" w:rsidR="006C04BE" w:rsidRPr="00E66ADB" w:rsidRDefault="006C04BE" w:rsidP="00805B76">
      <w:pPr>
        <w:rPr>
          <w:rFonts w:ascii="Times New Roman" w:hAnsi="Times New Roman" w:cs="Times New Roman"/>
          <w:sz w:val="28"/>
          <w:szCs w:val="28"/>
        </w:rPr>
      </w:pPr>
    </w:p>
    <w:p w14:paraId="0CD88FD8" w14:textId="596D55C9" w:rsidR="006C04BE" w:rsidRPr="00E66ADB" w:rsidRDefault="006C04BE" w:rsidP="00805B76">
      <w:pPr>
        <w:rPr>
          <w:rFonts w:ascii="Times New Roman" w:hAnsi="Times New Roman" w:cs="Times New Roman"/>
          <w:sz w:val="28"/>
          <w:szCs w:val="28"/>
        </w:rPr>
      </w:pPr>
      <w:r w:rsidRPr="00E66ADB">
        <w:rPr>
          <w:rFonts w:ascii="Times New Roman" w:hAnsi="Times New Roman" w:cs="Times New Roman"/>
          <w:sz w:val="28"/>
          <w:szCs w:val="28"/>
        </w:rPr>
        <w:t>The current ratio is a liquidity ratio that measures a company's ability to pay short-term obligations. It is calculated as a company's Total Current Assets divides by its Total Current Liabilities. Oracle's current ratio for the quarter that ended in Feb. 2024 was 0.85.</w:t>
      </w:r>
    </w:p>
    <w:p w14:paraId="414553D7" w14:textId="77777777" w:rsidR="006C04BE" w:rsidRDefault="006C04BE" w:rsidP="00805B76">
      <w:pPr>
        <w:rPr>
          <w:rFonts w:ascii="Times New Roman" w:hAnsi="Times New Roman" w:cs="Times New Roman"/>
          <w:b/>
          <w:bCs/>
          <w:sz w:val="28"/>
          <w:szCs w:val="28"/>
        </w:rPr>
      </w:pPr>
    </w:p>
    <w:p w14:paraId="7CE84B4D" w14:textId="77777777" w:rsidR="00C841D9" w:rsidRDefault="00C841D9" w:rsidP="00805B76">
      <w:pPr>
        <w:rPr>
          <w:rFonts w:ascii="Times New Roman" w:hAnsi="Times New Roman" w:cs="Times New Roman"/>
          <w:b/>
          <w:bCs/>
          <w:sz w:val="28"/>
          <w:szCs w:val="28"/>
        </w:rPr>
      </w:pPr>
    </w:p>
    <w:p w14:paraId="1B9253D2" w14:textId="77777777" w:rsidR="00C841D9" w:rsidRPr="00E66ADB" w:rsidRDefault="00C841D9" w:rsidP="00805B76">
      <w:pPr>
        <w:rPr>
          <w:rFonts w:ascii="Times New Roman" w:hAnsi="Times New Roman" w:cs="Times New Roman"/>
          <w:b/>
          <w:bCs/>
          <w:sz w:val="28"/>
          <w:szCs w:val="28"/>
        </w:rPr>
      </w:pPr>
    </w:p>
    <w:p w14:paraId="07525C00" w14:textId="52833D89" w:rsidR="006C04BE" w:rsidRPr="00546F8B" w:rsidRDefault="006C04BE" w:rsidP="00C841D9">
      <w:pPr>
        <w:pStyle w:val="Heading1"/>
        <w:numPr>
          <w:ilvl w:val="1"/>
          <w:numId w:val="3"/>
        </w:numPr>
        <w:rPr>
          <w:rFonts w:ascii="Times New Roman" w:hAnsi="Times New Roman" w:cs="Times New Roman"/>
        </w:rPr>
      </w:pPr>
      <w:bookmarkStart w:id="6" w:name="_Toc164362219"/>
      <w:r w:rsidRPr="00546F8B">
        <w:rPr>
          <w:rFonts w:ascii="Times New Roman" w:hAnsi="Times New Roman" w:cs="Times New Roman"/>
        </w:rPr>
        <w:lastRenderedPageBreak/>
        <w:t>Net Gearing Ratio</w:t>
      </w:r>
      <w:bookmarkEnd w:id="6"/>
    </w:p>
    <w:p w14:paraId="33412975" w14:textId="77777777" w:rsidR="006C04BE" w:rsidRPr="00E66ADB" w:rsidRDefault="006C04BE" w:rsidP="00805B76">
      <w:pPr>
        <w:rPr>
          <w:rFonts w:ascii="Times New Roman" w:hAnsi="Times New Roman" w:cs="Times New Roman"/>
          <w:sz w:val="28"/>
          <w:szCs w:val="28"/>
        </w:rPr>
      </w:pPr>
    </w:p>
    <w:p w14:paraId="682F0BDD" w14:textId="2EF98C26" w:rsidR="006C04BE" w:rsidRPr="00E66ADB" w:rsidRDefault="006C04BE" w:rsidP="006C04BE">
      <w:pPr>
        <w:rPr>
          <w:rFonts w:ascii="Times New Roman" w:hAnsi="Times New Roman" w:cs="Times New Roman"/>
          <w:sz w:val="28"/>
          <w:szCs w:val="28"/>
        </w:rPr>
      </w:pPr>
      <w:r w:rsidRPr="00E66ADB">
        <w:rPr>
          <w:rFonts w:ascii="Times New Roman" w:hAnsi="Times New Roman" w:cs="Times New Roman"/>
          <w:sz w:val="28"/>
          <w:szCs w:val="28"/>
        </w:rPr>
        <w:t>The ratio of the net gearing shows the proportion big by securing loans which is debt minus cash and other assets equivalent (Karmaśka, A., 2020).</w:t>
      </w:r>
    </w:p>
    <w:p w14:paraId="433B618A" w14:textId="77777777" w:rsidR="006C04BE" w:rsidRPr="00E66ADB" w:rsidRDefault="006C04BE" w:rsidP="006C04BE">
      <w:pPr>
        <w:rPr>
          <w:rFonts w:ascii="Times New Roman" w:hAnsi="Times New Roman" w:cs="Times New Roman"/>
          <w:sz w:val="28"/>
          <w:szCs w:val="28"/>
        </w:rPr>
      </w:pPr>
    </w:p>
    <w:p w14:paraId="6F307B6E" w14:textId="5BBB745C" w:rsidR="006C04BE" w:rsidRPr="00E66ADB" w:rsidRDefault="006C04BE" w:rsidP="006C04BE">
      <w:pPr>
        <w:rPr>
          <w:rFonts w:ascii="Times New Roman" w:hAnsi="Times New Roman" w:cs="Times New Roman"/>
          <w:sz w:val="28"/>
          <w:szCs w:val="28"/>
        </w:rPr>
      </w:pPr>
      <w:r w:rsidRPr="00E66ADB">
        <w:rPr>
          <w:rFonts w:ascii="Times New Roman" w:hAnsi="Times New Roman" w:cs="Times New Roman"/>
          <w:sz w:val="28"/>
          <w:szCs w:val="28"/>
        </w:rPr>
        <w:t>Current and historical debt to equity ratio values for Oracle (ORCL) over the last 10 years. The debt/equity ratio can be defined as a measure of a company's financial leverage calculated by dividing its long-term debt by stockholders' equity. Oracle debt/equity for the three months ending February 29, 2024 was 13.34.</w:t>
      </w:r>
    </w:p>
    <w:p w14:paraId="5FD37AFC" w14:textId="77777777" w:rsidR="006C04BE" w:rsidRPr="00E66ADB" w:rsidRDefault="006C04BE" w:rsidP="006C04BE">
      <w:pPr>
        <w:rPr>
          <w:rFonts w:ascii="Times New Roman" w:hAnsi="Times New Roman" w:cs="Times New Roman"/>
          <w:sz w:val="28"/>
          <w:szCs w:val="28"/>
        </w:rPr>
      </w:pPr>
    </w:p>
    <w:p w14:paraId="63E69AC4" w14:textId="2ED2D27E" w:rsidR="006C04BE" w:rsidRPr="00546F8B" w:rsidRDefault="006C04BE" w:rsidP="00C841D9">
      <w:pPr>
        <w:pStyle w:val="Heading1"/>
        <w:numPr>
          <w:ilvl w:val="1"/>
          <w:numId w:val="3"/>
        </w:numPr>
        <w:rPr>
          <w:rFonts w:ascii="Times New Roman" w:hAnsi="Times New Roman" w:cs="Times New Roman"/>
        </w:rPr>
      </w:pPr>
      <w:bookmarkStart w:id="7" w:name="_Toc164362220"/>
      <w:r w:rsidRPr="00546F8B">
        <w:rPr>
          <w:rFonts w:ascii="Times New Roman" w:hAnsi="Times New Roman" w:cs="Times New Roman"/>
        </w:rPr>
        <w:t>Efficiency Ratio</w:t>
      </w:r>
      <w:bookmarkEnd w:id="7"/>
    </w:p>
    <w:p w14:paraId="1D9E333D" w14:textId="77777777" w:rsidR="00C841D9" w:rsidRPr="00E66ADB" w:rsidRDefault="00C841D9" w:rsidP="006C04BE">
      <w:pPr>
        <w:rPr>
          <w:rFonts w:ascii="Times New Roman" w:hAnsi="Times New Roman" w:cs="Times New Roman"/>
          <w:b/>
          <w:bCs/>
          <w:sz w:val="28"/>
          <w:szCs w:val="28"/>
        </w:rPr>
      </w:pPr>
    </w:p>
    <w:p w14:paraId="5564C18C" w14:textId="1A847657" w:rsidR="006C04BE" w:rsidRPr="00E66ADB" w:rsidRDefault="006C04BE" w:rsidP="00072906">
      <w:pPr>
        <w:ind w:left="0" w:firstLine="0"/>
        <w:rPr>
          <w:rFonts w:ascii="Times New Roman" w:hAnsi="Times New Roman" w:cs="Times New Roman"/>
          <w:sz w:val="28"/>
          <w:szCs w:val="28"/>
        </w:rPr>
      </w:pPr>
      <w:r w:rsidRPr="00E66ADB">
        <w:rPr>
          <w:rFonts w:ascii="Times New Roman" w:hAnsi="Times New Roman" w:cs="Times New Roman"/>
          <w:sz w:val="28"/>
          <w:szCs w:val="28"/>
        </w:rPr>
        <w:t>An efficiency ratio is an indicator of a company ability to perform its operational expenses in parity with its revenue (Lee, C.C., 2023).</w:t>
      </w:r>
    </w:p>
    <w:p w14:paraId="6E9AD355" w14:textId="77777777" w:rsidR="00BA0652" w:rsidRPr="00E66ADB" w:rsidRDefault="00BA0652" w:rsidP="006C04BE">
      <w:pPr>
        <w:rPr>
          <w:rFonts w:ascii="Times New Roman" w:hAnsi="Times New Roman" w:cs="Times New Roman"/>
          <w:sz w:val="28"/>
          <w:szCs w:val="28"/>
        </w:rPr>
      </w:pPr>
    </w:p>
    <w:p w14:paraId="50680349" w14:textId="21CAAD0C" w:rsidR="006C04BE" w:rsidRPr="00E66ADB" w:rsidRDefault="006C04BE" w:rsidP="006C04BE">
      <w:pPr>
        <w:rPr>
          <w:rFonts w:ascii="Times New Roman" w:hAnsi="Times New Roman" w:cs="Times New Roman"/>
          <w:sz w:val="28"/>
          <w:szCs w:val="28"/>
        </w:rPr>
      </w:pPr>
      <w:r w:rsidRPr="00E66ADB">
        <w:rPr>
          <w:rFonts w:ascii="Times New Roman" w:hAnsi="Times New Roman" w:cs="Times New Roman"/>
          <w:sz w:val="28"/>
          <w:szCs w:val="28"/>
        </w:rPr>
        <w:t>The company's EPS TTM is $3.784; its P/E ratio is 33.19; and it has a dividend yield of 1.27%. Oracle is scheduled to report earnings on June 18, 2024, and the estimated EPS forecast is $1.65.</w:t>
      </w:r>
    </w:p>
    <w:p w14:paraId="579D6DA6" w14:textId="77777777" w:rsidR="00BA0652" w:rsidRPr="00E66ADB" w:rsidRDefault="00BA0652" w:rsidP="006C04BE">
      <w:pPr>
        <w:rPr>
          <w:rFonts w:ascii="Times New Roman" w:hAnsi="Times New Roman" w:cs="Times New Roman"/>
          <w:sz w:val="28"/>
          <w:szCs w:val="28"/>
        </w:rPr>
      </w:pPr>
    </w:p>
    <w:p w14:paraId="775F64BB" w14:textId="5AD70A83" w:rsidR="00A0425D" w:rsidRPr="00E66ADB" w:rsidRDefault="00BA0652" w:rsidP="00A0425D">
      <w:pPr>
        <w:rPr>
          <w:rFonts w:ascii="Times New Roman" w:hAnsi="Times New Roman" w:cs="Times New Roman"/>
          <w:sz w:val="28"/>
          <w:szCs w:val="28"/>
        </w:rPr>
      </w:pPr>
      <w:r w:rsidRPr="00E66ADB">
        <w:rPr>
          <w:rFonts w:ascii="Times New Roman" w:hAnsi="Times New Roman" w:cs="Times New Roman"/>
          <w:sz w:val="28"/>
          <w:szCs w:val="28"/>
        </w:rPr>
        <w:t xml:space="preserve">A rising Inventory Turnover Ratio implies Oracle is managing their inventory efficiently, minimizing storage costs and reducing the risk of </w:t>
      </w:r>
      <w:r w:rsidR="00677495" w:rsidRPr="00E66ADB">
        <w:rPr>
          <w:rFonts w:ascii="Times New Roman" w:hAnsi="Times New Roman" w:cs="Times New Roman"/>
          <w:sz w:val="28"/>
          <w:szCs w:val="28"/>
        </w:rPr>
        <w:t>obsolescence. A</w:t>
      </w:r>
      <w:r w:rsidRPr="00E66ADB">
        <w:rPr>
          <w:rFonts w:ascii="Times New Roman" w:hAnsi="Times New Roman" w:cs="Times New Roman"/>
          <w:sz w:val="28"/>
          <w:szCs w:val="28"/>
        </w:rPr>
        <w:t xml:space="preserve"> declining ratio could suggest overstocking, potentially due to inaccurate demand forecasting or sales slowdowns.</w:t>
      </w:r>
    </w:p>
    <w:p w14:paraId="542EF019" w14:textId="77777777" w:rsidR="00A0425D" w:rsidRPr="00E66ADB" w:rsidRDefault="00A0425D" w:rsidP="00BA0652">
      <w:pPr>
        <w:rPr>
          <w:rFonts w:ascii="Times New Roman" w:hAnsi="Times New Roman" w:cs="Times New Roman"/>
          <w:sz w:val="28"/>
          <w:szCs w:val="28"/>
        </w:rPr>
      </w:pPr>
    </w:p>
    <w:p w14:paraId="36563CF8" w14:textId="1D5C511E" w:rsidR="00A0425D" w:rsidRPr="00546F8B" w:rsidRDefault="00A0425D" w:rsidP="00CB4CDA">
      <w:pPr>
        <w:pStyle w:val="Heading1"/>
        <w:numPr>
          <w:ilvl w:val="0"/>
          <w:numId w:val="3"/>
        </w:numPr>
        <w:rPr>
          <w:rFonts w:ascii="Times New Roman" w:hAnsi="Times New Roman" w:cs="Times New Roman"/>
          <w:b/>
          <w:bCs/>
          <w:sz w:val="40"/>
          <w:szCs w:val="40"/>
          <w:u w:val="single"/>
        </w:rPr>
      </w:pPr>
      <w:bookmarkStart w:id="8" w:name="_Toc164362221"/>
      <w:r w:rsidRPr="00546F8B">
        <w:rPr>
          <w:rFonts w:ascii="Times New Roman" w:hAnsi="Times New Roman" w:cs="Times New Roman"/>
          <w:b/>
          <w:bCs/>
          <w:sz w:val="40"/>
          <w:szCs w:val="40"/>
          <w:u w:val="single"/>
        </w:rPr>
        <w:t>Comparison with the AWS(Amazon Web Service)</w:t>
      </w:r>
      <w:r w:rsidR="00CB4CDA" w:rsidRPr="00546F8B">
        <w:rPr>
          <w:rFonts w:ascii="Times New Roman" w:hAnsi="Times New Roman" w:cs="Times New Roman"/>
          <w:b/>
          <w:bCs/>
          <w:sz w:val="40"/>
          <w:szCs w:val="40"/>
          <w:u w:val="single"/>
        </w:rPr>
        <w:t>:</w:t>
      </w:r>
      <w:bookmarkEnd w:id="8"/>
    </w:p>
    <w:p w14:paraId="486A7925" w14:textId="77777777" w:rsidR="00791891" w:rsidRPr="00E66ADB" w:rsidRDefault="00791891" w:rsidP="00BA0652">
      <w:pPr>
        <w:rPr>
          <w:rFonts w:ascii="Times New Roman" w:hAnsi="Times New Roman" w:cs="Times New Roman"/>
          <w:sz w:val="28"/>
          <w:szCs w:val="28"/>
        </w:rPr>
      </w:pPr>
    </w:p>
    <w:p w14:paraId="40C48934" w14:textId="77777777" w:rsidR="00791891" w:rsidRPr="00E66ADB" w:rsidRDefault="00791891" w:rsidP="00791891">
      <w:pPr>
        <w:rPr>
          <w:rFonts w:ascii="Times New Roman" w:hAnsi="Times New Roman" w:cs="Times New Roman"/>
          <w:sz w:val="28"/>
          <w:szCs w:val="28"/>
        </w:rPr>
      </w:pPr>
      <w:r w:rsidRPr="00E66ADB">
        <w:rPr>
          <w:rFonts w:ascii="Times New Roman" w:hAnsi="Times New Roman" w:cs="Times New Roman"/>
          <w:sz w:val="28"/>
          <w:szCs w:val="28"/>
        </w:rPr>
        <w:t>Oracle: Increasing the range of cloud services it offers (SaaS, PaaS, and IaaS) to rival AWS; adopting a software subscription model; making acquisitions to increase market share; and concentrating on cutting-edge technologies like blockchain and artificial intelligence.</w:t>
      </w:r>
    </w:p>
    <w:p w14:paraId="4ED058F2" w14:textId="77777777" w:rsidR="00791891" w:rsidRPr="00E66ADB" w:rsidRDefault="00791891" w:rsidP="00791891">
      <w:pPr>
        <w:rPr>
          <w:rFonts w:ascii="Times New Roman" w:hAnsi="Times New Roman" w:cs="Times New Roman"/>
          <w:sz w:val="28"/>
          <w:szCs w:val="28"/>
        </w:rPr>
      </w:pPr>
    </w:p>
    <w:p w14:paraId="674289E4" w14:textId="00FEF9A8" w:rsidR="00791891" w:rsidRPr="00E66ADB" w:rsidRDefault="00791891" w:rsidP="00791891">
      <w:pPr>
        <w:rPr>
          <w:rFonts w:ascii="Times New Roman" w:hAnsi="Times New Roman" w:cs="Times New Roman"/>
          <w:sz w:val="28"/>
          <w:szCs w:val="28"/>
        </w:rPr>
      </w:pPr>
      <w:r w:rsidRPr="00E66ADB">
        <w:rPr>
          <w:rFonts w:ascii="Times New Roman" w:hAnsi="Times New Roman" w:cs="Times New Roman"/>
          <w:sz w:val="28"/>
          <w:szCs w:val="28"/>
        </w:rPr>
        <w:t>AWS: Constant innovation in its cloud service offerings, drawing in new clients with attractive features and prices, entering new international markets, and forming strategic alliances to increase its market share.</w:t>
      </w:r>
      <w:r w:rsidR="00A52CA6" w:rsidRPr="00E66ADB">
        <w:rPr>
          <w:rFonts w:ascii="Times New Roman" w:hAnsi="Times New Roman" w:cs="Times New Roman"/>
          <w:color w:val="2C3E50"/>
          <w:sz w:val="23"/>
          <w:szCs w:val="23"/>
          <w:shd w:val="clear" w:color="auto" w:fill="FFFFFF"/>
        </w:rPr>
        <w:t xml:space="preserve">  (Amazon, 2019)</w:t>
      </w:r>
    </w:p>
    <w:p w14:paraId="28724989" w14:textId="77777777" w:rsidR="00A0425D" w:rsidRPr="00E66ADB" w:rsidRDefault="00A0425D" w:rsidP="00A0425D">
      <w:pPr>
        <w:ind w:left="0" w:firstLine="0"/>
        <w:rPr>
          <w:rFonts w:ascii="Times New Roman" w:hAnsi="Times New Roman" w:cs="Times New Roman"/>
          <w:sz w:val="28"/>
          <w:szCs w:val="28"/>
        </w:rPr>
      </w:pPr>
    </w:p>
    <w:p w14:paraId="393436D5" w14:textId="77777777" w:rsidR="00791891" w:rsidRPr="00E66ADB" w:rsidRDefault="00791891" w:rsidP="00A0425D">
      <w:pPr>
        <w:ind w:left="0" w:firstLine="0"/>
        <w:rPr>
          <w:rFonts w:ascii="Times New Roman" w:hAnsi="Times New Roman" w:cs="Times New Roman"/>
          <w:sz w:val="28"/>
          <w:szCs w:val="28"/>
        </w:rPr>
      </w:pPr>
    </w:p>
    <w:p w14:paraId="6FF46638" w14:textId="77777777"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Financial Ratio Analysis (using 2023 data):</w:t>
      </w:r>
    </w:p>
    <w:p w14:paraId="0E025447" w14:textId="77777777" w:rsidR="00A0425D" w:rsidRPr="00E66ADB" w:rsidRDefault="00A0425D" w:rsidP="00A0425D">
      <w:pPr>
        <w:rPr>
          <w:rFonts w:ascii="Times New Roman" w:hAnsi="Times New Roman" w:cs="Times New Roman"/>
          <w:sz w:val="28"/>
          <w:szCs w:val="28"/>
        </w:rPr>
      </w:pPr>
    </w:p>
    <w:p w14:paraId="4FA99CD6" w14:textId="0875E90E" w:rsidR="00A0425D" w:rsidRPr="00E66ADB" w:rsidRDefault="00A0425D" w:rsidP="004A4068">
      <w:pPr>
        <w:rPr>
          <w:rFonts w:ascii="Times New Roman" w:hAnsi="Times New Roman" w:cs="Times New Roman"/>
          <w:sz w:val="28"/>
          <w:szCs w:val="28"/>
          <w:u w:val="single"/>
        </w:rPr>
      </w:pPr>
      <w:r w:rsidRPr="00E66ADB">
        <w:rPr>
          <w:rFonts w:ascii="Times New Roman" w:hAnsi="Times New Roman" w:cs="Times New Roman"/>
          <w:sz w:val="28"/>
          <w:szCs w:val="28"/>
          <w:u w:val="single"/>
        </w:rPr>
        <w:lastRenderedPageBreak/>
        <w:t>Profitability Ratios:</w:t>
      </w:r>
    </w:p>
    <w:p w14:paraId="38F2B04F" w14:textId="77777777"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Gross Margin Ratio:</w:t>
      </w:r>
    </w:p>
    <w:p w14:paraId="5162961F" w14:textId="77777777" w:rsidR="00A0425D" w:rsidRPr="00E66ADB" w:rsidRDefault="00A0425D" w:rsidP="00A0425D">
      <w:pPr>
        <w:rPr>
          <w:rFonts w:ascii="Times New Roman" w:hAnsi="Times New Roman" w:cs="Times New Roman"/>
          <w:sz w:val="28"/>
          <w:szCs w:val="28"/>
        </w:rPr>
      </w:pPr>
    </w:p>
    <w:p w14:paraId="4E2611C8" w14:textId="7AA48EA0"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 xml:space="preserve">Oracle (TTM): 82.3% </w:t>
      </w:r>
    </w:p>
    <w:p w14:paraId="2584FC6D" w14:textId="1A2438D2"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 xml:space="preserve">AWS (TTM Q2 2023): 35.0% </w:t>
      </w:r>
    </w:p>
    <w:p w14:paraId="288C0832" w14:textId="77777777" w:rsidR="004A4068" w:rsidRPr="00E66ADB" w:rsidRDefault="004A4068" w:rsidP="00A0425D">
      <w:pPr>
        <w:rPr>
          <w:rFonts w:ascii="Times New Roman" w:hAnsi="Times New Roman" w:cs="Times New Roman"/>
          <w:sz w:val="28"/>
          <w:szCs w:val="28"/>
        </w:rPr>
      </w:pPr>
    </w:p>
    <w:p w14:paraId="39B2C45F" w14:textId="77777777" w:rsidR="00A0425D" w:rsidRPr="00E66ADB" w:rsidRDefault="00A0425D" w:rsidP="00A0425D">
      <w:pPr>
        <w:rPr>
          <w:rFonts w:ascii="Times New Roman" w:hAnsi="Times New Roman" w:cs="Times New Roman"/>
          <w:sz w:val="28"/>
          <w:szCs w:val="28"/>
        </w:rPr>
      </w:pPr>
    </w:p>
    <w:p w14:paraId="79D4A21C" w14:textId="77777777"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Operating Margin Ratio:</w:t>
      </w:r>
    </w:p>
    <w:p w14:paraId="6D5BF512" w14:textId="77777777" w:rsidR="00A0425D" w:rsidRPr="00E66ADB" w:rsidRDefault="00A0425D" w:rsidP="00A0425D">
      <w:pPr>
        <w:rPr>
          <w:rFonts w:ascii="Times New Roman" w:hAnsi="Times New Roman" w:cs="Times New Roman"/>
          <w:sz w:val="28"/>
          <w:szCs w:val="28"/>
        </w:rPr>
      </w:pPr>
    </w:p>
    <w:p w14:paraId="7BD598C4" w14:textId="6B1D3BB3"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 xml:space="preserve">Oracle (TTM): 32.1% </w:t>
      </w:r>
    </w:p>
    <w:p w14:paraId="4C528054" w14:textId="2F65AFFD"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 xml:space="preserve">AWS (TTM Q2 2023): 15.7% </w:t>
      </w:r>
    </w:p>
    <w:p w14:paraId="1411EA5D" w14:textId="77777777"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Net Profit Margin Ratio:</w:t>
      </w:r>
    </w:p>
    <w:p w14:paraId="0E58AF14" w14:textId="77777777" w:rsidR="00A0425D" w:rsidRPr="00E66ADB" w:rsidRDefault="00A0425D" w:rsidP="00A0425D">
      <w:pPr>
        <w:rPr>
          <w:rFonts w:ascii="Times New Roman" w:hAnsi="Times New Roman" w:cs="Times New Roman"/>
          <w:sz w:val="28"/>
          <w:szCs w:val="28"/>
        </w:rPr>
      </w:pPr>
    </w:p>
    <w:p w14:paraId="7B415C11" w14:textId="5B88241B"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 xml:space="preserve">Oracle (TTM): 22.4% </w:t>
      </w:r>
    </w:p>
    <w:p w14:paraId="7FD2884D" w14:textId="10DE172C" w:rsidR="00A0425D" w:rsidRPr="00E66ADB" w:rsidRDefault="00A0425D" w:rsidP="00A0425D">
      <w:pPr>
        <w:rPr>
          <w:rFonts w:ascii="Times New Roman" w:hAnsi="Times New Roman" w:cs="Times New Roman"/>
          <w:sz w:val="28"/>
          <w:szCs w:val="28"/>
        </w:rPr>
      </w:pPr>
      <w:r w:rsidRPr="00E66ADB">
        <w:rPr>
          <w:rFonts w:ascii="Times New Roman" w:hAnsi="Times New Roman" w:cs="Times New Roman"/>
          <w:sz w:val="28"/>
          <w:szCs w:val="28"/>
        </w:rPr>
        <w:t xml:space="preserve">AWS (TTM Q2 2023): 12.2% </w:t>
      </w:r>
    </w:p>
    <w:p w14:paraId="2B954850" w14:textId="77777777" w:rsidR="00716E0C" w:rsidRPr="00E66ADB" w:rsidRDefault="00716E0C" w:rsidP="00A0425D">
      <w:pPr>
        <w:rPr>
          <w:rFonts w:ascii="Times New Roman" w:hAnsi="Times New Roman" w:cs="Times New Roman"/>
          <w:sz w:val="28"/>
          <w:szCs w:val="28"/>
        </w:rPr>
      </w:pPr>
    </w:p>
    <w:p w14:paraId="072FC44E" w14:textId="77777777" w:rsidR="00716E0C" w:rsidRPr="00E66ADB" w:rsidRDefault="00716E0C" w:rsidP="00716E0C">
      <w:pPr>
        <w:rPr>
          <w:rFonts w:ascii="Times New Roman" w:hAnsi="Times New Roman" w:cs="Times New Roman"/>
          <w:sz w:val="28"/>
          <w:szCs w:val="28"/>
          <w:u w:val="single"/>
        </w:rPr>
      </w:pPr>
      <w:r w:rsidRPr="00E66ADB">
        <w:rPr>
          <w:rFonts w:ascii="Times New Roman" w:hAnsi="Times New Roman" w:cs="Times New Roman"/>
          <w:sz w:val="28"/>
          <w:szCs w:val="28"/>
          <w:u w:val="single"/>
        </w:rPr>
        <w:t>Shareholder Value Creation:</w:t>
      </w:r>
    </w:p>
    <w:p w14:paraId="4E8AAAD8" w14:textId="77777777" w:rsidR="00716E0C" w:rsidRPr="00E66ADB" w:rsidRDefault="00716E0C" w:rsidP="00716E0C">
      <w:pPr>
        <w:rPr>
          <w:rFonts w:ascii="Times New Roman" w:hAnsi="Times New Roman" w:cs="Times New Roman"/>
          <w:sz w:val="28"/>
          <w:szCs w:val="28"/>
        </w:rPr>
      </w:pPr>
    </w:p>
    <w:p w14:paraId="2D61740F" w14:textId="4FDC2D84" w:rsidR="00991F95" w:rsidRPr="00E66ADB" w:rsidRDefault="00716E0C" w:rsidP="00991F95">
      <w:pPr>
        <w:rPr>
          <w:rFonts w:ascii="Times New Roman" w:hAnsi="Times New Roman" w:cs="Times New Roman"/>
          <w:sz w:val="28"/>
          <w:szCs w:val="28"/>
        </w:rPr>
      </w:pPr>
      <w:r w:rsidRPr="00E66ADB">
        <w:rPr>
          <w:rFonts w:ascii="Times New Roman" w:hAnsi="Times New Roman" w:cs="Times New Roman"/>
          <w:sz w:val="28"/>
          <w:szCs w:val="28"/>
        </w:rPr>
        <w:t>Oracle: Share buybacks, dividends, and investments in growth initiatives. Oracle's stock price may be impacted by its transition to a cloud-based model.</w:t>
      </w:r>
    </w:p>
    <w:p w14:paraId="4C155670" w14:textId="74FE0394" w:rsidR="005B41B4" w:rsidRPr="00E66ADB" w:rsidRDefault="00991F95" w:rsidP="00991F95">
      <w:pPr>
        <w:shd w:val="clear" w:color="auto" w:fill="FFFFFF"/>
        <w:spacing w:before="100" w:beforeAutospacing="1" w:after="100" w:afterAutospacing="1" w:line="240" w:lineRule="auto"/>
        <w:ind w:left="0" w:firstLine="0"/>
        <w:jc w:val="left"/>
        <w:rPr>
          <w:rFonts w:ascii="Times New Roman" w:eastAsia="Times New Roman" w:hAnsi="Times New Roman" w:cs="Times New Roman"/>
          <w:color w:val="1F1F1F"/>
          <w:kern w:val="0"/>
          <w:sz w:val="28"/>
          <w:szCs w:val="28"/>
          <w:u w:val="single"/>
          <w14:ligatures w14:val="none"/>
        </w:rPr>
      </w:pPr>
      <w:r w:rsidRPr="00E66ADB">
        <w:rPr>
          <w:rFonts w:ascii="Times New Roman" w:eastAsia="Times New Roman" w:hAnsi="Times New Roman" w:cs="Times New Roman"/>
          <w:color w:val="1F1F1F"/>
          <w:kern w:val="0"/>
          <w:sz w:val="28"/>
          <w:szCs w:val="28"/>
          <w:u w:val="single"/>
          <w14:ligatures w14:val="none"/>
        </w:rPr>
        <w:t>Additional Considerations:</w:t>
      </w:r>
    </w:p>
    <w:p w14:paraId="45771936" w14:textId="10C75F6B" w:rsidR="00716E0C" w:rsidRPr="00E66ADB" w:rsidRDefault="00716E0C" w:rsidP="00716E0C">
      <w:pPr>
        <w:rPr>
          <w:rFonts w:ascii="Times New Roman" w:hAnsi="Times New Roman" w:cs="Times New Roman"/>
          <w:sz w:val="28"/>
          <w:szCs w:val="28"/>
        </w:rPr>
      </w:pPr>
      <w:r w:rsidRPr="00E66ADB">
        <w:rPr>
          <w:rFonts w:ascii="Times New Roman" w:hAnsi="Times New Roman" w:cs="Times New Roman"/>
          <w:sz w:val="28"/>
          <w:szCs w:val="28"/>
        </w:rPr>
        <w:t>AWS: As part of Amazon, AWS contributes significantly to its overall shareholder value. AWS's consistent growth and profitability are positive indicators for investors.</w:t>
      </w:r>
    </w:p>
    <w:p w14:paraId="023417B1" w14:textId="77777777" w:rsidR="00991F95" w:rsidRPr="00E66ADB" w:rsidRDefault="00991F95" w:rsidP="00716E0C">
      <w:pPr>
        <w:rPr>
          <w:rFonts w:ascii="Times New Roman" w:hAnsi="Times New Roman" w:cs="Times New Roman"/>
          <w:sz w:val="28"/>
          <w:szCs w:val="28"/>
        </w:rPr>
      </w:pPr>
    </w:p>
    <w:p w14:paraId="0052C6D2" w14:textId="77777777" w:rsidR="00991F95" w:rsidRPr="00E66ADB" w:rsidRDefault="00991F95" w:rsidP="00991F95">
      <w:pPr>
        <w:rPr>
          <w:rFonts w:ascii="Times New Roman" w:hAnsi="Times New Roman" w:cs="Times New Roman"/>
          <w:sz w:val="28"/>
          <w:szCs w:val="28"/>
        </w:rPr>
      </w:pPr>
      <w:r w:rsidRPr="00E66ADB">
        <w:rPr>
          <w:rFonts w:ascii="Times New Roman" w:hAnsi="Times New Roman" w:cs="Times New Roman"/>
          <w:sz w:val="28"/>
          <w:szCs w:val="28"/>
        </w:rPr>
        <w:t>business Share: Oracle is now trailing behind AWS in the cloud computing business.</w:t>
      </w:r>
    </w:p>
    <w:p w14:paraId="2248D8E9" w14:textId="02A2119A" w:rsidR="00991F95" w:rsidRPr="00E66ADB" w:rsidRDefault="00991F95" w:rsidP="00991F95">
      <w:pPr>
        <w:rPr>
          <w:rFonts w:ascii="Times New Roman" w:hAnsi="Times New Roman" w:cs="Times New Roman"/>
          <w:sz w:val="28"/>
          <w:szCs w:val="28"/>
        </w:rPr>
      </w:pPr>
      <w:r w:rsidRPr="00E66ADB">
        <w:rPr>
          <w:rFonts w:ascii="Times New Roman" w:hAnsi="Times New Roman" w:cs="Times New Roman"/>
          <w:sz w:val="28"/>
          <w:szCs w:val="28"/>
        </w:rPr>
        <w:t>Brand Recognition: Although both businesses are well-known in the IT industry, AWS is more strongly associated with cloud computing.</w:t>
      </w:r>
    </w:p>
    <w:p w14:paraId="44497147" w14:textId="77777777" w:rsidR="00D96FB6" w:rsidRPr="00E66ADB" w:rsidRDefault="00D96FB6" w:rsidP="00991F95">
      <w:pPr>
        <w:rPr>
          <w:rFonts w:ascii="Times New Roman" w:hAnsi="Times New Roman" w:cs="Times New Roman"/>
          <w:sz w:val="28"/>
          <w:szCs w:val="28"/>
        </w:rPr>
      </w:pPr>
    </w:p>
    <w:p w14:paraId="13D3C037" w14:textId="3760A1CC" w:rsidR="00D96FB6" w:rsidRPr="00546F8B" w:rsidRDefault="00D96FB6" w:rsidP="00CD04CF">
      <w:pPr>
        <w:pStyle w:val="Heading1"/>
        <w:numPr>
          <w:ilvl w:val="1"/>
          <w:numId w:val="3"/>
        </w:numPr>
        <w:rPr>
          <w:rFonts w:ascii="Times New Roman" w:hAnsi="Times New Roman" w:cs="Times New Roman"/>
        </w:rPr>
      </w:pPr>
      <w:bookmarkStart w:id="9" w:name="_Toc164362222"/>
      <w:r w:rsidRPr="00546F8B">
        <w:rPr>
          <w:rFonts w:ascii="Times New Roman" w:hAnsi="Times New Roman" w:cs="Times New Roman"/>
        </w:rPr>
        <w:t>Return on Assets</w:t>
      </w:r>
      <w:bookmarkEnd w:id="9"/>
    </w:p>
    <w:p w14:paraId="52E2C519" w14:textId="77777777" w:rsidR="00D96FB6" w:rsidRPr="00E66ADB" w:rsidRDefault="00D96FB6" w:rsidP="00716E0C">
      <w:pPr>
        <w:rPr>
          <w:rFonts w:ascii="Times New Roman" w:hAnsi="Times New Roman" w:cs="Times New Roman"/>
          <w:sz w:val="28"/>
          <w:szCs w:val="28"/>
        </w:rPr>
      </w:pPr>
    </w:p>
    <w:p w14:paraId="6178D214" w14:textId="3BD3A129" w:rsidR="00D96FB6" w:rsidRPr="00E66ADB" w:rsidRDefault="00D96FB6" w:rsidP="00716E0C">
      <w:pPr>
        <w:rPr>
          <w:rFonts w:ascii="Times New Roman" w:hAnsi="Times New Roman" w:cs="Times New Roman"/>
          <w:sz w:val="28"/>
          <w:szCs w:val="28"/>
        </w:rPr>
      </w:pPr>
      <w:r w:rsidRPr="00E66ADB">
        <w:rPr>
          <w:rFonts w:ascii="Times New Roman" w:hAnsi="Times New Roman" w:cs="Times New Roman"/>
          <w:sz w:val="28"/>
          <w:szCs w:val="28"/>
        </w:rPr>
        <w:t>Oracle's operated at median return on assets of 9.0% from fiscal years ending May 2019 to 2023.</w:t>
      </w:r>
    </w:p>
    <w:p w14:paraId="1AB536DB" w14:textId="77777777" w:rsidR="00D96FB6" w:rsidRPr="00E66ADB" w:rsidRDefault="00D96FB6" w:rsidP="00716E0C">
      <w:pPr>
        <w:rPr>
          <w:rFonts w:ascii="Times New Roman" w:hAnsi="Times New Roman" w:cs="Times New Roman"/>
          <w:sz w:val="28"/>
          <w:szCs w:val="28"/>
        </w:rPr>
      </w:pPr>
    </w:p>
    <w:p w14:paraId="4B0A18F2" w14:textId="485D7CFB" w:rsidR="00D96FB6" w:rsidRPr="00E66ADB" w:rsidRDefault="00C06DBB" w:rsidP="00716E0C">
      <w:pPr>
        <w:rPr>
          <w:rFonts w:ascii="Times New Roman" w:hAnsi="Times New Roman" w:cs="Times New Roman"/>
          <w:sz w:val="28"/>
          <w:szCs w:val="28"/>
        </w:rPr>
      </w:pPr>
      <w:r w:rsidRPr="00E66ADB">
        <w:rPr>
          <w:rFonts w:ascii="Times New Roman" w:hAnsi="Times New Roman" w:cs="Times New Roman"/>
          <w:sz w:val="28"/>
          <w:szCs w:val="28"/>
        </w:rPr>
        <w:t>AWS</w:t>
      </w:r>
      <w:r w:rsidR="00D96FB6" w:rsidRPr="00E66ADB">
        <w:rPr>
          <w:rFonts w:ascii="Times New Roman" w:hAnsi="Times New Roman" w:cs="Times New Roman"/>
          <w:sz w:val="28"/>
          <w:szCs w:val="28"/>
        </w:rPr>
        <w:t>' return on assets for fiscal years ending December 2019 to 2023 averaged 5.7%.</w:t>
      </w:r>
    </w:p>
    <w:p w14:paraId="649FF2FF" w14:textId="77777777" w:rsidR="00D96FB6" w:rsidRPr="00E66ADB" w:rsidRDefault="00D96FB6" w:rsidP="00D96FB6">
      <w:pPr>
        <w:ind w:left="0" w:firstLine="0"/>
        <w:rPr>
          <w:rFonts w:ascii="Times New Roman" w:hAnsi="Times New Roman" w:cs="Times New Roman"/>
          <w:sz w:val="28"/>
          <w:szCs w:val="28"/>
        </w:rPr>
      </w:pPr>
    </w:p>
    <w:p w14:paraId="57717012" w14:textId="3B913231" w:rsidR="00D96FB6" w:rsidRPr="00E66ADB" w:rsidRDefault="00D96FB6" w:rsidP="00D96FB6">
      <w:pPr>
        <w:ind w:left="0" w:firstLine="0"/>
        <w:rPr>
          <w:rFonts w:ascii="Times New Roman" w:hAnsi="Times New Roman" w:cs="Times New Roman"/>
          <w:sz w:val="28"/>
          <w:szCs w:val="28"/>
        </w:rPr>
      </w:pPr>
      <w:r w:rsidRPr="00E66ADB">
        <w:rPr>
          <w:rFonts w:ascii="Times New Roman" w:hAnsi="Times New Roman" w:cs="Times New Roman"/>
          <w:sz w:val="28"/>
          <w:szCs w:val="28"/>
        </w:rPr>
        <w:lastRenderedPageBreak/>
        <w:t xml:space="preserve">According to </w:t>
      </w:r>
      <w:r w:rsidR="00C06DBB" w:rsidRPr="00E66ADB">
        <w:rPr>
          <w:rFonts w:ascii="Times New Roman" w:hAnsi="Times New Roman" w:cs="Times New Roman"/>
          <w:sz w:val="28"/>
          <w:szCs w:val="28"/>
        </w:rPr>
        <w:t>scenario</w:t>
      </w:r>
      <w:r w:rsidRPr="00E66ADB">
        <w:rPr>
          <w:rFonts w:ascii="Times New Roman" w:hAnsi="Times New Roman" w:cs="Times New Roman"/>
          <w:sz w:val="28"/>
          <w:szCs w:val="28"/>
        </w:rPr>
        <w:t xml:space="preserve">, Oracle (ORCL) and Amazon </w:t>
      </w:r>
      <w:r w:rsidR="006565D6">
        <w:rPr>
          <w:rFonts w:ascii="Times New Roman" w:hAnsi="Times New Roman" w:cs="Times New Roman"/>
          <w:sz w:val="28"/>
          <w:szCs w:val="28"/>
        </w:rPr>
        <w:t>AWS</w:t>
      </w:r>
      <w:r w:rsidRPr="00E66ADB">
        <w:rPr>
          <w:rFonts w:ascii="Times New Roman" w:hAnsi="Times New Roman" w:cs="Times New Roman"/>
          <w:sz w:val="28"/>
          <w:szCs w:val="28"/>
        </w:rPr>
        <w:t xml:space="preserve"> have historically performed well in terms of their Return on Assets (ROA) measure. The conclusions we can draw are broken down as follows:</w:t>
      </w:r>
    </w:p>
    <w:p w14:paraId="3E38020B" w14:textId="77777777" w:rsidR="00EA1D68" w:rsidRPr="00E66ADB" w:rsidRDefault="00EA1D68" w:rsidP="00D96FB6">
      <w:pPr>
        <w:ind w:left="0" w:firstLine="0"/>
        <w:rPr>
          <w:rFonts w:ascii="Times New Roman" w:hAnsi="Times New Roman" w:cs="Times New Roman"/>
          <w:sz w:val="28"/>
          <w:szCs w:val="28"/>
        </w:rPr>
      </w:pPr>
    </w:p>
    <w:p w14:paraId="61B22CB7" w14:textId="77777777" w:rsidR="00A52CA6" w:rsidRPr="00E66ADB" w:rsidRDefault="00A52CA6" w:rsidP="00D96FB6">
      <w:pPr>
        <w:ind w:left="0" w:firstLine="0"/>
        <w:rPr>
          <w:rFonts w:ascii="Times New Roman" w:hAnsi="Times New Roman" w:cs="Times New Roman"/>
          <w:sz w:val="28"/>
          <w:szCs w:val="28"/>
        </w:rPr>
      </w:pPr>
    </w:p>
    <w:p w14:paraId="4B24DAB4" w14:textId="77777777" w:rsidR="00EA1D68" w:rsidRPr="00E66ADB" w:rsidRDefault="00EA1D68" w:rsidP="00EA1D68">
      <w:pPr>
        <w:ind w:left="0" w:firstLine="0"/>
        <w:rPr>
          <w:rFonts w:ascii="Times New Roman" w:hAnsi="Times New Roman" w:cs="Times New Roman"/>
          <w:sz w:val="28"/>
          <w:szCs w:val="28"/>
        </w:rPr>
      </w:pPr>
      <w:r w:rsidRPr="00E66ADB">
        <w:rPr>
          <w:rFonts w:ascii="Times New Roman" w:hAnsi="Times New Roman" w:cs="Times New Roman"/>
          <w:sz w:val="28"/>
          <w:szCs w:val="28"/>
        </w:rPr>
        <w:t>Oracle's Return on Assets:</w:t>
      </w:r>
    </w:p>
    <w:p w14:paraId="5FE6FD10" w14:textId="77777777" w:rsidR="00EA1D68" w:rsidRPr="00E66ADB" w:rsidRDefault="00EA1D68" w:rsidP="00EA1D68">
      <w:pPr>
        <w:ind w:left="0" w:firstLine="0"/>
        <w:rPr>
          <w:rFonts w:ascii="Times New Roman" w:hAnsi="Times New Roman" w:cs="Times New Roman"/>
          <w:sz w:val="28"/>
          <w:szCs w:val="28"/>
        </w:rPr>
      </w:pPr>
    </w:p>
    <w:p w14:paraId="3B872834" w14:textId="77777777" w:rsidR="00EA1D68" w:rsidRPr="00E66ADB" w:rsidRDefault="00EA1D68" w:rsidP="00EA1D68">
      <w:pPr>
        <w:ind w:left="0" w:firstLine="0"/>
        <w:rPr>
          <w:rFonts w:ascii="Times New Roman" w:hAnsi="Times New Roman" w:cs="Times New Roman"/>
          <w:sz w:val="28"/>
          <w:szCs w:val="28"/>
        </w:rPr>
      </w:pPr>
      <w:r w:rsidRPr="00E66ADB">
        <w:rPr>
          <w:rFonts w:ascii="Times New Roman" w:hAnsi="Times New Roman" w:cs="Times New Roman"/>
          <w:sz w:val="28"/>
          <w:szCs w:val="28"/>
        </w:rPr>
        <w:t>With a median return on assets (ROA) of 9.0%, Oracle's average ROA for the five fiscal years that ended in May 2023 was 9%. With a "median" of 9%, half the years had greater values and the other half had lower values.</w:t>
      </w:r>
    </w:p>
    <w:p w14:paraId="596E9DA5" w14:textId="77777777" w:rsidR="00EA1D68" w:rsidRPr="00E66ADB" w:rsidRDefault="00EA1D68" w:rsidP="00EA1D68">
      <w:pPr>
        <w:ind w:left="0" w:firstLine="0"/>
        <w:rPr>
          <w:rFonts w:ascii="Times New Roman" w:hAnsi="Times New Roman" w:cs="Times New Roman"/>
          <w:sz w:val="28"/>
          <w:szCs w:val="28"/>
        </w:rPr>
      </w:pPr>
    </w:p>
    <w:p w14:paraId="48C70C84" w14:textId="4B1E211E" w:rsidR="00EA1D68" w:rsidRPr="00E66ADB" w:rsidRDefault="00EA1D68" w:rsidP="00EA1D68">
      <w:pPr>
        <w:ind w:left="0" w:firstLine="0"/>
        <w:rPr>
          <w:rFonts w:ascii="Times New Roman" w:hAnsi="Times New Roman" w:cs="Times New Roman"/>
          <w:sz w:val="28"/>
          <w:szCs w:val="28"/>
        </w:rPr>
      </w:pPr>
      <w:r w:rsidRPr="00E66ADB">
        <w:rPr>
          <w:rFonts w:ascii="Times New Roman" w:hAnsi="Times New Roman" w:cs="Times New Roman"/>
          <w:sz w:val="28"/>
          <w:szCs w:val="28"/>
        </w:rPr>
        <w:t>Relatively High ROA: Oracle's 9% ROA indicates that it makes effective use of its resources to turn a profit, in contrast to the industry averages for software businesses, which can differ.</w:t>
      </w:r>
    </w:p>
    <w:p w14:paraId="10E55FAB" w14:textId="77777777" w:rsidR="00E66ADB" w:rsidRDefault="00E66ADB" w:rsidP="00EA1D68">
      <w:pPr>
        <w:ind w:left="0" w:firstLine="0"/>
        <w:rPr>
          <w:rFonts w:ascii="Times New Roman" w:hAnsi="Times New Roman" w:cs="Times New Roman"/>
          <w:sz w:val="28"/>
          <w:szCs w:val="28"/>
        </w:rPr>
      </w:pPr>
    </w:p>
    <w:p w14:paraId="3E12EE2C" w14:textId="77777777" w:rsidR="00CD04CF" w:rsidRPr="00E66ADB" w:rsidRDefault="00CD04CF" w:rsidP="00EA1D68">
      <w:pPr>
        <w:ind w:left="0" w:firstLine="0"/>
        <w:rPr>
          <w:rFonts w:ascii="Times New Roman" w:hAnsi="Times New Roman" w:cs="Times New Roman"/>
          <w:sz w:val="28"/>
          <w:szCs w:val="28"/>
        </w:rPr>
      </w:pPr>
    </w:p>
    <w:p w14:paraId="2E83A2E5" w14:textId="77777777" w:rsidR="00B33139" w:rsidRPr="00E66ADB" w:rsidRDefault="00B33139" w:rsidP="00B33139">
      <w:pPr>
        <w:ind w:left="0" w:firstLine="0"/>
        <w:rPr>
          <w:rFonts w:ascii="Times New Roman" w:hAnsi="Times New Roman" w:cs="Times New Roman"/>
          <w:sz w:val="28"/>
          <w:szCs w:val="28"/>
        </w:rPr>
      </w:pPr>
      <w:r w:rsidRPr="00E66ADB">
        <w:rPr>
          <w:rFonts w:ascii="Times New Roman" w:hAnsi="Times New Roman" w:cs="Times New Roman"/>
          <w:sz w:val="28"/>
          <w:szCs w:val="28"/>
        </w:rPr>
        <w:t>The ROA of AWS':</w:t>
      </w:r>
    </w:p>
    <w:p w14:paraId="0B0CFC1E" w14:textId="77777777" w:rsidR="00B33139" w:rsidRPr="00E66ADB" w:rsidRDefault="00B33139" w:rsidP="00B33139">
      <w:pPr>
        <w:ind w:left="0" w:firstLine="0"/>
        <w:rPr>
          <w:rFonts w:ascii="Times New Roman" w:hAnsi="Times New Roman" w:cs="Times New Roman"/>
          <w:sz w:val="28"/>
          <w:szCs w:val="28"/>
        </w:rPr>
      </w:pPr>
    </w:p>
    <w:p w14:paraId="46012F2B" w14:textId="43991CD1" w:rsidR="00B33139" w:rsidRPr="00E66ADB" w:rsidRDefault="00B33139" w:rsidP="00B33139">
      <w:pPr>
        <w:ind w:left="0" w:firstLine="0"/>
        <w:rPr>
          <w:rFonts w:ascii="Times New Roman" w:hAnsi="Times New Roman" w:cs="Times New Roman"/>
          <w:sz w:val="28"/>
          <w:szCs w:val="28"/>
        </w:rPr>
      </w:pPr>
      <w:r w:rsidRPr="00E66ADB">
        <w:rPr>
          <w:rFonts w:ascii="Times New Roman" w:hAnsi="Times New Roman" w:cs="Times New Roman"/>
          <w:sz w:val="28"/>
          <w:szCs w:val="28"/>
        </w:rPr>
        <w:t>Average ROA of 5.7%: This shows that Amazon's average ROA for the last five fiscal years, which ended in December 2023, was 5.7%.Reduced ROA in comparison to Oracle: There could be a number of reasons for this, including:</w:t>
      </w:r>
    </w:p>
    <w:p w14:paraId="1AB1B3A6" w14:textId="63F359F0" w:rsidR="00B33139" w:rsidRPr="00E66ADB" w:rsidRDefault="00B33139" w:rsidP="00B33139">
      <w:pPr>
        <w:ind w:left="0" w:firstLine="0"/>
        <w:rPr>
          <w:rFonts w:ascii="Times New Roman" w:hAnsi="Times New Roman" w:cs="Times New Roman"/>
          <w:sz w:val="28"/>
          <w:szCs w:val="28"/>
        </w:rPr>
      </w:pPr>
      <w:r w:rsidRPr="00E66ADB">
        <w:rPr>
          <w:rFonts w:ascii="Times New Roman" w:hAnsi="Times New Roman" w:cs="Times New Roman"/>
          <w:sz w:val="28"/>
          <w:szCs w:val="28"/>
        </w:rPr>
        <w:t>Amazon's Business Model: The e-commerce industry is characterized by rapid expansion and poor profit margins. Their focus on quick growth and reinvesting profits back into the company might occasionally have an impact on ROA.</w:t>
      </w:r>
    </w:p>
    <w:p w14:paraId="173C7F34" w14:textId="33378552" w:rsidR="00B33139" w:rsidRPr="00E66ADB" w:rsidRDefault="00B33139" w:rsidP="00B33139">
      <w:pPr>
        <w:ind w:left="0" w:firstLine="0"/>
        <w:rPr>
          <w:rFonts w:ascii="Times New Roman" w:hAnsi="Times New Roman" w:cs="Times New Roman"/>
          <w:sz w:val="28"/>
          <w:szCs w:val="28"/>
        </w:rPr>
      </w:pPr>
      <w:r w:rsidRPr="00E66ADB">
        <w:rPr>
          <w:rFonts w:ascii="Times New Roman" w:hAnsi="Times New Roman" w:cs="Times New Roman"/>
          <w:sz w:val="28"/>
          <w:szCs w:val="28"/>
        </w:rPr>
        <w:t>Asset Intensity: Compared to Oracle, Amazon may have a larger percentage of intangible assets (such as brand value), which could have an effect on ROA estimates.</w:t>
      </w:r>
    </w:p>
    <w:p w14:paraId="6588E0DA" w14:textId="77777777" w:rsidR="000638E5" w:rsidRPr="00E66ADB" w:rsidRDefault="000638E5" w:rsidP="000638E5">
      <w:pPr>
        <w:ind w:left="0" w:firstLine="0"/>
        <w:rPr>
          <w:rFonts w:ascii="Times New Roman" w:hAnsi="Times New Roman" w:cs="Times New Roman"/>
          <w:sz w:val="28"/>
          <w:szCs w:val="28"/>
        </w:rPr>
      </w:pPr>
    </w:p>
    <w:p w14:paraId="4F26F837" w14:textId="77777777" w:rsidR="000638E5" w:rsidRPr="00E66ADB" w:rsidRDefault="000638E5" w:rsidP="000638E5">
      <w:pPr>
        <w:ind w:left="0" w:firstLine="0"/>
        <w:rPr>
          <w:rFonts w:ascii="Times New Roman" w:hAnsi="Times New Roman" w:cs="Times New Roman"/>
          <w:sz w:val="28"/>
          <w:szCs w:val="28"/>
        </w:rPr>
      </w:pPr>
      <w:r w:rsidRPr="00E66ADB">
        <w:rPr>
          <w:rFonts w:ascii="Times New Roman" w:hAnsi="Times New Roman" w:cs="Times New Roman"/>
          <w:sz w:val="28"/>
          <w:szCs w:val="28"/>
        </w:rPr>
        <w:t>Limitations of ROA: ROA is merely one metric. A superior company isn't always indicated by a greater ROA. For a more complete view, it is imperative to take into account other financial measures in addition to ROA (e.g., profit margin, debt-to-equity ratio).</w:t>
      </w:r>
    </w:p>
    <w:p w14:paraId="250D3AD6" w14:textId="77777777" w:rsidR="000638E5" w:rsidRPr="00E66ADB" w:rsidRDefault="000638E5" w:rsidP="000638E5">
      <w:pPr>
        <w:ind w:left="0" w:firstLine="0"/>
        <w:rPr>
          <w:rFonts w:ascii="Times New Roman" w:hAnsi="Times New Roman" w:cs="Times New Roman"/>
          <w:sz w:val="28"/>
          <w:szCs w:val="28"/>
        </w:rPr>
      </w:pPr>
    </w:p>
    <w:p w14:paraId="445EB92A" w14:textId="0796E9F4" w:rsidR="000638E5" w:rsidRPr="00E66ADB" w:rsidRDefault="000638E5" w:rsidP="000638E5">
      <w:pPr>
        <w:ind w:left="0" w:firstLine="0"/>
        <w:rPr>
          <w:rFonts w:ascii="Times New Roman" w:hAnsi="Times New Roman" w:cs="Times New Roman"/>
          <w:sz w:val="28"/>
          <w:szCs w:val="28"/>
        </w:rPr>
      </w:pPr>
      <w:r w:rsidRPr="00E66ADB">
        <w:rPr>
          <w:rFonts w:ascii="Times New Roman" w:hAnsi="Times New Roman" w:cs="Times New Roman"/>
          <w:sz w:val="28"/>
          <w:szCs w:val="28"/>
        </w:rPr>
        <w:t>Sector Means: It's helpful to compare these ROA figures to the average ROA for their respective industries (software and e-commerce) to get a better understanding of their relative performance within their sectors.</w:t>
      </w:r>
    </w:p>
    <w:p w14:paraId="5CDEBA5B" w14:textId="77777777" w:rsidR="00C06DBB" w:rsidRPr="00E66ADB" w:rsidRDefault="00C06DBB" w:rsidP="00D96FB6">
      <w:pPr>
        <w:ind w:left="0" w:firstLine="0"/>
        <w:rPr>
          <w:rFonts w:ascii="Times New Roman" w:hAnsi="Times New Roman" w:cs="Times New Roman"/>
          <w:b/>
          <w:bCs/>
          <w:sz w:val="28"/>
          <w:szCs w:val="28"/>
        </w:rPr>
      </w:pPr>
    </w:p>
    <w:p w14:paraId="68BC693F" w14:textId="4249DED1" w:rsidR="00235DFA" w:rsidRPr="00546F8B" w:rsidRDefault="00235DFA" w:rsidP="00CD04CF">
      <w:pPr>
        <w:pStyle w:val="Heading1"/>
        <w:numPr>
          <w:ilvl w:val="1"/>
          <w:numId w:val="3"/>
        </w:numPr>
        <w:rPr>
          <w:rFonts w:ascii="Times New Roman" w:hAnsi="Times New Roman" w:cs="Times New Roman"/>
        </w:rPr>
      </w:pPr>
      <w:bookmarkStart w:id="10" w:name="_Toc164362223"/>
      <w:r w:rsidRPr="00546F8B">
        <w:rPr>
          <w:rFonts w:ascii="Times New Roman" w:hAnsi="Times New Roman" w:cs="Times New Roman"/>
        </w:rPr>
        <w:t>Acid-Test Ratio</w:t>
      </w:r>
      <w:bookmarkEnd w:id="10"/>
    </w:p>
    <w:p w14:paraId="1F1E7E57" w14:textId="77777777" w:rsidR="00235DFA" w:rsidRPr="00E66ADB" w:rsidRDefault="00235DFA" w:rsidP="00235DFA">
      <w:pPr>
        <w:ind w:left="0" w:firstLine="0"/>
        <w:rPr>
          <w:rFonts w:ascii="Times New Roman" w:hAnsi="Times New Roman" w:cs="Times New Roman"/>
          <w:sz w:val="28"/>
          <w:szCs w:val="28"/>
        </w:rPr>
      </w:pPr>
    </w:p>
    <w:p w14:paraId="6FE18B05" w14:textId="77777777" w:rsidR="00235DFA" w:rsidRPr="00E66ADB" w:rsidRDefault="00235DFA" w:rsidP="00235DFA">
      <w:pPr>
        <w:ind w:left="0" w:firstLine="0"/>
        <w:rPr>
          <w:rFonts w:ascii="Times New Roman" w:hAnsi="Times New Roman" w:cs="Times New Roman"/>
          <w:sz w:val="28"/>
          <w:szCs w:val="28"/>
        </w:rPr>
      </w:pPr>
      <w:r w:rsidRPr="00E66ADB">
        <w:rPr>
          <w:rFonts w:ascii="Times New Roman" w:hAnsi="Times New Roman" w:cs="Times New Roman"/>
          <w:sz w:val="28"/>
          <w:szCs w:val="28"/>
        </w:rPr>
        <w:t>oracle corporation =0.85</w:t>
      </w:r>
    </w:p>
    <w:p w14:paraId="6708FBC6" w14:textId="3A9F4098" w:rsidR="00235DFA" w:rsidRPr="00E66ADB" w:rsidRDefault="00235DFA" w:rsidP="00235DFA">
      <w:pPr>
        <w:ind w:left="0" w:firstLine="0"/>
        <w:rPr>
          <w:rFonts w:ascii="Times New Roman" w:hAnsi="Times New Roman" w:cs="Times New Roman"/>
          <w:sz w:val="28"/>
          <w:szCs w:val="28"/>
        </w:rPr>
      </w:pPr>
      <w:r w:rsidRPr="00E66ADB">
        <w:rPr>
          <w:rFonts w:ascii="Times New Roman" w:hAnsi="Times New Roman" w:cs="Times New Roman"/>
          <w:sz w:val="28"/>
          <w:szCs w:val="28"/>
        </w:rPr>
        <w:t>AWS =0.84.</w:t>
      </w:r>
    </w:p>
    <w:p w14:paraId="24E7DE20" w14:textId="77777777" w:rsidR="00D96FB6" w:rsidRPr="00E66ADB" w:rsidRDefault="00D96FB6" w:rsidP="00D96FB6">
      <w:pPr>
        <w:ind w:left="0" w:firstLine="0"/>
        <w:rPr>
          <w:rFonts w:ascii="Times New Roman" w:hAnsi="Times New Roman" w:cs="Times New Roman"/>
          <w:sz w:val="28"/>
          <w:szCs w:val="28"/>
        </w:rPr>
      </w:pPr>
    </w:p>
    <w:p w14:paraId="554A3BD5" w14:textId="77777777" w:rsidR="00D96FB6" w:rsidRPr="00E66ADB" w:rsidRDefault="00D96FB6" w:rsidP="00D96FB6">
      <w:pPr>
        <w:ind w:left="0" w:firstLine="0"/>
        <w:rPr>
          <w:rFonts w:ascii="Times New Roman" w:hAnsi="Times New Roman" w:cs="Times New Roman"/>
          <w:sz w:val="28"/>
          <w:szCs w:val="28"/>
        </w:rPr>
      </w:pPr>
    </w:p>
    <w:p w14:paraId="0BC06301" w14:textId="2A93A2EC" w:rsidR="005B41B4" w:rsidRPr="00E66ADB" w:rsidRDefault="00021FDA" w:rsidP="00716E0C">
      <w:pPr>
        <w:rPr>
          <w:rFonts w:ascii="Times New Roman" w:hAnsi="Times New Roman" w:cs="Times New Roman"/>
          <w:sz w:val="28"/>
          <w:szCs w:val="28"/>
        </w:rPr>
      </w:pPr>
      <w:r w:rsidRPr="00E66ADB">
        <w:rPr>
          <w:rFonts w:ascii="Times New Roman" w:hAnsi="Times New Roman" w:cs="Times New Roman"/>
          <w:sz w:val="28"/>
          <w:szCs w:val="28"/>
        </w:rPr>
        <w:t>Although the Acid-Test Ratios (0.85 for Oracle and 0.84 for AWS) give an overview of their short-term liquidity, a more thorough investigation is required to have a more comprehensive picture. This is a thorough explanation:</w:t>
      </w:r>
    </w:p>
    <w:p w14:paraId="53FF76DD" w14:textId="77777777" w:rsidR="00021FDA" w:rsidRPr="00E66ADB" w:rsidRDefault="00021FDA" w:rsidP="00716E0C">
      <w:pPr>
        <w:rPr>
          <w:rFonts w:ascii="Times New Roman" w:hAnsi="Times New Roman" w:cs="Times New Roman"/>
          <w:sz w:val="28"/>
          <w:szCs w:val="28"/>
        </w:rPr>
      </w:pPr>
    </w:p>
    <w:p w14:paraId="08131609" w14:textId="77777777" w:rsidR="00021FDA" w:rsidRPr="00E66ADB" w:rsidRDefault="00021FDA" w:rsidP="00021FDA">
      <w:pPr>
        <w:rPr>
          <w:rFonts w:ascii="Times New Roman" w:hAnsi="Times New Roman" w:cs="Times New Roman"/>
          <w:sz w:val="28"/>
          <w:szCs w:val="28"/>
        </w:rPr>
      </w:pPr>
      <w:r w:rsidRPr="00E66ADB">
        <w:rPr>
          <w:rFonts w:ascii="Times New Roman" w:hAnsi="Times New Roman" w:cs="Times New Roman"/>
          <w:sz w:val="28"/>
          <w:szCs w:val="28"/>
        </w:rPr>
        <w:t>Acid-Test Ratio Interpretation:</w:t>
      </w:r>
    </w:p>
    <w:p w14:paraId="5F411E26" w14:textId="77777777" w:rsidR="00021FDA" w:rsidRPr="00E66ADB" w:rsidRDefault="00021FDA" w:rsidP="00021FDA">
      <w:pPr>
        <w:rPr>
          <w:rFonts w:ascii="Times New Roman" w:hAnsi="Times New Roman" w:cs="Times New Roman"/>
          <w:sz w:val="28"/>
          <w:szCs w:val="28"/>
        </w:rPr>
      </w:pPr>
    </w:p>
    <w:p w14:paraId="602E9190" w14:textId="77777777" w:rsidR="00021FDA" w:rsidRPr="00E66ADB" w:rsidRDefault="00021FDA" w:rsidP="00021FDA">
      <w:pPr>
        <w:rPr>
          <w:rFonts w:ascii="Times New Roman" w:hAnsi="Times New Roman" w:cs="Times New Roman"/>
          <w:sz w:val="28"/>
          <w:szCs w:val="28"/>
        </w:rPr>
      </w:pPr>
      <w:r w:rsidRPr="00E66ADB">
        <w:rPr>
          <w:rFonts w:ascii="Times New Roman" w:hAnsi="Times New Roman" w:cs="Times New Roman"/>
          <w:sz w:val="28"/>
          <w:szCs w:val="28"/>
        </w:rPr>
        <w:t>Both companies have ratios close to, but slightly below, 1. This indicates they possess sufficient liquid assets (cash, marketable securities) to cover a significant portion of their current liabilities (short-term debts) within a year.</w:t>
      </w:r>
    </w:p>
    <w:p w14:paraId="664BEF87" w14:textId="75932184" w:rsidR="00021FDA" w:rsidRPr="00E66ADB" w:rsidRDefault="00021FDA" w:rsidP="00021FDA">
      <w:pPr>
        <w:rPr>
          <w:rFonts w:ascii="Times New Roman" w:hAnsi="Times New Roman" w:cs="Times New Roman"/>
          <w:sz w:val="28"/>
          <w:szCs w:val="28"/>
        </w:rPr>
      </w:pPr>
      <w:r w:rsidRPr="00E66ADB">
        <w:rPr>
          <w:rFonts w:ascii="Times New Roman" w:hAnsi="Times New Roman" w:cs="Times New Roman"/>
          <w:sz w:val="28"/>
          <w:szCs w:val="28"/>
        </w:rPr>
        <w:t>The small difference between their ratios (0.85 vs. 0.84) suggests a marginally better liquidity position for Oracle, but it's not a substantial distinction.</w:t>
      </w:r>
    </w:p>
    <w:p w14:paraId="63DAD246" w14:textId="77777777" w:rsidR="00021FDA" w:rsidRPr="00E66ADB" w:rsidRDefault="00021FDA" w:rsidP="00021FDA">
      <w:pPr>
        <w:rPr>
          <w:rFonts w:ascii="Times New Roman" w:hAnsi="Times New Roman" w:cs="Times New Roman"/>
          <w:sz w:val="28"/>
          <w:szCs w:val="28"/>
        </w:rPr>
      </w:pPr>
    </w:p>
    <w:p w14:paraId="5553C606" w14:textId="77777777" w:rsidR="00021FDA" w:rsidRPr="00E66ADB" w:rsidRDefault="00021FDA" w:rsidP="00021FDA">
      <w:pPr>
        <w:rPr>
          <w:rFonts w:ascii="Times New Roman" w:hAnsi="Times New Roman" w:cs="Times New Roman"/>
          <w:sz w:val="28"/>
          <w:szCs w:val="28"/>
        </w:rPr>
      </w:pPr>
      <w:r w:rsidRPr="00E66ADB">
        <w:rPr>
          <w:rFonts w:ascii="Times New Roman" w:hAnsi="Times New Roman" w:cs="Times New Roman"/>
          <w:sz w:val="28"/>
          <w:szCs w:val="28"/>
        </w:rPr>
        <w:t>Comparing Oracle's and AWS's ratios to the average Acid-Test Ratio for their respective industries (software and e-commerce) helps us understand their relative liquidity within their sectors.</w:t>
      </w:r>
    </w:p>
    <w:p w14:paraId="09E0AB53" w14:textId="77777777" w:rsidR="00021FDA" w:rsidRPr="00E66ADB" w:rsidRDefault="00021FDA" w:rsidP="00021FDA">
      <w:pPr>
        <w:rPr>
          <w:rFonts w:ascii="Times New Roman" w:hAnsi="Times New Roman" w:cs="Times New Roman"/>
          <w:sz w:val="28"/>
          <w:szCs w:val="28"/>
        </w:rPr>
      </w:pPr>
      <w:r w:rsidRPr="00E66ADB">
        <w:rPr>
          <w:rFonts w:ascii="Times New Roman" w:hAnsi="Times New Roman" w:cs="Times New Roman"/>
          <w:sz w:val="28"/>
          <w:szCs w:val="28"/>
        </w:rPr>
        <w:t>For instance, if the software industry average is 1.2 and the e-commerce average is 1.0, then both companies might be considered adequately liquid relative to their peers.</w:t>
      </w:r>
    </w:p>
    <w:p w14:paraId="0B194C26" w14:textId="77777777" w:rsidR="00021FDA" w:rsidRPr="00E66ADB" w:rsidRDefault="00021FDA" w:rsidP="00021FDA">
      <w:pPr>
        <w:rPr>
          <w:rFonts w:ascii="Times New Roman" w:hAnsi="Times New Roman" w:cs="Times New Roman"/>
          <w:sz w:val="28"/>
          <w:szCs w:val="28"/>
        </w:rPr>
      </w:pPr>
    </w:p>
    <w:p w14:paraId="0F6816CC" w14:textId="78348400" w:rsidR="00021FDA" w:rsidRPr="00E66ADB" w:rsidRDefault="00D5405D" w:rsidP="00021FDA">
      <w:pPr>
        <w:rPr>
          <w:rFonts w:ascii="Times New Roman" w:hAnsi="Times New Roman" w:cs="Times New Roman"/>
          <w:sz w:val="28"/>
          <w:szCs w:val="28"/>
        </w:rPr>
      </w:pPr>
      <w:r w:rsidRPr="00E66ADB">
        <w:rPr>
          <w:rFonts w:ascii="Times New Roman" w:hAnsi="Times New Roman" w:cs="Times New Roman"/>
          <w:sz w:val="28"/>
          <w:szCs w:val="28"/>
        </w:rPr>
        <w:t>Analysing</w:t>
      </w:r>
      <w:r w:rsidR="00021FDA" w:rsidRPr="00E66ADB">
        <w:rPr>
          <w:rFonts w:ascii="Times New Roman" w:hAnsi="Times New Roman" w:cs="Times New Roman"/>
          <w:sz w:val="28"/>
          <w:szCs w:val="28"/>
        </w:rPr>
        <w:t xml:space="preserve"> their operating cash flow reveals their ability to generate cash from core operations. A company generating strong cash flow can better handle short-term debt obligations without relying solely on liquid assets.</w:t>
      </w:r>
    </w:p>
    <w:p w14:paraId="7D4F99B9" w14:textId="77777777" w:rsidR="00D5405D" w:rsidRPr="00E66ADB" w:rsidRDefault="00D5405D" w:rsidP="00021FDA">
      <w:pPr>
        <w:rPr>
          <w:rFonts w:ascii="Times New Roman" w:hAnsi="Times New Roman" w:cs="Times New Roman"/>
          <w:sz w:val="28"/>
          <w:szCs w:val="28"/>
        </w:rPr>
      </w:pPr>
    </w:p>
    <w:p w14:paraId="587FA38A" w14:textId="77777777" w:rsidR="00D5405D" w:rsidRPr="00E66ADB" w:rsidRDefault="00D5405D" w:rsidP="00D5405D">
      <w:pPr>
        <w:rPr>
          <w:rFonts w:ascii="Times New Roman" w:hAnsi="Times New Roman" w:cs="Times New Roman"/>
          <w:sz w:val="28"/>
          <w:szCs w:val="28"/>
        </w:rPr>
      </w:pPr>
      <w:r w:rsidRPr="00E66ADB">
        <w:rPr>
          <w:rFonts w:ascii="Times New Roman" w:hAnsi="Times New Roman" w:cs="Times New Roman"/>
          <w:sz w:val="28"/>
          <w:szCs w:val="28"/>
        </w:rPr>
        <w:t>While the Acid-Test Ratio suggests adequate short-term liquidity for both Oracle and AWS, a comprehensive analysis incorporating industry benchmarks, debt structure, cash flow generation, and company guidance is crucial. A slightly lower ratio might not be a major concern if other aspects of their financial health are strong.</w:t>
      </w:r>
    </w:p>
    <w:p w14:paraId="52E0432B" w14:textId="458AC189" w:rsidR="00D5405D" w:rsidRDefault="00D5405D" w:rsidP="00C83A21">
      <w:pPr>
        <w:ind w:left="0" w:firstLine="0"/>
        <w:rPr>
          <w:rFonts w:ascii="Times New Roman" w:hAnsi="Times New Roman" w:cs="Times New Roman"/>
          <w:sz w:val="28"/>
          <w:szCs w:val="28"/>
        </w:rPr>
      </w:pPr>
      <w:r w:rsidRPr="00E66ADB">
        <w:rPr>
          <w:rFonts w:ascii="Times New Roman" w:hAnsi="Times New Roman" w:cs="Times New Roman"/>
          <w:sz w:val="28"/>
          <w:szCs w:val="28"/>
        </w:rPr>
        <w:t>By conducting this deeper analysis, you can gain a more informed understanding of their ability to manage short-term obligations and navigate potential liquidity challenges.</w:t>
      </w:r>
    </w:p>
    <w:p w14:paraId="58AD8C17" w14:textId="77777777" w:rsidR="00FC2505" w:rsidRDefault="00FC2505" w:rsidP="00C83A21">
      <w:pPr>
        <w:ind w:left="0" w:firstLine="0"/>
        <w:rPr>
          <w:rFonts w:ascii="Times New Roman" w:hAnsi="Times New Roman" w:cs="Times New Roman"/>
          <w:sz w:val="28"/>
          <w:szCs w:val="28"/>
        </w:rPr>
      </w:pPr>
    </w:p>
    <w:p w14:paraId="12707A9D" w14:textId="77777777" w:rsidR="00FC2505" w:rsidRPr="00E66ADB" w:rsidRDefault="00FC2505" w:rsidP="00C83A21">
      <w:pPr>
        <w:ind w:left="0" w:firstLine="0"/>
        <w:rPr>
          <w:rFonts w:ascii="Times New Roman" w:hAnsi="Times New Roman" w:cs="Times New Roman"/>
          <w:sz w:val="28"/>
          <w:szCs w:val="28"/>
        </w:rPr>
      </w:pPr>
    </w:p>
    <w:p w14:paraId="27472B8A" w14:textId="6C26218C" w:rsidR="005E52D2" w:rsidRPr="00CD04CF" w:rsidRDefault="0090796D" w:rsidP="00CD04CF">
      <w:pPr>
        <w:pStyle w:val="Heading1"/>
        <w:numPr>
          <w:ilvl w:val="1"/>
          <w:numId w:val="3"/>
        </w:numPr>
        <w:rPr>
          <w:rFonts w:ascii="Times New Roman" w:hAnsi="Times New Roman" w:cs="Times New Roman"/>
        </w:rPr>
      </w:pPr>
      <w:bookmarkStart w:id="11" w:name="_Toc164362224"/>
      <w:r w:rsidRPr="00CD04CF">
        <w:rPr>
          <w:rFonts w:ascii="Times New Roman" w:hAnsi="Times New Roman" w:cs="Times New Roman"/>
        </w:rPr>
        <w:t>Net Gearing Ratio</w:t>
      </w:r>
      <w:bookmarkEnd w:id="11"/>
    </w:p>
    <w:p w14:paraId="391681CE" w14:textId="77777777" w:rsidR="0090796D" w:rsidRPr="00CD04CF" w:rsidRDefault="0090796D" w:rsidP="00C83A21">
      <w:pPr>
        <w:ind w:left="0" w:firstLine="0"/>
        <w:rPr>
          <w:rFonts w:ascii="Times New Roman" w:hAnsi="Times New Roman" w:cs="Times New Roman"/>
          <w:b/>
          <w:bCs/>
          <w:sz w:val="28"/>
          <w:szCs w:val="28"/>
        </w:rPr>
      </w:pPr>
    </w:p>
    <w:p w14:paraId="79835664" w14:textId="23F924E0" w:rsidR="0090796D" w:rsidRPr="00E66ADB" w:rsidRDefault="0090796D" w:rsidP="00C83A21">
      <w:pPr>
        <w:ind w:left="0" w:firstLine="0"/>
        <w:rPr>
          <w:rFonts w:ascii="Times New Roman" w:hAnsi="Times New Roman" w:cs="Times New Roman"/>
          <w:sz w:val="28"/>
          <w:szCs w:val="28"/>
        </w:rPr>
      </w:pPr>
      <w:r w:rsidRPr="00E66ADB">
        <w:rPr>
          <w:rFonts w:ascii="Times New Roman" w:hAnsi="Times New Roman" w:cs="Times New Roman"/>
          <w:sz w:val="28"/>
          <w:szCs w:val="28"/>
        </w:rPr>
        <w:t>Oracle Corporation = 25%</w:t>
      </w:r>
    </w:p>
    <w:p w14:paraId="7B289FFB" w14:textId="23EC8AE5" w:rsidR="001D1DF9" w:rsidRPr="00E66ADB" w:rsidRDefault="001D1DF9" w:rsidP="00C83A21">
      <w:pPr>
        <w:ind w:left="0" w:firstLine="0"/>
        <w:rPr>
          <w:rFonts w:ascii="Times New Roman" w:hAnsi="Times New Roman" w:cs="Times New Roman"/>
          <w:sz w:val="28"/>
          <w:szCs w:val="28"/>
        </w:rPr>
      </w:pPr>
      <w:r w:rsidRPr="00E66ADB">
        <w:rPr>
          <w:rFonts w:ascii="Times New Roman" w:hAnsi="Times New Roman" w:cs="Times New Roman"/>
          <w:sz w:val="28"/>
          <w:szCs w:val="28"/>
        </w:rPr>
        <w:t>AWS=25%</w:t>
      </w:r>
    </w:p>
    <w:p w14:paraId="02A2B60A" w14:textId="77777777" w:rsidR="00546F8B" w:rsidRDefault="00546F8B" w:rsidP="00E03C95">
      <w:pPr>
        <w:ind w:left="0" w:firstLine="0"/>
        <w:rPr>
          <w:rFonts w:ascii="Times New Roman" w:hAnsi="Times New Roman" w:cs="Times New Roman"/>
          <w:sz w:val="28"/>
          <w:szCs w:val="28"/>
        </w:rPr>
      </w:pPr>
    </w:p>
    <w:p w14:paraId="46EF3DDC" w14:textId="760D9890"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lastRenderedPageBreak/>
        <w:t>The Net Gearing Ratio (also known as the Net Debt to Equity Ratio) of 25% for both Oracle (ORCL) and AWS (considered as a segment of Amazon.com (AMZN)) indicates a similar level of financial leverage for both companies. Here's a breakdown of what this means:</w:t>
      </w:r>
    </w:p>
    <w:p w14:paraId="6324FCA2" w14:textId="77777777" w:rsidR="00E03C95" w:rsidRPr="00E66ADB" w:rsidRDefault="00E03C95" w:rsidP="00E03C95">
      <w:pPr>
        <w:ind w:left="0" w:firstLine="0"/>
        <w:rPr>
          <w:rFonts w:ascii="Times New Roman" w:hAnsi="Times New Roman" w:cs="Times New Roman"/>
          <w:sz w:val="28"/>
          <w:szCs w:val="28"/>
        </w:rPr>
      </w:pPr>
    </w:p>
    <w:p w14:paraId="1CFCB948"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Net Gearing Ratio Explained:</w:t>
      </w:r>
    </w:p>
    <w:p w14:paraId="265CBE3F" w14:textId="77777777" w:rsidR="00E03C95" w:rsidRPr="00E66ADB" w:rsidRDefault="00E03C95" w:rsidP="00E03C95">
      <w:pPr>
        <w:ind w:left="0" w:firstLine="0"/>
        <w:rPr>
          <w:rFonts w:ascii="Times New Roman" w:hAnsi="Times New Roman" w:cs="Times New Roman"/>
          <w:sz w:val="28"/>
          <w:szCs w:val="28"/>
        </w:rPr>
      </w:pPr>
    </w:p>
    <w:p w14:paraId="19FE8520" w14:textId="4329B51D"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The Net Gearing Ratio measures a company's reliance on debt financing compared to its equity financing. It's calculated as:</w:t>
      </w:r>
    </w:p>
    <w:p w14:paraId="5445D831"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Net Gearing Ratio = (Total Debt - Cash &amp; Equivalents) / Shareholders' Equity</w:t>
      </w:r>
    </w:p>
    <w:p w14:paraId="608A4644" w14:textId="77777777" w:rsidR="009E52D8" w:rsidRPr="00E66ADB" w:rsidRDefault="009E52D8" w:rsidP="00E03C95">
      <w:pPr>
        <w:ind w:left="0" w:firstLine="0"/>
        <w:rPr>
          <w:rFonts w:ascii="Times New Roman" w:hAnsi="Times New Roman" w:cs="Times New Roman"/>
          <w:sz w:val="28"/>
          <w:szCs w:val="28"/>
        </w:rPr>
      </w:pPr>
    </w:p>
    <w:p w14:paraId="5662CF7A" w14:textId="46BB7003"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Interpretation of 25% Ratio:</w:t>
      </w:r>
    </w:p>
    <w:p w14:paraId="27BE7202"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A Net Gearing Ratio of 25% suggests that for every $1 of equity, both Oracle and AWS have $0.25 of debt financing. This indicates a moderate level of financial leverage. They are using some debt to finance their operations and growth, but it's not an overwhelming amount compared to their equity base.</w:t>
      </w:r>
    </w:p>
    <w:p w14:paraId="502885C6" w14:textId="77777777" w:rsidR="00E03C95" w:rsidRPr="00E66ADB" w:rsidRDefault="00E03C95" w:rsidP="00E03C95">
      <w:pPr>
        <w:ind w:left="0" w:firstLine="0"/>
        <w:rPr>
          <w:rFonts w:ascii="Times New Roman" w:hAnsi="Times New Roman" w:cs="Times New Roman"/>
          <w:sz w:val="28"/>
          <w:szCs w:val="28"/>
        </w:rPr>
      </w:pPr>
    </w:p>
    <w:p w14:paraId="61FC8B77" w14:textId="3E15005B"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Considerations for a More Nuanced View:</w:t>
      </w:r>
    </w:p>
    <w:p w14:paraId="307F393C"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While the identical ratios suggest similar leverage, some additional factors can provide a more complete picture:</w:t>
      </w:r>
    </w:p>
    <w:p w14:paraId="1BC386F2" w14:textId="77777777" w:rsidR="00E03C95" w:rsidRPr="00E66ADB" w:rsidRDefault="00E03C95" w:rsidP="00E03C95">
      <w:pPr>
        <w:ind w:left="0" w:firstLine="0"/>
        <w:rPr>
          <w:rFonts w:ascii="Times New Roman" w:hAnsi="Times New Roman" w:cs="Times New Roman"/>
          <w:sz w:val="28"/>
          <w:szCs w:val="28"/>
        </w:rPr>
      </w:pPr>
    </w:p>
    <w:p w14:paraId="60E7E02A" w14:textId="0EBE8585"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Industry Averages:</w:t>
      </w:r>
    </w:p>
    <w:p w14:paraId="3A8F8360"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Comparing their ratios to the average Net Gearing Ratio for their respective industries (software and e-commerce) gives context.</w:t>
      </w:r>
    </w:p>
    <w:p w14:paraId="2EAFC4BB"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For instance, if the software industry average is 1.0 (meaning more debt) and the e-commerce average is 0.5 (less debt), then both companies might be considered moderately leveraged relative to their peers.</w:t>
      </w:r>
    </w:p>
    <w:p w14:paraId="571F60B3" w14:textId="77777777" w:rsidR="009E52D8" w:rsidRPr="00E66ADB" w:rsidRDefault="009E52D8" w:rsidP="00E03C95">
      <w:pPr>
        <w:ind w:left="0" w:firstLine="0"/>
        <w:rPr>
          <w:rFonts w:ascii="Times New Roman" w:hAnsi="Times New Roman" w:cs="Times New Roman"/>
          <w:sz w:val="28"/>
          <w:szCs w:val="28"/>
        </w:rPr>
      </w:pPr>
    </w:p>
    <w:p w14:paraId="2EB6286D" w14:textId="69CD9448"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Interest Rate Environment:</w:t>
      </w:r>
    </w:p>
    <w:p w14:paraId="1D39ADA0"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If interest rates are low, as they have been in recent years, the cost of servicing debt is lower. This can make a moderate level of leverage more manageable.</w:t>
      </w:r>
    </w:p>
    <w:p w14:paraId="48C6864D" w14:textId="77777777"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However, if interest rates rise, the debt becomes more expensive to service, potentially impacting profitability.</w:t>
      </w:r>
    </w:p>
    <w:p w14:paraId="39201F9E" w14:textId="77777777" w:rsidR="00295D59" w:rsidRPr="00E66ADB" w:rsidRDefault="00295D59" w:rsidP="00E03C95">
      <w:pPr>
        <w:ind w:left="0" w:firstLine="0"/>
        <w:rPr>
          <w:rFonts w:ascii="Times New Roman" w:hAnsi="Times New Roman" w:cs="Times New Roman"/>
          <w:sz w:val="28"/>
          <w:szCs w:val="28"/>
        </w:rPr>
      </w:pPr>
    </w:p>
    <w:p w14:paraId="40E0463A" w14:textId="2069B8DB"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Growth Prospects:</w:t>
      </w:r>
    </w:p>
    <w:p w14:paraId="07E66923" w14:textId="436DC7E4" w:rsidR="00295D59"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Companies with strong growth prospects can often handle higher levels of debt financing as they are generating additional cash flow to service the debt.</w:t>
      </w:r>
    </w:p>
    <w:p w14:paraId="6D5C345E" w14:textId="77777777" w:rsidR="00295D59" w:rsidRPr="00E66ADB" w:rsidRDefault="00295D59" w:rsidP="00E03C95">
      <w:pPr>
        <w:ind w:left="0" w:firstLine="0"/>
        <w:rPr>
          <w:rFonts w:ascii="Times New Roman" w:hAnsi="Times New Roman" w:cs="Times New Roman"/>
          <w:sz w:val="28"/>
          <w:szCs w:val="28"/>
        </w:rPr>
      </w:pPr>
    </w:p>
    <w:p w14:paraId="00851666" w14:textId="2D5C27C0"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Overall:</w:t>
      </w:r>
    </w:p>
    <w:p w14:paraId="70E6074F" w14:textId="0CB908D8" w:rsidR="00E03C95" w:rsidRPr="00E66ADB" w:rsidRDefault="00E03C95" w:rsidP="00E03C95">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A Net Gearing Ratio of 25% suggests a moderate use of debt by both Oracle and AWS. However, a more comprehensive analysis requires considering industry </w:t>
      </w:r>
      <w:r w:rsidRPr="00E66ADB">
        <w:rPr>
          <w:rFonts w:ascii="Times New Roman" w:hAnsi="Times New Roman" w:cs="Times New Roman"/>
          <w:sz w:val="28"/>
          <w:szCs w:val="28"/>
        </w:rPr>
        <w:lastRenderedPageBreak/>
        <w:t>benchmarks, the interest rate environment, and each company's specific growth prospects.</w:t>
      </w:r>
    </w:p>
    <w:p w14:paraId="6CE5210B" w14:textId="77777777" w:rsidR="00E03C95" w:rsidRPr="00E66ADB" w:rsidRDefault="00E03C95" w:rsidP="00C83A21">
      <w:pPr>
        <w:ind w:left="0" w:firstLine="0"/>
        <w:rPr>
          <w:rFonts w:ascii="Times New Roman" w:hAnsi="Times New Roman" w:cs="Times New Roman"/>
          <w:sz w:val="28"/>
          <w:szCs w:val="28"/>
        </w:rPr>
      </w:pPr>
    </w:p>
    <w:p w14:paraId="16886F5D" w14:textId="77777777" w:rsidR="00AE2FC1" w:rsidRPr="00E66ADB" w:rsidRDefault="00AE2FC1" w:rsidP="00C83A21">
      <w:pPr>
        <w:ind w:left="0" w:firstLine="0"/>
        <w:rPr>
          <w:rFonts w:ascii="Times New Roman" w:hAnsi="Times New Roman" w:cs="Times New Roman"/>
          <w:sz w:val="28"/>
          <w:szCs w:val="28"/>
        </w:rPr>
      </w:pPr>
    </w:p>
    <w:p w14:paraId="2F99BC0F" w14:textId="677413A5" w:rsidR="00AE2FC1" w:rsidRPr="00CD04CF" w:rsidRDefault="00AE2FC1" w:rsidP="00CD04CF">
      <w:pPr>
        <w:pStyle w:val="Heading1"/>
        <w:numPr>
          <w:ilvl w:val="1"/>
          <w:numId w:val="3"/>
        </w:numPr>
        <w:rPr>
          <w:rFonts w:ascii="Times New Roman" w:hAnsi="Times New Roman" w:cs="Times New Roman"/>
        </w:rPr>
      </w:pPr>
      <w:bookmarkStart w:id="12" w:name="_Toc164362225"/>
      <w:r w:rsidRPr="00CD04CF">
        <w:rPr>
          <w:rFonts w:ascii="Times New Roman" w:hAnsi="Times New Roman" w:cs="Times New Roman"/>
        </w:rPr>
        <w:t>Efficiency ratio</w:t>
      </w:r>
      <w:bookmarkEnd w:id="12"/>
    </w:p>
    <w:p w14:paraId="2873D2EC" w14:textId="77777777" w:rsidR="00AE2FC1" w:rsidRPr="00E66ADB" w:rsidRDefault="00AE2FC1" w:rsidP="00AE2FC1">
      <w:pPr>
        <w:ind w:left="0" w:firstLine="0"/>
        <w:rPr>
          <w:rFonts w:ascii="Times New Roman" w:hAnsi="Times New Roman" w:cs="Times New Roman"/>
          <w:sz w:val="28"/>
          <w:szCs w:val="28"/>
        </w:rPr>
      </w:pPr>
    </w:p>
    <w:p w14:paraId="1DE349F4" w14:textId="73CD8CA6" w:rsidR="00AE2FC1" w:rsidRPr="00E66ADB" w:rsidRDefault="00AE2FC1" w:rsidP="00AE2FC1">
      <w:pPr>
        <w:ind w:left="0" w:firstLine="0"/>
        <w:rPr>
          <w:rFonts w:ascii="Times New Roman" w:hAnsi="Times New Roman" w:cs="Times New Roman"/>
          <w:sz w:val="28"/>
          <w:szCs w:val="28"/>
        </w:rPr>
      </w:pPr>
      <w:r w:rsidRPr="00E66ADB">
        <w:rPr>
          <w:rFonts w:ascii="Times New Roman" w:hAnsi="Times New Roman" w:cs="Times New Roman"/>
          <w:sz w:val="28"/>
          <w:szCs w:val="28"/>
        </w:rPr>
        <w:t>Oracle Corporation = 0.85</w:t>
      </w:r>
    </w:p>
    <w:p w14:paraId="4696AFCE" w14:textId="18D68282" w:rsidR="00AE2FC1" w:rsidRPr="00E66ADB" w:rsidRDefault="00AE2FC1" w:rsidP="00AE2FC1">
      <w:pPr>
        <w:ind w:left="0" w:firstLine="0"/>
        <w:rPr>
          <w:rFonts w:ascii="Times New Roman" w:hAnsi="Times New Roman" w:cs="Times New Roman"/>
          <w:sz w:val="28"/>
          <w:szCs w:val="28"/>
        </w:rPr>
      </w:pPr>
      <w:r w:rsidRPr="00E66ADB">
        <w:rPr>
          <w:rFonts w:ascii="Times New Roman" w:hAnsi="Times New Roman" w:cs="Times New Roman"/>
          <w:sz w:val="28"/>
          <w:szCs w:val="28"/>
        </w:rPr>
        <w:t>AWS= 0.50</w:t>
      </w:r>
    </w:p>
    <w:p w14:paraId="41711A7D" w14:textId="77777777" w:rsidR="00C02EFC" w:rsidRPr="00E66ADB" w:rsidRDefault="00C02EFC" w:rsidP="00AE2FC1">
      <w:pPr>
        <w:ind w:left="0" w:firstLine="0"/>
        <w:rPr>
          <w:rFonts w:ascii="Times New Roman" w:hAnsi="Times New Roman" w:cs="Times New Roman"/>
          <w:sz w:val="28"/>
          <w:szCs w:val="28"/>
        </w:rPr>
      </w:pPr>
    </w:p>
    <w:p w14:paraId="6A44EDEC"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The provided information includes efficiency ratios for Oracle (0.85) and AWS (0.50), but without knowing the specific type of efficiency ratio used (e.g., expense ratio, operating expense ratio), a direct interpretation is impossible. Here's a breakdown to help you understand:</w:t>
      </w:r>
    </w:p>
    <w:p w14:paraId="71686447" w14:textId="77777777" w:rsidR="00C02EFC" w:rsidRPr="00E66ADB" w:rsidRDefault="00C02EFC" w:rsidP="00C02EFC">
      <w:pPr>
        <w:ind w:left="0" w:firstLine="0"/>
        <w:rPr>
          <w:rFonts w:ascii="Times New Roman" w:hAnsi="Times New Roman" w:cs="Times New Roman"/>
          <w:sz w:val="28"/>
          <w:szCs w:val="28"/>
        </w:rPr>
      </w:pPr>
    </w:p>
    <w:p w14:paraId="4CDBE710"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Types of Efficiency Ratios</w:t>
      </w:r>
    </w:p>
    <w:p w14:paraId="2B3C209D" w14:textId="77777777" w:rsidR="00C02EFC" w:rsidRPr="00E66ADB" w:rsidRDefault="00C02EFC" w:rsidP="00C02EFC">
      <w:pPr>
        <w:ind w:left="0" w:firstLine="0"/>
        <w:rPr>
          <w:rFonts w:ascii="Times New Roman" w:hAnsi="Times New Roman" w:cs="Times New Roman"/>
          <w:sz w:val="28"/>
          <w:szCs w:val="28"/>
        </w:rPr>
      </w:pPr>
    </w:p>
    <w:p w14:paraId="3CBBEBAC"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There are various efficiency ratios used to assess a company's ability to produce output (revenue, profit) with a given amount of input (expenses, resources). Some common ones include:</w:t>
      </w:r>
    </w:p>
    <w:p w14:paraId="104CE7A6" w14:textId="77777777" w:rsidR="00C02EFC" w:rsidRPr="00E66ADB" w:rsidRDefault="00C02EFC" w:rsidP="00C02EFC">
      <w:pPr>
        <w:ind w:left="0" w:firstLine="0"/>
        <w:rPr>
          <w:rFonts w:ascii="Times New Roman" w:hAnsi="Times New Roman" w:cs="Times New Roman"/>
          <w:sz w:val="28"/>
          <w:szCs w:val="28"/>
        </w:rPr>
      </w:pPr>
    </w:p>
    <w:p w14:paraId="715F8DB0"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Expense Ratio: Measures the percentage of revenue spent on expenses. A lower ratio indicates better efficiency in controlling expenses.</w:t>
      </w:r>
    </w:p>
    <w:p w14:paraId="79CB9697" w14:textId="30CCCBE1"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Operating Expense Ratio: Similar to expense </w:t>
      </w:r>
      <w:r w:rsidR="00F77B92" w:rsidRPr="00E66ADB">
        <w:rPr>
          <w:rFonts w:ascii="Times New Roman" w:hAnsi="Times New Roman" w:cs="Times New Roman"/>
          <w:sz w:val="28"/>
          <w:szCs w:val="28"/>
        </w:rPr>
        <w:t>ratio but</w:t>
      </w:r>
      <w:r w:rsidRPr="00E66ADB">
        <w:rPr>
          <w:rFonts w:ascii="Times New Roman" w:hAnsi="Times New Roman" w:cs="Times New Roman"/>
          <w:sz w:val="28"/>
          <w:szCs w:val="28"/>
        </w:rPr>
        <w:t xml:space="preserve"> focuses on operating expenses (excluding non-operating items).</w:t>
      </w:r>
    </w:p>
    <w:p w14:paraId="125D103A" w14:textId="4AD01970"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Inventory Turnover Ratio: Measures how often inventory is sold and replaced within a period. A higher ratio indicates better efficiency in managing inventory.</w:t>
      </w:r>
      <w:r w:rsidR="00F77B92" w:rsidRPr="00E66ADB">
        <w:rPr>
          <w:rFonts w:ascii="Times New Roman" w:hAnsi="Times New Roman" w:cs="Times New Roman"/>
          <w:color w:val="0D0D0D"/>
          <w:shd w:val="clear" w:color="auto" w:fill="FFFFFF"/>
        </w:rPr>
        <w:t xml:space="preserve"> (Yasmin &amp; Jamaluddin, 2020)</w:t>
      </w:r>
    </w:p>
    <w:p w14:paraId="6C349523" w14:textId="77777777" w:rsidR="00F77B92" w:rsidRPr="00E66ADB" w:rsidRDefault="00F77B92" w:rsidP="00C02EFC">
      <w:pPr>
        <w:ind w:left="0" w:firstLine="0"/>
        <w:rPr>
          <w:rFonts w:ascii="Times New Roman" w:hAnsi="Times New Roman" w:cs="Times New Roman"/>
          <w:sz w:val="28"/>
          <w:szCs w:val="28"/>
        </w:rPr>
      </w:pPr>
    </w:p>
    <w:p w14:paraId="17442DCE" w14:textId="37CD385F"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Interpretation Challenges</w:t>
      </w:r>
      <w:r w:rsidR="00965709">
        <w:rPr>
          <w:rFonts w:ascii="Times New Roman" w:hAnsi="Times New Roman" w:cs="Times New Roman"/>
          <w:sz w:val="28"/>
          <w:szCs w:val="28"/>
        </w:rPr>
        <w:t>:</w:t>
      </w:r>
    </w:p>
    <w:p w14:paraId="2D9DFC2C" w14:textId="77777777" w:rsidR="00C02EFC" w:rsidRPr="00E66ADB" w:rsidRDefault="00C02EFC" w:rsidP="00C02EFC">
      <w:pPr>
        <w:ind w:left="0" w:firstLine="0"/>
        <w:rPr>
          <w:rFonts w:ascii="Times New Roman" w:hAnsi="Times New Roman" w:cs="Times New Roman"/>
          <w:sz w:val="28"/>
          <w:szCs w:val="28"/>
        </w:rPr>
      </w:pPr>
    </w:p>
    <w:p w14:paraId="20DFF0A3"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Without knowing the specific efficiency ratio used, it's difficult to say definitively which company is more efficient (Oracle at 0.85 and AWS at 0.50). Here's why:</w:t>
      </w:r>
    </w:p>
    <w:p w14:paraId="4A1F7016" w14:textId="77777777" w:rsidR="00C02EFC" w:rsidRPr="00E66ADB" w:rsidRDefault="00C02EFC" w:rsidP="00C02EFC">
      <w:pPr>
        <w:ind w:left="0" w:firstLine="0"/>
        <w:rPr>
          <w:rFonts w:ascii="Times New Roman" w:hAnsi="Times New Roman" w:cs="Times New Roman"/>
          <w:sz w:val="28"/>
          <w:szCs w:val="28"/>
        </w:rPr>
      </w:pPr>
    </w:p>
    <w:p w14:paraId="331BD1C9" w14:textId="3BBF156F"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Different Ratios, Different Meanings: Depending on the specific ratio, a higher number might not always indicate better efficiency. For example, a higher expense ratio (meaning a larger portion of revenue is spent on expenses) would be </w:t>
      </w:r>
      <w:r w:rsidR="003D6FB1" w:rsidRPr="00E66ADB">
        <w:rPr>
          <w:rFonts w:ascii="Times New Roman" w:hAnsi="Times New Roman" w:cs="Times New Roman"/>
          <w:sz w:val="28"/>
          <w:szCs w:val="28"/>
        </w:rPr>
        <w:t>unfavourable</w:t>
      </w:r>
      <w:r w:rsidRPr="00E66ADB">
        <w:rPr>
          <w:rFonts w:ascii="Times New Roman" w:hAnsi="Times New Roman" w:cs="Times New Roman"/>
          <w:sz w:val="28"/>
          <w:szCs w:val="28"/>
        </w:rPr>
        <w:t>.</w:t>
      </w:r>
    </w:p>
    <w:p w14:paraId="4D4BE509"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Industry Context: Efficiency ratios need to be evaluated within the context of the industry. A software company like Oracle might have a different optimal expense ratio compared to an e-commerce company like Amazon (AWS's parent company).</w:t>
      </w:r>
    </w:p>
    <w:p w14:paraId="739E5C03"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Recommendations for a More Informed Analysis</w:t>
      </w:r>
    </w:p>
    <w:p w14:paraId="1D3CE5D0" w14:textId="77777777" w:rsidR="00C02EFC" w:rsidRPr="00E66ADB" w:rsidRDefault="00C02EFC" w:rsidP="00C02EFC">
      <w:pPr>
        <w:ind w:left="0" w:firstLine="0"/>
        <w:rPr>
          <w:rFonts w:ascii="Times New Roman" w:hAnsi="Times New Roman" w:cs="Times New Roman"/>
          <w:sz w:val="28"/>
          <w:szCs w:val="28"/>
        </w:rPr>
      </w:pPr>
    </w:p>
    <w:p w14:paraId="444926D1"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To understand the efficiency comparison better, consider the following steps:</w:t>
      </w:r>
    </w:p>
    <w:p w14:paraId="4562F9FD" w14:textId="77777777" w:rsidR="00C02EFC" w:rsidRPr="00E66ADB" w:rsidRDefault="00C02EFC" w:rsidP="00C02EFC">
      <w:pPr>
        <w:ind w:left="0" w:firstLine="0"/>
        <w:rPr>
          <w:rFonts w:ascii="Times New Roman" w:hAnsi="Times New Roman" w:cs="Times New Roman"/>
          <w:sz w:val="28"/>
          <w:szCs w:val="28"/>
        </w:rPr>
      </w:pPr>
    </w:p>
    <w:p w14:paraId="011D457E"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Identify the Ratio Type: Find the source of this information. If possible, determine the specific efficiency ratio used (e.g., expense ratio, operating expense ratio).</w:t>
      </w:r>
    </w:p>
    <w:p w14:paraId="5AFF996F"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Industry Benchmarks: Research the average efficiency ratio for Oracle's software industry and AWS's e-commerce industry. This will provide context for interpreting their individual ratios.</w:t>
      </w:r>
    </w:p>
    <w:p w14:paraId="1AAE2D0A"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Consider Business Models: Understand the core business models of Oracle and AWS. Their approaches to revenue generation, expense management, and inventory might differ, impacting their efficiency ratios.</w:t>
      </w:r>
    </w:p>
    <w:p w14:paraId="2702A549"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Additional Insights</w:t>
      </w:r>
    </w:p>
    <w:p w14:paraId="2B8BB464" w14:textId="77777777" w:rsidR="00C02EFC" w:rsidRPr="00E66ADB" w:rsidRDefault="00C02EFC" w:rsidP="00C02EFC">
      <w:pPr>
        <w:ind w:left="0" w:firstLine="0"/>
        <w:rPr>
          <w:rFonts w:ascii="Times New Roman" w:hAnsi="Times New Roman" w:cs="Times New Roman"/>
          <w:sz w:val="28"/>
          <w:szCs w:val="28"/>
        </w:rPr>
      </w:pPr>
    </w:p>
    <w:p w14:paraId="2994361F"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Even without knowing the specific ratio, we can glean some potential interpretations:</w:t>
      </w:r>
    </w:p>
    <w:p w14:paraId="35ED1C47" w14:textId="77777777" w:rsidR="00C02EFC" w:rsidRPr="00E66ADB" w:rsidRDefault="00C02EFC" w:rsidP="00C02EFC">
      <w:pPr>
        <w:ind w:left="0" w:firstLine="0"/>
        <w:rPr>
          <w:rFonts w:ascii="Times New Roman" w:hAnsi="Times New Roman" w:cs="Times New Roman"/>
          <w:sz w:val="28"/>
          <w:szCs w:val="28"/>
        </w:rPr>
      </w:pPr>
    </w:p>
    <w:p w14:paraId="6462A18A" w14:textId="77777777"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Oracle (0.85): If it's a profitability ratio (like net profit margin), a higher value could indicate they generate more profit per dollar of revenue compared to AWS.</w:t>
      </w:r>
    </w:p>
    <w:p w14:paraId="6C45A416" w14:textId="36DC0B7E" w:rsidR="00C02EFC" w:rsidRPr="00E66ADB" w:rsidRDefault="00C02EFC" w:rsidP="00C02EFC">
      <w:pPr>
        <w:ind w:left="0" w:firstLine="0"/>
        <w:rPr>
          <w:rFonts w:ascii="Times New Roman" w:hAnsi="Times New Roman" w:cs="Times New Roman"/>
          <w:sz w:val="28"/>
          <w:szCs w:val="28"/>
        </w:rPr>
      </w:pPr>
      <w:r w:rsidRPr="00E66ADB">
        <w:rPr>
          <w:rFonts w:ascii="Times New Roman" w:hAnsi="Times New Roman" w:cs="Times New Roman"/>
          <w:sz w:val="28"/>
          <w:szCs w:val="28"/>
        </w:rPr>
        <w:t>AWS (0.50): If it's an expense ratio, a lower value could suggest they control expenses more efficiently relative to revenue compared to Oracle.</w:t>
      </w:r>
    </w:p>
    <w:p w14:paraId="423BD4FB" w14:textId="503D215D" w:rsidR="00CB4957" w:rsidRPr="00E66ADB" w:rsidRDefault="00CB4957" w:rsidP="00AE2FC1">
      <w:pPr>
        <w:ind w:left="0" w:firstLine="0"/>
        <w:rPr>
          <w:rFonts w:ascii="Times New Roman" w:hAnsi="Times New Roman" w:cs="Times New Roman"/>
          <w:sz w:val="28"/>
          <w:szCs w:val="28"/>
        </w:rPr>
      </w:pPr>
    </w:p>
    <w:p w14:paraId="683C309C"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Oracle is a leading technology company, but to stay competitive in the ever-evolving market, here are some potential areas for improvement:</w:t>
      </w:r>
    </w:p>
    <w:p w14:paraId="6821C914" w14:textId="77777777" w:rsidR="00F5620D" w:rsidRPr="00E66ADB" w:rsidRDefault="00F5620D" w:rsidP="00F5620D">
      <w:pPr>
        <w:ind w:left="0" w:firstLine="0"/>
        <w:rPr>
          <w:rFonts w:ascii="Times New Roman" w:hAnsi="Times New Roman" w:cs="Times New Roman"/>
          <w:sz w:val="28"/>
          <w:szCs w:val="28"/>
        </w:rPr>
      </w:pPr>
    </w:p>
    <w:p w14:paraId="732C007E"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Cloud Growth Acceleration:</w:t>
      </w:r>
    </w:p>
    <w:p w14:paraId="7A1BE81E" w14:textId="77777777" w:rsidR="00F5620D" w:rsidRPr="00E66ADB" w:rsidRDefault="00F5620D" w:rsidP="00F5620D">
      <w:pPr>
        <w:ind w:left="0" w:firstLine="0"/>
        <w:rPr>
          <w:rFonts w:ascii="Times New Roman" w:hAnsi="Times New Roman" w:cs="Times New Roman"/>
          <w:sz w:val="28"/>
          <w:szCs w:val="28"/>
        </w:rPr>
      </w:pPr>
    </w:p>
    <w:p w14:paraId="1BA4BAF7"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Enhanced Cloud Offerings: Develop and expand its cloud services portfolio (SaaS, PaaS, IaaS) to cater to a wider range of customer needs and compete more effectively with AWS and other cloud giants.</w:t>
      </w:r>
    </w:p>
    <w:p w14:paraId="19A55725"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Focus on User Experience: Streamline user interfaces and functionalities of its cloud solutions to improve user experience and adoption rates.</w:t>
      </w:r>
    </w:p>
    <w:p w14:paraId="770CEFDE"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Aggressive Pricing Strategies: Consider offering competitive pricing models for cloud services to attract new customers and retain existing ones.</w:t>
      </w:r>
    </w:p>
    <w:p w14:paraId="465B1827"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Innovation and Emerging Technologies:</w:t>
      </w:r>
    </w:p>
    <w:p w14:paraId="2FBA576D" w14:textId="77777777" w:rsidR="00F5620D" w:rsidRPr="00E66ADB" w:rsidRDefault="00F5620D" w:rsidP="00F5620D">
      <w:pPr>
        <w:ind w:left="0" w:firstLine="0"/>
        <w:rPr>
          <w:rFonts w:ascii="Times New Roman" w:hAnsi="Times New Roman" w:cs="Times New Roman"/>
          <w:sz w:val="28"/>
          <w:szCs w:val="28"/>
        </w:rPr>
      </w:pPr>
    </w:p>
    <w:p w14:paraId="1AB8C079"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Increased Investment in R&amp;D: Allocate more resources towards research and development to stay at the forefront of technological advancements, particularly in areas like artificial intelligence, machine learning, and blockchain.</w:t>
      </w:r>
    </w:p>
    <w:p w14:paraId="3CBCAD8F"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Strategic Acquisitions: Explore strategic acquisitions of innovative startups or companies that complement Oracle's existing offerings and accelerate its entry into emerging technology markets.</w:t>
      </w:r>
    </w:p>
    <w:p w14:paraId="0DBE733A" w14:textId="77777777" w:rsidR="00F11E78" w:rsidRPr="00E66ADB" w:rsidRDefault="00F11E78" w:rsidP="00F5620D">
      <w:pPr>
        <w:ind w:left="0" w:firstLine="0"/>
        <w:rPr>
          <w:rFonts w:ascii="Times New Roman" w:hAnsi="Times New Roman" w:cs="Times New Roman"/>
          <w:sz w:val="28"/>
          <w:szCs w:val="28"/>
        </w:rPr>
      </w:pPr>
    </w:p>
    <w:p w14:paraId="2D5B2B5B" w14:textId="016339FB"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lastRenderedPageBreak/>
        <w:t xml:space="preserve">Focus on </w:t>
      </w:r>
      <w:r w:rsidR="00E83298" w:rsidRPr="00E66ADB">
        <w:rPr>
          <w:rFonts w:ascii="Times New Roman" w:hAnsi="Times New Roman" w:cs="Times New Roman"/>
          <w:sz w:val="28"/>
          <w:szCs w:val="28"/>
        </w:rPr>
        <w:t>Open-Source</w:t>
      </w:r>
      <w:r w:rsidRPr="00E66ADB">
        <w:rPr>
          <w:rFonts w:ascii="Times New Roman" w:hAnsi="Times New Roman" w:cs="Times New Roman"/>
          <w:sz w:val="28"/>
          <w:szCs w:val="28"/>
        </w:rPr>
        <w:t xml:space="preserve"> Integration: Embrace open-source technologies and tools to enhance the flexibility and interoperability of its solutions, catering to a broader developer community.</w:t>
      </w:r>
    </w:p>
    <w:p w14:paraId="1D9B04D2"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Subscription Model Adoption:</w:t>
      </w:r>
    </w:p>
    <w:p w14:paraId="5F14C00F" w14:textId="77777777" w:rsidR="00F5620D" w:rsidRPr="00E66ADB" w:rsidRDefault="00F5620D" w:rsidP="00F5620D">
      <w:pPr>
        <w:ind w:left="0" w:firstLine="0"/>
        <w:rPr>
          <w:rFonts w:ascii="Times New Roman" w:hAnsi="Times New Roman" w:cs="Times New Roman"/>
          <w:sz w:val="28"/>
          <w:szCs w:val="28"/>
        </w:rPr>
      </w:pPr>
    </w:p>
    <w:p w14:paraId="3A18DC23" w14:textId="0998A3EE"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Transition Strategy: Develop a well-defined strategy for transitioning customers from traditional </w:t>
      </w:r>
      <w:r w:rsidR="00E83298" w:rsidRPr="00E66ADB">
        <w:rPr>
          <w:rFonts w:ascii="Times New Roman" w:hAnsi="Times New Roman" w:cs="Times New Roman"/>
          <w:sz w:val="28"/>
          <w:szCs w:val="28"/>
        </w:rPr>
        <w:t>on-premises</w:t>
      </w:r>
      <w:r w:rsidRPr="00E66ADB">
        <w:rPr>
          <w:rFonts w:ascii="Times New Roman" w:hAnsi="Times New Roman" w:cs="Times New Roman"/>
          <w:sz w:val="28"/>
          <w:szCs w:val="28"/>
        </w:rPr>
        <w:t xml:space="preserve"> licenses to subscription-based cloud models.</w:t>
      </w:r>
    </w:p>
    <w:p w14:paraId="66C1F8A3"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Subscription Model Benefits: Emphasize the benefits of subscription models for customers, such as lower upfront costs, scalability, and access to the latest features.</w:t>
      </w:r>
    </w:p>
    <w:p w14:paraId="7586B8F9" w14:textId="77777777" w:rsidR="00F77B92" w:rsidRPr="00E66ADB" w:rsidRDefault="00F77B92" w:rsidP="00F5620D">
      <w:pPr>
        <w:ind w:left="0" w:firstLine="0"/>
        <w:rPr>
          <w:rFonts w:ascii="Times New Roman" w:hAnsi="Times New Roman" w:cs="Times New Roman"/>
          <w:sz w:val="28"/>
          <w:szCs w:val="28"/>
        </w:rPr>
      </w:pPr>
    </w:p>
    <w:p w14:paraId="3A6C81D2"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Flexible Subscription Options: Offer diverse subscription plans tailored to different customer needs and budgets.</w:t>
      </w:r>
    </w:p>
    <w:p w14:paraId="22431EC3" w14:textId="77777777" w:rsidR="00F11E78" w:rsidRPr="00E66ADB" w:rsidRDefault="00F11E78" w:rsidP="00F5620D">
      <w:pPr>
        <w:ind w:left="0" w:firstLine="0"/>
        <w:rPr>
          <w:rFonts w:ascii="Times New Roman" w:hAnsi="Times New Roman" w:cs="Times New Roman"/>
          <w:sz w:val="28"/>
          <w:szCs w:val="28"/>
        </w:rPr>
      </w:pPr>
    </w:p>
    <w:p w14:paraId="1F696509" w14:textId="457FC2EC"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Marketing and Sales Strategy: Re-evaluate and potentially revamp marketing and sales strategies to better target cloud customers and effectively communicate the value proposition of Oracle's cloud offerings.</w:t>
      </w:r>
    </w:p>
    <w:p w14:paraId="3D108AF5" w14:textId="77777777" w:rsidR="00F77B92" w:rsidRPr="00E66ADB" w:rsidRDefault="00F77B92" w:rsidP="00F5620D">
      <w:pPr>
        <w:ind w:left="0" w:firstLine="0"/>
        <w:rPr>
          <w:rFonts w:ascii="Times New Roman" w:hAnsi="Times New Roman" w:cs="Times New Roman"/>
          <w:sz w:val="28"/>
          <w:szCs w:val="28"/>
        </w:rPr>
      </w:pPr>
    </w:p>
    <w:p w14:paraId="2955C637" w14:textId="77777777" w:rsidR="00F5620D" w:rsidRPr="00E66ADB" w:rsidRDefault="00F5620D" w:rsidP="00F5620D">
      <w:pPr>
        <w:ind w:left="0" w:firstLine="0"/>
        <w:rPr>
          <w:rFonts w:ascii="Times New Roman" w:hAnsi="Times New Roman" w:cs="Times New Roman"/>
          <w:sz w:val="28"/>
          <w:szCs w:val="28"/>
        </w:rPr>
      </w:pPr>
      <w:r w:rsidRPr="00E66ADB">
        <w:rPr>
          <w:rFonts w:ascii="Times New Roman" w:hAnsi="Times New Roman" w:cs="Times New Roman"/>
          <w:sz w:val="28"/>
          <w:szCs w:val="28"/>
        </w:rPr>
        <w:t>Data Security and Privacy: Prioritize robust data security measures and ensure compliance with evolving data privacy regulations to build trust with customers.</w:t>
      </w:r>
    </w:p>
    <w:p w14:paraId="5A7F13AB" w14:textId="77777777" w:rsidR="00F77B92" w:rsidRPr="00E66ADB" w:rsidRDefault="00F77B92" w:rsidP="00F5620D">
      <w:pPr>
        <w:ind w:left="0" w:firstLine="0"/>
        <w:rPr>
          <w:rFonts w:ascii="Times New Roman" w:hAnsi="Times New Roman" w:cs="Times New Roman"/>
          <w:sz w:val="28"/>
          <w:szCs w:val="28"/>
        </w:rPr>
      </w:pPr>
    </w:p>
    <w:p w14:paraId="29DCEBF4" w14:textId="06A3FDD9" w:rsidR="00053671" w:rsidRPr="00E66ADB" w:rsidRDefault="00F5620D" w:rsidP="00053671">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Employee Training and Upskilling: Invest in training and upskilling programs for employees to equip them with the necessary expertise to support the company's transition to a cloud-centric </w:t>
      </w:r>
      <w:r w:rsidR="00E83298" w:rsidRPr="00E66ADB">
        <w:rPr>
          <w:rFonts w:ascii="Times New Roman" w:hAnsi="Times New Roman" w:cs="Times New Roman"/>
          <w:sz w:val="28"/>
          <w:szCs w:val="28"/>
        </w:rPr>
        <w:t>model. Hence</w:t>
      </w:r>
      <w:r w:rsidR="00053671" w:rsidRPr="00E66ADB">
        <w:rPr>
          <w:rFonts w:ascii="Times New Roman" w:hAnsi="Times New Roman" w:cs="Times New Roman"/>
          <w:sz w:val="28"/>
          <w:szCs w:val="28"/>
        </w:rPr>
        <w:t xml:space="preserve"> supporting business agility and fitting in nicely with contemporary development processes.</w:t>
      </w:r>
    </w:p>
    <w:p w14:paraId="1B54B627" w14:textId="77777777" w:rsidR="00053671" w:rsidRPr="00E66ADB" w:rsidRDefault="00053671" w:rsidP="00053671">
      <w:pPr>
        <w:ind w:left="0" w:firstLine="0"/>
        <w:rPr>
          <w:rFonts w:ascii="Times New Roman" w:hAnsi="Times New Roman" w:cs="Times New Roman"/>
          <w:sz w:val="28"/>
          <w:szCs w:val="28"/>
        </w:rPr>
      </w:pPr>
    </w:p>
    <w:p w14:paraId="2E201927" w14:textId="1BDCA6B9" w:rsidR="00CB4957" w:rsidRPr="00E66ADB" w:rsidRDefault="00053671" w:rsidP="00053671">
      <w:pPr>
        <w:ind w:left="0" w:firstLine="0"/>
        <w:rPr>
          <w:rFonts w:ascii="Times New Roman" w:hAnsi="Times New Roman" w:cs="Times New Roman"/>
          <w:sz w:val="28"/>
          <w:szCs w:val="28"/>
        </w:rPr>
      </w:pPr>
      <w:r w:rsidRPr="00E66ADB">
        <w:rPr>
          <w:rFonts w:ascii="Times New Roman" w:hAnsi="Times New Roman" w:cs="Times New Roman"/>
          <w:sz w:val="28"/>
          <w:szCs w:val="28"/>
        </w:rPr>
        <w:t>Oracle must make significant investments in machine learning and artificial intelligence (AI) if it hopes to remain a leader in the field. Predictive analytics, computer vision, natural language processing, and other cloud services can all benefit from having AI and ML capabilities integrated in order to improve user experience and value proposition for customers. Imagine an AI-powered cloud-based customer relationship management (CRM) system that can anticipate client demands and personalize interactions. This kind of innovation has the potential to differentiate Oracle from rivals.</w:t>
      </w:r>
    </w:p>
    <w:p w14:paraId="5A11CF4A" w14:textId="77777777" w:rsidR="00603D58" w:rsidRPr="00E66ADB" w:rsidRDefault="00603D58" w:rsidP="00053671">
      <w:pPr>
        <w:ind w:left="0" w:firstLine="0"/>
        <w:rPr>
          <w:rFonts w:ascii="Times New Roman" w:hAnsi="Times New Roman" w:cs="Times New Roman"/>
          <w:sz w:val="28"/>
          <w:szCs w:val="28"/>
        </w:rPr>
      </w:pPr>
    </w:p>
    <w:p w14:paraId="526E1DAB" w14:textId="4F27AF4C" w:rsidR="00603D58" w:rsidRPr="00E66ADB" w:rsidRDefault="00603D58" w:rsidP="00053671">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A clear plan is needed to move clients from traditional on-premise licensing to subscription-based cloud models. Providing cloud services with limited-feature trial versions or freemium models can be an effective strategy for drawing in new clients. Giving prospective clients a chance to personally see the advantages of Oracle's cloud products can increase the likelihood that they will sign up for paying subscriptions. Additionally, organizations with unpredictable workloads or budget limits are catered to by offering flexible invoicing choices including </w:t>
      </w:r>
      <w:r w:rsidRPr="00E66ADB">
        <w:rPr>
          <w:rFonts w:ascii="Times New Roman" w:hAnsi="Times New Roman" w:cs="Times New Roman"/>
          <w:sz w:val="28"/>
          <w:szCs w:val="28"/>
        </w:rPr>
        <w:lastRenderedPageBreak/>
        <w:t>pay-as-you-go models. This adaptability is crucial in the cutthroat cloud industry of today.</w:t>
      </w:r>
    </w:p>
    <w:p w14:paraId="511C4A64" w14:textId="62AFF18F" w:rsidR="00FE61AA" w:rsidRPr="00E66ADB" w:rsidRDefault="00FE61AA" w:rsidP="00053671">
      <w:pPr>
        <w:ind w:left="0" w:firstLine="0"/>
        <w:rPr>
          <w:rFonts w:ascii="Times New Roman" w:hAnsi="Times New Roman" w:cs="Times New Roman"/>
          <w:sz w:val="28"/>
          <w:szCs w:val="28"/>
        </w:rPr>
      </w:pPr>
    </w:p>
    <w:p w14:paraId="7B56C698" w14:textId="5E586C07" w:rsidR="00FE61AA" w:rsidRPr="00CD04CF" w:rsidRDefault="00FE61AA" w:rsidP="00CD04CF">
      <w:pPr>
        <w:pStyle w:val="Heading1"/>
        <w:numPr>
          <w:ilvl w:val="0"/>
          <w:numId w:val="3"/>
        </w:numPr>
        <w:rPr>
          <w:rFonts w:ascii="Times New Roman" w:hAnsi="Times New Roman" w:cs="Times New Roman"/>
          <w:b/>
          <w:bCs/>
          <w:sz w:val="40"/>
          <w:szCs w:val="40"/>
          <w:u w:val="single"/>
        </w:rPr>
      </w:pPr>
      <w:bookmarkStart w:id="13" w:name="_Toc164362226"/>
      <w:r w:rsidRPr="00CD04CF">
        <w:rPr>
          <w:rFonts w:ascii="Times New Roman" w:hAnsi="Times New Roman" w:cs="Times New Roman"/>
          <w:b/>
          <w:bCs/>
          <w:sz w:val="40"/>
          <w:szCs w:val="40"/>
          <w:u w:val="single"/>
        </w:rPr>
        <w:t>Evaluation of New Investment Opportunities</w:t>
      </w:r>
      <w:bookmarkEnd w:id="13"/>
    </w:p>
    <w:p w14:paraId="41107A15" w14:textId="77777777" w:rsidR="00FE61AA" w:rsidRPr="004F06B4" w:rsidRDefault="00FE61AA" w:rsidP="00053671">
      <w:pPr>
        <w:ind w:left="0" w:firstLine="0"/>
        <w:rPr>
          <w:rFonts w:asciiTheme="minorHAnsi" w:hAnsiTheme="minorHAnsi" w:cstheme="minorHAnsi"/>
          <w:b/>
          <w:bCs/>
          <w:sz w:val="28"/>
          <w:szCs w:val="28"/>
        </w:rPr>
      </w:pPr>
    </w:p>
    <w:tbl>
      <w:tblPr>
        <w:tblStyle w:val="TableGrid0"/>
        <w:tblW w:w="0" w:type="auto"/>
        <w:tblLook w:val="04A0" w:firstRow="1" w:lastRow="0" w:firstColumn="1" w:lastColumn="0" w:noHBand="0" w:noVBand="1"/>
      </w:tblPr>
      <w:tblGrid>
        <w:gridCol w:w="4508"/>
        <w:gridCol w:w="4508"/>
      </w:tblGrid>
      <w:tr w:rsidR="00766E43" w14:paraId="3712622D" w14:textId="77777777" w:rsidTr="00DD0B38">
        <w:tc>
          <w:tcPr>
            <w:tcW w:w="9016" w:type="dxa"/>
            <w:gridSpan w:val="2"/>
          </w:tcPr>
          <w:p w14:paraId="33008C48" w14:textId="3525C78A" w:rsidR="00766E43" w:rsidRPr="00766E43" w:rsidRDefault="00766E43" w:rsidP="00766E43">
            <w:pPr>
              <w:ind w:left="0" w:firstLine="0"/>
              <w:jc w:val="center"/>
              <w:rPr>
                <w:rFonts w:ascii="Times New Roman" w:hAnsi="Times New Roman" w:cs="Times New Roman"/>
                <w:b/>
                <w:bCs/>
                <w:sz w:val="28"/>
                <w:szCs w:val="28"/>
              </w:rPr>
            </w:pPr>
            <w:r>
              <w:rPr>
                <w:rFonts w:ascii="Times New Roman" w:hAnsi="Times New Roman" w:cs="Times New Roman"/>
                <w:b/>
                <w:bCs/>
                <w:sz w:val="28"/>
                <w:szCs w:val="28"/>
              </w:rPr>
              <w:t>Payback Period</w:t>
            </w:r>
          </w:p>
        </w:tc>
      </w:tr>
      <w:tr w:rsidR="00776681" w14:paraId="5313290C" w14:textId="77777777" w:rsidTr="00776681">
        <w:tc>
          <w:tcPr>
            <w:tcW w:w="4508" w:type="dxa"/>
          </w:tcPr>
          <w:p w14:paraId="00EC02CB" w14:textId="2D053408" w:rsidR="00776681" w:rsidRPr="00264483" w:rsidRDefault="00264483" w:rsidP="00264483">
            <w:pPr>
              <w:ind w:left="0" w:firstLine="0"/>
              <w:jc w:val="center"/>
              <w:rPr>
                <w:rFonts w:ascii="Times New Roman" w:hAnsi="Times New Roman" w:cs="Times New Roman"/>
                <w:b/>
                <w:bCs/>
                <w:sz w:val="28"/>
                <w:szCs w:val="28"/>
              </w:rPr>
            </w:pPr>
            <w:r w:rsidRPr="00264483">
              <w:rPr>
                <w:rFonts w:ascii="Times New Roman" w:hAnsi="Times New Roman" w:cs="Times New Roman"/>
                <w:b/>
                <w:bCs/>
                <w:sz w:val="28"/>
                <w:szCs w:val="28"/>
              </w:rPr>
              <w:t>Project A</w:t>
            </w:r>
          </w:p>
        </w:tc>
        <w:tc>
          <w:tcPr>
            <w:tcW w:w="4508" w:type="dxa"/>
          </w:tcPr>
          <w:p w14:paraId="7933CB82" w14:textId="3604CD13" w:rsidR="00776681" w:rsidRPr="00264483" w:rsidRDefault="00264483" w:rsidP="00264483">
            <w:pPr>
              <w:ind w:left="0" w:firstLine="0"/>
              <w:jc w:val="center"/>
              <w:rPr>
                <w:rFonts w:ascii="Times New Roman" w:hAnsi="Times New Roman" w:cs="Times New Roman"/>
                <w:b/>
                <w:bCs/>
                <w:sz w:val="28"/>
                <w:szCs w:val="28"/>
              </w:rPr>
            </w:pPr>
            <w:r w:rsidRPr="00264483">
              <w:rPr>
                <w:rFonts w:ascii="Times New Roman" w:hAnsi="Times New Roman" w:cs="Times New Roman"/>
                <w:b/>
                <w:bCs/>
                <w:sz w:val="28"/>
                <w:szCs w:val="28"/>
              </w:rPr>
              <w:t>Project B</w:t>
            </w:r>
          </w:p>
        </w:tc>
      </w:tr>
      <w:tr w:rsidR="00776681" w14:paraId="1356BDC3" w14:textId="77777777" w:rsidTr="00776681">
        <w:tc>
          <w:tcPr>
            <w:tcW w:w="4508" w:type="dxa"/>
          </w:tcPr>
          <w:p w14:paraId="211A8941" w14:textId="188062A5" w:rsidR="00776681" w:rsidRPr="00FF6F67" w:rsidRDefault="00264483" w:rsidP="00264483">
            <w:pPr>
              <w:ind w:left="0" w:firstLine="0"/>
              <w:rPr>
                <w:rFonts w:ascii="Times New Roman" w:hAnsi="Times New Roman" w:cs="Times New Roman"/>
                <w:sz w:val="28"/>
                <w:szCs w:val="28"/>
              </w:rPr>
            </w:pPr>
            <w:r w:rsidRPr="00FF6F67">
              <w:rPr>
                <w:rFonts w:ascii="Times New Roman" w:hAnsi="Times New Roman" w:cs="Times New Roman"/>
                <w:sz w:val="28"/>
                <w:szCs w:val="28"/>
              </w:rPr>
              <w:t>=2 years+(500/</w:t>
            </w:r>
            <w:r w:rsidR="00202EAA" w:rsidRPr="00FF6F67">
              <w:rPr>
                <w:rFonts w:ascii="Times New Roman" w:hAnsi="Times New Roman" w:cs="Times New Roman"/>
                <w:sz w:val="28"/>
                <w:szCs w:val="28"/>
              </w:rPr>
              <w:t>1000) years</w:t>
            </w:r>
            <w:r w:rsidRPr="00FF6F67">
              <w:rPr>
                <w:rFonts w:ascii="Times New Roman" w:hAnsi="Times New Roman" w:cs="Times New Roman"/>
                <w:sz w:val="28"/>
                <w:szCs w:val="28"/>
              </w:rPr>
              <w:t xml:space="preserve">=2.5 years </w:t>
            </w:r>
          </w:p>
        </w:tc>
        <w:tc>
          <w:tcPr>
            <w:tcW w:w="4508" w:type="dxa"/>
          </w:tcPr>
          <w:p w14:paraId="12103891" w14:textId="1BD60A6D" w:rsidR="00776681" w:rsidRPr="00FF6F67" w:rsidRDefault="00766E43" w:rsidP="00053671">
            <w:pPr>
              <w:ind w:left="0" w:firstLine="0"/>
              <w:rPr>
                <w:rFonts w:ascii="Times New Roman" w:hAnsi="Times New Roman" w:cs="Times New Roman"/>
                <w:sz w:val="28"/>
                <w:szCs w:val="28"/>
              </w:rPr>
            </w:pPr>
            <w:r w:rsidRPr="00FF6F67">
              <w:rPr>
                <w:rFonts w:ascii="Times New Roman" w:hAnsi="Times New Roman" w:cs="Times New Roman"/>
                <w:sz w:val="28"/>
                <w:szCs w:val="28"/>
              </w:rPr>
              <w:t>=0+(1000/1500) years= 0.67</w:t>
            </w:r>
            <w:r w:rsidR="00265390">
              <w:rPr>
                <w:rFonts w:ascii="Times New Roman" w:hAnsi="Times New Roman" w:cs="Times New Roman"/>
                <w:sz w:val="28"/>
                <w:szCs w:val="28"/>
              </w:rPr>
              <w:t xml:space="preserve"> year</w:t>
            </w:r>
          </w:p>
        </w:tc>
      </w:tr>
    </w:tbl>
    <w:p w14:paraId="164014F7" w14:textId="47A907BB" w:rsidR="00FE61AA" w:rsidRDefault="00FE61AA" w:rsidP="00053671">
      <w:pPr>
        <w:ind w:left="0" w:firstLine="0"/>
        <w:rPr>
          <w:rFonts w:asciiTheme="minorHAnsi" w:hAnsiTheme="minorHAnsi" w:cstheme="minorHAnsi"/>
          <w:b/>
          <w:bCs/>
          <w:sz w:val="28"/>
          <w:szCs w:val="28"/>
        </w:rPr>
      </w:pPr>
    </w:p>
    <w:tbl>
      <w:tblPr>
        <w:tblStyle w:val="TableGrid0"/>
        <w:tblW w:w="0" w:type="auto"/>
        <w:tblLook w:val="04A0" w:firstRow="1" w:lastRow="0" w:firstColumn="1" w:lastColumn="0" w:noHBand="0" w:noVBand="1"/>
      </w:tblPr>
      <w:tblGrid>
        <w:gridCol w:w="4508"/>
        <w:gridCol w:w="4508"/>
      </w:tblGrid>
      <w:tr w:rsidR="00776681" w14:paraId="2DB96057" w14:textId="77777777" w:rsidTr="00E52ED8">
        <w:tc>
          <w:tcPr>
            <w:tcW w:w="9016" w:type="dxa"/>
            <w:gridSpan w:val="2"/>
          </w:tcPr>
          <w:p w14:paraId="4BF5BF51" w14:textId="5DADBA97" w:rsidR="00776681" w:rsidRPr="00264483" w:rsidRDefault="00264483" w:rsidP="00264483">
            <w:pPr>
              <w:ind w:left="0" w:firstLine="0"/>
              <w:jc w:val="center"/>
              <w:rPr>
                <w:rFonts w:ascii="Times New Roman" w:hAnsi="Times New Roman" w:cs="Times New Roman"/>
                <w:b/>
                <w:bCs/>
                <w:sz w:val="28"/>
                <w:szCs w:val="28"/>
              </w:rPr>
            </w:pPr>
            <w:r w:rsidRPr="00264483">
              <w:rPr>
                <w:rFonts w:ascii="Times New Roman" w:hAnsi="Times New Roman" w:cs="Times New Roman"/>
                <w:b/>
                <w:bCs/>
                <w:sz w:val="28"/>
                <w:szCs w:val="28"/>
              </w:rPr>
              <w:t>Accounting Rate of Return</w:t>
            </w:r>
            <w:r>
              <w:rPr>
                <w:rFonts w:ascii="Times New Roman" w:hAnsi="Times New Roman" w:cs="Times New Roman"/>
                <w:b/>
                <w:bCs/>
                <w:sz w:val="28"/>
                <w:szCs w:val="28"/>
              </w:rPr>
              <w:t xml:space="preserve"> </w:t>
            </w:r>
            <w:r w:rsidRPr="00264483">
              <w:rPr>
                <w:rFonts w:ascii="Times New Roman" w:hAnsi="Times New Roman" w:cs="Times New Roman"/>
                <w:b/>
                <w:bCs/>
                <w:sz w:val="28"/>
                <w:szCs w:val="28"/>
              </w:rPr>
              <w:t>(ARR)</w:t>
            </w:r>
          </w:p>
        </w:tc>
      </w:tr>
      <w:tr w:rsidR="00776681" w14:paraId="19598D22" w14:textId="77777777" w:rsidTr="00553F15">
        <w:tc>
          <w:tcPr>
            <w:tcW w:w="4508" w:type="dxa"/>
          </w:tcPr>
          <w:p w14:paraId="3BB1C23F" w14:textId="6190D78E" w:rsidR="00776681" w:rsidRDefault="00766E43" w:rsidP="00553F15">
            <w:pPr>
              <w:ind w:left="0" w:firstLine="0"/>
              <w:rPr>
                <w:rFonts w:asciiTheme="minorHAnsi" w:hAnsiTheme="minorHAnsi" w:cstheme="minorHAnsi"/>
                <w:b/>
                <w:bCs/>
                <w:sz w:val="28"/>
                <w:szCs w:val="28"/>
              </w:rPr>
            </w:pPr>
            <w:r w:rsidRPr="00264483">
              <w:rPr>
                <w:rFonts w:ascii="Times New Roman" w:hAnsi="Times New Roman" w:cs="Times New Roman"/>
                <w:b/>
                <w:bCs/>
                <w:sz w:val="28"/>
                <w:szCs w:val="28"/>
              </w:rPr>
              <w:t>Project A</w:t>
            </w:r>
          </w:p>
        </w:tc>
        <w:tc>
          <w:tcPr>
            <w:tcW w:w="4508" w:type="dxa"/>
          </w:tcPr>
          <w:p w14:paraId="2D75C028" w14:textId="20A6C7C1" w:rsidR="00776681" w:rsidRDefault="00766E43" w:rsidP="00553F15">
            <w:pPr>
              <w:ind w:left="0" w:firstLine="0"/>
              <w:rPr>
                <w:rFonts w:asciiTheme="minorHAnsi" w:hAnsiTheme="minorHAnsi" w:cstheme="minorHAnsi"/>
                <w:b/>
                <w:bCs/>
                <w:sz w:val="28"/>
                <w:szCs w:val="28"/>
              </w:rPr>
            </w:pPr>
            <w:r w:rsidRPr="00264483">
              <w:rPr>
                <w:rFonts w:ascii="Times New Roman" w:hAnsi="Times New Roman" w:cs="Times New Roman"/>
                <w:b/>
                <w:bCs/>
                <w:sz w:val="28"/>
                <w:szCs w:val="28"/>
              </w:rPr>
              <w:t>Project B</w:t>
            </w:r>
          </w:p>
        </w:tc>
      </w:tr>
      <w:tr w:rsidR="00776681" w14:paraId="6F8D6F0A" w14:textId="77777777" w:rsidTr="00553F15">
        <w:tc>
          <w:tcPr>
            <w:tcW w:w="4508" w:type="dxa"/>
          </w:tcPr>
          <w:p w14:paraId="792E6ACF" w14:textId="77777777" w:rsidR="00776681" w:rsidRDefault="00766E43" w:rsidP="00553F15">
            <w:pPr>
              <w:ind w:left="0" w:firstLine="0"/>
              <w:rPr>
                <w:rFonts w:ascii="Times New Roman" w:hAnsi="Times New Roman" w:cs="Times New Roman"/>
                <w:sz w:val="28"/>
                <w:szCs w:val="28"/>
              </w:rPr>
            </w:pPr>
            <w:r w:rsidRPr="00766E43">
              <w:rPr>
                <w:rFonts w:ascii="Times New Roman" w:hAnsi="Times New Roman" w:cs="Times New Roman"/>
                <w:sz w:val="28"/>
                <w:szCs w:val="28"/>
              </w:rPr>
              <w:t>Average Annual Profit= (2500+2000+1000-442)/ 4= 1264.5 million</w:t>
            </w:r>
          </w:p>
          <w:p w14:paraId="67A04D34" w14:textId="2FD2B27D" w:rsidR="00766E43" w:rsidRDefault="00766E43" w:rsidP="00553F15">
            <w:pPr>
              <w:ind w:left="0" w:firstLine="0"/>
              <w:rPr>
                <w:rFonts w:ascii="Times New Roman" w:hAnsi="Times New Roman" w:cs="Times New Roman"/>
                <w:sz w:val="28"/>
                <w:szCs w:val="28"/>
              </w:rPr>
            </w:pPr>
            <w:r>
              <w:rPr>
                <w:rFonts w:ascii="Times New Roman" w:hAnsi="Times New Roman" w:cs="Times New Roman"/>
                <w:sz w:val="28"/>
                <w:szCs w:val="28"/>
              </w:rPr>
              <w:t>ARR= (</w:t>
            </w:r>
            <w:r w:rsidRPr="00766E43">
              <w:rPr>
                <w:rFonts w:ascii="Times New Roman" w:hAnsi="Times New Roman" w:cs="Times New Roman"/>
                <w:sz w:val="28"/>
                <w:szCs w:val="28"/>
              </w:rPr>
              <w:t>Average Annual Profit</w:t>
            </w:r>
            <w:r>
              <w:rPr>
                <w:rFonts w:ascii="Times New Roman" w:hAnsi="Times New Roman" w:cs="Times New Roman"/>
                <w:sz w:val="28"/>
                <w:szCs w:val="28"/>
              </w:rPr>
              <w:t xml:space="preserve"> / Initial investment) *100%</w:t>
            </w:r>
          </w:p>
          <w:p w14:paraId="40E9B6D0" w14:textId="0EEF6168" w:rsidR="00766E43" w:rsidRDefault="00766E43" w:rsidP="00553F15">
            <w:pPr>
              <w:ind w:left="0" w:firstLine="0"/>
              <w:rPr>
                <w:rFonts w:ascii="Times New Roman" w:hAnsi="Times New Roman" w:cs="Times New Roman"/>
                <w:sz w:val="28"/>
                <w:szCs w:val="28"/>
              </w:rPr>
            </w:pPr>
            <w:r>
              <w:rPr>
                <w:rFonts w:ascii="Times New Roman" w:hAnsi="Times New Roman" w:cs="Times New Roman"/>
                <w:sz w:val="28"/>
                <w:szCs w:val="28"/>
              </w:rPr>
              <w:t>= (1264.5 /5000) *100%</w:t>
            </w:r>
          </w:p>
          <w:p w14:paraId="1B881996" w14:textId="50E5F64F" w:rsidR="00766E43" w:rsidRPr="00766E43" w:rsidRDefault="00202EAA" w:rsidP="00553F15">
            <w:pPr>
              <w:ind w:left="0" w:firstLine="0"/>
              <w:rPr>
                <w:rFonts w:ascii="Times New Roman" w:hAnsi="Times New Roman" w:cs="Times New Roman"/>
                <w:sz w:val="28"/>
                <w:szCs w:val="28"/>
              </w:rPr>
            </w:pPr>
            <w:r>
              <w:rPr>
                <w:rFonts w:ascii="Times New Roman" w:hAnsi="Times New Roman" w:cs="Times New Roman"/>
                <w:sz w:val="28"/>
                <w:szCs w:val="28"/>
              </w:rPr>
              <w:t>= 25.29%</w:t>
            </w:r>
          </w:p>
        </w:tc>
        <w:tc>
          <w:tcPr>
            <w:tcW w:w="4508" w:type="dxa"/>
          </w:tcPr>
          <w:p w14:paraId="070E70E8" w14:textId="1905A2EA" w:rsidR="00776681" w:rsidRDefault="00202EAA" w:rsidP="00553F15">
            <w:pPr>
              <w:ind w:left="0" w:firstLine="0"/>
              <w:rPr>
                <w:rFonts w:ascii="Times New Roman" w:hAnsi="Times New Roman" w:cs="Times New Roman"/>
                <w:sz w:val="28"/>
                <w:szCs w:val="28"/>
              </w:rPr>
            </w:pPr>
            <w:r w:rsidRPr="00766E43">
              <w:rPr>
                <w:rFonts w:ascii="Times New Roman" w:hAnsi="Times New Roman" w:cs="Times New Roman"/>
                <w:sz w:val="28"/>
                <w:szCs w:val="28"/>
              </w:rPr>
              <w:t>Average Annual Profit</w:t>
            </w:r>
            <w:r>
              <w:rPr>
                <w:rFonts w:ascii="Times New Roman" w:hAnsi="Times New Roman" w:cs="Times New Roman"/>
                <w:sz w:val="28"/>
                <w:szCs w:val="28"/>
              </w:rPr>
              <w:t>= (1500+1000+1000-470) /4 = 757.5 million</w:t>
            </w:r>
          </w:p>
          <w:p w14:paraId="0F401353" w14:textId="77777777" w:rsidR="00202EAA" w:rsidRDefault="00202EAA" w:rsidP="00553F15">
            <w:pPr>
              <w:ind w:left="0" w:firstLine="0"/>
              <w:rPr>
                <w:rFonts w:ascii="Times New Roman" w:hAnsi="Times New Roman" w:cs="Times New Roman"/>
                <w:sz w:val="28"/>
                <w:szCs w:val="28"/>
              </w:rPr>
            </w:pPr>
            <w:r>
              <w:rPr>
                <w:rFonts w:ascii="Times New Roman" w:hAnsi="Times New Roman" w:cs="Times New Roman"/>
                <w:sz w:val="28"/>
                <w:szCs w:val="28"/>
              </w:rPr>
              <w:t>ARR= (</w:t>
            </w:r>
            <w:r w:rsidRPr="00766E43">
              <w:rPr>
                <w:rFonts w:ascii="Times New Roman" w:hAnsi="Times New Roman" w:cs="Times New Roman"/>
                <w:sz w:val="28"/>
                <w:szCs w:val="28"/>
              </w:rPr>
              <w:t>Average Annual Profit</w:t>
            </w:r>
            <w:r>
              <w:rPr>
                <w:rFonts w:ascii="Times New Roman" w:hAnsi="Times New Roman" w:cs="Times New Roman"/>
                <w:sz w:val="28"/>
                <w:szCs w:val="28"/>
              </w:rPr>
              <w:t xml:space="preserve"> / Initial investment) *100%</w:t>
            </w:r>
          </w:p>
          <w:p w14:paraId="792F11D1" w14:textId="77777777" w:rsidR="00202EAA" w:rsidRDefault="00202EAA" w:rsidP="00553F15">
            <w:pPr>
              <w:ind w:left="0" w:firstLine="0"/>
              <w:rPr>
                <w:rFonts w:ascii="Times New Roman" w:hAnsi="Times New Roman" w:cs="Times New Roman"/>
                <w:sz w:val="28"/>
                <w:szCs w:val="28"/>
              </w:rPr>
            </w:pPr>
            <w:r>
              <w:rPr>
                <w:rFonts w:ascii="Times New Roman" w:hAnsi="Times New Roman" w:cs="Times New Roman"/>
                <w:sz w:val="28"/>
                <w:szCs w:val="28"/>
              </w:rPr>
              <w:t>= (757.5/1000) *100%</w:t>
            </w:r>
          </w:p>
          <w:p w14:paraId="4F4A46DD" w14:textId="0D136844" w:rsidR="00202EAA" w:rsidRPr="00202EAA" w:rsidRDefault="00202EAA" w:rsidP="00553F15">
            <w:pPr>
              <w:ind w:left="0" w:firstLine="0"/>
              <w:rPr>
                <w:rFonts w:ascii="Times New Roman" w:hAnsi="Times New Roman" w:cs="Times New Roman"/>
                <w:sz w:val="28"/>
                <w:szCs w:val="28"/>
              </w:rPr>
            </w:pPr>
            <w:r>
              <w:rPr>
                <w:rFonts w:ascii="Times New Roman" w:hAnsi="Times New Roman" w:cs="Times New Roman"/>
                <w:sz w:val="28"/>
                <w:szCs w:val="28"/>
              </w:rPr>
              <w:t>= 75,75%</w:t>
            </w:r>
          </w:p>
        </w:tc>
      </w:tr>
    </w:tbl>
    <w:p w14:paraId="27F2DEC6" w14:textId="77777777" w:rsidR="00FE61AA" w:rsidRPr="004F06B4" w:rsidRDefault="00FE61AA" w:rsidP="00053671">
      <w:pPr>
        <w:ind w:left="0" w:firstLine="0"/>
        <w:rPr>
          <w:rFonts w:asciiTheme="minorHAnsi" w:hAnsiTheme="minorHAnsi" w:cstheme="minorHAnsi"/>
          <w:b/>
          <w:bCs/>
          <w:sz w:val="28"/>
          <w:szCs w:val="28"/>
        </w:rPr>
      </w:pPr>
    </w:p>
    <w:p w14:paraId="15D742EA" w14:textId="7E2ED243" w:rsidR="00FE61AA" w:rsidRPr="004F06B4" w:rsidRDefault="00FE61AA" w:rsidP="00053671">
      <w:pPr>
        <w:ind w:left="0" w:firstLine="0"/>
        <w:rPr>
          <w:rFonts w:asciiTheme="minorHAnsi" w:hAnsiTheme="minorHAnsi" w:cstheme="minorHAnsi"/>
          <w:b/>
          <w:bCs/>
          <w:sz w:val="28"/>
          <w:szCs w:val="28"/>
        </w:rPr>
      </w:pPr>
      <w:r w:rsidRPr="004F06B4">
        <w:rPr>
          <w:rFonts w:asciiTheme="minorHAnsi" w:hAnsiTheme="minorHAnsi" w:cstheme="minorHAnsi"/>
          <w:noProof/>
          <w:sz w:val="28"/>
          <w:szCs w:val="28"/>
        </w:rPr>
        <w:drawing>
          <wp:inline distT="0" distB="0" distL="0" distR="0" wp14:anchorId="65454A93" wp14:editId="3A3C39DF">
            <wp:extent cx="5731510" cy="2800235"/>
            <wp:effectExtent l="0" t="0" r="2540" b="635"/>
            <wp:docPr id="1977382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382937" name=""/>
                    <pic:cNvPicPr/>
                  </pic:nvPicPr>
                  <pic:blipFill>
                    <a:blip r:embed="rId9"/>
                    <a:stretch>
                      <a:fillRect/>
                    </a:stretch>
                  </pic:blipFill>
                  <pic:spPr>
                    <a:xfrm>
                      <a:off x="0" y="0"/>
                      <a:ext cx="5731510" cy="2800235"/>
                    </a:xfrm>
                    <a:prstGeom prst="rect">
                      <a:avLst/>
                    </a:prstGeom>
                  </pic:spPr>
                </pic:pic>
              </a:graphicData>
            </a:graphic>
          </wp:inline>
        </w:drawing>
      </w:r>
    </w:p>
    <w:p w14:paraId="0D3BAB59" w14:textId="77777777" w:rsidR="00FE61AA" w:rsidRPr="004F06B4" w:rsidRDefault="00FE61AA" w:rsidP="00053671">
      <w:pPr>
        <w:ind w:left="0" w:firstLine="0"/>
        <w:rPr>
          <w:rFonts w:asciiTheme="minorHAnsi" w:hAnsiTheme="minorHAnsi" w:cstheme="minorHAnsi"/>
          <w:b/>
          <w:bCs/>
          <w:sz w:val="28"/>
          <w:szCs w:val="28"/>
        </w:rPr>
      </w:pPr>
    </w:p>
    <w:p w14:paraId="57ECB4E9" w14:textId="2B38EE19" w:rsidR="00FE61AA" w:rsidRPr="00CD04CF" w:rsidRDefault="00FE61AA" w:rsidP="00CD04CF">
      <w:pPr>
        <w:pStyle w:val="Heading1"/>
        <w:numPr>
          <w:ilvl w:val="1"/>
          <w:numId w:val="3"/>
        </w:numPr>
        <w:rPr>
          <w:rFonts w:ascii="Times New Roman" w:hAnsi="Times New Roman" w:cs="Times New Roman"/>
        </w:rPr>
      </w:pPr>
      <w:bookmarkStart w:id="14" w:name="_Toc164362227"/>
      <w:r w:rsidRPr="00CD04CF">
        <w:rPr>
          <w:rFonts w:ascii="Times New Roman" w:hAnsi="Times New Roman" w:cs="Times New Roman"/>
        </w:rPr>
        <w:t>Evaluation and Recommendation</w:t>
      </w:r>
      <w:bookmarkEnd w:id="14"/>
    </w:p>
    <w:p w14:paraId="5C1F6A77" w14:textId="77777777" w:rsidR="00FE61AA" w:rsidRPr="00E66ADB" w:rsidRDefault="00FE61AA" w:rsidP="00053671">
      <w:pPr>
        <w:ind w:left="0" w:firstLine="0"/>
        <w:rPr>
          <w:rFonts w:ascii="Times New Roman" w:hAnsi="Times New Roman" w:cs="Times New Roman"/>
          <w:b/>
          <w:bCs/>
          <w:sz w:val="28"/>
          <w:szCs w:val="28"/>
        </w:rPr>
      </w:pPr>
    </w:p>
    <w:p w14:paraId="2D7E5EC3" w14:textId="44D759B4" w:rsidR="00FE61AA" w:rsidRPr="00E66ADB" w:rsidRDefault="00FE61AA" w:rsidP="00FE61AA">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A thorough comparison of Project A and Project B's financial performance using important indicators including payback duration, accounting rate of return (ARR), and net present value (NPV) is shown in the graphic. First, both projects' payback periods—which show how long it takes an investment to recover its </w:t>
      </w:r>
      <w:r w:rsidRPr="00E66ADB">
        <w:rPr>
          <w:rFonts w:ascii="Times New Roman" w:hAnsi="Times New Roman" w:cs="Times New Roman"/>
          <w:sz w:val="28"/>
          <w:szCs w:val="28"/>
        </w:rPr>
        <w:lastRenderedPageBreak/>
        <w:t xml:space="preserve">initial cost—are computed. Project A exhibits a payback duration of </w:t>
      </w:r>
      <w:r w:rsidR="00202EAA">
        <w:rPr>
          <w:rFonts w:ascii="Times New Roman" w:hAnsi="Times New Roman" w:cs="Times New Roman"/>
          <w:sz w:val="28"/>
          <w:szCs w:val="28"/>
        </w:rPr>
        <w:t>2.5</w:t>
      </w:r>
      <w:r w:rsidRPr="00E66ADB">
        <w:rPr>
          <w:rFonts w:ascii="Times New Roman" w:hAnsi="Times New Roman" w:cs="Times New Roman"/>
          <w:sz w:val="28"/>
          <w:szCs w:val="28"/>
        </w:rPr>
        <w:t xml:space="preserve"> years, while Project B has payback period of </w:t>
      </w:r>
      <w:r w:rsidR="00202EAA">
        <w:rPr>
          <w:rFonts w:ascii="Times New Roman" w:hAnsi="Times New Roman" w:cs="Times New Roman"/>
          <w:sz w:val="28"/>
          <w:szCs w:val="28"/>
        </w:rPr>
        <w:t>0.67</w:t>
      </w:r>
      <w:r w:rsidRPr="00E66ADB">
        <w:rPr>
          <w:rFonts w:ascii="Times New Roman" w:hAnsi="Times New Roman" w:cs="Times New Roman"/>
          <w:sz w:val="28"/>
          <w:szCs w:val="28"/>
        </w:rPr>
        <w:t xml:space="preserve"> years. Now let's talk about ARR, a profitability metric. Project A produces an ARR of 25.26% based on the average yearly profit over the initial investment. Project B, on the other hand, exhibits a higher ARR of </w:t>
      </w:r>
      <w:r w:rsidR="00202EAA">
        <w:rPr>
          <w:rFonts w:ascii="Times New Roman" w:hAnsi="Times New Roman" w:cs="Times New Roman"/>
          <w:sz w:val="28"/>
          <w:szCs w:val="28"/>
        </w:rPr>
        <w:t>75.75</w:t>
      </w:r>
      <w:r w:rsidRPr="00E66ADB">
        <w:rPr>
          <w:rFonts w:ascii="Times New Roman" w:hAnsi="Times New Roman" w:cs="Times New Roman"/>
          <w:sz w:val="28"/>
          <w:szCs w:val="28"/>
        </w:rPr>
        <w:t xml:space="preserve">%, indicating a better return on </w:t>
      </w:r>
      <w:r w:rsidR="00EB75A0" w:rsidRPr="00E66ADB">
        <w:rPr>
          <w:rFonts w:ascii="Times New Roman" w:hAnsi="Times New Roman" w:cs="Times New Roman"/>
          <w:sz w:val="28"/>
          <w:szCs w:val="28"/>
        </w:rPr>
        <w:t>investment. Last</w:t>
      </w:r>
      <w:r w:rsidRPr="00E66ADB">
        <w:rPr>
          <w:rFonts w:ascii="Times New Roman" w:hAnsi="Times New Roman" w:cs="Times New Roman"/>
          <w:sz w:val="28"/>
          <w:szCs w:val="28"/>
        </w:rPr>
        <w:t xml:space="preserve"> but not least, the Net Present Value (NPV) analysis takes into account cash flows over time while discounting the time value of money. In-depth computations show the cash flows' current value for every year, which helps determine net present value (NPV). These thorough financial analyses, which cover payback period, annual rate of return, and net present value, provide stakeholders with critical information for strategic decision-making and investment planning. This helps in the assessment and identification of the most feasible investment project based on financial performance and potential return. Each metric within this analysis provides a critical lens through which to assess and compare Project A and Project B, informing stakeholders of the financial implications and considerations associated with each investment opportunity.</w:t>
      </w:r>
    </w:p>
    <w:p w14:paraId="237D0989" w14:textId="77777777" w:rsidR="009231B9" w:rsidRPr="00E66ADB" w:rsidRDefault="009231B9" w:rsidP="00FE61AA">
      <w:pPr>
        <w:ind w:left="0" w:firstLine="0"/>
        <w:rPr>
          <w:rFonts w:ascii="Times New Roman" w:hAnsi="Times New Roman" w:cs="Times New Roman"/>
          <w:sz w:val="28"/>
          <w:szCs w:val="28"/>
        </w:rPr>
      </w:pPr>
    </w:p>
    <w:p w14:paraId="491A9E4A" w14:textId="0EADEB37" w:rsidR="009231B9" w:rsidRPr="00CD04CF" w:rsidRDefault="009231B9" w:rsidP="00CD04CF">
      <w:pPr>
        <w:pStyle w:val="Heading1"/>
        <w:numPr>
          <w:ilvl w:val="1"/>
          <w:numId w:val="3"/>
        </w:numPr>
        <w:rPr>
          <w:rFonts w:ascii="Times New Roman" w:hAnsi="Times New Roman" w:cs="Times New Roman"/>
        </w:rPr>
      </w:pPr>
      <w:bookmarkStart w:id="15" w:name="_Toc164362228"/>
      <w:r w:rsidRPr="00CD04CF">
        <w:rPr>
          <w:rFonts w:ascii="Times New Roman" w:hAnsi="Times New Roman" w:cs="Times New Roman"/>
        </w:rPr>
        <w:t>Recalculation of NPV</w:t>
      </w:r>
      <w:bookmarkEnd w:id="15"/>
    </w:p>
    <w:p w14:paraId="640618E8" w14:textId="77777777" w:rsidR="00FE61AA" w:rsidRPr="00E66ADB" w:rsidRDefault="00FE61AA" w:rsidP="00FE61AA">
      <w:pPr>
        <w:ind w:left="0" w:firstLine="0"/>
        <w:rPr>
          <w:rFonts w:ascii="Times New Roman" w:hAnsi="Times New Roman" w:cs="Times New Roman"/>
          <w:b/>
          <w:bCs/>
          <w:sz w:val="28"/>
          <w:szCs w:val="28"/>
        </w:rPr>
      </w:pPr>
    </w:p>
    <w:p w14:paraId="3728933E" w14:textId="77777777" w:rsidR="009231B9" w:rsidRPr="00E66ADB" w:rsidRDefault="009231B9" w:rsidP="00FE61AA">
      <w:pPr>
        <w:ind w:left="0" w:firstLine="0"/>
        <w:rPr>
          <w:rFonts w:ascii="Times New Roman" w:hAnsi="Times New Roman" w:cs="Times New Roman"/>
          <w:b/>
          <w:bCs/>
          <w:sz w:val="28"/>
          <w:szCs w:val="28"/>
        </w:rPr>
      </w:pPr>
    </w:p>
    <w:p w14:paraId="2AB26E0A" w14:textId="2BFE3842" w:rsidR="009231B9" w:rsidRPr="00E66ADB" w:rsidRDefault="009231B9" w:rsidP="00FE61AA">
      <w:pPr>
        <w:ind w:left="0" w:firstLine="0"/>
        <w:rPr>
          <w:rFonts w:ascii="Times New Roman" w:hAnsi="Times New Roman" w:cs="Times New Roman"/>
          <w:b/>
          <w:bCs/>
          <w:sz w:val="28"/>
          <w:szCs w:val="28"/>
        </w:rPr>
      </w:pPr>
      <w:r w:rsidRPr="00E66ADB">
        <w:rPr>
          <w:rFonts w:ascii="Times New Roman" w:hAnsi="Times New Roman" w:cs="Times New Roman"/>
          <w:noProof/>
          <w:sz w:val="28"/>
          <w:szCs w:val="28"/>
        </w:rPr>
        <w:drawing>
          <wp:inline distT="0" distB="0" distL="0" distR="0" wp14:anchorId="52C0F8D1" wp14:editId="38997EB3">
            <wp:extent cx="5731510" cy="2796560"/>
            <wp:effectExtent l="0" t="0" r="2540" b="3810"/>
            <wp:docPr id="488737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737785" name=""/>
                    <pic:cNvPicPr/>
                  </pic:nvPicPr>
                  <pic:blipFill>
                    <a:blip r:embed="rId10"/>
                    <a:stretch>
                      <a:fillRect/>
                    </a:stretch>
                  </pic:blipFill>
                  <pic:spPr>
                    <a:xfrm>
                      <a:off x="0" y="0"/>
                      <a:ext cx="5731510" cy="2796560"/>
                    </a:xfrm>
                    <a:prstGeom prst="rect">
                      <a:avLst/>
                    </a:prstGeom>
                  </pic:spPr>
                </pic:pic>
              </a:graphicData>
            </a:graphic>
          </wp:inline>
        </w:drawing>
      </w:r>
    </w:p>
    <w:p w14:paraId="22500D50" w14:textId="77777777" w:rsidR="009231B9" w:rsidRPr="00E66ADB" w:rsidRDefault="009231B9" w:rsidP="00FE61AA">
      <w:pPr>
        <w:ind w:left="0" w:firstLine="0"/>
        <w:rPr>
          <w:rFonts w:ascii="Times New Roman" w:hAnsi="Times New Roman" w:cs="Times New Roman"/>
          <w:b/>
          <w:bCs/>
          <w:sz w:val="28"/>
          <w:szCs w:val="28"/>
        </w:rPr>
      </w:pPr>
    </w:p>
    <w:p w14:paraId="5BD1D79D" w14:textId="77777777" w:rsidR="009231B9" w:rsidRPr="00E66ADB" w:rsidRDefault="009231B9" w:rsidP="00FE61AA">
      <w:pPr>
        <w:ind w:left="0" w:firstLine="0"/>
        <w:rPr>
          <w:rFonts w:ascii="Times New Roman" w:hAnsi="Times New Roman" w:cs="Times New Roman"/>
          <w:b/>
          <w:bCs/>
          <w:sz w:val="28"/>
          <w:szCs w:val="28"/>
        </w:rPr>
      </w:pPr>
    </w:p>
    <w:p w14:paraId="4A500FFA" w14:textId="399628D3" w:rsidR="009231B9" w:rsidRPr="00E66ADB" w:rsidRDefault="00E85791" w:rsidP="00FE61AA">
      <w:pPr>
        <w:ind w:left="0" w:firstLine="0"/>
        <w:rPr>
          <w:rFonts w:ascii="Times New Roman" w:hAnsi="Times New Roman" w:cs="Times New Roman"/>
          <w:sz w:val="28"/>
          <w:szCs w:val="28"/>
        </w:rPr>
      </w:pPr>
      <w:r w:rsidRPr="00E66ADB">
        <w:rPr>
          <w:rFonts w:ascii="Times New Roman" w:hAnsi="Times New Roman" w:cs="Times New Roman"/>
          <w:sz w:val="28"/>
          <w:szCs w:val="28"/>
        </w:rPr>
        <w:t xml:space="preserve">The projects' profitability is further revealed by the computation of the net present values (NPV) for both Project A and Project B, following a 10% adjustment to project expenditures and a 10% response to cash flows, respectively. Now that Project A is producing 503.76 million pounds in net present value (NPV), Project B is producing a larger NPV as well. Upon conducting a thorough analysis of the NPVs, we discover that both values are still positive, indicating that both projects </w:t>
      </w:r>
      <w:r w:rsidRPr="00E66ADB">
        <w:rPr>
          <w:rFonts w:ascii="Times New Roman" w:hAnsi="Times New Roman" w:cs="Times New Roman"/>
          <w:sz w:val="28"/>
          <w:szCs w:val="28"/>
        </w:rPr>
        <w:lastRenderedPageBreak/>
        <w:t>will yield returns that exceed their original inputs. However, the fact that Project B's NPV is higher than Project A's suggests that Project B might offer a higher return on investment. As a result, changes in the original investment and cash flows determine whether an investment project is financially viable; that is, the larger the investment, the higher the cash flow, and vice versa. Although both projects have the potential to yield long-term profits, project B's higher net present value suggests it may be a more profitable endeavour with the ability to optimize returns and hence increase shareholder value. Accordingly, Project B appears to be the preferred investment plan based on the updated NPV statistics.</w:t>
      </w:r>
    </w:p>
    <w:p w14:paraId="7F312BAF" w14:textId="77777777" w:rsidR="00E85791" w:rsidRPr="00E66ADB" w:rsidRDefault="00E85791" w:rsidP="00FE61AA">
      <w:pPr>
        <w:ind w:left="0" w:firstLine="0"/>
        <w:rPr>
          <w:rFonts w:ascii="Times New Roman" w:hAnsi="Times New Roman" w:cs="Times New Roman"/>
          <w:sz w:val="28"/>
          <w:szCs w:val="28"/>
        </w:rPr>
      </w:pPr>
    </w:p>
    <w:p w14:paraId="07997A4E" w14:textId="5C372960" w:rsidR="00E85791" w:rsidRPr="00CD04CF" w:rsidRDefault="00E85791" w:rsidP="00CD04CF">
      <w:pPr>
        <w:pStyle w:val="Heading1"/>
        <w:numPr>
          <w:ilvl w:val="1"/>
          <w:numId w:val="3"/>
        </w:numPr>
        <w:rPr>
          <w:rFonts w:ascii="Times New Roman" w:hAnsi="Times New Roman" w:cs="Times New Roman"/>
        </w:rPr>
      </w:pPr>
      <w:bookmarkStart w:id="16" w:name="_Toc164362229"/>
      <w:r w:rsidRPr="00CD04CF">
        <w:rPr>
          <w:rFonts w:ascii="Times New Roman" w:hAnsi="Times New Roman" w:cs="Times New Roman"/>
        </w:rPr>
        <w:t>Advantages and Disadvantages of Evaluation Techniques</w:t>
      </w:r>
      <w:bookmarkEnd w:id="16"/>
    </w:p>
    <w:p w14:paraId="58F673B7" w14:textId="77777777" w:rsidR="00FE61AA" w:rsidRPr="00E66ADB" w:rsidRDefault="00FE61AA" w:rsidP="00FE61AA">
      <w:pPr>
        <w:ind w:left="0" w:firstLine="0"/>
        <w:rPr>
          <w:rFonts w:ascii="Times New Roman" w:hAnsi="Times New Roman" w:cs="Times New Roman"/>
          <w:sz w:val="28"/>
          <w:szCs w:val="28"/>
        </w:rPr>
      </w:pPr>
    </w:p>
    <w:tbl>
      <w:tblPr>
        <w:tblStyle w:val="TableGrid0"/>
        <w:tblW w:w="0" w:type="auto"/>
        <w:tblLook w:val="04A0" w:firstRow="1" w:lastRow="0" w:firstColumn="1" w:lastColumn="0" w:noHBand="0" w:noVBand="1"/>
      </w:tblPr>
      <w:tblGrid>
        <w:gridCol w:w="4509"/>
        <w:gridCol w:w="4507"/>
      </w:tblGrid>
      <w:tr w:rsidR="00E85791" w:rsidRPr="00E66ADB" w14:paraId="373AC89B" w14:textId="77777777" w:rsidTr="002B0D68">
        <w:tc>
          <w:tcPr>
            <w:tcW w:w="9350" w:type="dxa"/>
            <w:gridSpan w:val="2"/>
          </w:tcPr>
          <w:p w14:paraId="2B214AAE" w14:textId="77777777" w:rsidR="00E85791" w:rsidRPr="00E66ADB" w:rsidRDefault="00E85791"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Payback Period</w:t>
            </w:r>
          </w:p>
        </w:tc>
      </w:tr>
      <w:tr w:rsidR="00E85791" w:rsidRPr="00E66ADB" w14:paraId="04297D6C" w14:textId="77777777" w:rsidTr="002B0D68">
        <w:tc>
          <w:tcPr>
            <w:tcW w:w="4675" w:type="dxa"/>
          </w:tcPr>
          <w:p w14:paraId="652EC284" w14:textId="77777777" w:rsidR="00E85791" w:rsidRPr="00E66ADB" w:rsidRDefault="00E85791"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Advantages</w:t>
            </w:r>
          </w:p>
        </w:tc>
        <w:tc>
          <w:tcPr>
            <w:tcW w:w="4675" w:type="dxa"/>
          </w:tcPr>
          <w:p w14:paraId="4DE9247C" w14:textId="136E8001" w:rsidR="00E85791" w:rsidRPr="00E66ADB" w:rsidRDefault="00E85791"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Disadvantages</w:t>
            </w:r>
          </w:p>
        </w:tc>
      </w:tr>
      <w:tr w:rsidR="00E85791" w:rsidRPr="00E66ADB" w14:paraId="6D94433B" w14:textId="77777777" w:rsidTr="002B0D68">
        <w:tc>
          <w:tcPr>
            <w:tcW w:w="4675" w:type="dxa"/>
          </w:tcPr>
          <w:p w14:paraId="46BD3994" w14:textId="2A3F26CC" w:rsidR="00E85791" w:rsidRPr="00E66ADB" w:rsidRDefault="00E85791" w:rsidP="002B0D68">
            <w:pPr>
              <w:spacing w:after="0" w:line="360" w:lineRule="auto"/>
              <w:rPr>
                <w:rFonts w:ascii="Times New Roman" w:hAnsi="Times New Roman" w:cs="Times New Roman"/>
                <w:sz w:val="28"/>
                <w:szCs w:val="28"/>
              </w:rPr>
            </w:pPr>
            <w:r w:rsidRPr="00E66ADB">
              <w:rPr>
                <w:rFonts w:ascii="Times New Roman" w:hAnsi="Times New Roman" w:cs="Times New Roman"/>
                <w:color w:val="1F1F1F"/>
                <w:sz w:val="28"/>
                <w:szCs w:val="28"/>
                <w:shd w:val="clear" w:color="auto" w:fill="FFFFFF"/>
              </w:rPr>
              <w:t xml:space="preserve">The payback period is a straightforward calculation that doesn't require complex financial models or advanced financial knowledge. This makes it a user-friendly tool that can be easily understood by both financial and non-financial professionals involved in decision-making. Additionally, the payback period's focus on short-term liquidity is particularly relevant for businesses with limited cash flow or a high risk tolerance. These businesses may prioritize getting their money back quickly, and the payback period helps them identify investments that align with this objective. Furthermore, by focusing on the early years of cash </w:t>
            </w:r>
            <w:r w:rsidRPr="00E66ADB">
              <w:rPr>
                <w:rFonts w:ascii="Times New Roman" w:hAnsi="Times New Roman" w:cs="Times New Roman"/>
                <w:color w:val="1F1F1F"/>
                <w:sz w:val="28"/>
                <w:szCs w:val="28"/>
                <w:shd w:val="clear" w:color="auto" w:fill="FFFFFF"/>
              </w:rPr>
              <w:lastRenderedPageBreak/>
              <w:t>flows, the payback period can act as a risk assessment tool. Projects with a shorter payback period are generally considered less risky from a cash flow perspective, as they recover their initial investment quicker. Finally, when faced with multiple investment options, the payback period can be a valuable tool for quick project selection and prioritization. Projects with shorter payback periods might be prioritized, especially for businesses with limited capital.</w:t>
            </w:r>
            <w:r w:rsidR="00443553" w:rsidRPr="00E66ADB">
              <w:rPr>
                <w:rFonts w:ascii="Times New Roman" w:hAnsi="Times New Roman" w:cs="Times New Roman"/>
                <w:color w:val="2C3E50"/>
                <w:sz w:val="23"/>
                <w:szCs w:val="23"/>
                <w:shd w:val="clear" w:color="auto" w:fill="FFFFFF"/>
              </w:rPr>
              <w:t xml:space="preserve"> (CFI Team, 2022)</w:t>
            </w:r>
          </w:p>
        </w:tc>
        <w:tc>
          <w:tcPr>
            <w:tcW w:w="4675" w:type="dxa"/>
          </w:tcPr>
          <w:p w14:paraId="6456B616" w14:textId="2F247CD6" w:rsidR="00E85791" w:rsidRPr="00E66ADB" w:rsidRDefault="00E85791" w:rsidP="002B0D68">
            <w:pPr>
              <w:spacing w:after="0" w:line="360" w:lineRule="auto"/>
              <w:rPr>
                <w:rFonts w:ascii="Times New Roman" w:hAnsi="Times New Roman" w:cs="Times New Roman"/>
                <w:sz w:val="28"/>
                <w:szCs w:val="28"/>
              </w:rPr>
            </w:pPr>
            <w:r w:rsidRPr="00E66ADB">
              <w:rPr>
                <w:rFonts w:ascii="Times New Roman" w:hAnsi="Times New Roman" w:cs="Times New Roman"/>
                <w:color w:val="1F1F1F"/>
                <w:sz w:val="28"/>
                <w:szCs w:val="28"/>
                <w:shd w:val="clear" w:color="auto" w:fill="FFFFFF"/>
              </w:rPr>
              <w:lastRenderedPageBreak/>
              <w:t xml:space="preserve">The payback period is easy to understand but has limitations. It ignores the time value of money, meaning a dollar today is worth more than a dollar tomorrow. This can lead to </w:t>
            </w:r>
            <w:r w:rsidR="00E0661F" w:rsidRPr="00E66ADB">
              <w:rPr>
                <w:rFonts w:ascii="Times New Roman" w:hAnsi="Times New Roman" w:cs="Times New Roman"/>
                <w:color w:val="1F1F1F"/>
                <w:sz w:val="28"/>
                <w:szCs w:val="28"/>
                <w:shd w:val="clear" w:color="auto" w:fill="FFFFFF"/>
              </w:rPr>
              <w:t>favouring</w:t>
            </w:r>
            <w:r w:rsidRPr="00E66ADB">
              <w:rPr>
                <w:rFonts w:ascii="Times New Roman" w:hAnsi="Times New Roman" w:cs="Times New Roman"/>
                <w:color w:val="1F1F1F"/>
                <w:sz w:val="28"/>
                <w:szCs w:val="28"/>
                <w:shd w:val="clear" w:color="auto" w:fill="FFFFFF"/>
              </w:rPr>
              <w:t xml:space="preserve"> a project that recovers its cost faster (Project A in your example) even if it generates less total cash flow than a project with a longer payback (Project B). Additionally, the payback period only considers cash flow until the investment is recovered, potentially overlooking profitable long-term projects. It's not ideal for all projects, especially those with cash flows spread out over many years. While it can be a helpful starting point, the payback period should be used </w:t>
            </w:r>
            <w:r w:rsidRPr="00E66ADB">
              <w:rPr>
                <w:rFonts w:ascii="Times New Roman" w:hAnsi="Times New Roman" w:cs="Times New Roman"/>
                <w:color w:val="1F1F1F"/>
                <w:sz w:val="28"/>
                <w:szCs w:val="28"/>
                <w:shd w:val="clear" w:color="auto" w:fill="FFFFFF"/>
              </w:rPr>
              <w:lastRenderedPageBreak/>
              <w:t>with other techniques that consider these important factors for better decision-making.</w:t>
            </w:r>
            <w:r w:rsidR="00443553" w:rsidRPr="00E66ADB">
              <w:rPr>
                <w:rFonts w:ascii="Times New Roman" w:hAnsi="Times New Roman" w:cs="Times New Roman"/>
                <w:color w:val="2C3E50"/>
                <w:sz w:val="23"/>
                <w:szCs w:val="23"/>
                <w:shd w:val="clear" w:color="auto" w:fill="FFFFFF"/>
              </w:rPr>
              <w:t xml:space="preserve"> (CFI Team, 2022)</w:t>
            </w:r>
          </w:p>
        </w:tc>
      </w:tr>
    </w:tbl>
    <w:p w14:paraId="01C221DB" w14:textId="77777777" w:rsidR="00FE61AA" w:rsidRPr="00E66ADB" w:rsidRDefault="00FE61AA" w:rsidP="00FE61AA">
      <w:pPr>
        <w:ind w:left="0" w:firstLine="0"/>
        <w:rPr>
          <w:rFonts w:ascii="Times New Roman" w:hAnsi="Times New Roman" w:cs="Times New Roman"/>
          <w:b/>
          <w:bCs/>
          <w:sz w:val="28"/>
          <w:szCs w:val="28"/>
        </w:rPr>
      </w:pPr>
    </w:p>
    <w:tbl>
      <w:tblPr>
        <w:tblStyle w:val="TableGrid0"/>
        <w:tblW w:w="0" w:type="auto"/>
        <w:tblLook w:val="04A0" w:firstRow="1" w:lastRow="0" w:firstColumn="1" w:lastColumn="0" w:noHBand="0" w:noVBand="1"/>
      </w:tblPr>
      <w:tblGrid>
        <w:gridCol w:w="4481"/>
        <w:gridCol w:w="4535"/>
      </w:tblGrid>
      <w:tr w:rsidR="009A4C41" w:rsidRPr="00E66ADB" w14:paraId="53615C75" w14:textId="77777777" w:rsidTr="002B0D68">
        <w:tc>
          <w:tcPr>
            <w:tcW w:w="9350" w:type="dxa"/>
            <w:gridSpan w:val="2"/>
          </w:tcPr>
          <w:p w14:paraId="4EFCCD6B" w14:textId="77777777" w:rsidR="009A4C41" w:rsidRPr="00E66ADB" w:rsidRDefault="009A4C41"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Accounting Rate of Return</w:t>
            </w:r>
          </w:p>
        </w:tc>
      </w:tr>
      <w:tr w:rsidR="004F06B4" w:rsidRPr="00E66ADB" w14:paraId="46B7582F" w14:textId="77777777" w:rsidTr="002B0D68">
        <w:tc>
          <w:tcPr>
            <w:tcW w:w="4675" w:type="dxa"/>
          </w:tcPr>
          <w:p w14:paraId="5924E57F" w14:textId="77777777" w:rsidR="009A4C41" w:rsidRPr="00E66ADB" w:rsidRDefault="009A4C41"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Advantages</w:t>
            </w:r>
          </w:p>
        </w:tc>
        <w:tc>
          <w:tcPr>
            <w:tcW w:w="4675" w:type="dxa"/>
          </w:tcPr>
          <w:p w14:paraId="77850FAD" w14:textId="49ADE4CE" w:rsidR="009A4C41" w:rsidRPr="00E66ADB" w:rsidRDefault="009A4C41"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Disadvantages</w:t>
            </w:r>
          </w:p>
        </w:tc>
      </w:tr>
      <w:tr w:rsidR="004F06B4" w:rsidRPr="00E66ADB" w14:paraId="43C33259" w14:textId="77777777" w:rsidTr="002B0D68">
        <w:tc>
          <w:tcPr>
            <w:tcW w:w="4675" w:type="dxa"/>
          </w:tcPr>
          <w:p w14:paraId="02BED221" w14:textId="20C99197" w:rsidR="009A4C41" w:rsidRPr="00E66ADB" w:rsidRDefault="00FB1C45" w:rsidP="002B0D68">
            <w:pPr>
              <w:spacing w:after="0" w:line="360" w:lineRule="auto"/>
              <w:rPr>
                <w:rFonts w:ascii="Times New Roman" w:hAnsi="Times New Roman" w:cs="Times New Roman"/>
                <w:sz w:val="28"/>
                <w:szCs w:val="28"/>
                <w:lang w:val="en-US"/>
              </w:rPr>
            </w:pPr>
            <w:r w:rsidRPr="00E66ADB">
              <w:rPr>
                <w:rFonts w:ascii="Times New Roman" w:hAnsi="Times New Roman" w:cs="Times New Roman"/>
                <w:color w:val="1F1F1F"/>
                <w:sz w:val="28"/>
                <w:szCs w:val="28"/>
                <w:shd w:val="clear" w:color="auto" w:fill="FFFFFF"/>
              </w:rPr>
              <w:t>ARR is a straightforward calculation that's easy to understand and interpret, even for those without extensive financial expertise. It provides insights into a company's ability to generate profits from its assets within a specific period, highlighting their short-term performance in utilizing these assets. This can be helpful for assessing a company's financial health and its ability to meet short-term financial obligations.</w:t>
            </w:r>
            <w:r w:rsidR="00A16F9C" w:rsidRPr="00E66ADB">
              <w:rPr>
                <w:rFonts w:ascii="Times New Roman" w:hAnsi="Times New Roman" w:cs="Times New Roman"/>
                <w:color w:val="0D0D0D"/>
                <w:shd w:val="clear" w:color="auto" w:fill="FFFFFF"/>
              </w:rPr>
              <w:t xml:space="preserve"> (Kaur &amp; Singh, 2019)</w:t>
            </w:r>
          </w:p>
        </w:tc>
        <w:tc>
          <w:tcPr>
            <w:tcW w:w="4675" w:type="dxa"/>
          </w:tcPr>
          <w:p w14:paraId="1159BB92" w14:textId="6174406A" w:rsidR="00386DD6" w:rsidRPr="00137BBA" w:rsidRDefault="00FB1C45" w:rsidP="00137BBA">
            <w:pPr>
              <w:spacing w:after="0" w:line="360" w:lineRule="auto"/>
              <w:rPr>
                <w:rFonts w:ascii="Times New Roman" w:hAnsi="Times New Roman" w:cs="Times New Roman"/>
                <w:sz w:val="28"/>
                <w:szCs w:val="28"/>
              </w:rPr>
            </w:pPr>
            <w:r w:rsidRPr="00E66ADB">
              <w:rPr>
                <w:rFonts w:ascii="Times New Roman" w:hAnsi="Times New Roman" w:cs="Times New Roman"/>
                <w:sz w:val="28"/>
                <w:szCs w:val="28"/>
              </w:rPr>
              <w:t xml:space="preserve">Similar to the payback period, ARR doesn't consider the timing of cash flows. A dollar received today is worth more than a dollar received in the future due to factors like inflation and the potential for reinvestment. ARR only focuses on average profit generated from assets and doesn't account for other factors that affect a company's overall </w:t>
            </w:r>
            <w:r w:rsidR="000102AD" w:rsidRPr="00E66ADB">
              <w:rPr>
                <w:rFonts w:ascii="Times New Roman" w:hAnsi="Times New Roman" w:cs="Times New Roman"/>
                <w:sz w:val="28"/>
                <w:szCs w:val="28"/>
              </w:rPr>
              <w:t>profitability</w:t>
            </w:r>
            <w:r w:rsidRPr="00E66ADB">
              <w:rPr>
                <w:rFonts w:ascii="Times New Roman" w:hAnsi="Times New Roman" w:cs="Times New Roman"/>
                <w:sz w:val="28"/>
                <w:szCs w:val="28"/>
              </w:rPr>
              <w:t xml:space="preserve"> doesn't explicitly consider the risk associated with an investment. A project with a high ARR might involve significant </w:t>
            </w:r>
            <w:r w:rsidRPr="00E66ADB">
              <w:rPr>
                <w:rFonts w:ascii="Times New Roman" w:hAnsi="Times New Roman" w:cs="Times New Roman"/>
                <w:sz w:val="28"/>
                <w:szCs w:val="28"/>
              </w:rPr>
              <w:lastRenderedPageBreak/>
              <w:t xml:space="preserve">risk, such as high market volatility </w:t>
            </w:r>
            <w:r w:rsidR="00386DD6" w:rsidRPr="00E66ADB">
              <w:rPr>
                <w:rFonts w:ascii="Times New Roman" w:hAnsi="Times New Roman" w:cs="Times New Roman"/>
                <w:sz w:val="28"/>
                <w:szCs w:val="28"/>
              </w:rPr>
              <w:t xml:space="preserve">or </w:t>
            </w:r>
            <w:r w:rsidRPr="00E66ADB">
              <w:rPr>
                <w:rFonts w:ascii="Times New Roman" w:hAnsi="Times New Roman" w:cs="Times New Roman"/>
                <w:sz w:val="28"/>
                <w:szCs w:val="28"/>
              </w:rPr>
              <w:t>technological obsolescence.</w:t>
            </w:r>
            <w:r w:rsidR="00386DD6" w:rsidRPr="00386DD6">
              <w:rPr>
                <w:rFonts w:ascii="Times New Roman" w:eastAsia="Times New Roman" w:hAnsi="Times New Roman" w:cs="Times New Roman"/>
                <w:color w:val="auto"/>
                <w:kern w:val="0"/>
                <w:sz w:val="24"/>
                <w:szCs w:val="24"/>
                <w14:ligatures w14:val="none"/>
              </w:rPr>
              <w:t>(Mangani &amp; Gupta, 2020)</w:t>
            </w:r>
            <w:r w:rsidR="00386DD6" w:rsidRPr="00386DD6">
              <w:rPr>
                <w:rFonts w:ascii="Times New Roman" w:eastAsia="Times New Roman" w:hAnsi="Times New Roman" w:cs="Times New Roman"/>
                <w:vanish/>
                <w:color w:val="auto"/>
                <w:kern w:val="0"/>
                <w:sz w:val="16"/>
                <w:szCs w:val="16"/>
                <w14:ligatures w14:val="none"/>
              </w:rPr>
              <w:t>Top of Form</w:t>
            </w:r>
          </w:p>
          <w:p w14:paraId="6D8FE14D" w14:textId="100CD64F" w:rsidR="00386DD6" w:rsidRPr="00E66ADB" w:rsidRDefault="00386DD6" w:rsidP="002B0D68">
            <w:pPr>
              <w:spacing w:after="0" w:line="360" w:lineRule="auto"/>
              <w:rPr>
                <w:rFonts w:ascii="Times New Roman" w:hAnsi="Times New Roman" w:cs="Times New Roman"/>
                <w:sz w:val="28"/>
                <w:szCs w:val="28"/>
              </w:rPr>
            </w:pPr>
          </w:p>
        </w:tc>
      </w:tr>
    </w:tbl>
    <w:p w14:paraId="0C91E24E" w14:textId="77777777" w:rsidR="00FE61AA" w:rsidRPr="00E66ADB" w:rsidRDefault="00FE61AA" w:rsidP="00FE61AA">
      <w:pPr>
        <w:ind w:left="0" w:firstLine="0"/>
        <w:rPr>
          <w:rFonts w:ascii="Times New Roman" w:hAnsi="Times New Roman" w:cs="Times New Roman"/>
          <w:b/>
          <w:bCs/>
          <w:sz w:val="28"/>
          <w:szCs w:val="28"/>
        </w:rPr>
      </w:pPr>
    </w:p>
    <w:tbl>
      <w:tblPr>
        <w:tblStyle w:val="TableGrid0"/>
        <w:tblW w:w="0" w:type="auto"/>
        <w:tblLook w:val="04A0" w:firstRow="1" w:lastRow="0" w:firstColumn="1" w:lastColumn="0" w:noHBand="0" w:noVBand="1"/>
      </w:tblPr>
      <w:tblGrid>
        <w:gridCol w:w="4512"/>
        <w:gridCol w:w="4504"/>
      </w:tblGrid>
      <w:tr w:rsidR="00F41BFE" w:rsidRPr="00E66ADB" w14:paraId="543A36DE" w14:textId="77777777" w:rsidTr="002B0D68">
        <w:tc>
          <w:tcPr>
            <w:tcW w:w="9350" w:type="dxa"/>
            <w:gridSpan w:val="2"/>
          </w:tcPr>
          <w:p w14:paraId="20BED691" w14:textId="77777777" w:rsidR="00F41BFE" w:rsidRPr="00E66ADB" w:rsidRDefault="00F41BFE"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Net Present Value</w:t>
            </w:r>
          </w:p>
        </w:tc>
      </w:tr>
      <w:tr w:rsidR="00F41BFE" w:rsidRPr="00E66ADB" w14:paraId="7D945D5B" w14:textId="77777777" w:rsidTr="002B0D68">
        <w:tc>
          <w:tcPr>
            <w:tcW w:w="4675" w:type="dxa"/>
          </w:tcPr>
          <w:p w14:paraId="5857B358" w14:textId="77777777" w:rsidR="00F41BFE" w:rsidRPr="00E66ADB" w:rsidRDefault="00F41BFE"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Advantages</w:t>
            </w:r>
          </w:p>
        </w:tc>
        <w:tc>
          <w:tcPr>
            <w:tcW w:w="4675" w:type="dxa"/>
          </w:tcPr>
          <w:p w14:paraId="378828DC" w14:textId="12FB8FB2" w:rsidR="00F41BFE" w:rsidRPr="00E66ADB" w:rsidRDefault="002E6B22" w:rsidP="002B0D68">
            <w:pPr>
              <w:spacing w:after="0" w:line="360" w:lineRule="auto"/>
              <w:jc w:val="center"/>
              <w:rPr>
                <w:rFonts w:ascii="Times New Roman" w:hAnsi="Times New Roman" w:cs="Times New Roman"/>
                <w:b/>
                <w:bCs/>
                <w:sz w:val="28"/>
                <w:szCs w:val="28"/>
              </w:rPr>
            </w:pPr>
            <w:r w:rsidRPr="00E66ADB">
              <w:rPr>
                <w:rFonts w:ascii="Times New Roman" w:hAnsi="Times New Roman" w:cs="Times New Roman"/>
                <w:b/>
                <w:bCs/>
                <w:sz w:val="28"/>
                <w:szCs w:val="28"/>
              </w:rPr>
              <w:t>Drawbacks</w:t>
            </w:r>
          </w:p>
        </w:tc>
      </w:tr>
      <w:tr w:rsidR="00F41BFE" w:rsidRPr="00E66ADB" w14:paraId="6E411DE1" w14:textId="77777777" w:rsidTr="002B0D68">
        <w:tc>
          <w:tcPr>
            <w:tcW w:w="4675" w:type="dxa"/>
          </w:tcPr>
          <w:p w14:paraId="3FCE594E" w14:textId="1A7B0A0C" w:rsidR="00F41BFE" w:rsidRPr="00E66ADB" w:rsidRDefault="002E6B22" w:rsidP="002B0D68">
            <w:pPr>
              <w:spacing w:after="0" w:line="360" w:lineRule="auto"/>
              <w:rPr>
                <w:rFonts w:ascii="Times New Roman" w:hAnsi="Times New Roman" w:cs="Times New Roman"/>
                <w:sz w:val="28"/>
                <w:szCs w:val="28"/>
              </w:rPr>
            </w:pPr>
            <w:r w:rsidRPr="00E66ADB">
              <w:rPr>
                <w:rFonts w:ascii="Times New Roman" w:hAnsi="Times New Roman" w:cs="Times New Roman"/>
                <w:sz w:val="28"/>
                <w:szCs w:val="28"/>
              </w:rPr>
              <w:t>NPV explicitly considers the time value of money. It recognizes that a dollar received today is worth more than a dollar received in the future due to factors like inflation and potential reinvestment opportunities. NPV takes into account all of the project's expected cash flows, both positive (inflows) and negative (outflows), over its entire lifespan. By discounting future cash flows to their present value and summing them up, NPV provides a single metric that allows for comparison of different investment options.</w:t>
            </w:r>
            <w:r w:rsidR="007A1998" w:rsidRPr="00E66ADB">
              <w:rPr>
                <w:rFonts w:ascii="Times New Roman" w:hAnsi="Times New Roman" w:cs="Times New Roman"/>
                <w:color w:val="2C3E50"/>
                <w:sz w:val="23"/>
                <w:szCs w:val="23"/>
                <w:shd w:val="clear" w:color="auto" w:fill="FFFFFF"/>
              </w:rPr>
              <w:t xml:space="preserve"> (Corporate Finance Institute, 2023)</w:t>
            </w:r>
          </w:p>
        </w:tc>
        <w:tc>
          <w:tcPr>
            <w:tcW w:w="4675" w:type="dxa"/>
          </w:tcPr>
          <w:p w14:paraId="6A44D8E1" w14:textId="14473CE7" w:rsidR="00F41BFE" w:rsidRPr="00E66ADB" w:rsidRDefault="002E6B22" w:rsidP="002B0D68">
            <w:pPr>
              <w:spacing w:after="0" w:line="360" w:lineRule="auto"/>
              <w:rPr>
                <w:rFonts w:ascii="Times New Roman" w:hAnsi="Times New Roman" w:cs="Times New Roman"/>
                <w:sz w:val="28"/>
                <w:szCs w:val="28"/>
              </w:rPr>
            </w:pPr>
            <w:r w:rsidRPr="00E66ADB">
              <w:rPr>
                <w:rFonts w:ascii="Times New Roman" w:hAnsi="Times New Roman" w:cs="Times New Roman"/>
                <w:sz w:val="28"/>
                <w:szCs w:val="28"/>
              </w:rPr>
              <w:t>NPV requires estimating the discount rate, also known as the cost of capital. This rate reflects the minimum acceptable return an investor expects for undertaking the project. Inaccurate estimation of the discount rate can significantly impact the NPV calculation, potentially leading to misleading results is heavily reliant on the accuracy of forecasted cash flows. Errors in predicting future cash inflows and outflows can lead to a misleading NPV calculation.</w:t>
            </w:r>
          </w:p>
        </w:tc>
      </w:tr>
    </w:tbl>
    <w:p w14:paraId="1FB3AA5C" w14:textId="77777777" w:rsidR="00FE61AA" w:rsidRPr="00E66ADB" w:rsidRDefault="00FE61AA" w:rsidP="00053671">
      <w:pPr>
        <w:ind w:left="0" w:firstLine="0"/>
        <w:rPr>
          <w:rFonts w:ascii="Times New Roman" w:hAnsi="Times New Roman" w:cs="Times New Roman"/>
          <w:b/>
          <w:bCs/>
          <w:sz w:val="28"/>
          <w:szCs w:val="28"/>
        </w:rPr>
      </w:pPr>
    </w:p>
    <w:p w14:paraId="1466B043" w14:textId="77777777" w:rsidR="0087254E" w:rsidRPr="00E66ADB" w:rsidRDefault="0087254E" w:rsidP="00053671">
      <w:pPr>
        <w:ind w:left="0" w:firstLine="0"/>
        <w:rPr>
          <w:rFonts w:ascii="Times New Roman" w:hAnsi="Times New Roman" w:cs="Times New Roman"/>
          <w:b/>
          <w:bCs/>
          <w:sz w:val="28"/>
          <w:szCs w:val="28"/>
        </w:rPr>
      </w:pPr>
    </w:p>
    <w:p w14:paraId="77467A02" w14:textId="71D7522B" w:rsidR="0087254E" w:rsidRPr="00CD04CF" w:rsidRDefault="0087254E" w:rsidP="00CD04CF">
      <w:pPr>
        <w:pStyle w:val="Heading1"/>
        <w:numPr>
          <w:ilvl w:val="0"/>
          <w:numId w:val="3"/>
        </w:numPr>
        <w:rPr>
          <w:rFonts w:ascii="Times New Roman" w:hAnsi="Times New Roman" w:cs="Times New Roman"/>
          <w:b/>
          <w:bCs/>
          <w:sz w:val="40"/>
          <w:szCs w:val="40"/>
          <w:u w:val="single"/>
        </w:rPr>
      </w:pPr>
      <w:bookmarkStart w:id="17" w:name="_Toc164362230"/>
      <w:r w:rsidRPr="00CD04CF">
        <w:rPr>
          <w:rFonts w:ascii="Times New Roman" w:hAnsi="Times New Roman" w:cs="Times New Roman"/>
          <w:b/>
          <w:bCs/>
          <w:sz w:val="40"/>
          <w:szCs w:val="40"/>
          <w:u w:val="single"/>
        </w:rPr>
        <w:t>Non-Financial Factors</w:t>
      </w:r>
      <w:bookmarkEnd w:id="17"/>
    </w:p>
    <w:p w14:paraId="652E7BAA" w14:textId="1DD3E777" w:rsidR="0087254E" w:rsidRPr="00E66ADB" w:rsidRDefault="0087254E" w:rsidP="007A1998">
      <w:pPr>
        <w:shd w:val="clear" w:color="auto" w:fill="FFFFFF"/>
        <w:spacing w:before="100" w:beforeAutospacing="1" w:after="100" w:afterAutospacing="1" w:line="240" w:lineRule="auto"/>
        <w:ind w:left="0" w:firstLine="0"/>
        <w:jc w:val="left"/>
        <w:rPr>
          <w:rFonts w:ascii="Times New Roman" w:eastAsia="Times New Roman" w:hAnsi="Times New Roman" w:cs="Times New Roman"/>
          <w:color w:val="1F1F1F"/>
          <w:kern w:val="0"/>
          <w:sz w:val="28"/>
          <w:szCs w:val="28"/>
          <w14:ligatures w14:val="none"/>
        </w:rPr>
      </w:pPr>
      <w:r w:rsidRPr="00E66ADB">
        <w:rPr>
          <w:rFonts w:ascii="Times New Roman" w:eastAsia="Times New Roman" w:hAnsi="Times New Roman" w:cs="Times New Roman"/>
          <w:color w:val="1F1F1F"/>
          <w:kern w:val="0"/>
          <w:sz w:val="28"/>
          <w:szCs w:val="28"/>
          <w14:ligatures w14:val="none"/>
        </w:rPr>
        <w:t>Financial metrics like NPV, ARR, and payback period are essential tools for evaluating investments and assessing a company's financial health. However, a comprehensive analysis should extend beyond the numbers to encompass non-financial factors that can significantly influence a project's success or a company's long-term prospects.</w:t>
      </w:r>
    </w:p>
    <w:p w14:paraId="2CD0B078" w14:textId="6B9FC264" w:rsidR="0087254E" w:rsidRPr="00E66ADB" w:rsidRDefault="0087254E" w:rsidP="007A1998">
      <w:pPr>
        <w:shd w:val="clear" w:color="auto" w:fill="FFFFFF"/>
        <w:spacing w:before="100" w:beforeAutospacing="1" w:after="100" w:afterAutospacing="1" w:line="240" w:lineRule="auto"/>
        <w:ind w:left="0" w:firstLine="0"/>
        <w:jc w:val="left"/>
        <w:rPr>
          <w:rFonts w:ascii="Times New Roman" w:hAnsi="Times New Roman" w:cs="Times New Roman"/>
          <w:color w:val="1F1F1F"/>
          <w:sz w:val="28"/>
          <w:szCs w:val="28"/>
          <w:shd w:val="clear" w:color="auto" w:fill="FFFFFF"/>
        </w:rPr>
      </w:pPr>
      <w:r w:rsidRPr="00E66ADB">
        <w:rPr>
          <w:rFonts w:ascii="Times New Roman" w:hAnsi="Times New Roman" w:cs="Times New Roman"/>
          <w:color w:val="1F1F1F"/>
          <w:sz w:val="28"/>
          <w:szCs w:val="28"/>
          <w:shd w:val="clear" w:color="auto" w:fill="FFFFFF"/>
        </w:rPr>
        <w:lastRenderedPageBreak/>
        <w:t>A thorough examination of the market environment is crucial. Industry trends, including growth patterns and potential disruptions, can significantly impact a project's viability. A project aligned with a growing market has a higher chance of success compared to one in a declining sector. Analysing the competitive landscape, including the strengths and weaknesses of key players, is equally important. This allows for a realistic assessment of the project's potential for differentiation and competitive advantage. Additionally, understanding evolving customer needs and preferences ensures the project offers a valuable solution that resonates with the target market.</w:t>
      </w:r>
      <w:r w:rsidR="007A1998" w:rsidRPr="00E66ADB">
        <w:rPr>
          <w:rFonts w:ascii="Times New Roman" w:hAnsi="Times New Roman" w:cs="Times New Roman"/>
          <w:color w:val="2C3E50"/>
          <w:sz w:val="23"/>
          <w:szCs w:val="23"/>
          <w:shd w:val="clear" w:color="auto" w:fill="FFFFFF"/>
        </w:rPr>
        <w:t xml:space="preserve"> (Aswath Damodaran, 2012)</w:t>
      </w:r>
    </w:p>
    <w:p w14:paraId="5D819C7B" w14:textId="08BA4C36" w:rsidR="0087254E" w:rsidRPr="00E66ADB" w:rsidRDefault="0087254E" w:rsidP="007A1998">
      <w:pPr>
        <w:shd w:val="clear" w:color="auto" w:fill="FFFFFF"/>
        <w:spacing w:before="100" w:beforeAutospacing="1" w:after="100" w:afterAutospacing="1" w:line="240" w:lineRule="auto"/>
        <w:ind w:left="0" w:firstLine="0"/>
        <w:jc w:val="left"/>
        <w:rPr>
          <w:rFonts w:ascii="Times New Roman" w:hAnsi="Times New Roman" w:cs="Times New Roman"/>
          <w:color w:val="1F1F1F"/>
          <w:sz w:val="28"/>
          <w:szCs w:val="28"/>
          <w:shd w:val="clear" w:color="auto" w:fill="FFFFFF"/>
        </w:rPr>
      </w:pPr>
      <w:r w:rsidRPr="00E66ADB">
        <w:rPr>
          <w:rFonts w:ascii="Times New Roman" w:hAnsi="Times New Roman" w:cs="Times New Roman"/>
          <w:color w:val="1F1F1F"/>
          <w:sz w:val="28"/>
          <w:szCs w:val="28"/>
          <w:shd w:val="clear" w:color="auto" w:fill="FFFFFF"/>
        </w:rPr>
        <w:t>Crucial elements are the management team's credentials and experience, who will carry out the project. Having a capable staff with a solid track record gives one hope for the project's successful completion.  Furthermore, to guarantee efficient project execution, it is imperative to have the required human resources with the appropriate skills and competence. It is essential to find any talent gaps and create a strategy to close them.</w:t>
      </w:r>
    </w:p>
    <w:p w14:paraId="1DA036E6" w14:textId="77777777" w:rsidR="00E66ADB" w:rsidRPr="00E66ADB" w:rsidRDefault="0087254E" w:rsidP="00E66ADB">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pPr>
      <w:r w:rsidRPr="00E66ADB">
        <w:rPr>
          <w:color w:val="1F1F1F"/>
          <w:sz w:val="28"/>
          <w:szCs w:val="28"/>
          <w:shd w:val="clear" w:color="auto" w:fill="FFFFFF"/>
        </w:rPr>
        <w:t>The project's alignment with the company's overall vision, mission, and long-term goals is paramount. Evaluating how the project supports the company's strategic direction ensures it contributes to achieving its overarching objectives. Furthermore, assessing whether the project aligns with the company's existing culture or if cultural changes are necessary is crucial. A project that clashes with the established culture can face resistance and hinder its success.</w:t>
      </w:r>
      <w:r w:rsidR="00E66ADB" w:rsidRPr="00E66ADB">
        <w:rPr>
          <w:color w:val="0D0D0D"/>
          <w:shd w:val="clear" w:color="auto" w:fill="FFFFFF"/>
        </w:rPr>
        <w:t xml:space="preserve"> </w:t>
      </w:r>
      <w:r w:rsidR="00E66ADB" w:rsidRPr="00E66ADB">
        <w:t>(Pinto &amp; Slevin, 2018)</w:t>
      </w:r>
    </w:p>
    <w:p w14:paraId="2666DFCF" w14:textId="77777777" w:rsidR="00E66ADB" w:rsidRPr="00E66ADB" w:rsidRDefault="00E66ADB" w:rsidP="00E66ADB">
      <w:pPr>
        <w:pStyle w:val="z-TopofForm"/>
        <w:rPr>
          <w:rFonts w:ascii="Times New Roman" w:hAnsi="Times New Roman" w:cs="Times New Roman"/>
        </w:rPr>
      </w:pPr>
      <w:r w:rsidRPr="00E66ADB">
        <w:rPr>
          <w:rFonts w:ascii="Times New Roman" w:hAnsi="Times New Roman" w:cs="Times New Roman"/>
        </w:rPr>
        <w:t>Top of Form</w:t>
      </w:r>
    </w:p>
    <w:p w14:paraId="226FA957" w14:textId="53A4E243" w:rsidR="0064521A" w:rsidRPr="00E66ADB" w:rsidRDefault="0064521A" w:rsidP="007A1998">
      <w:pPr>
        <w:shd w:val="clear" w:color="auto" w:fill="FFFFFF"/>
        <w:spacing w:before="100" w:beforeAutospacing="1" w:after="100" w:afterAutospacing="1" w:line="240" w:lineRule="auto"/>
        <w:ind w:left="0" w:firstLine="0"/>
        <w:jc w:val="left"/>
        <w:rPr>
          <w:rFonts w:ascii="Times New Roman" w:hAnsi="Times New Roman" w:cs="Times New Roman"/>
          <w:color w:val="1F1F1F"/>
          <w:sz w:val="28"/>
          <w:szCs w:val="28"/>
          <w:shd w:val="clear" w:color="auto" w:fill="FFFFFF"/>
        </w:rPr>
      </w:pPr>
    </w:p>
    <w:p w14:paraId="1FE6EBB2" w14:textId="78ECCA87" w:rsidR="00DC147F" w:rsidRPr="00E66ADB" w:rsidRDefault="00F77B92" w:rsidP="00F77B92">
      <w:pPr>
        <w:shd w:val="clear" w:color="auto" w:fill="FFFFFF"/>
        <w:spacing w:before="100" w:beforeAutospacing="1" w:after="100" w:afterAutospacing="1" w:line="240" w:lineRule="auto"/>
        <w:ind w:left="0" w:firstLine="0"/>
        <w:jc w:val="left"/>
        <w:rPr>
          <w:rFonts w:ascii="Times New Roman" w:hAnsi="Times New Roman" w:cs="Times New Roman"/>
          <w:color w:val="1F1F1F"/>
          <w:sz w:val="28"/>
          <w:szCs w:val="28"/>
          <w:shd w:val="clear" w:color="auto" w:fill="FFFFFF"/>
        </w:rPr>
      </w:pPr>
      <w:r w:rsidRPr="00E66ADB">
        <w:rPr>
          <w:rFonts w:ascii="Times New Roman" w:hAnsi="Times New Roman" w:cs="Times New Roman"/>
          <w:color w:val="1F1F1F"/>
          <w:sz w:val="28"/>
          <w:szCs w:val="28"/>
          <w:shd w:val="clear" w:color="auto" w:fill="FFFFFF"/>
        </w:rPr>
        <w:br w:type="page"/>
      </w:r>
    </w:p>
    <w:p w14:paraId="11AB9CCC" w14:textId="27F0D85C" w:rsidR="00117526" w:rsidRDefault="00117526" w:rsidP="00CD04CF">
      <w:pPr>
        <w:pStyle w:val="Heading1"/>
        <w:numPr>
          <w:ilvl w:val="0"/>
          <w:numId w:val="3"/>
        </w:numPr>
        <w:rPr>
          <w:rFonts w:ascii="Times New Roman" w:hAnsi="Times New Roman" w:cs="Times New Roman"/>
          <w:b/>
          <w:bCs/>
          <w:sz w:val="40"/>
          <w:szCs w:val="40"/>
          <w:u w:val="single"/>
          <w:shd w:val="clear" w:color="auto" w:fill="FFFFFF"/>
        </w:rPr>
      </w:pPr>
      <w:bookmarkStart w:id="18" w:name="_Toc164362231"/>
      <w:r w:rsidRPr="00CD04CF">
        <w:rPr>
          <w:rFonts w:ascii="Times New Roman" w:hAnsi="Times New Roman" w:cs="Times New Roman"/>
          <w:b/>
          <w:bCs/>
          <w:sz w:val="40"/>
          <w:szCs w:val="40"/>
          <w:u w:val="single"/>
          <w:shd w:val="clear" w:color="auto" w:fill="FFFFFF"/>
        </w:rPr>
        <w:lastRenderedPageBreak/>
        <w:t>References</w:t>
      </w:r>
      <w:r w:rsidR="00137BBA" w:rsidRPr="00CD04CF">
        <w:rPr>
          <w:rFonts w:ascii="Times New Roman" w:hAnsi="Times New Roman" w:cs="Times New Roman"/>
          <w:b/>
          <w:bCs/>
          <w:sz w:val="40"/>
          <w:szCs w:val="40"/>
          <w:u w:val="single"/>
          <w:shd w:val="clear" w:color="auto" w:fill="FFFFFF"/>
        </w:rPr>
        <w:t>:</w:t>
      </w:r>
      <w:bookmarkEnd w:id="18"/>
    </w:p>
    <w:p w14:paraId="3E8CDDEA" w14:textId="77777777" w:rsidR="00CD04CF" w:rsidRPr="00CD04CF" w:rsidRDefault="00CD04CF" w:rsidP="00CD04CF"/>
    <w:p w14:paraId="5EF2A2E5" w14:textId="51F1367F" w:rsidR="00DC147F" w:rsidRPr="005F1EE1" w:rsidRDefault="00DC147F"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Symonds, M. and Ellison, L. (2013). </w:t>
      </w:r>
      <w:r w:rsidRPr="005F1EE1">
        <w:rPr>
          <w:i/>
          <w:iCs/>
          <w:color w:val="000000"/>
          <w:sz w:val="28"/>
          <w:szCs w:val="28"/>
        </w:rPr>
        <w:t>Softwar : an Intimate Portrait of Larry Ellison and Oracle</w:t>
      </w:r>
      <w:r w:rsidRPr="005F1EE1">
        <w:rPr>
          <w:color w:val="000000"/>
          <w:sz w:val="28"/>
          <w:szCs w:val="28"/>
        </w:rPr>
        <w:t>. Riverside: Simon &amp; Schuster.</w:t>
      </w:r>
    </w:p>
    <w:p w14:paraId="682637B4" w14:textId="77777777" w:rsidR="00DC147F" w:rsidRPr="005F1EE1" w:rsidRDefault="00DC147F" w:rsidP="00DC147F">
      <w:pPr>
        <w:pStyle w:val="NormalWeb"/>
        <w:spacing w:before="0" w:beforeAutospacing="0" w:after="0" w:afterAutospacing="0" w:line="360" w:lineRule="atLeast"/>
        <w:rPr>
          <w:color w:val="000000"/>
          <w:sz w:val="28"/>
          <w:szCs w:val="28"/>
        </w:rPr>
      </w:pPr>
    </w:p>
    <w:p w14:paraId="75BA6CBF" w14:textId="5D35405A" w:rsidR="00DC147F" w:rsidRPr="005F1EE1" w:rsidRDefault="00DC147F"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Scalzo, B. (2006). </w:t>
      </w:r>
      <w:r w:rsidRPr="005F1EE1">
        <w:rPr>
          <w:i/>
          <w:iCs/>
          <w:color w:val="000000"/>
          <w:sz w:val="28"/>
          <w:szCs w:val="28"/>
        </w:rPr>
        <w:t>Database benchmarking : practical methods for Oracle &amp; SQL server</w:t>
      </w:r>
      <w:r w:rsidRPr="005F1EE1">
        <w:rPr>
          <w:color w:val="000000"/>
          <w:sz w:val="28"/>
          <w:szCs w:val="28"/>
        </w:rPr>
        <w:t>. Kittrell, N.C.: Rampant Techpress.</w:t>
      </w:r>
    </w:p>
    <w:p w14:paraId="10C08A87" w14:textId="77777777" w:rsidR="00152B1D" w:rsidRPr="005F1EE1" w:rsidRDefault="00152B1D" w:rsidP="00DC147F">
      <w:pPr>
        <w:pStyle w:val="NormalWeb"/>
        <w:spacing w:before="0" w:beforeAutospacing="0" w:after="0" w:afterAutospacing="0" w:line="360" w:lineRule="atLeast"/>
        <w:rPr>
          <w:color w:val="000000"/>
          <w:sz w:val="28"/>
          <w:szCs w:val="28"/>
        </w:rPr>
      </w:pPr>
    </w:p>
    <w:p w14:paraId="6B98907A" w14:textId="77777777" w:rsidR="00152B1D" w:rsidRPr="005F1EE1" w:rsidRDefault="00152B1D"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Demsetz, H. (2020). Industry Structure, Market Rivalry, and Public Policy. </w:t>
      </w:r>
      <w:r w:rsidRPr="005F1EE1">
        <w:rPr>
          <w:i/>
          <w:iCs/>
          <w:color w:val="000000"/>
          <w:sz w:val="28"/>
          <w:szCs w:val="28"/>
        </w:rPr>
        <w:t>The Journal of Law and Economics</w:t>
      </w:r>
      <w:r w:rsidRPr="005F1EE1">
        <w:rPr>
          <w:color w:val="000000"/>
          <w:sz w:val="28"/>
          <w:szCs w:val="28"/>
        </w:rPr>
        <w:t>, 16(1), pp.1–9. doi:https://doi.org/10.1086/466752.</w:t>
      </w:r>
    </w:p>
    <w:p w14:paraId="73D0AC24" w14:textId="77777777" w:rsidR="00CE3604" w:rsidRPr="005F1EE1" w:rsidRDefault="00CE3604" w:rsidP="00152B1D">
      <w:pPr>
        <w:pStyle w:val="NormalWeb"/>
        <w:spacing w:before="0" w:beforeAutospacing="0" w:after="0" w:afterAutospacing="0" w:line="360" w:lineRule="atLeast"/>
        <w:rPr>
          <w:color w:val="000000"/>
          <w:sz w:val="28"/>
          <w:szCs w:val="28"/>
        </w:rPr>
      </w:pPr>
    </w:p>
    <w:p w14:paraId="7EA86CB0" w14:textId="70825928" w:rsidR="00CE3604" w:rsidRPr="005F1EE1" w:rsidRDefault="00CE3604" w:rsidP="00137BBA">
      <w:pPr>
        <w:pStyle w:val="NormalWeb"/>
        <w:numPr>
          <w:ilvl w:val="0"/>
          <w:numId w:val="2"/>
        </w:numPr>
        <w:spacing w:before="0" w:beforeAutospacing="0" w:after="0" w:afterAutospacing="0" w:line="360" w:lineRule="atLeast"/>
        <w:rPr>
          <w:color w:val="0D0D0D"/>
          <w:sz w:val="28"/>
          <w:szCs w:val="28"/>
          <w:shd w:val="clear" w:color="auto" w:fill="FFFFFF"/>
        </w:rPr>
      </w:pPr>
      <w:r w:rsidRPr="005F1EE1">
        <w:rPr>
          <w:color w:val="0D0D0D"/>
          <w:sz w:val="28"/>
          <w:szCs w:val="28"/>
          <w:shd w:val="clear" w:color="auto" w:fill="FFFFFF"/>
        </w:rPr>
        <w:t>Davenport, T. H., &amp; Harris, J. G. (2007). Competing on Analytics: The New Science of Winning. Harvard Business Review Press.</w:t>
      </w:r>
    </w:p>
    <w:p w14:paraId="7420C68F" w14:textId="77777777" w:rsidR="00CE3604" w:rsidRPr="005F1EE1" w:rsidRDefault="00CE3604" w:rsidP="00152B1D">
      <w:pPr>
        <w:pStyle w:val="NormalWeb"/>
        <w:spacing w:before="0" w:beforeAutospacing="0" w:after="0" w:afterAutospacing="0" w:line="360" w:lineRule="atLeast"/>
        <w:rPr>
          <w:color w:val="0D0D0D"/>
          <w:sz w:val="28"/>
          <w:szCs w:val="28"/>
          <w:shd w:val="clear" w:color="auto" w:fill="FFFFFF"/>
        </w:rPr>
      </w:pPr>
    </w:p>
    <w:p w14:paraId="6BC703B2" w14:textId="77777777" w:rsidR="002E7299" w:rsidRPr="005F1EE1" w:rsidRDefault="00CE3604"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Kusuma, M., 2021. Measurement of Return on Asset (ROA) based on Comprehensive Income and its Ability to Predict Investment Returns: Empirical Evidence on Go Public Companies in Indonesia before and during the Covid-19 Pandemic. Ekuilibrium: Jurnal Ilmiah Bidang Ilmu Ekonomi, 16(1), pp.94-106.</w:t>
      </w:r>
    </w:p>
    <w:p w14:paraId="218D1BF4" w14:textId="77777777" w:rsidR="002E7299" w:rsidRPr="005F1EE1" w:rsidRDefault="002E7299" w:rsidP="002E7299">
      <w:pPr>
        <w:pStyle w:val="NormalWeb"/>
        <w:spacing w:before="0" w:beforeAutospacing="0" w:after="0" w:afterAutospacing="0" w:line="360" w:lineRule="atLeast"/>
        <w:rPr>
          <w:color w:val="000000"/>
          <w:sz w:val="28"/>
          <w:szCs w:val="28"/>
        </w:rPr>
      </w:pPr>
    </w:p>
    <w:p w14:paraId="7FA01293" w14:textId="08E45BC0" w:rsidR="002E7299" w:rsidRPr="005F1EE1" w:rsidRDefault="002E7299" w:rsidP="00137BBA">
      <w:pPr>
        <w:pStyle w:val="NormalWeb"/>
        <w:numPr>
          <w:ilvl w:val="0"/>
          <w:numId w:val="2"/>
        </w:numPr>
        <w:spacing w:before="0" w:beforeAutospacing="0" w:after="0" w:afterAutospacing="0" w:line="360" w:lineRule="atLeast"/>
        <w:rPr>
          <w:color w:val="000000"/>
          <w:sz w:val="28"/>
          <w:szCs w:val="28"/>
        </w:rPr>
      </w:pPr>
      <w:r w:rsidRPr="005F1EE1">
        <w:rPr>
          <w:color w:val="0D0D0D"/>
          <w:sz w:val="28"/>
          <w:szCs w:val="28"/>
          <w:shd w:val="clear" w:color="auto" w:fill="FFFFFF"/>
        </w:rPr>
        <w:t>Mankar, B. R., &amp; Pathade, G. R. (2013). A study of liquidity ratios: Current ratio and quick ratio. International Journal of Business and Management Invention, 2(5), 25-32.</w:t>
      </w:r>
    </w:p>
    <w:p w14:paraId="7A9F1FD4" w14:textId="77777777" w:rsidR="002E7299" w:rsidRPr="005F1EE1" w:rsidRDefault="002E7299" w:rsidP="002E7299">
      <w:pPr>
        <w:pStyle w:val="NormalWeb"/>
        <w:spacing w:before="0" w:beforeAutospacing="0" w:after="0" w:afterAutospacing="0" w:line="360" w:lineRule="atLeast"/>
        <w:rPr>
          <w:color w:val="000000"/>
          <w:sz w:val="28"/>
          <w:szCs w:val="28"/>
        </w:rPr>
      </w:pPr>
    </w:p>
    <w:p w14:paraId="56EB9C0B" w14:textId="3D763369" w:rsidR="00152B1D" w:rsidRPr="005F1EE1" w:rsidRDefault="002E7299"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Lee, C.C., 2023. Analyses of the operating performance of information service companies based on indicators of financial statements. Asia Pacific Management Review, 28(4), pp.410-419.</w:t>
      </w:r>
    </w:p>
    <w:p w14:paraId="493CDC5E" w14:textId="77777777" w:rsidR="00A52CA6" w:rsidRPr="005F1EE1" w:rsidRDefault="00A52CA6" w:rsidP="002E7299">
      <w:pPr>
        <w:pStyle w:val="NormalWeb"/>
        <w:spacing w:before="0" w:beforeAutospacing="0" w:after="0" w:afterAutospacing="0" w:line="360" w:lineRule="atLeast"/>
        <w:rPr>
          <w:color w:val="000000"/>
          <w:sz w:val="28"/>
          <w:szCs w:val="28"/>
        </w:rPr>
      </w:pPr>
    </w:p>
    <w:p w14:paraId="06FAC6F7" w14:textId="735031EA" w:rsidR="00A52CA6" w:rsidRPr="005F1EE1" w:rsidRDefault="00A52CA6"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Amazon (2019). </w:t>
      </w:r>
      <w:r w:rsidRPr="005F1EE1">
        <w:rPr>
          <w:i/>
          <w:iCs/>
          <w:color w:val="000000"/>
          <w:sz w:val="28"/>
          <w:szCs w:val="28"/>
        </w:rPr>
        <w:t>About AWS</w:t>
      </w:r>
      <w:r w:rsidRPr="005F1EE1">
        <w:rPr>
          <w:color w:val="000000"/>
          <w:sz w:val="28"/>
          <w:szCs w:val="28"/>
        </w:rPr>
        <w:t xml:space="preserve">. [online] Amazon Web Services, Inc. Available at: </w:t>
      </w:r>
      <w:hyperlink r:id="rId11" w:history="1">
        <w:r w:rsidRPr="005F1EE1">
          <w:rPr>
            <w:rStyle w:val="Hyperlink"/>
            <w:sz w:val="28"/>
            <w:szCs w:val="28"/>
          </w:rPr>
          <w:t>https://aws.amazon.com/about-aws/</w:t>
        </w:r>
      </w:hyperlink>
      <w:r w:rsidRPr="005F1EE1">
        <w:rPr>
          <w:color w:val="000000"/>
          <w:sz w:val="28"/>
          <w:szCs w:val="28"/>
        </w:rPr>
        <w:t xml:space="preserve"> </w:t>
      </w:r>
    </w:p>
    <w:p w14:paraId="6D86CAE9" w14:textId="77777777" w:rsidR="00E83298" w:rsidRPr="005F1EE1" w:rsidRDefault="00E83298" w:rsidP="00A52CA6">
      <w:pPr>
        <w:pStyle w:val="NormalWeb"/>
        <w:spacing w:before="0" w:beforeAutospacing="0" w:after="0" w:afterAutospacing="0" w:line="360" w:lineRule="atLeast"/>
        <w:rPr>
          <w:color w:val="000000"/>
          <w:sz w:val="28"/>
          <w:szCs w:val="28"/>
        </w:rPr>
      </w:pPr>
    </w:p>
    <w:p w14:paraId="6836DF6B" w14:textId="77777777" w:rsidR="00F77B92" w:rsidRPr="005F1EE1" w:rsidRDefault="00E83298"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Oracle Corporation., 2023.Oracle Corporation Annual Report</w:t>
      </w:r>
    </w:p>
    <w:p w14:paraId="75D03E71" w14:textId="77777777" w:rsidR="00F77B92" w:rsidRPr="005F1EE1" w:rsidRDefault="00F77B92" w:rsidP="00A52CA6">
      <w:pPr>
        <w:pStyle w:val="NormalWeb"/>
        <w:spacing w:before="0" w:beforeAutospacing="0" w:after="0" w:afterAutospacing="0" w:line="360" w:lineRule="atLeast"/>
        <w:rPr>
          <w:color w:val="000000"/>
          <w:sz w:val="28"/>
          <w:szCs w:val="28"/>
        </w:rPr>
      </w:pPr>
    </w:p>
    <w:p w14:paraId="60E270C4" w14:textId="1C25EBB5" w:rsidR="00E83298" w:rsidRPr="005F1EE1" w:rsidRDefault="00F77B92" w:rsidP="00137BBA">
      <w:pPr>
        <w:pStyle w:val="NormalWeb"/>
        <w:numPr>
          <w:ilvl w:val="0"/>
          <w:numId w:val="2"/>
        </w:numPr>
        <w:spacing w:before="0" w:beforeAutospacing="0" w:after="0" w:afterAutospacing="0" w:line="360" w:lineRule="atLeast"/>
        <w:rPr>
          <w:color w:val="0D0D0D"/>
          <w:sz w:val="28"/>
          <w:szCs w:val="28"/>
          <w:shd w:val="clear" w:color="auto" w:fill="FFFFFF"/>
        </w:rPr>
      </w:pPr>
      <w:r w:rsidRPr="005F1EE1">
        <w:rPr>
          <w:color w:val="0D0D0D"/>
          <w:sz w:val="28"/>
          <w:szCs w:val="28"/>
          <w:shd w:val="clear" w:color="auto" w:fill="FFFFFF"/>
        </w:rPr>
        <w:t>Yasmin, F., &amp; Jamaluddin, N. (2020). The Influence of Firm Size and Leverage on Efficiency Ratios: Evidence from Malaysia. International Journal of Innovation, Creativity and Change, 12(8), 188-202.</w:t>
      </w:r>
    </w:p>
    <w:p w14:paraId="24E267A5" w14:textId="77777777" w:rsidR="00443553" w:rsidRPr="005F1EE1" w:rsidRDefault="00443553" w:rsidP="00A52CA6">
      <w:pPr>
        <w:pStyle w:val="NormalWeb"/>
        <w:spacing w:before="0" w:beforeAutospacing="0" w:after="0" w:afterAutospacing="0" w:line="360" w:lineRule="atLeast"/>
        <w:rPr>
          <w:color w:val="0D0D0D"/>
          <w:sz w:val="28"/>
          <w:szCs w:val="28"/>
          <w:shd w:val="clear" w:color="auto" w:fill="FFFFFF"/>
        </w:rPr>
      </w:pPr>
    </w:p>
    <w:p w14:paraId="7C559895" w14:textId="3C4526EC" w:rsidR="00443553" w:rsidRPr="005F1EE1" w:rsidRDefault="00443553"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lastRenderedPageBreak/>
        <w:t>CFI Team (2022). </w:t>
      </w:r>
      <w:r w:rsidRPr="005F1EE1">
        <w:rPr>
          <w:i/>
          <w:iCs/>
          <w:color w:val="000000"/>
          <w:sz w:val="28"/>
          <w:szCs w:val="28"/>
        </w:rPr>
        <w:t>Payback Period</w:t>
      </w:r>
      <w:r w:rsidRPr="005F1EE1">
        <w:rPr>
          <w:color w:val="000000"/>
          <w:sz w:val="28"/>
          <w:szCs w:val="28"/>
        </w:rPr>
        <w:t xml:space="preserve">. [online] Corporate Finance Institute. Available at: </w:t>
      </w:r>
      <w:hyperlink r:id="rId12" w:history="1">
        <w:r w:rsidRPr="005F1EE1">
          <w:rPr>
            <w:rStyle w:val="Hyperlink"/>
            <w:sz w:val="28"/>
            <w:szCs w:val="28"/>
          </w:rPr>
          <w:t>https://corporatefinanceinstitute.com/resources/financial-modeling/payback-period/</w:t>
        </w:r>
      </w:hyperlink>
      <w:r w:rsidRPr="005F1EE1">
        <w:rPr>
          <w:color w:val="000000"/>
          <w:sz w:val="28"/>
          <w:szCs w:val="28"/>
        </w:rPr>
        <w:t xml:space="preserve"> </w:t>
      </w:r>
    </w:p>
    <w:p w14:paraId="75F53599" w14:textId="5F229D12" w:rsidR="00A16F9C" w:rsidRPr="005F1EE1" w:rsidRDefault="00A16F9C" w:rsidP="00137BBA">
      <w:pPr>
        <w:pStyle w:val="NormalWeb"/>
        <w:numPr>
          <w:ilvl w:val="0"/>
          <w:numId w:val="2"/>
        </w:numPr>
        <w:spacing w:before="0" w:beforeAutospacing="0" w:after="0" w:afterAutospacing="0" w:line="360" w:lineRule="atLeast"/>
        <w:rPr>
          <w:color w:val="0D0D0D"/>
          <w:sz w:val="28"/>
          <w:szCs w:val="28"/>
          <w:shd w:val="clear" w:color="auto" w:fill="FFFFFF"/>
        </w:rPr>
      </w:pPr>
      <w:r w:rsidRPr="005F1EE1">
        <w:rPr>
          <w:color w:val="0D0D0D"/>
          <w:sz w:val="28"/>
          <w:szCs w:val="28"/>
          <w:shd w:val="clear" w:color="auto" w:fill="FFFFFF"/>
        </w:rPr>
        <w:t>Kaur, M., &amp; Singh, M. (2019). Impact of financial ratios on the profitability of Indian banks. International Journal of Accounting &amp; Finance Review, 4(2), 39-49.</w:t>
      </w:r>
    </w:p>
    <w:p w14:paraId="20A0BFE5" w14:textId="77777777" w:rsidR="00386DD6" w:rsidRPr="005F1EE1" w:rsidRDefault="00386DD6" w:rsidP="00443553">
      <w:pPr>
        <w:pStyle w:val="NormalWeb"/>
        <w:spacing w:before="0" w:beforeAutospacing="0" w:after="0" w:afterAutospacing="0" w:line="360" w:lineRule="atLeast"/>
        <w:rPr>
          <w:color w:val="0D0D0D"/>
          <w:sz w:val="28"/>
          <w:szCs w:val="28"/>
          <w:shd w:val="clear" w:color="auto" w:fill="FFFFFF"/>
        </w:rPr>
      </w:pPr>
    </w:p>
    <w:p w14:paraId="4395AB13" w14:textId="085FFE0D" w:rsidR="00386DD6" w:rsidRPr="005F1EE1" w:rsidRDefault="00386DD6" w:rsidP="00137BBA">
      <w:pPr>
        <w:pStyle w:val="NormalWeb"/>
        <w:numPr>
          <w:ilvl w:val="0"/>
          <w:numId w:val="2"/>
        </w:numPr>
        <w:spacing w:before="0" w:beforeAutospacing="0" w:after="0" w:afterAutospacing="0" w:line="360" w:lineRule="atLeast"/>
        <w:rPr>
          <w:color w:val="0D0D0D"/>
          <w:sz w:val="28"/>
          <w:szCs w:val="28"/>
          <w:shd w:val="clear" w:color="auto" w:fill="FFFFFF"/>
        </w:rPr>
      </w:pPr>
      <w:r w:rsidRPr="005F1EE1">
        <w:rPr>
          <w:color w:val="0D0D0D"/>
          <w:sz w:val="28"/>
          <w:szCs w:val="28"/>
          <w:shd w:val="clear" w:color="auto" w:fill="FFFFFF"/>
        </w:rPr>
        <w:t>Mangani, A., &amp; Gupta, D. (2020). Investment Appraisal Techniques and Their Applicability: A Review of Literature. Journal of Investment and Management, 9(4), 84-94.</w:t>
      </w:r>
    </w:p>
    <w:p w14:paraId="75DB8541" w14:textId="77777777" w:rsidR="007A1998" w:rsidRPr="005F1EE1" w:rsidRDefault="007A1998" w:rsidP="00443553">
      <w:pPr>
        <w:pStyle w:val="NormalWeb"/>
        <w:spacing w:before="0" w:beforeAutospacing="0" w:after="0" w:afterAutospacing="0" w:line="360" w:lineRule="atLeast"/>
        <w:rPr>
          <w:color w:val="0D0D0D"/>
          <w:sz w:val="28"/>
          <w:szCs w:val="28"/>
          <w:shd w:val="clear" w:color="auto" w:fill="FFFFFF"/>
        </w:rPr>
      </w:pPr>
    </w:p>
    <w:p w14:paraId="275FA13B" w14:textId="14A91050" w:rsidR="007A1998" w:rsidRPr="005F1EE1" w:rsidRDefault="007A1998"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Corporate Finance Institute (2023). </w:t>
      </w:r>
      <w:r w:rsidRPr="005F1EE1">
        <w:rPr>
          <w:i/>
          <w:iCs/>
          <w:color w:val="000000"/>
          <w:sz w:val="28"/>
          <w:szCs w:val="28"/>
        </w:rPr>
        <w:t>Net Present Value (NPV)</w:t>
      </w:r>
      <w:r w:rsidRPr="005F1EE1">
        <w:rPr>
          <w:color w:val="000000"/>
          <w:sz w:val="28"/>
          <w:szCs w:val="28"/>
        </w:rPr>
        <w:t xml:space="preserve">. [online] Corporate Finance Institute. Available at: </w:t>
      </w:r>
      <w:hyperlink r:id="rId13" w:history="1">
        <w:r w:rsidRPr="005F1EE1">
          <w:rPr>
            <w:rStyle w:val="Hyperlink"/>
            <w:sz w:val="28"/>
            <w:szCs w:val="28"/>
          </w:rPr>
          <w:t>https://corporatefinanceinstitute.com/resources/valuation/net-present-value-npv/</w:t>
        </w:r>
      </w:hyperlink>
      <w:r w:rsidRPr="005F1EE1">
        <w:rPr>
          <w:color w:val="000000"/>
          <w:sz w:val="28"/>
          <w:szCs w:val="28"/>
        </w:rPr>
        <w:t xml:space="preserve"> </w:t>
      </w:r>
    </w:p>
    <w:p w14:paraId="062A3DA4" w14:textId="77777777" w:rsidR="007A1998" w:rsidRPr="005F1EE1" w:rsidRDefault="007A1998" w:rsidP="007A1998">
      <w:pPr>
        <w:pStyle w:val="NormalWeb"/>
        <w:spacing w:before="0" w:beforeAutospacing="0" w:after="0" w:afterAutospacing="0" w:line="360" w:lineRule="atLeast"/>
        <w:rPr>
          <w:color w:val="000000"/>
          <w:sz w:val="28"/>
          <w:szCs w:val="28"/>
        </w:rPr>
      </w:pPr>
    </w:p>
    <w:p w14:paraId="09DDB4AF" w14:textId="06C9C2BB" w:rsidR="007A1998" w:rsidRPr="005F1EE1" w:rsidRDefault="007A1998" w:rsidP="00137BBA">
      <w:pPr>
        <w:pStyle w:val="NormalWeb"/>
        <w:numPr>
          <w:ilvl w:val="0"/>
          <w:numId w:val="2"/>
        </w:numPr>
        <w:spacing w:before="0" w:beforeAutospacing="0" w:after="0" w:afterAutospacing="0" w:line="360" w:lineRule="atLeast"/>
        <w:rPr>
          <w:color w:val="000000"/>
          <w:sz w:val="28"/>
          <w:szCs w:val="28"/>
        </w:rPr>
      </w:pPr>
      <w:r w:rsidRPr="005F1EE1">
        <w:rPr>
          <w:color w:val="000000"/>
          <w:sz w:val="28"/>
          <w:szCs w:val="28"/>
        </w:rPr>
        <w:t>Aswath Damodaran (2012). </w:t>
      </w:r>
      <w:r w:rsidRPr="005F1EE1">
        <w:rPr>
          <w:i/>
          <w:iCs/>
          <w:color w:val="000000"/>
          <w:sz w:val="28"/>
          <w:szCs w:val="28"/>
        </w:rPr>
        <w:t>Investment valuation : tools and techniques for determining the value of any asset</w:t>
      </w:r>
      <w:r w:rsidRPr="005F1EE1">
        <w:rPr>
          <w:color w:val="000000"/>
          <w:sz w:val="28"/>
          <w:szCs w:val="28"/>
        </w:rPr>
        <w:t>. New York: Wiley.</w:t>
      </w:r>
    </w:p>
    <w:p w14:paraId="1C609A03" w14:textId="77777777" w:rsidR="00E66ADB" w:rsidRPr="005F1EE1" w:rsidRDefault="00E66ADB" w:rsidP="007A1998">
      <w:pPr>
        <w:pStyle w:val="NormalWeb"/>
        <w:spacing w:before="0" w:beforeAutospacing="0" w:after="0" w:afterAutospacing="0" w:line="360" w:lineRule="atLeast"/>
        <w:rPr>
          <w:color w:val="000000"/>
          <w:sz w:val="28"/>
          <w:szCs w:val="28"/>
        </w:rPr>
      </w:pPr>
    </w:p>
    <w:p w14:paraId="64D2C4EB" w14:textId="46FD149D" w:rsidR="00E66ADB" w:rsidRPr="005F1EE1" w:rsidRDefault="00E66ADB" w:rsidP="00137BBA">
      <w:pPr>
        <w:pStyle w:val="NormalWeb"/>
        <w:numPr>
          <w:ilvl w:val="0"/>
          <w:numId w:val="2"/>
        </w:numPr>
        <w:spacing w:before="0" w:beforeAutospacing="0" w:after="0" w:afterAutospacing="0" w:line="360" w:lineRule="atLeast"/>
        <w:rPr>
          <w:color w:val="000000"/>
          <w:sz w:val="28"/>
          <w:szCs w:val="28"/>
        </w:rPr>
      </w:pPr>
      <w:r w:rsidRPr="005F1EE1">
        <w:rPr>
          <w:color w:val="0D0D0D"/>
          <w:sz w:val="28"/>
          <w:szCs w:val="28"/>
          <w:shd w:val="clear" w:color="auto" w:fill="FFFFFF"/>
        </w:rPr>
        <w:t>Pinto, J. K., &amp; Slevin, D. P. (2018). Critical Success Factors in Project Management: Context, Conjectures, and Findings. Journal of Managerial Issues, 30(4), 328-343.</w:t>
      </w:r>
    </w:p>
    <w:p w14:paraId="7ACB8104" w14:textId="77777777" w:rsidR="00443553" w:rsidRPr="005F1EE1" w:rsidRDefault="00443553" w:rsidP="00443553">
      <w:pPr>
        <w:pStyle w:val="NormalWeb"/>
        <w:rPr>
          <w:color w:val="000000"/>
          <w:sz w:val="28"/>
          <w:szCs w:val="28"/>
        </w:rPr>
      </w:pPr>
      <w:r w:rsidRPr="005F1EE1">
        <w:rPr>
          <w:color w:val="000000"/>
          <w:sz w:val="28"/>
          <w:szCs w:val="28"/>
        </w:rPr>
        <w:t>‌</w:t>
      </w:r>
    </w:p>
    <w:p w14:paraId="7F06E09F" w14:textId="77777777" w:rsidR="00443553" w:rsidRPr="00E66ADB" w:rsidRDefault="00443553" w:rsidP="00A52CA6">
      <w:pPr>
        <w:pStyle w:val="NormalWeb"/>
        <w:spacing w:before="0" w:beforeAutospacing="0" w:after="0" w:afterAutospacing="0" w:line="360" w:lineRule="atLeast"/>
        <w:rPr>
          <w:color w:val="000000"/>
          <w:sz w:val="27"/>
          <w:szCs w:val="27"/>
        </w:rPr>
      </w:pPr>
    </w:p>
    <w:p w14:paraId="1D9BE2EE" w14:textId="77777777" w:rsidR="00152B1D" w:rsidRPr="00E66ADB" w:rsidRDefault="00152B1D" w:rsidP="00DC147F">
      <w:pPr>
        <w:pStyle w:val="NormalWeb"/>
        <w:spacing w:before="0" w:beforeAutospacing="0" w:after="0" w:afterAutospacing="0" w:line="360" w:lineRule="atLeast"/>
        <w:rPr>
          <w:color w:val="000000"/>
          <w:sz w:val="27"/>
          <w:szCs w:val="27"/>
        </w:rPr>
      </w:pPr>
    </w:p>
    <w:p w14:paraId="0BEAD00E" w14:textId="77777777" w:rsidR="00DC147F" w:rsidRPr="00E66ADB" w:rsidRDefault="00DC147F" w:rsidP="00DC147F">
      <w:pPr>
        <w:pStyle w:val="NormalWeb"/>
        <w:rPr>
          <w:color w:val="000000"/>
          <w:sz w:val="27"/>
          <w:szCs w:val="27"/>
        </w:rPr>
      </w:pPr>
      <w:r w:rsidRPr="00E66ADB">
        <w:rPr>
          <w:color w:val="000000"/>
          <w:sz w:val="27"/>
          <w:szCs w:val="27"/>
        </w:rPr>
        <w:t>‌</w:t>
      </w:r>
    </w:p>
    <w:p w14:paraId="2B8B1680" w14:textId="77777777" w:rsidR="00DC147F" w:rsidRPr="00E66ADB" w:rsidRDefault="00DC147F" w:rsidP="0087254E">
      <w:pPr>
        <w:shd w:val="clear" w:color="auto" w:fill="FFFFFF"/>
        <w:spacing w:before="100" w:beforeAutospacing="1" w:after="100" w:afterAutospacing="1" w:line="240" w:lineRule="auto"/>
        <w:ind w:left="0" w:firstLine="0"/>
        <w:jc w:val="left"/>
        <w:rPr>
          <w:rFonts w:ascii="Times New Roman" w:hAnsi="Times New Roman" w:cs="Times New Roman"/>
          <w:b/>
          <w:bCs/>
          <w:color w:val="1F1F1F"/>
          <w:shd w:val="clear" w:color="auto" w:fill="FFFFFF"/>
        </w:rPr>
      </w:pPr>
    </w:p>
    <w:p w14:paraId="57C57BD5" w14:textId="77777777" w:rsidR="0064521A" w:rsidRPr="00E66ADB" w:rsidRDefault="0064521A" w:rsidP="0087254E">
      <w:pPr>
        <w:shd w:val="clear" w:color="auto" w:fill="FFFFFF"/>
        <w:spacing w:before="100" w:beforeAutospacing="1" w:after="100" w:afterAutospacing="1" w:line="240" w:lineRule="auto"/>
        <w:ind w:left="0" w:firstLine="0"/>
        <w:jc w:val="left"/>
        <w:rPr>
          <w:rFonts w:ascii="Times New Roman" w:hAnsi="Times New Roman" w:cs="Times New Roman"/>
          <w:b/>
          <w:bCs/>
          <w:color w:val="1F1F1F"/>
          <w:shd w:val="clear" w:color="auto" w:fill="FFFFFF"/>
        </w:rPr>
      </w:pPr>
    </w:p>
    <w:p w14:paraId="2DE004D2" w14:textId="77777777" w:rsidR="00117526" w:rsidRPr="00E66ADB" w:rsidRDefault="00117526" w:rsidP="0087254E">
      <w:pPr>
        <w:shd w:val="clear" w:color="auto" w:fill="FFFFFF"/>
        <w:spacing w:before="100" w:beforeAutospacing="1" w:after="100" w:afterAutospacing="1" w:line="240" w:lineRule="auto"/>
        <w:ind w:left="0" w:firstLine="0"/>
        <w:jc w:val="left"/>
        <w:rPr>
          <w:rFonts w:ascii="Times New Roman" w:hAnsi="Times New Roman" w:cs="Times New Roman"/>
          <w:color w:val="1F1F1F"/>
          <w:shd w:val="clear" w:color="auto" w:fill="FFFFFF"/>
        </w:rPr>
      </w:pPr>
    </w:p>
    <w:p w14:paraId="729BECBE" w14:textId="77777777" w:rsidR="00117526" w:rsidRPr="00E66ADB" w:rsidRDefault="00117526" w:rsidP="0087254E">
      <w:pPr>
        <w:shd w:val="clear" w:color="auto" w:fill="FFFFFF"/>
        <w:spacing w:before="100" w:beforeAutospacing="1" w:after="100" w:afterAutospacing="1" w:line="240" w:lineRule="auto"/>
        <w:ind w:left="0" w:firstLine="0"/>
        <w:jc w:val="left"/>
        <w:rPr>
          <w:rFonts w:ascii="Times New Roman" w:hAnsi="Times New Roman" w:cs="Times New Roman"/>
          <w:color w:val="1F1F1F"/>
          <w:shd w:val="clear" w:color="auto" w:fill="FFFFFF"/>
        </w:rPr>
      </w:pPr>
    </w:p>
    <w:p w14:paraId="18C7BB5F" w14:textId="77777777" w:rsidR="0087254E" w:rsidRPr="00E66ADB" w:rsidRDefault="0087254E" w:rsidP="0087254E">
      <w:pPr>
        <w:shd w:val="clear" w:color="auto" w:fill="FFFFFF"/>
        <w:spacing w:before="100" w:beforeAutospacing="1" w:after="100" w:afterAutospacing="1" w:line="240" w:lineRule="auto"/>
        <w:ind w:left="0" w:firstLine="0"/>
        <w:jc w:val="left"/>
        <w:rPr>
          <w:rFonts w:ascii="Times New Roman" w:eastAsia="Times New Roman" w:hAnsi="Times New Roman" w:cs="Times New Roman"/>
          <w:color w:val="1F1F1F"/>
          <w:kern w:val="0"/>
          <w:sz w:val="24"/>
          <w:szCs w:val="24"/>
          <w14:ligatures w14:val="none"/>
        </w:rPr>
      </w:pPr>
    </w:p>
    <w:p w14:paraId="2275A3CE" w14:textId="77777777" w:rsidR="0087254E" w:rsidRPr="00E66ADB" w:rsidRDefault="0087254E" w:rsidP="00053671">
      <w:pPr>
        <w:ind w:left="0" w:firstLine="0"/>
        <w:rPr>
          <w:rFonts w:ascii="Times New Roman" w:hAnsi="Times New Roman" w:cs="Times New Roman"/>
          <w:b/>
          <w:bCs/>
        </w:rPr>
      </w:pPr>
    </w:p>
    <w:sectPr w:rsidR="0087254E" w:rsidRPr="00E66AD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CFA8A" w14:textId="77777777" w:rsidR="004A62A9" w:rsidRDefault="004A62A9" w:rsidP="00546F8B">
      <w:pPr>
        <w:spacing w:after="0" w:line="240" w:lineRule="auto"/>
      </w:pPr>
      <w:r>
        <w:separator/>
      </w:r>
    </w:p>
  </w:endnote>
  <w:endnote w:type="continuationSeparator" w:id="0">
    <w:p w14:paraId="2BC6CC45" w14:textId="77777777" w:rsidR="004A62A9" w:rsidRDefault="004A62A9" w:rsidP="00546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0623E" w14:textId="55D55129" w:rsidR="00546F8B" w:rsidRDefault="00546F8B">
    <w:pPr>
      <w:pStyle w:val="Footer"/>
    </w:pP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A2C4A3" w14:textId="77777777" w:rsidR="004A62A9" w:rsidRDefault="004A62A9" w:rsidP="00546F8B">
      <w:pPr>
        <w:spacing w:after="0" w:line="240" w:lineRule="auto"/>
      </w:pPr>
      <w:r>
        <w:separator/>
      </w:r>
    </w:p>
  </w:footnote>
  <w:footnote w:type="continuationSeparator" w:id="0">
    <w:p w14:paraId="254AA947" w14:textId="77777777" w:rsidR="004A62A9" w:rsidRDefault="004A62A9" w:rsidP="00546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50A61" w14:textId="73977C97" w:rsidR="00546F8B" w:rsidRDefault="00546F8B">
    <w:pPr>
      <w:pStyle w:val="Header"/>
    </w:pPr>
    <w:r>
      <w:rPr>
        <w:noProof/>
        <w:color w:val="4472C4" w:themeColor="accent1"/>
      </w:rPr>
      <mc:AlternateContent>
        <mc:Choice Requires="wps">
          <w:drawing>
            <wp:anchor distT="0" distB="0" distL="114300" distR="114300" simplePos="0" relativeHeight="251659264" behindDoc="0" locked="0" layoutInCell="1" allowOverlap="1" wp14:anchorId="20CD93CA" wp14:editId="5C20AD54">
              <wp:simplePos x="0" y="0"/>
              <wp:positionH relativeFrom="margin">
                <wp:align>center</wp:align>
              </wp:positionH>
              <wp:positionV relativeFrom="margin">
                <wp:align>center</wp:align>
              </wp:positionV>
              <wp:extent cx="7364730" cy="9528810"/>
              <wp:effectExtent l="0" t="0" r="18415" b="15240"/>
              <wp:wrapNone/>
              <wp:docPr id="452" name="Rectangle 7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048C4E6" id="Rectangle 7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F33783"/>
    <w:multiLevelType w:val="multilevel"/>
    <w:tmpl w:val="BFC22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F62899"/>
    <w:multiLevelType w:val="multilevel"/>
    <w:tmpl w:val="3E5EEBDA"/>
    <w:lvl w:ilvl="0">
      <w:start w:val="3"/>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4772717"/>
    <w:multiLevelType w:val="multilevel"/>
    <w:tmpl w:val="45F649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8AF5488"/>
    <w:multiLevelType w:val="hybridMultilevel"/>
    <w:tmpl w:val="4FA834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9A6361E"/>
    <w:multiLevelType w:val="multilevel"/>
    <w:tmpl w:val="9DDC9920"/>
    <w:lvl w:ilvl="0">
      <w:start w:val="3"/>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16cid:durableId="1013264465">
    <w:abstractNumId w:val="0"/>
  </w:num>
  <w:num w:numId="2" w16cid:durableId="952135219">
    <w:abstractNumId w:val="3"/>
  </w:num>
  <w:num w:numId="3" w16cid:durableId="889071747">
    <w:abstractNumId w:val="2"/>
  </w:num>
  <w:num w:numId="4" w16cid:durableId="1988631686">
    <w:abstractNumId w:val="4"/>
  </w:num>
  <w:num w:numId="5" w16cid:durableId="1153521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AC9"/>
    <w:rsid w:val="000102AD"/>
    <w:rsid w:val="00021FDA"/>
    <w:rsid w:val="00053671"/>
    <w:rsid w:val="0006174F"/>
    <w:rsid w:val="000638E5"/>
    <w:rsid w:val="00072906"/>
    <w:rsid w:val="00117526"/>
    <w:rsid w:val="00134EE2"/>
    <w:rsid w:val="00137BBA"/>
    <w:rsid w:val="00147033"/>
    <w:rsid w:val="00152B1D"/>
    <w:rsid w:val="00176C8C"/>
    <w:rsid w:val="00186A08"/>
    <w:rsid w:val="001D1DF9"/>
    <w:rsid w:val="00202EAA"/>
    <w:rsid w:val="00235DFA"/>
    <w:rsid w:val="002545EA"/>
    <w:rsid w:val="00264483"/>
    <w:rsid w:val="00265390"/>
    <w:rsid w:val="00295D59"/>
    <w:rsid w:val="002E6B22"/>
    <w:rsid w:val="002E7299"/>
    <w:rsid w:val="002E7928"/>
    <w:rsid w:val="00345617"/>
    <w:rsid w:val="00386DD6"/>
    <w:rsid w:val="00397A0A"/>
    <w:rsid w:val="003D6FB1"/>
    <w:rsid w:val="003F15AC"/>
    <w:rsid w:val="00443553"/>
    <w:rsid w:val="004939C2"/>
    <w:rsid w:val="004A4068"/>
    <w:rsid w:val="004A62A9"/>
    <w:rsid w:val="004F06B4"/>
    <w:rsid w:val="00546F8B"/>
    <w:rsid w:val="00555922"/>
    <w:rsid w:val="005B41B4"/>
    <w:rsid w:val="005D1399"/>
    <w:rsid w:val="005E0B97"/>
    <w:rsid w:val="005E52D2"/>
    <w:rsid w:val="005F1EE1"/>
    <w:rsid w:val="00603D58"/>
    <w:rsid w:val="0064521A"/>
    <w:rsid w:val="006565D6"/>
    <w:rsid w:val="006725E5"/>
    <w:rsid w:val="00677495"/>
    <w:rsid w:val="00692DF1"/>
    <w:rsid w:val="006A504A"/>
    <w:rsid w:val="006C04BE"/>
    <w:rsid w:val="006C280B"/>
    <w:rsid w:val="006F5745"/>
    <w:rsid w:val="00716E0C"/>
    <w:rsid w:val="00766E43"/>
    <w:rsid w:val="00774463"/>
    <w:rsid w:val="00776681"/>
    <w:rsid w:val="00791891"/>
    <w:rsid w:val="007A1998"/>
    <w:rsid w:val="007E18F2"/>
    <w:rsid w:val="00805B76"/>
    <w:rsid w:val="0087254E"/>
    <w:rsid w:val="008B1F7A"/>
    <w:rsid w:val="008B545B"/>
    <w:rsid w:val="008B6462"/>
    <w:rsid w:val="0090796D"/>
    <w:rsid w:val="009231B9"/>
    <w:rsid w:val="00942AC9"/>
    <w:rsid w:val="00965709"/>
    <w:rsid w:val="00991F95"/>
    <w:rsid w:val="009A4C41"/>
    <w:rsid w:val="009E52D8"/>
    <w:rsid w:val="009F6672"/>
    <w:rsid w:val="00A0425D"/>
    <w:rsid w:val="00A16F9C"/>
    <w:rsid w:val="00A34FBE"/>
    <w:rsid w:val="00A52CA6"/>
    <w:rsid w:val="00AA7034"/>
    <w:rsid w:val="00AE2FC1"/>
    <w:rsid w:val="00AF274D"/>
    <w:rsid w:val="00B33139"/>
    <w:rsid w:val="00B76982"/>
    <w:rsid w:val="00BA0652"/>
    <w:rsid w:val="00C01C6C"/>
    <w:rsid w:val="00C02EFC"/>
    <w:rsid w:val="00C06DBB"/>
    <w:rsid w:val="00C32972"/>
    <w:rsid w:val="00C55C29"/>
    <w:rsid w:val="00C83A21"/>
    <w:rsid w:val="00C841D9"/>
    <w:rsid w:val="00CB0577"/>
    <w:rsid w:val="00CB4957"/>
    <w:rsid w:val="00CB4CDA"/>
    <w:rsid w:val="00CD04CF"/>
    <w:rsid w:val="00CE3604"/>
    <w:rsid w:val="00CF5426"/>
    <w:rsid w:val="00D07CFD"/>
    <w:rsid w:val="00D11BC3"/>
    <w:rsid w:val="00D210C0"/>
    <w:rsid w:val="00D5405D"/>
    <w:rsid w:val="00D84AA4"/>
    <w:rsid w:val="00D96FB6"/>
    <w:rsid w:val="00DB5DC9"/>
    <w:rsid w:val="00DC147F"/>
    <w:rsid w:val="00E03C95"/>
    <w:rsid w:val="00E0661F"/>
    <w:rsid w:val="00E10E7E"/>
    <w:rsid w:val="00E20CD4"/>
    <w:rsid w:val="00E66ADB"/>
    <w:rsid w:val="00E83298"/>
    <w:rsid w:val="00E85791"/>
    <w:rsid w:val="00EA1D68"/>
    <w:rsid w:val="00EB75A0"/>
    <w:rsid w:val="00EE1ACD"/>
    <w:rsid w:val="00F11E78"/>
    <w:rsid w:val="00F1341D"/>
    <w:rsid w:val="00F41BFE"/>
    <w:rsid w:val="00F5620D"/>
    <w:rsid w:val="00F77B92"/>
    <w:rsid w:val="00FB1C45"/>
    <w:rsid w:val="00FC2505"/>
    <w:rsid w:val="00FE61AA"/>
    <w:rsid w:val="00FF6F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0F370"/>
  <w15:chartTrackingRefBased/>
  <w15:docId w15:val="{86D7BAEB-A907-40E6-991D-B9789330E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AC9"/>
    <w:pPr>
      <w:spacing w:after="19" w:line="236" w:lineRule="auto"/>
      <w:ind w:left="20" w:hanging="20"/>
      <w:jc w:val="both"/>
    </w:pPr>
    <w:rPr>
      <w:rFonts w:ascii="Arial" w:eastAsia="Arial" w:hAnsi="Arial" w:cs="Arial"/>
      <w:color w:val="000000"/>
      <w:lang w:eastAsia="en-IN"/>
    </w:rPr>
  </w:style>
  <w:style w:type="paragraph" w:styleId="Heading1">
    <w:name w:val="heading 1"/>
    <w:basedOn w:val="Normal"/>
    <w:next w:val="Normal"/>
    <w:link w:val="Heading1Char"/>
    <w:uiPriority w:val="9"/>
    <w:qFormat/>
    <w:rsid w:val="006A50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86A08"/>
    <w:pPr>
      <w:spacing w:before="100" w:beforeAutospacing="1" w:after="100" w:afterAutospacing="1" w:line="240" w:lineRule="auto"/>
      <w:ind w:left="0" w:firstLine="0"/>
      <w:jc w:val="left"/>
      <w:outlineLvl w:val="1"/>
    </w:pPr>
    <w:rPr>
      <w:rFonts w:ascii="Times New Roman" w:eastAsia="Times New Roman" w:hAnsi="Times New Roman" w:cs="Times New Roman"/>
      <w:b/>
      <w:bCs/>
      <w:color w:val="auto"/>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942AC9"/>
    <w:pPr>
      <w:spacing w:after="0" w:line="240" w:lineRule="auto"/>
    </w:pPr>
    <w:rPr>
      <w:rFonts w:eastAsiaTheme="minorEastAsia"/>
      <w:lang w:eastAsia="en-IN"/>
    </w:r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186A08"/>
    <w:rPr>
      <w:rFonts w:ascii="Times New Roman" w:eastAsia="Times New Roman" w:hAnsi="Times New Roman" w:cs="Times New Roman"/>
      <w:b/>
      <w:bCs/>
      <w:kern w:val="0"/>
      <w:sz w:val="36"/>
      <w:szCs w:val="36"/>
      <w:lang w:eastAsia="en-IN"/>
      <w14:ligatures w14:val="none"/>
    </w:rPr>
  </w:style>
  <w:style w:type="table" w:styleId="TableGrid0">
    <w:name w:val="Table Grid"/>
    <w:basedOn w:val="TableNormal"/>
    <w:uiPriority w:val="59"/>
    <w:rsid w:val="00345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45617"/>
    <w:rPr>
      <w:b/>
      <w:bCs/>
    </w:rPr>
  </w:style>
  <w:style w:type="paragraph" w:styleId="NormalWeb">
    <w:name w:val="Normal (Web)"/>
    <w:basedOn w:val="Normal"/>
    <w:uiPriority w:val="99"/>
    <w:semiHidden/>
    <w:unhideWhenUsed/>
    <w:rsid w:val="00991F95"/>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szCs w:val="24"/>
      <w14:ligatures w14:val="none"/>
    </w:rPr>
  </w:style>
  <w:style w:type="character" w:styleId="Hyperlink">
    <w:name w:val="Hyperlink"/>
    <w:basedOn w:val="DefaultParagraphFont"/>
    <w:uiPriority w:val="99"/>
    <w:unhideWhenUsed/>
    <w:rsid w:val="00A52CA6"/>
    <w:rPr>
      <w:color w:val="0563C1" w:themeColor="hyperlink"/>
      <w:u w:val="single"/>
    </w:rPr>
  </w:style>
  <w:style w:type="character" w:styleId="UnresolvedMention">
    <w:name w:val="Unresolved Mention"/>
    <w:basedOn w:val="DefaultParagraphFont"/>
    <w:uiPriority w:val="99"/>
    <w:semiHidden/>
    <w:unhideWhenUsed/>
    <w:rsid w:val="00A52CA6"/>
    <w:rPr>
      <w:color w:val="605E5C"/>
      <w:shd w:val="clear" w:color="auto" w:fill="E1DFDD"/>
    </w:rPr>
  </w:style>
  <w:style w:type="paragraph" w:styleId="z-TopofForm">
    <w:name w:val="HTML Top of Form"/>
    <w:basedOn w:val="Normal"/>
    <w:next w:val="Normal"/>
    <w:link w:val="z-TopofFormChar"/>
    <w:hidden/>
    <w:uiPriority w:val="99"/>
    <w:semiHidden/>
    <w:unhideWhenUsed/>
    <w:rsid w:val="00386DD6"/>
    <w:pPr>
      <w:pBdr>
        <w:bottom w:val="single" w:sz="6" w:space="1" w:color="auto"/>
      </w:pBdr>
      <w:spacing w:after="0" w:line="240" w:lineRule="auto"/>
      <w:ind w:left="0" w:firstLine="0"/>
      <w:jc w:val="center"/>
    </w:pPr>
    <w:rPr>
      <w:rFonts w:eastAsia="Times New Roman"/>
      <w:vanish/>
      <w:color w:val="auto"/>
      <w:kern w:val="0"/>
      <w:sz w:val="16"/>
      <w:szCs w:val="16"/>
      <w14:ligatures w14:val="none"/>
    </w:rPr>
  </w:style>
  <w:style w:type="character" w:customStyle="1" w:styleId="z-TopofFormChar">
    <w:name w:val="z-Top of Form Char"/>
    <w:basedOn w:val="DefaultParagraphFont"/>
    <w:link w:val="z-TopofForm"/>
    <w:uiPriority w:val="99"/>
    <w:semiHidden/>
    <w:rsid w:val="00386DD6"/>
    <w:rPr>
      <w:rFonts w:ascii="Arial" w:eastAsia="Times New Roman" w:hAnsi="Arial" w:cs="Arial"/>
      <w:vanish/>
      <w:kern w:val="0"/>
      <w:sz w:val="16"/>
      <w:szCs w:val="16"/>
      <w:lang w:eastAsia="en-IN"/>
      <w14:ligatures w14:val="none"/>
    </w:rPr>
  </w:style>
  <w:style w:type="character" w:customStyle="1" w:styleId="Heading1Char">
    <w:name w:val="Heading 1 Char"/>
    <w:basedOn w:val="DefaultParagraphFont"/>
    <w:link w:val="Heading1"/>
    <w:uiPriority w:val="9"/>
    <w:rsid w:val="006A504A"/>
    <w:rPr>
      <w:rFonts w:asciiTheme="majorHAnsi" w:eastAsiaTheme="majorEastAsia" w:hAnsiTheme="majorHAnsi" w:cstheme="majorBidi"/>
      <w:color w:val="2F5496" w:themeColor="accent1" w:themeShade="BF"/>
      <w:sz w:val="32"/>
      <w:szCs w:val="32"/>
      <w:lang w:eastAsia="en-IN"/>
    </w:rPr>
  </w:style>
  <w:style w:type="paragraph" w:styleId="ListParagraph">
    <w:name w:val="List Paragraph"/>
    <w:basedOn w:val="Normal"/>
    <w:uiPriority w:val="34"/>
    <w:qFormat/>
    <w:rsid w:val="006A504A"/>
    <w:pPr>
      <w:ind w:left="720"/>
      <w:contextualSpacing/>
    </w:pPr>
  </w:style>
  <w:style w:type="paragraph" w:styleId="Header">
    <w:name w:val="header"/>
    <w:basedOn w:val="Normal"/>
    <w:link w:val="HeaderChar"/>
    <w:uiPriority w:val="99"/>
    <w:unhideWhenUsed/>
    <w:rsid w:val="00546F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F8B"/>
    <w:rPr>
      <w:rFonts w:ascii="Arial" w:eastAsia="Arial" w:hAnsi="Arial" w:cs="Arial"/>
      <w:color w:val="000000"/>
      <w:lang w:eastAsia="en-IN"/>
    </w:rPr>
  </w:style>
  <w:style w:type="paragraph" w:styleId="Footer">
    <w:name w:val="footer"/>
    <w:basedOn w:val="Normal"/>
    <w:link w:val="FooterChar"/>
    <w:uiPriority w:val="99"/>
    <w:unhideWhenUsed/>
    <w:rsid w:val="00546F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F8B"/>
    <w:rPr>
      <w:rFonts w:ascii="Arial" w:eastAsia="Arial" w:hAnsi="Arial" w:cs="Arial"/>
      <w:color w:val="000000"/>
      <w:lang w:eastAsia="en-IN"/>
    </w:rPr>
  </w:style>
  <w:style w:type="paragraph" w:styleId="TOCHeading">
    <w:name w:val="TOC Heading"/>
    <w:basedOn w:val="Heading1"/>
    <w:next w:val="Normal"/>
    <w:uiPriority w:val="39"/>
    <w:unhideWhenUsed/>
    <w:qFormat/>
    <w:rsid w:val="00546F8B"/>
    <w:pPr>
      <w:spacing w:line="259" w:lineRule="auto"/>
      <w:ind w:left="0" w:firstLine="0"/>
      <w:jc w:val="left"/>
      <w:outlineLvl w:val="9"/>
    </w:pPr>
    <w:rPr>
      <w:kern w:val="0"/>
      <w:lang w:val="en-US" w:eastAsia="en-US"/>
      <w14:ligatures w14:val="none"/>
    </w:rPr>
  </w:style>
  <w:style w:type="paragraph" w:styleId="TOC1">
    <w:name w:val="toc 1"/>
    <w:basedOn w:val="Normal"/>
    <w:next w:val="Normal"/>
    <w:autoRedefine/>
    <w:uiPriority w:val="39"/>
    <w:unhideWhenUsed/>
    <w:rsid w:val="00546F8B"/>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89985">
      <w:bodyDiv w:val="1"/>
      <w:marLeft w:val="0"/>
      <w:marRight w:val="0"/>
      <w:marTop w:val="0"/>
      <w:marBottom w:val="0"/>
      <w:divBdr>
        <w:top w:val="none" w:sz="0" w:space="0" w:color="auto"/>
        <w:left w:val="none" w:sz="0" w:space="0" w:color="auto"/>
        <w:bottom w:val="none" w:sz="0" w:space="0" w:color="auto"/>
        <w:right w:val="none" w:sz="0" w:space="0" w:color="auto"/>
      </w:divBdr>
    </w:div>
    <w:div w:id="243296608">
      <w:bodyDiv w:val="1"/>
      <w:marLeft w:val="0"/>
      <w:marRight w:val="0"/>
      <w:marTop w:val="0"/>
      <w:marBottom w:val="0"/>
      <w:divBdr>
        <w:top w:val="none" w:sz="0" w:space="0" w:color="auto"/>
        <w:left w:val="none" w:sz="0" w:space="0" w:color="auto"/>
        <w:bottom w:val="none" w:sz="0" w:space="0" w:color="auto"/>
        <w:right w:val="none" w:sz="0" w:space="0" w:color="auto"/>
      </w:divBdr>
    </w:div>
    <w:div w:id="324557757">
      <w:bodyDiv w:val="1"/>
      <w:marLeft w:val="0"/>
      <w:marRight w:val="0"/>
      <w:marTop w:val="0"/>
      <w:marBottom w:val="0"/>
      <w:divBdr>
        <w:top w:val="none" w:sz="0" w:space="0" w:color="auto"/>
        <w:left w:val="none" w:sz="0" w:space="0" w:color="auto"/>
        <w:bottom w:val="none" w:sz="0" w:space="0" w:color="auto"/>
        <w:right w:val="none" w:sz="0" w:space="0" w:color="auto"/>
      </w:divBdr>
      <w:divsChild>
        <w:div w:id="1843813874">
          <w:marLeft w:val="0"/>
          <w:marRight w:val="0"/>
          <w:marTop w:val="0"/>
          <w:marBottom w:val="0"/>
          <w:divBdr>
            <w:top w:val="single" w:sz="2" w:space="0" w:color="E3E3E3"/>
            <w:left w:val="single" w:sz="2" w:space="0" w:color="E3E3E3"/>
            <w:bottom w:val="single" w:sz="2" w:space="0" w:color="E3E3E3"/>
            <w:right w:val="single" w:sz="2" w:space="0" w:color="E3E3E3"/>
          </w:divBdr>
          <w:divsChild>
            <w:div w:id="6298669">
              <w:marLeft w:val="0"/>
              <w:marRight w:val="0"/>
              <w:marTop w:val="0"/>
              <w:marBottom w:val="0"/>
              <w:divBdr>
                <w:top w:val="single" w:sz="2" w:space="0" w:color="E3E3E3"/>
                <w:left w:val="single" w:sz="2" w:space="0" w:color="E3E3E3"/>
                <w:bottom w:val="single" w:sz="2" w:space="0" w:color="E3E3E3"/>
                <w:right w:val="single" w:sz="2" w:space="0" w:color="E3E3E3"/>
              </w:divBdr>
              <w:divsChild>
                <w:div w:id="1454976297">
                  <w:marLeft w:val="0"/>
                  <w:marRight w:val="0"/>
                  <w:marTop w:val="0"/>
                  <w:marBottom w:val="0"/>
                  <w:divBdr>
                    <w:top w:val="single" w:sz="2" w:space="0" w:color="E3E3E3"/>
                    <w:left w:val="single" w:sz="2" w:space="0" w:color="E3E3E3"/>
                    <w:bottom w:val="single" w:sz="2" w:space="0" w:color="E3E3E3"/>
                    <w:right w:val="single" w:sz="2" w:space="0" w:color="E3E3E3"/>
                  </w:divBdr>
                  <w:divsChild>
                    <w:div w:id="1252396412">
                      <w:marLeft w:val="0"/>
                      <w:marRight w:val="0"/>
                      <w:marTop w:val="0"/>
                      <w:marBottom w:val="0"/>
                      <w:divBdr>
                        <w:top w:val="single" w:sz="2" w:space="0" w:color="E3E3E3"/>
                        <w:left w:val="single" w:sz="2" w:space="0" w:color="E3E3E3"/>
                        <w:bottom w:val="single" w:sz="2" w:space="0" w:color="E3E3E3"/>
                        <w:right w:val="single" w:sz="2" w:space="0" w:color="E3E3E3"/>
                      </w:divBdr>
                      <w:divsChild>
                        <w:div w:id="1687636242">
                          <w:marLeft w:val="0"/>
                          <w:marRight w:val="0"/>
                          <w:marTop w:val="0"/>
                          <w:marBottom w:val="0"/>
                          <w:divBdr>
                            <w:top w:val="single" w:sz="2" w:space="0" w:color="E3E3E3"/>
                            <w:left w:val="single" w:sz="2" w:space="0" w:color="E3E3E3"/>
                            <w:bottom w:val="single" w:sz="2" w:space="0" w:color="E3E3E3"/>
                            <w:right w:val="single" w:sz="2" w:space="0" w:color="E3E3E3"/>
                          </w:divBdr>
                          <w:divsChild>
                            <w:div w:id="31274921">
                              <w:marLeft w:val="0"/>
                              <w:marRight w:val="0"/>
                              <w:marTop w:val="0"/>
                              <w:marBottom w:val="0"/>
                              <w:divBdr>
                                <w:top w:val="single" w:sz="2" w:space="0" w:color="E3E3E3"/>
                                <w:left w:val="single" w:sz="2" w:space="0" w:color="E3E3E3"/>
                                <w:bottom w:val="single" w:sz="2" w:space="0" w:color="E3E3E3"/>
                                <w:right w:val="single" w:sz="2" w:space="0" w:color="E3E3E3"/>
                              </w:divBdr>
                              <w:divsChild>
                                <w:div w:id="182326657">
                                  <w:marLeft w:val="0"/>
                                  <w:marRight w:val="0"/>
                                  <w:marTop w:val="100"/>
                                  <w:marBottom w:val="100"/>
                                  <w:divBdr>
                                    <w:top w:val="single" w:sz="2" w:space="0" w:color="E3E3E3"/>
                                    <w:left w:val="single" w:sz="2" w:space="0" w:color="E3E3E3"/>
                                    <w:bottom w:val="single" w:sz="2" w:space="0" w:color="E3E3E3"/>
                                    <w:right w:val="single" w:sz="2" w:space="0" w:color="E3E3E3"/>
                                  </w:divBdr>
                                  <w:divsChild>
                                    <w:div w:id="1928267029">
                                      <w:marLeft w:val="0"/>
                                      <w:marRight w:val="0"/>
                                      <w:marTop w:val="0"/>
                                      <w:marBottom w:val="0"/>
                                      <w:divBdr>
                                        <w:top w:val="single" w:sz="2" w:space="0" w:color="E3E3E3"/>
                                        <w:left w:val="single" w:sz="2" w:space="0" w:color="E3E3E3"/>
                                        <w:bottom w:val="single" w:sz="2" w:space="0" w:color="E3E3E3"/>
                                        <w:right w:val="single" w:sz="2" w:space="0" w:color="E3E3E3"/>
                                      </w:divBdr>
                                      <w:divsChild>
                                        <w:div w:id="887228289">
                                          <w:marLeft w:val="0"/>
                                          <w:marRight w:val="0"/>
                                          <w:marTop w:val="0"/>
                                          <w:marBottom w:val="0"/>
                                          <w:divBdr>
                                            <w:top w:val="single" w:sz="2" w:space="0" w:color="E3E3E3"/>
                                            <w:left w:val="single" w:sz="2" w:space="0" w:color="E3E3E3"/>
                                            <w:bottom w:val="single" w:sz="2" w:space="0" w:color="E3E3E3"/>
                                            <w:right w:val="single" w:sz="2" w:space="0" w:color="E3E3E3"/>
                                          </w:divBdr>
                                          <w:divsChild>
                                            <w:div w:id="587428646">
                                              <w:marLeft w:val="0"/>
                                              <w:marRight w:val="0"/>
                                              <w:marTop w:val="0"/>
                                              <w:marBottom w:val="0"/>
                                              <w:divBdr>
                                                <w:top w:val="single" w:sz="2" w:space="0" w:color="E3E3E3"/>
                                                <w:left w:val="single" w:sz="2" w:space="0" w:color="E3E3E3"/>
                                                <w:bottom w:val="single" w:sz="2" w:space="0" w:color="E3E3E3"/>
                                                <w:right w:val="single" w:sz="2" w:space="0" w:color="E3E3E3"/>
                                              </w:divBdr>
                                              <w:divsChild>
                                                <w:div w:id="238953615">
                                                  <w:marLeft w:val="0"/>
                                                  <w:marRight w:val="0"/>
                                                  <w:marTop w:val="0"/>
                                                  <w:marBottom w:val="0"/>
                                                  <w:divBdr>
                                                    <w:top w:val="single" w:sz="2" w:space="0" w:color="E3E3E3"/>
                                                    <w:left w:val="single" w:sz="2" w:space="0" w:color="E3E3E3"/>
                                                    <w:bottom w:val="single" w:sz="2" w:space="0" w:color="E3E3E3"/>
                                                    <w:right w:val="single" w:sz="2" w:space="0" w:color="E3E3E3"/>
                                                  </w:divBdr>
                                                  <w:divsChild>
                                                    <w:div w:id="2032367745">
                                                      <w:marLeft w:val="0"/>
                                                      <w:marRight w:val="0"/>
                                                      <w:marTop w:val="0"/>
                                                      <w:marBottom w:val="0"/>
                                                      <w:divBdr>
                                                        <w:top w:val="single" w:sz="2" w:space="0" w:color="E3E3E3"/>
                                                        <w:left w:val="single" w:sz="2" w:space="0" w:color="E3E3E3"/>
                                                        <w:bottom w:val="single" w:sz="2" w:space="0" w:color="E3E3E3"/>
                                                        <w:right w:val="single" w:sz="2" w:space="0" w:color="E3E3E3"/>
                                                      </w:divBdr>
                                                      <w:divsChild>
                                                        <w:div w:id="1292785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30448618">
          <w:marLeft w:val="0"/>
          <w:marRight w:val="0"/>
          <w:marTop w:val="0"/>
          <w:marBottom w:val="0"/>
          <w:divBdr>
            <w:top w:val="none" w:sz="0" w:space="0" w:color="auto"/>
            <w:left w:val="none" w:sz="0" w:space="0" w:color="auto"/>
            <w:bottom w:val="none" w:sz="0" w:space="0" w:color="auto"/>
            <w:right w:val="none" w:sz="0" w:space="0" w:color="auto"/>
          </w:divBdr>
        </w:div>
      </w:divsChild>
    </w:div>
    <w:div w:id="478692932">
      <w:bodyDiv w:val="1"/>
      <w:marLeft w:val="0"/>
      <w:marRight w:val="0"/>
      <w:marTop w:val="0"/>
      <w:marBottom w:val="0"/>
      <w:divBdr>
        <w:top w:val="none" w:sz="0" w:space="0" w:color="auto"/>
        <w:left w:val="none" w:sz="0" w:space="0" w:color="auto"/>
        <w:bottom w:val="none" w:sz="0" w:space="0" w:color="auto"/>
        <w:right w:val="none" w:sz="0" w:space="0" w:color="auto"/>
      </w:divBdr>
    </w:div>
    <w:div w:id="503665420">
      <w:bodyDiv w:val="1"/>
      <w:marLeft w:val="0"/>
      <w:marRight w:val="0"/>
      <w:marTop w:val="0"/>
      <w:marBottom w:val="0"/>
      <w:divBdr>
        <w:top w:val="none" w:sz="0" w:space="0" w:color="auto"/>
        <w:left w:val="none" w:sz="0" w:space="0" w:color="auto"/>
        <w:bottom w:val="none" w:sz="0" w:space="0" w:color="auto"/>
        <w:right w:val="none" w:sz="0" w:space="0" w:color="auto"/>
      </w:divBdr>
      <w:divsChild>
        <w:div w:id="1302728226">
          <w:marLeft w:val="0"/>
          <w:marRight w:val="0"/>
          <w:marTop w:val="0"/>
          <w:marBottom w:val="0"/>
          <w:divBdr>
            <w:top w:val="single" w:sz="2" w:space="0" w:color="E3E3E3"/>
            <w:left w:val="single" w:sz="2" w:space="0" w:color="E3E3E3"/>
            <w:bottom w:val="single" w:sz="2" w:space="0" w:color="E3E3E3"/>
            <w:right w:val="single" w:sz="2" w:space="0" w:color="E3E3E3"/>
          </w:divBdr>
          <w:divsChild>
            <w:div w:id="1220289017">
              <w:marLeft w:val="0"/>
              <w:marRight w:val="0"/>
              <w:marTop w:val="0"/>
              <w:marBottom w:val="0"/>
              <w:divBdr>
                <w:top w:val="single" w:sz="2" w:space="0" w:color="E3E3E3"/>
                <w:left w:val="single" w:sz="2" w:space="0" w:color="E3E3E3"/>
                <w:bottom w:val="single" w:sz="2" w:space="0" w:color="E3E3E3"/>
                <w:right w:val="single" w:sz="2" w:space="0" w:color="E3E3E3"/>
              </w:divBdr>
              <w:divsChild>
                <w:div w:id="1728070379">
                  <w:marLeft w:val="0"/>
                  <w:marRight w:val="0"/>
                  <w:marTop w:val="0"/>
                  <w:marBottom w:val="0"/>
                  <w:divBdr>
                    <w:top w:val="single" w:sz="2" w:space="0" w:color="E3E3E3"/>
                    <w:left w:val="single" w:sz="2" w:space="0" w:color="E3E3E3"/>
                    <w:bottom w:val="single" w:sz="2" w:space="0" w:color="E3E3E3"/>
                    <w:right w:val="single" w:sz="2" w:space="0" w:color="E3E3E3"/>
                  </w:divBdr>
                  <w:divsChild>
                    <w:div w:id="1095443461">
                      <w:marLeft w:val="0"/>
                      <w:marRight w:val="0"/>
                      <w:marTop w:val="0"/>
                      <w:marBottom w:val="0"/>
                      <w:divBdr>
                        <w:top w:val="single" w:sz="2" w:space="0" w:color="E3E3E3"/>
                        <w:left w:val="single" w:sz="2" w:space="0" w:color="E3E3E3"/>
                        <w:bottom w:val="single" w:sz="2" w:space="0" w:color="E3E3E3"/>
                        <w:right w:val="single" w:sz="2" w:space="0" w:color="E3E3E3"/>
                      </w:divBdr>
                      <w:divsChild>
                        <w:div w:id="450324776">
                          <w:marLeft w:val="0"/>
                          <w:marRight w:val="0"/>
                          <w:marTop w:val="0"/>
                          <w:marBottom w:val="0"/>
                          <w:divBdr>
                            <w:top w:val="single" w:sz="2" w:space="0" w:color="E3E3E3"/>
                            <w:left w:val="single" w:sz="2" w:space="0" w:color="E3E3E3"/>
                            <w:bottom w:val="single" w:sz="2" w:space="0" w:color="E3E3E3"/>
                            <w:right w:val="single" w:sz="2" w:space="0" w:color="E3E3E3"/>
                          </w:divBdr>
                          <w:divsChild>
                            <w:div w:id="1132165870">
                              <w:marLeft w:val="0"/>
                              <w:marRight w:val="0"/>
                              <w:marTop w:val="0"/>
                              <w:marBottom w:val="0"/>
                              <w:divBdr>
                                <w:top w:val="single" w:sz="2" w:space="0" w:color="E3E3E3"/>
                                <w:left w:val="single" w:sz="2" w:space="0" w:color="E3E3E3"/>
                                <w:bottom w:val="single" w:sz="2" w:space="0" w:color="E3E3E3"/>
                                <w:right w:val="single" w:sz="2" w:space="0" w:color="E3E3E3"/>
                              </w:divBdr>
                              <w:divsChild>
                                <w:div w:id="1420328500">
                                  <w:marLeft w:val="0"/>
                                  <w:marRight w:val="0"/>
                                  <w:marTop w:val="100"/>
                                  <w:marBottom w:val="100"/>
                                  <w:divBdr>
                                    <w:top w:val="single" w:sz="2" w:space="0" w:color="E3E3E3"/>
                                    <w:left w:val="single" w:sz="2" w:space="0" w:color="E3E3E3"/>
                                    <w:bottom w:val="single" w:sz="2" w:space="0" w:color="E3E3E3"/>
                                    <w:right w:val="single" w:sz="2" w:space="0" w:color="E3E3E3"/>
                                  </w:divBdr>
                                  <w:divsChild>
                                    <w:div w:id="816529488">
                                      <w:marLeft w:val="0"/>
                                      <w:marRight w:val="0"/>
                                      <w:marTop w:val="0"/>
                                      <w:marBottom w:val="0"/>
                                      <w:divBdr>
                                        <w:top w:val="single" w:sz="2" w:space="0" w:color="E3E3E3"/>
                                        <w:left w:val="single" w:sz="2" w:space="0" w:color="E3E3E3"/>
                                        <w:bottom w:val="single" w:sz="2" w:space="0" w:color="E3E3E3"/>
                                        <w:right w:val="single" w:sz="2" w:space="0" w:color="E3E3E3"/>
                                      </w:divBdr>
                                      <w:divsChild>
                                        <w:div w:id="199168292">
                                          <w:marLeft w:val="0"/>
                                          <w:marRight w:val="0"/>
                                          <w:marTop w:val="0"/>
                                          <w:marBottom w:val="0"/>
                                          <w:divBdr>
                                            <w:top w:val="single" w:sz="2" w:space="0" w:color="E3E3E3"/>
                                            <w:left w:val="single" w:sz="2" w:space="0" w:color="E3E3E3"/>
                                            <w:bottom w:val="single" w:sz="2" w:space="0" w:color="E3E3E3"/>
                                            <w:right w:val="single" w:sz="2" w:space="0" w:color="E3E3E3"/>
                                          </w:divBdr>
                                          <w:divsChild>
                                            <w:div w:id="282730679">
                                              <w:marLeft w:val="0"/>
                                              <w:marRight w:val="0"/>
                                              <w:marTop w:val="0"/>
                                              <w:marBottom w:val="0"/>
                                              <w:divBdr>
                                                <w:top w:val="single" w:sz="2" w:space="0" w:color="E3E3E3"/>
                                                <w:left w:val="single" w:sz="2" w:space="0" w:color="E3E3E3"/>
                                                <w:bottom w:val="single" w:sz="2" w:space="0" w:color="E3E3E3"/>
                                                <w:right w:val="single" w:sz="2" w:space="0" w:color="E3E3E3"/>
                                              </w:divBdr>
                                              <w:divsChild>
                                                <w:div w:id="2093702521">
                                                  <w:marLeft w:val="0"/>
                                                  <w:marRight w:val="0"/>
                                                  <w:marTop w:val="0"/>
                                                  <w:marBottom w:val="0"/>
                                                  <w:divBdr>
                                                    <w:top w:val="single" w:sz="2" w:space="0" w:color="E3E3E3"/>
                                                    <w:left w:val="single" w:sz="2" w:space="0" w:color="E3E3E3"/>
                                                    <w:bottom w:val="single" w:sz="2" w:space="0" w:color="E3E3E3"/>
                                                    <w:right w:val="single" w:sz="2" w:space="0" w:color="E3E3E3"/>
                                                  </w:divBdr>
                                                  <w:divsChild>
                                                    <w:div w:id="1235775586">
                                                      <w:marLeft w:val="0"/>
                                                      <w:marRight w:val="0"/>
                                                      <w:marTop w:val="0"/>
                                                      <w:marBottom w:val="0"/>
                                                      <w:divBdr>
                                                        <w:top w:val="single" w:sz="2" w:space="0" w:color="E3E3E3"/>
                                                        <w:left w:val="single" w:sz="2" w:space="0" w:color="E3E3E3"/>
                                                        <w:bottom w:val="single" w:sz="2" w:space="0" w:color="E3E3E3"/>
                                                        <w:right w:val="single" w:sz="2" w:space="0" w:color="E3E3E3"/>
                                                      </w:divBdr>
                                                      <w:divsChild>
                                                        <w:div w:id="455368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48559990">
          <w:marLeft w:val="0"/>
          <w:marRight w:val="0"/>
          <w:marTop w:val="0"/>
          <w:marBottom w:val="0"/>
          <w:divBdr>
            <w:top w:val="none" w:sz="0" w:space="0" w:color="auto"/>
            <w:left w:val="none" w:sz="0" w:space="0" w:color="auto"/>
            <w:bottom w:val="none" w:sz="0" w:space="0" w:color="auto"/>
            <w:right w:val="none" w:sz="0" w:space="0" w:color="auto"/>
          </w:divBdr>
        </w:div>
      </w:divsChild>
    </w:div>
    <w:div w:id="764227162">
      <w:bodyDiv w:val="1"/>
      <w:marLeft w:val="0"/>
      <w:marRight w:val="0"/>
      <w:marTop w:val="0"/>
      <w:marBottom w:val="0"/>
      <w:divBdr>
        <w:top w:val="none" w:sz="0" w:space="0" w:color="auto"/>
        <w:left w:val="none" w:sz="0" w:space="0" w:color="auto"/>
        <w:bottom w:val="none" w:sz="0" w:space="0" w:color="auto"/>
        <w:right w:val="none" w:sz="0" w:space="0" w:color="auto"/>
      </w:divBdr>
    </w:div>
    <w:div w:id="1415738171">
      <w:bodyDiv w:val="1"/>
      <w:marLeft w:val="0"/>
      <w:marRight w:val="0"/>
      <w:marTop w:val="0"/>
      <w:marBottom w:val="0"/>
      <w:divBdr>
        <w:top w:val="none" w:sz="0" w:space="0" w:color="auto"/>
        <w:left w:val="none" w:sz="0" w:space="0" w:color="auto"/>
        <w:bottom w:val="none" w:sz="0" w:space="0" w:color="auto"/>
        <w:right w:val="none" w:sz="0" w:space="0" w:color="auto"/>
      </w:divBdr>
    </w:div>
    <w:div w:id="1436512829">
      <w:bodyDiv w:val="1"/>
      <w:marLeft w:val="0"/>
      <w:marRight w:val="0"/>
      <w:marTop w:val="0"/>
      <w:marBottom w:val="0"/>
      <w:divBdr>
        <w:top w:val="none" w:sz="0" w:space="0" w:color="auto"/>
        <w:left w:val="none" w:sz="0" w:space="0" w:color="auto"/>
        <w:bottom w:val="none" w:sz="0" w:space="0" w:color="auto"/>
        <w:right w:val="none" w:sz="0" w:space="0" w:color="auto"/>
      </w:divBdr>
    </w:div>
    <w:div w:id="1619145626">
      <w:bodyDiv w:val="1"/>
      <w:marLeft w:val="0"/>
      <w:marRight w:val="0"/>
      <w:marTop w:val="0"/>
      <w:marBottom w:val="0"/>
      <w:divBdr>
        <w:top w:val="none" w:sz="0" w:space="0" w:color="auto"/>
        <w:left w:val="none" w:sz="0" w:space="0" w:color="auto"/>
        <w:bottom w:val="none" w:sz="0" w:space="0" w:color="auto"/>
        <w:right w:val="none" w:sz="0" w:space="0" w:color="auto"/>
      </w:divBdr>
    </w:div>
    <w:div w:id="1650090670">
      <w:bodyDiv w:val="1"/>
      <w:marLeft w:val="0"/>
      <w:marRight w:val="0"/>
      <w:marTop w:val="0"/>
      <w:marBottom w:val="0"/>
      <w:divBdr>
        <w:top w:val="none" w:sz="0" w:space="0" w:color="auto"/>
        <w:left w:val="none" w:sz="0" w:space="0" w:color="auto"/>
        <w:bottom w:val="none" w:sz="0" w:space="0" w:color="auto"/>
        <w:right w:val="none" w:sz="0" w:space="0" w:color="auto"/>
      </w:divBdr>
    </w:div>
    <w:div w:id="1745444316">
      <w:bodyDiv w:val="1"/>
      <w:marLeft w:val="0"/>
      <w:marRight w:val="0"/>
      <w:marTop w:val="0"/>
      <w:marBottom w:val="0"/>
      <w:divBdr>
        <w:top w:val="none" w:sz="0" w:space="0" w:color="auto"/>
        <w:left w:val="none" w:sz="0" w:space="0" w:color="auto"/>
        <w:bottom w:val="none" w:sz="0" w:space="0" w:color="auto"/>
        <w:right w:val="none" w:sz="0" w:space="0" w:color="auto"/>
      </w:divBdr>
      <w:divsChild>
        <w:div w:id="1645426261">
          <w:marLeft w:val="0"/>
          <w:marRight w:val="0"/>
          <w:marTop w:val="0"/>
          <w:marBottom w:val="0"/>
          <w:divBdr>
            <w:top w:val="none" w:sz="0" w:space="0" w:color="auto"/>
            <w:left w:val="none" w:sz="0" w:space="0" w:color="auto"/>
            <w:bottom w:val="none" w:sz="0" w:space="0" w:color="auto"/>
            <w:right w:val="none" w:sz="0" w:space="0" w:color="auto"/>
          </w:divBdr>
        </w:div>
      </w:divsChild>
    </w:div>
    <w:div w:id="1770463240">
      <w:bodyDiv w:val="1"/>
      <w:marLeft w:val="0"/>
      <w:marRight w:val="0"/>
      <w:marTop w:val="0"/>
      <w:marBottom w:val="0"/>
      <w:divBdr>
        <w:top w:val="none" w:sz="0" w:space="0" w:color="auto"/>
        <w:left w:val="none" w:sz="0" w:space="0" w:color="auto"/>
        <w:bottom w:val="none" w:sz="0" w:space="0" w:color="auto"/>
        <w:right w:val="none" w:sz="0" w:space="0" w:color="auto"/>
      </w:divBdr>
    </w:div>
    <w:div w:id="1845894128">
      <w:bodyDiv w:val="1"/>
      <w:marLeft w:val="0"/>
      <w:marRight w:val="0"/>
      <w:marTop w:val="0"/>
      <w:marBottom w:val="0"/>
      <w:divBdr>
        <w:top w:val="none" w:sz="0" w:space="0" w:color="auto"/>
        <w:left w:val="none" w:sz="0" w:space="0" w:color="auto"/>
        <w:bottom w:val="none" w:sz="0" w:space="0" w:color="auto"/>
        <w:right w:val="none" w:sz="0" w:space="0" w:color="auto"/>
      </w:divBdr>
      <w:divsChild>
        <w:div w:id="1192105947">
          <w:marLeft w:val="0"/>
          <w:marRight w:val="0"/>
          <w:marTop w:val="0"/>
          <w:marBottom w:val="0"/>
          <w:divBdr>
            <w:top w:val="single" w:sz="2" w:space="0" w:color="E3E3E3"/>
            <w:left w:val="single" w:sz="2" w:space="0" w:color="E3E3E3"/>
            <w:bottom w:val="single" w:sz="2" w:space="0" w:color="E3E3E3"/>
            <w:right w:val="single" w:sz="2" w:space="0" w:color="E3E3E3"/>
          </w:divBdr>
          <w:divsChild>
            <w:div w:id="93944018">
              <w:marLeft w:val="0"/>
              <w:marRight w:val="0"/>
              <w:marTop w:val="0"/>
              <w:marBottom w:val="0"/>
              <w:divBdr>
                <w:top w:val="single" w:sz="2" w:space="0" w:color="E3E3E3"/>
                <w:left w:val="single" w:sz="2" w:space="0" w:color="E3E3E3"/>
                <w:bottom w:val="single" w:sz="2" w:space="0" w:color="E3E3E3"/>
                <w:right w:val="single" w:sz="2" w:space="0" w:color="E3E3E3"/>
              </w:divBdr>
              <w:divsChild>
                <w:div w:id="2038191120">
                  <w:marLeft w:val="0"/>
                  <w:marRight w:val="0"/>
                  <w:marTop w:val="0"/>
                  <w:marBottom w:val="0"/>
                  <w:divBdr>
                    <w:top w:val="single" w:sz="2" w:space="0" w:color="E3E3E3"/>
                    <w:left w:val="single" w:sz="2" w:space="0" w:color="E3E3E3"/>
                    <w:bottom w:val="single" w:sz="2" w:space="0" w:color="E3E3E3"/>
                    <w:right w:val="single" w:sz="2" w:space="0" w:color="E3E3E3"/>
                  </w:divBdr>
                  <w:divsChild>
                    <w:div w:id="257836043">
                      <w:marLeft w:val="0"/>
                      <w:marRight w:val="0"/>
                      <w:marTop w:val="0"/>
                      <w:marBottom w:val="0"/>
                      <w:divBdr>
                        <w:top w:val="single" w:sz="2" w:space="0" w:color="E3E3E3"/>
                        <w:left w:val="single" w:sz="2" w:space="0" w:color="E3E3E3"/>
                        <w:bottom w:val="single" w:sz="2" w:space="0" w:color="E3E3E3"/>
                        <w:right w:val="single" w:sz="2" w:space="0" w:color="E3E3E3"/>
                      </w:divBdr>
                      <w:divsChild>
                        <w:div w:id="1972593941">
                          <w:marLeft w:val="0"/>
                          <w:marRight w:val="0"/>
                          <w:marTop w:val="0"/>
                          <w:marBottom w:val="0"/>
                          <w:divBdr>
                            <w:top w:val="single" w:sz="2" w:space="0" w:color="E3E3E3"/>
                            <w:left w:val="single" w:sz="2" w:space="0" w:color="E3E3E3"/>
                            <w:bottom w:val="single" w:sz="2" w:space="0" w:color="E3E3E3"/>
                            <w:right w:val="single" w:sz="2" w:space="0" w:color="E3E3E3"/>
                          </w:divBdr>
                          <w:divsChild>
                            <w:div w:id="1185170570">
                              <w:marLeft w:val="0"/>
                              <w:marRight w:val="0"/>
                              <w:marTop w:val="0"/>
                              <w:marBottom w:val="0"/>
                              <w:divBdr>
                                <w:top w:val="single" w:sz="2" w:space="0" w:color="E3E3E3"/>
                                <w:left w:val="single" w:sz="2" w:space="0" w:color="E3E3E3"/>
                                <w:bottom w:val="single" w:sz="2" w:space="0" w:color="E3E3E3"/>
                                <w:right w:val="single" w:sz="2" w:space="0" w:color="E3E3E3"/>
                              </w:divBdr>
                              <w:divsChild>
                                <w:div w:id="1572082478">
                                  <w:marLeft w:val="0"/>
                                  <w:marRight w:val="0"/>
                                  <w:marTop w:val="100"/>
                                  <w:marBottom w:val="100"/>
                                  <w:divBdr>
                                    <w:top w:val="single" w:sz="2" w:space="0" w:color="E3E3E3"/>
                                    <w:left w:val="single" w:sz="2" w:space="0" w:color="E3E3E3"/>
                                    <w:bottom w:val="single" w:sz="2" w:space="0" w:color="E3E3E3"/>
                                    <w:right w:val="single" w:sz="2" w:space="0" w:color="E3E3E3"/>
                                  </w:divBdr>
                                  <w:divsChild>
                                    <w:div w:id="2013752196">
                                      <w:marLeft w:val="0"/>
                                      <w:marRight w:val="0"/>
                                      <w:marTop w:val="0"/>
                                      <w:marBottom w:val="0"/>
                                      <w:divBdr>
                                        <w:top w:val="single" w:sz="2" w:space="0" w:color="E3E3E3"/>
                                        <w:left w:val="single" w:sz="2" w:space="0" w:color="E3E3E3"/>
                                        <w:bottom w:val="single" w:sz="2" w:space="0" w:color="E3E3E3"/>
                                        <w:right w:val="single" w:sz="2" w:space="0" w:color="E3E3E3"/>
                                      </w:divBdr>
                                      <w:divsChild>
                                        <w:div w:id="1903832033">
                                          <w:marLeft w:val="0"/>
                                          <w:marRight w:val="0"/>
                                          <w:marTop w:val="0"/>
                                          <w:marBottom w:val="0"/>
                                          <w:divBdr>
                                            <w:top w:val="single" w:sz="2" w:space="0" w:color="E3E3E3"/>
                                            <w:left w:val="single" w:sz="2" w:space="0" w:color="E3E3E3"/>
                                            <w:bottom w:val="single" w:sz="2" w:space="0" w:color="E3E3E3"/>
                                            <w:right w:val="single" w:sz="2" w:space="0" w:color="E3E3E3"/>
                                          </w:divBdr>
                                          <w:divsChild>
                                            <w:div w:id="781454697">
                                              <w:marLeft w:val="0"/>
                                              <w:marRight w:val="0"/>
                                              <w:marTop w:val="0"/>
                                              <w:marBottom w:val="0"/>
                                              <w:divBdr>
                                                <w:top w:val="single" w:sz="2" w:space="0" w:color="E3E3E3"/>
                                                <w:left w:val="single" w:sz="2" w:space="0" w:color="E3E3E3"/>
                                                <w:bottom w:val="single" w:sz="2" w:space="0" w:color="E3E3E3"/>
                                                <w:right w:val="single" w:sz="2" w:space="0" w:color="E3E3E3"/>
                                              </w:divBdr>
                                              <w:divsChild>
                                                <w:div w:id="1294019708">
                                                  <w:marLeft w:val="0"/>
                                                  <w:marRight w:val="0"/>
                                                  <w:marTop w:val="0"/>
                                                  <w:marBottom w:val="0"/>
                                                  <w:divBdr>
                                                    <w:top w:val="single" w:sz="2" w:space="0" w:color="E3E3E3"/>
                                                    <w:left w:val="single" w:sz="2" w:space="0" w:color="E3E3E3"/>
                                                    <w:bottom w:val="single" w:sz="2" w:space="0" w:color="E3E3E3"/>
                                                    <w:right w:val="single" w:sz="2" w:space="0" w:color="E3E3E3"/>
                                                  </w:divBdr>
                                                  <w:divsChild>
                                                    <w:div w:id="2106072448">
                                                      <w:marLeft w:val="0"/>
                                                      <w:marRight w:val="0"/>
                                                      <w:marTop w:val="0"/>
                                                      <w:marBottom w:val="0"/>
                                                      <w:divBdr>
                                                        <w:top w:val="single" w:sz="2" w:space="0" w:color="E3E3E3"/>
                                                        <w:left w:val="single" w:sz="2" w:space="0" w:color="E3E3E3"/>
                                                        <w:bottom w:val="single" w:sz="2" w:space="0" w:color="E3E3E3"/>
                                                        <w:right w:val="single" w:sz="2" w:space="0" w:color="E3E3E3"/>
                                                      </w:divBdr>
                                                      <w:divsChild>
                                                        <w:div w:id="1806003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25410221">
          <w:marLeft w:val="0"/>
          <w:marRight w:val="0"/>
          <w:marTop w:val="0"/>
          <w:marBottom w:val="0"/>
          <w:divBdr>
            <w:top w:val="none" w:sz="0" w:space="0" w:color="auto"/>
            <w:left w:val="none" w:sz="0" w:space="0" w:color="auto"/>
            <w:bottom w:val="none" w:sz="0" w:space="0" w:color="auto"/>
            <w:right w:val="none" w:sz="0" w:space="0" w:color="auto"/>
          </w:divBdr>
        </w:div>
      </w:divsChild>
    </w:div>
    <w:div w:id="1880703236">
      <w:bodyDiv w:val="1"/>
      <w:marLeft w:val="0"/>
      <w:marRight w:val="0"/>
      <w:marTop w:val="0"/>
      <w:marBottom w:val="0"/>
      <w:divBdr>
        <w:top w:val="none" w:sz="0" w:space="0" w:color="auto"/>
        <w:left w:val="none" w:sz="0" w:space="0" w:color="auto"/>
        <w:bottom w:val="none" w:sz="0" w:space="0" w:color="auto"/>
        <w:right w:val="none" w:sz="0" w:space="0" w:color="auto"/>
      </w:divBdr>
      <w:divsChild>
        <w:div w:id="38097685">
          <w:marLeft w:val="0"/>
          <w:marRight w:val="0"/>
          <w:marTop w:val="0"/>
          <w:marBottom w:val="0"/>
          <w:divBdr>
            <w:top w:val="none" w:sz="0" w:space="0" w:color="auto"/>
            <w:left w:val="none" w:sz="0" w:space="0" w:color="auto"/>
            <w:bottom w:val="none" w:sz="0" w:space="0" w:color="auto"/>
            <w:right w:val="none" w:sz="0" w:space="0" w:color="auto"/>
          </w:divBdr>
        </w:div>
      </w:divsChild>
    </w:div>
    <w:div w:id="2116363841">
      <w:bodyDiv w:val="1"/>
      <w:marLeft w:val="0"/>
      <w:marRight w:val="0"/>
      <w:marTop w:val="0"/>
      <w:marBottom w:val="0"/>
      <w:divBdr>
        <w:top w:val="none" w:sz="0" w:space="0" w:color="auto"/>
        <w:left w:val="none" w:sz="0" w:space="0" w:color="auto"/>
        <w:bottom w:val="none" w:sz="0" w:space="0" w:color="auto"/>
        <w:right w:val="none" w:sz="0" w:space="0" w:color="auto"/>
      </w:divBdr>
      <w:divsChild>
        <w:div w:id="2031762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valuation/net-present-value-np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financeinstitute.com/resources/financial-modeling/payback-perio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ws.amazon.com/about-aw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1464B-B0D4-48A8-A2B4-F17075AC8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5729</Words>
  <Characters>32658</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MEET PANDYA</dc:creator>
  <cp:keywords/>
  <dc:description/>
  <cp:lastModifiedBy>Varunkumar Bharatbhai Patel (2320886)</cp:lastModifiedBy>
  <cp:revision>21</cp:revision>
  <dcterms:created xsi:type="dcterms:W3CDTF">2024-04-18T14:28:00Z</dcterms:created>
  <dcterms:modified xsi:type="dcterms:W3CDTF">2024-04-24T08:53:00Z</dcterms:modified>
</cp:coreProperties>
</file>