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B73EEF" w14:textId="77777777" w:rsidR="00DF640D" w:rsidRPr="000430DC" w:rsidRDefault="00DF640D" w:rsidP="00DF640D">
      <w:pPr>
        <w:spacing w:line="360" w:lineRule="auto"/>
        <w:jc w:val="center"/>
        <w:rPr>
          <w:rFonts w:ascii="Arial" w:hAnsi="Arial" w:cs="Arial"/>
          <w:b/>
          <w:lang w:val="en-GB"/>
        </w:rPr>
      </w:pPr>
      <w:r w:rsidRPr="000430DC">
        <w:rPr>
          <w:rFonts w:ascii="Arial" w:hAnsi="Arial" w:cs="Arial"/>
          <w:noProof/>
        </w:rPr>
        <w:drawing>
          <wp:inline distT="0" distB="0" distL="0" distR="0" wp14:anchorId="33D08298" wp14:editId="612ED117">
            <wp:extent cx="2491740" cy="975360"/>
            <wp:effectExtent l="0" t="0" r="381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491740" cy="975360"/>
                    </a:xfrm>
                    <a:prstGeom prst="rect">
                      <a:avLst/>
                    </a:prstGeom>
                    <a:noFill/>
                    <a:ln>
                      <a:noFill/>
                    </a:ln>
                  </pic:spPr>
                </pic:pic>
              </a:graphicData>
            </a:graphic>
          </wp:inline>
        </w:drawing>
      </w:r>
    </w:p>
    <w:p w14:paraId="4CF6402C" w14:textId="77777777" w:rsidR="00DF640D" w:rsidRPr="00C81333" w:rsidRDefault="00DF640D" w:rsidP="00DF640D">
      <w:pPr>
        <w:spacing w:line="360" w:lineRule="auto"/>
        <w:jc w:val="center"/>
        <w:rPr>
          <w:rFonts w:ascii="Arial" w:hAnsi="Arial" w:cs="Arial"/>
          <w:b/>
          <w:lang w:val="en-GB"/>
        </w:rPr>
      </w:pPr>
      <w:r w:rsidRPr="00C81333">
        <w:rPr>
          <w:rFonts w:ascii="Arial" w:hAnsi="Arial" w:cs="Arial"/>
          <w:b/>
          <w:lang w:val="en-GB"/>
        </w:rPr>
        <w:t>Prepared By</w:t>
      </w:r>
    </w:p>
    <w:p w14:paraId="1E08C0D0" w14:textId="77777777" w:rsidR="00DF640D" w:rsidRPr="00EF7286" w:rsidRDefault="00DF640D" w:rsidP="00DF640D">
      <w:pPr>
        <w:spacing w:line="360" w:lineRule="auto"/>
        <w:jc w:val="center"/>
        <w:rPr>
          <w:rFonts w:ascii="Arial" w:hAnsi="Arial" w:cs="Arial"/>
          <w:b/>
          <w:lang w:val="en-GB"/>
        </w:rPr>
      </w:pPr>
      <w:r w:rsidRPr="00EF7286">
        <w:rPr>
          <w:rFonts w:ascii="Arial" w:hAnsi="Arial" w:cs="Arial"/>
          <w:b/>
          <w:lang w:val="en-GB"/>
        </w:rPr>
        <w:t>Fazle Rabby Nahi</w:t>
      </w:r>
    </w:p>
    <w:p w14:paraId="50D9A375" w14:textId="77777777" w:rsidR="00DF640D" w:rsidRPr="00C81333" w:rsidRDefault="00DF640D" w:rsidP="00DF640D">
      <w:pPr>
        <w:spacing w:line="360" w:lineRule="auto"/>
        <w:jc w:val="center"/>
        <w:rPr>
          <w:rFonts w:ascii="Arial" w:hAnsi="Arial" w:cs="Arial"/>
          <w:b/>
          <w:lang w:val="en-GB"/>
        </w:rPr>
      </w:pPr>
      <w:r w:rsidRPr="00C81333">
        <w:rPr>
          <w:rFonts w:ascii="Arial" w:hAnsi="Arial" w:cs="Arial"/>
          <w:b/>
          <w:lang w:val="en-GB"/>
        </w:rPr>
        <w:t>Student ID: 2515592</w:t>
      </w:r>
    </w:p>
    <w:p w14:paraId="4860ACAD" w14:textId="77777777" w:rsidR="00DF640D" w:rsidRPr="00C81333" w:rsidRDefault="00DF640D" w:rsidP="00DF640D">
      <w:pPr>
        <w:spacing w:line="360" w:lineRule="auto"/>
        <w:jc w:val="center"/>
        <w:rPr>
          <w:rFonts w:ascii="Arial" w:hAnsi="Arial" w:cs="Arial"/>
          <w:b/>
          <w:bCs/>
          <w:lang w:val="en-GB"/>
        </w:rPr>
      </w:pPr>
    </w:p>
    <w:p w14:paraId="3FCD3546" w14:textId="77777777" w:rsidR="00DF640D" w:rsidRPr="00C81333" w:rsidRDefault="00DF640D" w:rsidP="00DF640D">
      <w:pPr>
        <w:spacing w:line="360" w:lineRule="auto"/>
        <w:jc w:val="center"/>
        <w:rPr>
          <w:rFonts w:ascii="Arial" w:hAnsi="Arial" w:cs="Arial"/>
          <w:b/>
          <w:bCs/>
        </w:rPr>
      </w:pPr>
      <w:r w:rsidRPr="00C81333">
        <w:rPr>
          <w:rFonts w:ascii="Arial" w:hAnsi="Arial" w:cs="Arial"/>
          <w:b/>
          <w:bCs/>
        </w:rPr>
        <w:t>Master of Business Administration</w:t>
      </w:r>
    </w:p>
    <w:p w14:paraId="3E81A2C2" w14:textId="57DA1404" w:rsidR="00DF640D" w:rsidRPr="00C81333" w:rsidRDefault="00DF640D" w:rsidP="00DF640D">
      <w:pPr>
        <w:spacing w:line="360" w:lineRule="auto"/>
        <w:jc w:val="center"/>
        <w:rPr>
          <w:rFonts w:ascii="Arial" w:hAnsi="Arial" w:cs="Arial"/>
          <w:b/>
          <w:bCs/>
          <w:lang w:val="en-GB"/>
        </w:rPr>
      </w:pPr>
      <w:r w:rsidRPr="00C81333">
        <w:rPr>
          <w:rFonts w:ascii="Arial" w:hAnsi="Arial" w:cs="Arial"/>
          <w:b/>
        </w:rPr>
        <w:t>Lecturer Name</w:t>
      </w:r>
      <w:r w:rsidRPr="00C81333">
        <w:rPr>
          <w:rFonts w:ascii="Arial" w:hAnsi="Arial" w:cs="Arial"/>
          <w:b/>
          <w:lang w:val="en-GB"/>
        </w:rPr>
        <w:t xml:space="preserve">: </w:t>
      </w:r>
      <w:r w:rsidRPr="00DF640D">
        <w:rPr>
          <w:rFonts w:ascii="Arial" w:hAnsi="Arial" w:cs="Arial"/>
          <w:b/>
        </w:rPr>
        <w:t>Patrick Yeboah</w:t>
      </w:r>
    </w:p>
    <w:p w14:paraId="0E4DCEA3" w14:textId="19BACAF9" w:rsidR="00DF640D" w:rsidRPr="00C81333" w:rsidRDefault="00DF640D" w:rsidP="00DF640D">
      <w:pPr>
        <w:spacing w:line="360" w:lineRule="auto"/>
        <w:jc w:val="center"/>
        <w:rPr>
          <w:rFonts w:ascii="Arial" w:hAnsi="Arial" w:cs="Arial"/>
          <w:b/>
          <w:bCs/>
          <w:lang w:val="en-GB"/>
        </w:rPr>
      </w:pPr>
      <w:r w:rsidRPr="00C81333">
        <w:rPr>
          <w:rFonts w:ascii="Arial" w:hAnsi="Arial" w:cs="Arial"/>
          <w:b/>
          <w:bCs/>
        </w:rPr>
        <w:t xml:space="preserve">Module: </w:t>
      </w:r>
      <w:r>
        <w:rPr>
          <w:rFonts w:ascii="Arial" w:hAnsi="Arial" w:cs="Arial"/>
          <w:b/>
          <w:bCs/>
        </w:rPr>
        <w:t>Financial Management</w:t>
      </w:r>
    </w:p>
    <w:p w14:paraId="59FCF4BE" w14:textId="170CA635" w:rsidR="00DF640D" w:rsidRPr="00C81333" w:rsidRDefault="00DF640D" w:rsidP="00DF640D">
      <w:pPr>
        <w:spacing w:line="360" w:lineRule="auto"/>
        <w:jc w:val="center"/>
        <w:rPr>
          <w:rFonts w:ascii="Arial" w:hAnsi="Arial" w:cs="Arial"/>
          <w:b/>
          <w:bCs/>
        </w:rPr>
      </w:pPr>
      <w:r w:rsidRPr="00C81333">
        <w:rPr>
          <w:rFonts w:ascii="Arial" w:hAnsi="Arial" w:cs="Arial"/>
          <w:b/>
          <w:bCs/>
          <w:lang w:val="en-GB"/>
        </w:rPr>
        <w:t xml:space="preserve">Module Code: </w:t>
      </w:r>
      <w:r w:rsidRPr="00DF640D">
        <w:rPr>
          <w:rFonts w:ascii="Arial" w:hAnsi="Arial" w:cs="Arial"/>
          <w:b/>
          <w:bCs/>
        </w:rPr>
        <w:t>LCMB7002</w:t>
      </w:r>
    </w:p>
    <w:p w14:paraId="5845F955" w14:textId="77777777" w:rsidR="00DF640D" w:rsidRPr="00C81333" w:rsidRDefault="00DF640D" w:rsidP="00DF640D">
      <w:pPr>
        <w:spacing w:line="360" w:lineRule="auto"/>
        <w:jc w:val="center"/>
        <w:rPr>
          <w:rFonts w:ascii="Arial" w:hAnsi="Arial" w:cs="Arial"/>
          <w:b/>
          <w:lang w:val="en-GB"/>
        </w:rPr>
      </w:pPr>
    </w:p>
    <w:p w14:paraId="0F7B29B1" w14:textId="7EF2F46D" w:rsidR="00DF640D" w:rsidRPr="00C81333" w:rsidRDefault="00DF640D" w:rsidP="00DF640D">
      <w:pPr>
        <w:spacing w:line="360" w:lineRule="auto"/>
        <w:jc w:val="center"/>
        <w:rPr>
          <w:rFonts w:ascii="Arial" w:hAnsi="Arial" w:cs="Arial"/>
          <w:b/>
          <w:lang w:val="en-GB"/>
        </w:rPr>
      </w:pPr>
      <w:r w:rsidRPr="00C81333">
        <w:rPr>
          <w:rFonts w:ascii="Arial" w:hAnsi="Arial" w:cs="Arial"/>
          <w:b/>
        </w:rPr>
        <w:t xml:space="preserve">Assignment Title: </w:t>
      </w:r>
      <w:r w:rsidRPr="00DF640D">
        <w:rPr>
          <w:rFonts w:ascii="Arial" w:hAnsi="Arial" w:cs="Arial"/>
          <w:b/>
        </w:rPr>
        <w:t>Financial Performance and Management</w:t>
      </w:r>
      <w:r>
        <w:rPr>
          <w:rFonts w:ascii="Arial" w:hAnsi="Arial" w:cs="Arial"/>
          <w:b/>
        </w:rPr>
        <w:t>.</w:t>
      </w:r>
    </w:p>
    <w:p w14:paraId="1637D1A7" w14:textId="265A0B74" w:rsidR="00DF640D" w:rsidRPr="00DF640D" w:rsidRDefault="00DF640D" w:rsidP="00DF640D">
      <w:pPr>
        <w:spacing w:line="360" w:lineRule="auto"/>
        <w:jc w:val="center"/>
        <w:rPr>
          <w:rFonts w:ascii="Arial" w:hAnsi="Arial" w:cs="Arial"/>
          <w:b/>
          <w:i/>
          <w:iCs/>
          <w:lang w:val="en-GB"/>
        </w:rPr>
      </w:pPr>
      <w:r w:rsidRPr="00C81333">
        <w:rPr>
          <w:rFonts w:ascii="Arial" w:hAnsi="Arial" w:cs="Arial"/>
          <w:b/>
        </w:rPr>
        <w:t xml:space="preserve">Assignment Topic: </w:t>
      </w:r>
      <w:r w:rsidRPr="00DF640D">
        <w:rPr>
          <w:rFonts w:ascii="Arial" w:hAnsi="Arial" w:cs="Arial"/>
          <w:b/>
          <w:bCs/>
        </w:rPr>
        <w:t xml:space="preserve">Strategic CFO Challenge: Saving a Failing Global Firm </w:t>
      </w:r>
      <w:r w:rsidRPr="00DF640D">
        <w:rPr>
          <w:rFonts w:ascii="Arial" w:hAnsi="Arial" w:cs="Arial"/>
          <w:b/>
          <w:bCs/>
          <w:lang w:val="en-GB"/>
        </w:rPr>
        <w:t>(</w:t>
      </w:r>
      <w:r w:rsidRPr="00DF640D">
        <w:rPr>
          <w:rFonts w:ascii="Arial" w:hAnsi="Arial" w:cs="Arial"/>
          <w:b/>
          <w:bCs/>
        </w:rPr>
        <w:t>General Electronics).</w:t>
      </w:r>
    </w:p>
    <w:p w14:paraId="79650C9B" w14:textId="284EA21B" w:rsidR="00DF640D" w:rsidRPr="00C81333" w:rsidRDefault="00DF640D" w:rsidP="00DF640D">
      <w:pPr>
        <w:spacing w:line="360" w:lineRule="auto"/>
        <w:jc w:val="center"/>
        <w:rPr>
          <w:rFonts w:ascii="Arial" w:hAnsi="Arial" w:cs="Arial"/>
          <w:b/>
          <w:lang w:val="en-GB"/>
        </w:rPr>
      </w:pPr>
      <w:r w:rsidRPr="00C81333">
        <w:rPr>
          <w:rFonts w:ascii="Arial" w:hAnsi="Arial" w:cs="Arial"/>
          <w:b/>
          <w:lang w:val="en-GB"/>
        </w:rPr>
        <w:t xml:space="preserve">Words Count:   </w:t>
      </w:r>
      <w:r w:rsidR="00F65031">
        <w:rPr>
          <w:rFonts w:ascii="Arial" w:hAnsi="Arial" w:cs="Arial"/>
          <w:b/>
          <w:lang w:val="en-GB"/>
        </w:rPr>
        <w:t>5</w:t>
      </w:r>
      <w:r w:rsidR="00B55383">
        <w:rPr>
          <w:rFonts w:ascii="Arial" w:hAnsi="Arial" w:cs="Arial"/>
          <w:b/>
          <w:lang w:val="en-GB"/>
        </w:rPr>
        <w:t>298</w:t>
      </w:r>
      <w:r w:rsidR="00F65031">
        <w:rPr>
          <w:rFonts w:ascii="Arial" w:hAnsi="Arial" w:cs="Arial"/>
          <w:b/>
          <w:lang w:val="en-GB"/>
        </w:rPr>
        <w:t xml:space="preserve"> </w:t>
      </w:r>
      <w:r w:rsidRPr="00C81333">
        <w:rPr>
          <w:rFonts w:ascii="Arial" w:hAnsi="Arial" w:cs="Arial"/>
          <w:b/>
          <w:lang w:val="en-GB"/>
        </w:rPr>
        <w:t>Words</w:t>
      </w:r>
    </w:p>
    <w:p w14:paraId="34A1874E" w14:textId="5E99C73E" w:rsidR="00DF640D" w:rsidRPr="000430DC" w:rsidRDefault="00DF640D" w:rsidP="00DF640D">
      <w:pPr>
        <w:spacing w:line="360" w:lineRule="auto"/>
        <w:jc w:val="center"/>
        <w:rPr>
          <w:rFonts w:ascii="Arial" w:hAnsi="Arial" w:cs="Arial"/>
          <w:bCs/>
          <w:lang w:val="en-GB"/>
        </w:rPr>
      </w:pPr>
      <w:r w:rsidRPr="000430DC">
        <w:rPr>
          <w:rFonts w:ascii="Arial" w:hAnsi="Arial" w:cs="Arial"/>
          <w:b/>
          <w:lang w:val="en-GB"/>
        </w:rPr>
        <w:t>Date of Submission:</w:t>
      </w:r>
      <w:r w:rsidRPr="000430DC">
        <w:rPr>
          <w:rFonts w:ascii="Arial" w:hAnsi="Arial" w:cs="Arial"/>
          <w:bCs/>
          <w:lang w:val="en-GB"/>
        </w:rPr>
        <w:t xml:space="preserve"> </w:t>
      </w:r>
      <w:r>
        <w:rPr>
          <w:rFonts w:ascii="Arial" w:hAnsi="Arial" w:cs="Arial"/>
          <w:bCs/>
          <w:lang w:val="en-GB"/>
        </w:rPr>
        <w:t>24</w:t>
      </w:r>
      <w:r w:rsidRPr="000430DC">
        <w:rPr>
          <w:rFonts w:ascii="Arial" w:hAnsi="Arial" w:cs="Arial"/>
          <w:bCs/>
          <w:vertAlign w:val="superscript"/>
          <w:lang w:val="en-GB"/>
        </w:rPr>
        <w:t>th</w:t>
      </w:r>
      <w:r w:rsidRPr="000430DC">
        <w:rPr>
          <w:rFonts w:ascii="Arial" w:hAnsi="Arial" w:cs="Arial"/>
          <w:bCs/>
          <w:lang w:val="en-GB"/>
        </w:rPr>
        <w:t xml:space="preserve"> November 2025</w:t>
      </w:r>
    </w:p>
    <w:p w14:paraId="6A137C64" w14:textId="5FE21E51" w:rsidR="00DF640D" w:rsidRPr="00EC26B4" w:rsidRDefault="00DF640D" w:rsidP="00DF640D">
      <w:pPr>
        <w:rPr>
          <w:rFonts w:ascii="Arial" w:hAnsi="Arial" w:cs="Arial"/>
        </w:rPr>
      </w:pPr>
      <w:r>
        <w:rPr>
          <w:rFonts w:ascii="Arial" w:hAnsi="Arial" w:cs="Arial"/>
        </w:rPr>
        <w:br w:type="page"/>
      </w:r>
    </w:p>
    <w:sdt>
      <w:sdtPr>
        <w:rPr>
          <w:rFonts w:asciiTheme="minorHAnsi" w:eastAsiaTheme="minorHAnsi" w:hAnsiTheme="minorHAnsi" w:cstheme="minorBidi"/>
          <w:color w:val="auto"/>
          <w:kern w:val="2"/>
          <w:sz w:val="24"/>
          <w:szCs w:val="24"/>
          <w14:ligatures w14:val="standardContextual"/>
        </w:rPr>
        <w:id w:val="515891887"/>
        <w:docPartObj>
          <w:docPartGallery w:val="Table of Contents"/>
          <w:docPartUnique/>
        </w:docPartObj>
      </w:sdtPr>
      <w:sdtEndPr>
        <w:rPr>
          <w:b/>
          <w:bCs/>
          <w:noProof/>
        </w:rPr>
      </w:sdtEndPr>
      <w:sdtContent>
        <w:p w14:paraId="0AC432AC" w14:textId="3B8C45D6" w:rsidR="00302504" w:rsidRDefault="00302504" w:rsidP="0095661E">
          <w:pPr>
            <w:pStyle w:val="TOCHeading"/>
            <w:numPr>
              <w:ilvl w:val="0"/>
              <w:numId w:val="0"/>
            </w:numPr>
            <w:ind w:left="432" w:hanging="432"/>
          </w:pPr>
          <w:r>
            <w:t>Table of Contents</w:t>
          </w:r>
        </w:p>
        <w:p w14:paraId="6C689EF3" w14:textId="729FFA51" w:rsidR="00927281" w:rsidRDefault="00302504">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14811800" w:history="1">
            <w:r w:rsidR="00927281" w:rsidRPr="008A4747">
              <w:rPr>
                <w:rStyle w:val="Hyperlink"/>
                <w:noProof/>
              </w:rPr>
              <w:t>Executive Summary</w:t>
            </w:r>
            <w:r w:rsidR="00927281">
              <w:rPr>
                <w:noProof/>
                <w:webHidden/>
              </w:rPr>
              <w:tab/>
            </w:r>
            <w:r w:rsidR="00927281">
              <w:rPr>
                <w:noProof/>
                <w:webHidden/>
              </w:rPr>
              <w:fldChar w:fldCharType="begin"/>
            </w:r>
            <w:r w:rsidR="00927281">
              <w:rPr>
                <w:noProof/>
                <w:webHidden/>
              </w:rPr>
              <w:instrText xml:space="preserve"> PAGEREF _Toc214811800 \h </w:instrText>
            </w:r>
            <w:r w:rsidR="00927281">
              <w:rPr>
                <w:noProof/>
                <w:webHidden/>
              </w:rPr>
            </w:r>
            <w:r w:rsidR="00927281">
              <w:rPr>
                <w:noProof/>
                <w:webHidden/>
              </w:rPr>
              <w:fldChar w:fldCharType="separate"/>
            </w:r>
            <w:r w:rsidR="00927281">
              <w:rPr>
                <w:noProof/>
                <w:webHidden/>
              </w:rPr>
              <w:t>4</w:t>
            </w:r>
            <w:r w:rsidR="00927281">
              <w:rPr>
                <w:noProof/>
                <w:webHidden/>
              </w:rPr>
              <w:fldChar w:fldCharType="end"/>
            </w:r>
          </w:hyperlink>
        </w:p>
        <w:p w14:paraId="04A6D188" w14:textId="4F865495" w:rsidR="00927281" w:rsidRDefault="00927281">
          <w:pPr>
            <w:pStyle w:val="TOC1"/>
            <w:tabs>
              <w:tab w:val="left" w:pos="480"/>
              <w:tab w:val="right" w:leader="dot" w:pos="9350"/>
            </w:tabs>
            <w:rPr>
              <w:rFonts w:eastAsiaTheme="minorEastAsia"/>
              <w:noProof/>
            </w:rPr>
          </w:pPr>
          <w:hyperlink w:anchor="_Toc214811801" w:history="1">
            <w:r w:rsidRPr="008A4747">
              <w:rPr>
                <w:rStyle w:val="Hyperlink"/>
                <w:noProof/>
              </w:rPr>
              <w:t>1</w:t>
            </w:r>
            <w:r>
              <w:rPr>
                <w:rFonts w:eastAsiaTheme="minorEastAsia"/>
                <w:noProof/>
              </w:rPr>
              <w:tab/>
            </w:r>
            <w:r w:rsidRPr="008A4747">
              <w:rPr>
                <w:rStyle w:val="Hyperlink"/>
                <w:noProof/>
              </w:rPr>
              <w:t>Introduction</w:t>
            </w:r>
            <w:r>
              <w:rPr>
                <w:noProof/>
                <w:webHidden/>
              </w:rPr>
              <w:tab/>
            </w:r>
            <w:r>
              <w:rPr>
                <w:noProof/>
                <w:webHidden/>
              </w:rPr>
              <w:fldChar w:fldCharType="begin"/>
            </w:r>
            <w:r>
              <w:rPr>
                <w:noProof/>
                <w:webHidden/>
              </w:rPr>
              <w:instrText xml:space="preserve"> PAGEREF _Toc214811801 \h </w:instrText>
            </w:r>
            <w:r>
              <w:rPr>
                <w:noProof/>
                <w:webHidden/>
              </w:rPr>
            </w:r>
            <w:r>
              <w:rPr>
                <w:noProof/>
                <w:webHidden/>
              </w:rPr>
              <w:fldChar w:fldCharType="separate"/>
            </w:r>
            <w:r>
              <w:rPr>
                <w:noProof/>
                <w:webHidden/>
              </w:rPr>
              <w:t>5</w:t>
            </w:r>
            <w:r>
              <w:rPr>
                <w:noProof/>
                <w:webHidden/>
              </w:rPr>
              <w:fldChar w:fldCharType="end"/>
            </w:r>
          </w:hyperlink>
        </w:p>
        <w:p w14:paraId="0EC10EA0" w14:textId="79203D62" w:rsidR="00927281" w:rsidRDefault="00927281">
          <w:pPr>
            <w:pStyle w:val="TOC2"/>
            <w:tabs>
              <w:tab w:val="left" w:pos="960"/>
              <w:tab w:val="right" w:leader="dot" w:pos="9350"/>
            </w:tabs>
            <w:rPr>
              <w:rFonts w:eastAsiaTheme="minorEastAsia"/>
              <w:noProof/>
            </w:rPr>
          </w:pPr>
          <w:hyperlink w:anchor="_Toc214811802" w:history="1">
            <w:r w:rsidRPr="008A4747">
              <w:rPr>
                <w:rStyle w:val="Hyperlink"/>
                <w:rFonts w:ascii="Arial" w:hAnsi="Arial" w:cs="Arial"/>
                <w:noProof/>
              </w:rPr>
              <w:t>1.1</w:t>
            </w:r>
            <w:r>
              <w:rPr>
                <w:rFonts w:eastAsiaTheme="minorEastAsia"/>
                <w:noProof/>
              </w:rPr>
              <w:tab/>
            </w:r>
            <w:r w:rsidRPr="008A4747">
              <w:rPr>
                <w:rStyle w:val="Hyperlink"/>
                <w:rFonts w:ascii="Arial" w:hAnsi="Arial" w:cs="Arial"/>
                <w:noProof/>
              </w:rPr>
              <w:t>Summary</w:t>
            </w:r>
            <w:r>
              <w:rPr>
                <w:noProof/>
                <w:webHidden/>
              </w:rPr>
              <w:tab/>
            </w:r>
            <w:r>
              <w:rPr>
                <w:noProof/>
                <w:webHidden/>
              </w:rPr>
              <w:fldChar w:fldCharType="begin"/>
            </w:r>
            <w:r>
              <w:rPr>
                <w:noProof/>
                <w:webHidden/>
              </w:rPr>
              <w:instrText xml:space="preserve"> PAGEREF _Toc214811802 \h </w:instrText>
            </w:r>
            <w:r>
              <w:rPr>
                <w:noProof/>
                <w:webHidden/>
              </w:rPr>
            </w:r>
            <w:r>
              <w:rPr>
                <w:noProof/>
                <w:webHidden/>
              </w:rPr>
              <w:fldChar w:fldCharType="separate"/>
            </w:r>
            <w:r>
              <w:rPr>
                <w:noProof/>
                <w:webHidden/>
              </w:rPr>
              <w:t>5</w:t>
            </w:r>
            <w:r>
              <w:rPr>
                <w:noProof/>
                <w:webHidden/>
              </w:rPr>
              <w:fldChar w:fldCharType="end"/>
            </w:r>
          </w:hyperlink>
        </w:p>
        <w:p w14:paraId="1F5AB6CA" w14:textId="77E6C71A" w:rsidR="00927281" w:rsidRDefault="00927281">
          <w:pPr>
            <w:pStyle w:val="TOC2"/>
            <w:tabs>
              <w:tab w:val="left" w:pos="960"/>
              <w:tab w:val="right" w:leader="dot" w:pos="9350"/>
            </w:tabs>
            <w:rPr>
              <w:rFonts w:eastAsiaTheme="minorEastAsia"/>
              <w:noProof/>
            </w:rPr>
          </w:pPr>
          <w:hyperlink w:anchor="_Toc214811803" w:history="1">
            <w:r w:rsidRPr="008A4747">
              <w:rPr>
                <w:rStyle w:val="Hyperlink"/>
                <w:noProof/>
              </w:rPr>
              <w:t>1.2</w:t>
            </w:r>
            <w:r>
              <w:rPr>
                <w:rFonts w:eastAsiaTheme="minorEastAsia"/>
                <w:noProof/>
              </w:rPr>
              <w:tab/>
            </w:r>
            <w:r w:rsidRPr="008A4747">
              <w:rPr>
                <w:rStyle w:val="Hyperlink"/>
                <w:noProof/>
              </w:rPr>
              <w:t>Proposed Turnaround Strategy</w:t>
            </w:r>
            <w:r>
              <w:rPr>
                <w:noProof/>
                <w:webHidden/>
              </w:rPr>
              <w:tab/>
            </w:r>
            <w:r>
              <w:rPr>
                <w:noProof/>
                <w:webHidden/>
              </w:rPr>
              <w:fldChar w:fldCharType="begin"/>
            </w:r>
            <w:r>
              <w:rPr>
                <w:noProof/>
                <w:webHidden/>
              </w:rPr>
              <w:instrText xml:space="preserve"> PAGEREF _Toc214811803 \h </w:instrText>
            </w:r>
            <w:r>
              <w:rPr>
                <w:noProof/>
                <w:webHidden/>
              </w:rPr>
            </w:r>
            <w:r>
              <w:rPr>
                <w:noProof/>
                <w:webHidden/>
              </w:rPr>
              <w:fldChar w:fldCharType="separate"/>
            </w:r>
            <w:r>
              <w:rPr>
                <w:noProof/>
                <w:webHidden/>
              </w:rPr>
              <w:t>6</w:t>
            </w:r>
            <w:r>
              <w:rPr>
                <w:noProof/>
                <w:webHidden/>
              </w:rPr>
              <w:fldChar w:fldCharType="end"/>
            </w:r>
          </w:hyperlink>
        </w:p>
        <w:p w14:paraId="762332BB" w14:textId="6DA3E1CF" w:rsidR="00927281" w:rsidRDefault="00927281">
          <w:pPr>
            <w:pStyle w:val="TOC1"/>
            <w:tabs>
              <w:tab w:val="left" w:pos="480"/>
              <w:tab w:val="right" w:leader="dot" w:pos="9350"/>
            </w:tabs>
            <w:rPr>
              <w:rFonts w:eastAsiaTheme="minorEastAsia"/>
              <w:noProof/>
            </w:rPr>
          </w:pPr>
          <w:hyperlink w:anchor="_Toc214811804" w:history="1">
            <w:r w:rsidRPr="008A4747">
              <w:rPr>
                <w:rStyle w:val="Hyperlink"/>
                <w:noProof/>
              </w:rPr>
              <w:t>2</w:t>
            </w:r>
            <w:r>
              <w:rPr>
                <w:rFonts w:eastAsiaTheme="minorEastAsia"/>
                <w:noProof/>
              </w:rPr>
              <w:tab/>
            </w:r>
            <w:r w:rsidRPr="008A4747">
              <w:rPr>
                <w:rStyle w:val="Hyperlink"/>
                <w:noProof/>
              </w:rPr>
              <w:t>Financial Health Check.</w:t>
            </w:r>
            <w:r>
              <w:rPr>
                <w:noProof/>
                <w:webHidden/>
              </w:rPr>
              <w:tab/>
            </w:r>
            <w:r>
              <w:rPr>
                <w:noProof/>
                <w:webHidden/>
              </w:rPr>
              <w:fldChar w:fldCharType="begin"/>
            </w:r>
            <w:r>
              <w:rPr>
                <w:noProof/>
                <w:webHidden/>
              </w:rPr>
              <w:instrText xml:space="preserve"> PAGEREF _Toc214811804 \h </w:instrText>
            </w:r>
            <w:r>
              <w:rPr>
                <w:noProof/>
                <w:webHidden/>
              </w:rPr>
            </w:r>
            <w:r>
              <w:rPr>
                <w:noProof/>
                <w:webHidden/>
              </w:rPr>
              <w:fldChar w:fldCharType="separate"/>
            </w:r>
            <w:r>
              <w:rPr>
                <w:noProof/>
                <w:webHidden/>
              </w:rPr>
              <w:t>7</w:t>
            </w:r>
            <w:r>
              <w:rPr>
                <w:noProof/>
                <w:webHidden/>
              </w:rPr>
              <w:fldChar w:fldCharType="end"/>
            </w:r>
          </w:hyperlink>
        </w:p>
        <w:p w14:paraId="3F5E177C" w14:textId="72BDD0E4" w:rsidR="00927281" w:rsidRDefault="00927281">
          <w:pPr>
            <w:pStyle w:val="TOC2"/>
            <w:tabs>
              <w:tab w:val="left" w:pos="960"/>
              <w:tab w:val="right" w:leader="dot" w:pos="9350"/>
            </w:tabs>
            <w:rPr>
              <w:rFonts w:eastAsiaTheme="minorEastAsia"/>
              <w:noProof/>
            </w:rPr>
          </w:pPr>
          <w:hyperlink w:anchor="_Toc214811805" w:history="1">
            <w:r w:rsidRPr="008A4747">
              <w:rPr>
                <w:rStyle w:val="Hyperlink"/>
                <w:noProof/>
              </w:rPr>
              <w:t>2.1</w:t>
            </w:r>
            <w:r>
              <w:rPr>
                <w:rFonts w:eastAsiaTheme="minorEastAsia"/>
                <w:noProof/>
              </w:rPr>
              <w:tab/>
            </w:r>
            <w:r w:rsidRPr="008A4747">
              <w:rPr>
                <w:rStyle w:val="Hyperlink"/>
                <w:noProof/>
              </w:rPr>
              <w:t>Introduction to the Analytical Framework</w:t>
            </w:r>
            <w:r>
              <w:rPr>
                <w:noProof/>
                <w:webHidden/>
              </w:rPr>
              <w:tab/>
            </w:r>
            <w:r>
              <w:rPr>
                <w:noProof/>
                <w:webHidden/>
              </w:rPr>
              <w:fldChar w:fldCharType="begin"/>
            </w:r>
            <w:r>
              <w:rPr>
                <w:noProof/>
                <w:webHidden/>
              </w:rPr>
              <w:instrText xml:space="preserve"> PAGEREF _Toc214811805 \h </w:instrText>
            </w:r>
            <w:r>
              <w:rPr>
                <w:noProof/>
                <w:webHidden/>
              </w:rPr>
            </w:r>
            <w:r>
              <w:rPr>
                <w:noProof/>
                <w:webHidden/>
              </w:rPr>
              <w:fldChar w:fldCharType="separate"/>
            </w:r>
            <w:r>
              <w:rPr>
                <w:noProof/>
                <w:webHidden/>
              </w:rPr>
              <w:t>7</w:t>
            </w:r>
            <w:r>
              <w:rPr>
                <w:noProof/>
                <w:webHidden/>
              </w:rPr>
              <w:fldChar w:fldCharType="end"/>
            </w:r>
          </w:hyperlink>
        </w:p>
        <w:p w14:paraId="17B7CB16" w14:textId="60AA4796" w:rsidR="00927281" w:rsidRDefault="00927281">
          <w:pPr>
            <w:pStyle w:val="TOC2"/>
            <w:tabs>
              <w:tab w:val="left" w:pos="960"/>
              <w:tab w:val="right" w:leader="dot" w:pos="9350"/>
            </w:tabs>
            <w:rPr>
              <w:rFonts w:eastAsiaTheme="minorEastAsia"/>
              <w:noProof/>
            </w:rPr>
          </w:pPr>
          <w:hyperlink w:anchor="_Toc214811806" w:history="1">
            <w:r w:rsidRPr="008A4747">
              <w:rPr>
                <w:rStyle w:val="Hyperlink"/>
                <w:noProof/>
              </w:rPr>
              <w:t>2.2</w:t>
            </w:r>
            <w:r>
              <w:rPr>
                <w:rFonts w:eastAsiaTheme="minorEastAsia"/>
                <w:noProof/>
              </w:rPr>
              <w:tab/>
            </w:r>
            <w:r w:rsidRPr="008A4747">
              <w:rPr>
                <w:rStyle w:val="Hyperlink"/>
                <w:noProof/>
              </w:rPr>
              <w:t>Profitability Analysis: A Story of Collapse</w:t>
            </w:r>
            <w:r>
              <w:rPr>
                <w:noProof/>
                <w:webHidden/>
              </w:rPr>
              <w:tab/>
            </w:r>
            <w:r>
              <w:rPr>
                <w:noProof/>
                <w:webHidden/>
              </w:rPr>
              <w:fldChar w:fldCharType="begin"/>
            </w:r>
            <w:r>
              <w:rPr>
                <w:noProof/>
                <w:webHidden/>
              </w:rPr>
              <w:instrText xml:space="preserve"> PAGEREF _Toc214811806 \h </w:instrText>
            </w:r>
            <w:r>
              <w:rPr>
                <w:noProof/>
                <w:webHidden/>
              </w:rPr>
            </w:r>
            <w:r>
              <w:rPr>
                <w:noProof/>
                <w:webHidden/>
              </w:rPr>
              <w:fldChar w:fldCharType="separate"/>
            </w:r>
            <w:r>
              <w:rPr>
                <w:noProof/>
                <w:webHidden/>
              </w:rPr>
              <w:t>8</w:t>
            </w:r>
            <w:r>
              <w:rPr>
                <w:noProof/>
                <w:webHidden/>
              </w:rPr>
              <w:fldChar w:fldCharType="end"/>
            </w:r>
          </w:hyperlink>
        </w:p>
        <w:p w14:paraId="00F6D912" w14:textId="4CFC3519" w:rsidR="00927281" w:rsidRDefault="00927281">
          <w:pPr>
            <w:pStyle w:val="TOC3"/>
            <w:tabs>
              <w:tab w:val="left" w:pos="1440"/>
              <w:tab w:val="right" w:leader="dot" w:pos="9350"/>
            </w:tabs>
            <w:rPr>
              <w:rFonts w:eastAsiaTheme="minorEastAsia"/>
              <w:noProof/>
            </w:rPr>
          </w:pPr>
          <w:hyperlink w:anchor="_Toc214811807" w:history="1">
            <w:r w:rsidRPr="008A4747">
              <w:rPr>
                <w:rStyle w:val="Hyperlink"/>
                <w:noProof/>
              </w:rPr>
              <w:t>2.2.1</w:t>
            </w:r>
            <w:r>
              <w:rPr>
                <w:rFonts w:eastAsiaTheme="minorEastAsia"/>
                <w:noProof/>
              </w:rPr>
              <w:tab/>
            </w:r>
            <w:r w:rsidRPr="008A4747">
              <w:rPr>
                <w:rStyle w:val="Hyperlink"/>
                <w:noProof/>
              </w:rPr>
              <w:t>Calculation Of Profitability Ratios</w:t>
            </w:r>
            <w:r>
              <w:rPr>
                <w:noProof/>
                <w:webHidden/>
              </w:rPr>
              <w:tab/>
            </w:r>
            <w:r>
              <w:rPr>
                <w:noProof/>
                <w:webHidden/>
              </w:rPr>
              <w:fldChar w:fldCharType="begin"/>
            </w:r>
            <w:r>
              <w:rPr>
                <w:noProof/>
                <w:webHidden/>
              </w:rPr>
              <w:instrText xml:space="preserve"> PAGEREF _Toc214811807 \h </w:instrText>
            </w:r>
            <w:r>
              <w:rPr>
                <w:noProof/>
                <w:webHidden/>
              </w:rPr>
            </w:r>
            <w:r>
              <w:rPr>
                <w:noProof/>
                <w:webHidden/>
              </w:rPr>
              <w:fldChar w:fldCharType="separate"/>
            </w:r>
            <w:r>
              <w:rPr>
                <w:noProof/>
                <w:webHidden/>
              </w:rPr>
              <w:t>9</w:t>
            </w:r>
            <w:r>
              <w:rPr>
                <w:noProof/>
                <w:webHidden/>
              </w:rPr>
              <w:fldChar w:fldCharType="end"/>
            </w:r>
          </w:hyperlink>
        </w:p>
        <w:p w14:paraId="18F2455C" w14:textId="18FEEC9D" w:rsidR="00927281" w:rsidRDefault="00927281">
          <w:pPr>
            <w:pStyle w:val="TOC2"/>
            <w:tabs>
              <w:tab w:val="left" w:pos="960"/>
              <w:tab w:val="right" w:leader="dot" w:pos="9350"/>
            </w:tabs>
            <w:rPr>
              <w:rFonts w:eastAsiaTheme="minorEastAsia"/>
              <w:noProof/>
            </w:rPr>
          </w:pPr>
          <w:hyperlink w:anchor="_Toc214811808" w:history="1">
            <w:r w:rsidRPr="008A4747">
              <w:rPr>
                <w:rStyle w:val="Hyperlink"/>
                <w:noProof/>
              </w:rPr>
              <w:t>2.3</w:t>
            </w:r>
            <w:r>
              <w:rPr>
                <w:rFonts w:eastAsiaTheme="minorEastAsia"/>
                <w:noProof/>
              </w:rPr>
              <w:tab/>
            </w:r>
            <w:r w:rsidRPr="008A4747">
              <w:rPr>
                <w:rStyle w:val="Hyperlink"/>
                <w:noProof/>
              </w:rPr>
              <w:t>Liquidity Analysis: A Looming Cash Crisis</w:t>
            </w:r>
            <w:r>
              <w:rPr>
                <w:noProof/>
                <w:webHidden/>
              </w:rPr>
              <w:tab/>
            </w:r>
            <w:r>
              <w:rPr>
                <w:noProof/>
                <w:webHidden/>
              </w:rPr>
              <w:fldChar w:fldCharType="begin"/>
            </w:r>
            <w:r>
              <w:rPr>
                <w:noProof/>
                <w:webHidden/>
              </w:rPr>
              <w:instrText xml:space="preserve"> PAGEREF _Toc214811808 \h </w:instrText>
            </w:r>
            <w:r>
              <w:rPr>
                <w:noProof/>
                <w:webHidden/>
              </w:rPr>
            </w:r>
            <w:r>
              <w:rPr>
                <w:noProof/>
                <w:webHidden/>
              </w:rPr>
              <w:fldChar w:fldCharType="separate"/>
            </w:r>
            <w:r>
              <w:rPr>
                <w:noProof/>
                <w:webHidden/>
              </w:rPr>
              <w:t>10</w:t>
            </w:r>
            <w:r>
              <w:rPr>
                <w:noProof/>
                <w:webHidden/>
              </w:rPr>
              <w:fldChar w:fldCharType="end"/>
            </w:r>
          </w:hyperlink>
        </w:p>
        <w:p w14:paraId="215B8848" w14:textId="41909986" w:rsidR="00927281" w:rsidRDefault="00927281">
          <w:pPr>
            <w:pStyle w:val="TOC3"/>
            <w:tabs>
              <w:tab w:val="left" w:pos="1440"/>
              <w:tab w:val="right" w:leader="dot" w:pos="9350"/>
            </w:tabs>
            <w:rPr>
              <w:rFonts w:eastAsiaTheme="minorEastAsia"/>
              <w:noProof/>
            </w:rPr>
          </w:pPr>
          <w:hyperlink w:anchor="_Toc214811809" w:history="1">
            <w:r w:rsidRPr="008A4747">
              <w:rPr>
                <w:rStyle w:val="Hyperlink"/>
                <w:noProof/>
              </w:rPr>
              <w:t>2.3.1</w:t>
            </w:r>
            <w:r>
              <w:rPr>
                <w:rFonts w:eastAsiaTheme="minorEastAsia"/>
                <w:noProof/>
              </w:rPr>
              <w:tab/>
            </w:r>
            <w:r w:rsidRPr="008A4747">
              <w:rPr>
                <w:rStyle w:val="Hyperlink"/>
                <w:noProof/>
              </w:rPr>
              <w:t>Calculation Of Liquidity Ratios</w:t>
            </w:r>
            <w:r>
              <w:rPr>
                <w:noProof/>
                <w:webHidden/>
              </w:rPr>
              <w:tab/>
            </w:r>
            <w:r>
              <w:rPr>
                <w:noProof/>
                <w:webHidden/>
              </w:rPr>
              <w:fldChar w:fldCharType="begin"/>
            </w:r>
            <w:r>
              <w:rPr>
                <w:noProof/>
                <w:webHidden/>
              </w:rPr>
              <w:instrText xml:space="preserve"> PAGEREF _Toc214811809 \h </w:instrText>
            </w:r>
            <w:r>
              <w:rPr>
                <w:noProof/>
                <w:webHidden/>
              </w:rPr>
            </w:r>
            <w:r>
              <w:rPr>
                <w:noProof/>
                <w:webHidden/>
              </w:rPr>
              <w:fldChar w:fldCharType="separate"/>
            </w:r>
            <w:r>
              <w:rPr>
                <w:noProof/>
                <w:webHidden/>
              </w:rPr>
              <w:t>11</w:t>
            </w:r>
            <w:r>
              <w:rPr>
                <w:noProof/>
                <w:webHidden/>
              </w:rPr>
              <w:fldChar w:fldCharType="end"/>
            </w:r>
          </w:hyperlink>
        </w:p>
        <w:p w14:paraId="4F87F76D" w14:textId="391117B5" w:rsidR="00927281" w:rsidRDefault="00927281">
          <w:pPr>
            <w:pStyle w:val="TOC2"/>
            <w:tabs>
              <w:tab w:val="left" w:pos="960"/>
              <w:tab w:val="right" w:leader="dot" w:pos="9350"/>
            </w:tabs>
            <w:rPr>
              <w:rFonts w:eastAsiaTheme="minorEastAsia"/>
              <w:noProof/>
            </w:rPr>
          </w:pPr>
          <w:hyperlink w:anchor="_Toc214811810" w:history="1">
            <w:r w:rsidRPr="008A4747">
              <w:rPr>
                <w:rStyle w:val="Hyperlink"/>
                <w:noProof/>
              </w:rPr>
              <w:t>2.4</w:t>
            </w:r>
            <w:r>
              <w:rPr>
                <w:rFonts w:eastAsiaTheme="minorEastAsia"/>
                <w:noProof/>
              </w:rPr>
              <w:tab/>
            </w:r>
            <w:r w:rsidRPr="008A4747">
              <w:rPr>
                <w:rStyle w:val="Hyperlink"/>
                <w:noProof/>
              </w:rPr>
              <w:t>Efficiency Analysis</w:t>
            </w:r>
            <w:r>
              <w:rPr>
                <w:noProof/>
                <w:webHidden/>
              </w:rPr>
              <w:tab/>
            </w:r>
            <w:r>
              <w:rPr>
                <w:noProof/>
                <w:webHidden/>
              </w:rPr>
              <w:fldChar w:fldCharType="begin"/>
            </w:r>
            <w:r>
              <w:rPr>
                <w:noProof/>
                <w:webHidden/>
              </w:rPr>
              <w:instrText xml:space="preserve"> PAGEREF _Toc214811810 \h </w:instrText>
            </w:r>
            <w:r>
              <w:rPr>
                <w:noProof/>
                <w:webHidden/>
              </w:rPr>
            </w:r>
            <w:r>
              <w:rPr>
                <w:noProof/>
                <w:webHidden/>
              </w:rPr>
              <w:fldChar w:fldCharType="separate"/>
            </w:r>
            <w:r>
              <w:rPr>
                <w:noProof/>
                <w:webHidden/>
              </w:rPr>
              <w:t>11</w:t>
            </w:r>
            <w:r>
              <w:rPr>
                <w:noProof/>
                <w:webHidden/>
              </w:rPr>
              <w:fldChar w:fldCharType="end"/>
            </w:r>
          </w:hyperlink>
        </w:p>
        <w:p w14:paraId="2E2BFACF" w14:textId="7DF971E5" w:rsidR="00927281" w:rsidRDefault="00927281">
          <w:pPr>
            <w:pStyle w:val="TOC3"/>
            <w:tabs>
              <w:tab w:val="left" w:pos="1440"/>
              <w:tab w:val="right" w:leader="dot" w:pos="9350"/>
            </w:tabs>
            <w:rPr>
              <w:rFonts w:eastAsiaTheme="minorEastAsia"/>
              <w:noProof/>
            </w:rPr>
          </w:pPr>
          <w:hyperlink w:anchor="_Toc214811811" w:history="1">
            <w:r w:rsidRPr="008A4747">
              <w:rPr>
                <w:rStyle w:val="Hyperlink"/>
                <w:noProof/>
              </w:rPr>
              <w:t>2.4.1</w:t>
            </w:r>
            <w:r>
              <w:rPr>
                <w:rFonts w:eastAsiaTheme="minorEastAsia"/>
                <w:noProof/>
              </w:rPr>
              <w:tab/>
            </w:r>
            <w:r w:rsidRPr="008A4747">
              <w:rPr>
                <w:rStyle w:val="Hyperlink"/>
                <w:noProof/>
              </w:rPr>
              <w:t>Calculation Of Efficiency Ratios</w:t>
            </w:r>
            <w:r>
              <w:rPr>
                <w:noProof/>
                <w:webHidden/>
              </w:rPr>
              <w:tab/>
            </w:r>
            <w:r>
              <w:rPr>
                <w:noProof/>
                <w:webHidden/>
              </w:rPr>
              <w:fldChar w:fldCharType="begin"/>
            </w:r>
            <w:r>
              <w:rPr>
                <w:noProof/>
                <w:webHidden/>
              </w:rPr>
              <w:instrText xml:space="preserve"> PAGEREF _Toc214811811 \h </w:instrText>
            </w:r>
            <w:r>
              <w:rPr>
                <w:noProof/>
                <w:webHidden/>
              </w:rPr>
            </w:r>
            <w:r>
              <w:rPr>
                <w:noProof/>
                <w:webHidden/>
              </w:rPr>
              <w:fldChar w:fldCharType="separate"/>
            </w:r>
            <w:r>
              <w:rPr>
                <w:noProof/>
                <w:webHidden/>
              </w:rPr>
              <w:t>12</w:t>
            </w:r>
            <w:r>
              <w:rPr>
                <w:noProof/>
                <w:webHidden/>
              </w:rPr>
              <w:fldChar w:fldCharType="end"/>
            </w:r>
          </w:hyperlink>
        </w:p>
        <w:p w14:paraId="6841B010" w14:textId="60C743F4" w:rsidR="00927281" w:rsidRDefault="00927281">
          <w:pPr>
            <w:pStyle w:val="TOC2"/>
            <w:tabs>
              <w:tab w:val="left" w:pos="960"/>
              <w:tab w:val="right" w:leader="dot" w:pos="9350"/>
            </w:tabs>
            <w:rPr>
              <w:rFonts w:eastAsiaTheme="minorEastAsia"/>
              <w:noProof/>
            </w:rPr>
          </w:pPr>
          <w:hyperlink w:anchor="_Toc214811812" w:history="1">
            <w:r w:rsidRPr="008A4747">
              <w:rPr>
                <w:rStyle w:val="Hyperlink"/>
                <w:noProof/>
              </w:rPr>
              <w:t>2.5</w:t>
            </w:r>
            <w:r>
              <w:rPr>
                <w:rFonts w:eastAsiaTheme="minorEastAsia"/>
                <w:noProof/>
              </w:rPr>
              <w:tab/>
            </w:r>
            <w:r w:rsidRPr="008A4747">
              <w:rPr>
                <w:rStyle w:val="Hyperlink"/>
                <w:noProof/>
              </w:rPr>
              <w:t>Gearing and Leverage: An Unsustainable Debt Burden</w:t>
            </w:r>
            <w:r>
              <w:rPr>
                <w:noProof/>
                <w:webHidden/>
              </w:rPr>
              <w:tab/>
            </w:r>
            <w:r>
              <w:rPr>
                <w:noProof/>
                <w:webHidden/>
              </w:rPr>
              <w:fldChar w:fldCharType="begin"/>
            </w:r>
            <w:r>
              <w:rPr>
                <w:noProof/>
                <w:webHidden/>
              </w:rPr>
              <w:instrText xml:space="preserve"> PAGEREF _Toc214811812 \h </w:instrText>
            </w:r>
            <w:r>
              <w:rPr>
                <w:noProof/>
                <w:webHidden/>
              </w:rPr>
            </w:r>
            <w:r>
              <w:rPr>
                <w:noProof/>
                <w:webHidden/>
              </w:rPr>
              <w:fldChar w:fldCharType="separate"/>
            </w:r>
            <w:r>
              <w:rPr>
                <w:noProof/>
                <w:webHidden/>
              </w:rPr>
              <w:t>13</w:t>
            </w:r>
            <w:r>
              <w:rPr>
                <w:noProof/>
                <w:webHidden/>
              </w:rPr>
              <w:fldChar w:fldCharType="end"/>
            </w:r>
          </w:hyperlink>
        </w:p>
        <w:p w14:paraId="3B0C3FFD" w14:textId="68D5F08D" w:rsidR="00927281" w:rsidRDefault="00927281">
          <w:pPr>
            <w:pStyle w:val="TOC2"/>
            <w:tabs>
              <w:tab w:val="left" w:pos="960"/>
              <w:tab w:val="right" w:leader="dot" w:pos="9350"/>
            </w:tabs>
            <w:rPr>
              <w:rFonts w:eastAsiaTheme="minorEastAsia"/>
              <w:noProof/>
            </w:rPr>
          </w:pPr>
          <w:hyperlink w:anchor="_Toc214811813" w:history="1">
            <w:r w:rsidRPr="008A4747">
              <w:rPr>
                <w:rStyle w:val="Hyperlink"/>
                <w:noProof/>
              </w:rPr>
              <w:t>2.6</w:t>
            </w:r>
            <w:r>
              <w:rPr>
                <w:rFonts w:eastAsiaTheme="minorEastAsia"/>
                <w:noProof/>
              </w:rPr>
              <w:tab/>
            </w:r>
            <w:r w:rsidRPr="008A4747">
              <w:rPr>
                <w:rStyle w:val="Hyperlink"/>
                <w:noProof/>
              </w:rPr>
              <w:t>Corporate Failure Prediction: The Altman Z-Score</w:t>
            </w:r>
            <w:r>
              <w:rPr>
                <w:noProof/>
                <w:webHidden/>
              </w:rPr>
              <w:tab/>
            </w:r>
            <w:r>
              <w:rPr>
                <w:noProof/>
                <w:webHidden/>
              </w:rPr>
              <w:fldChar w:fldCharType="begin"/>
            </w:r>
            <w:r>
              <w:rPr>
                <w:noProof/>
                <w:webHidden/>
              </w:rPr>
              <w:instrText xml:space="preserve"> PAGEREF _Toc214811813 \h </w:instrText>
            </w:r>
            <w:r>
              <w:rPr>
                <w:noProof/>
                <w:webHidden/>
              </w:rPr>
            </w:r>
            <w:r>
              <w:rPr>
                <w:noProof/>
                <w:webHidden/>
              </w:rPr>
              <w:fldChar w:fldCharType="separate"/>
            </w:r>
            <w:r>
              <w:rPr>
                <w:noProof/>
                <w:webHidden/>
              </w:rPr>
              <w:t>14</w:t>
            </w:r>
            <w:r>
              <w:rPr>
                <w:noProof/>
                <w:webHidden/>
              </w:rPr>
              <w:fldChar w:fldCharType="end"/>
            </w:r>
          </w:hyperlink>
        </w:p>
        <w:p w14:paraId="5FFF8F25" w14:textId="55DB1F13" w:rsidR="00927281" w:rsidRDefault="00927281">
          <w:pPr>
            <w:pStyle w:val="TOC1"/>
            <w:tabs>
              <w:tab w:val="left" w:pos="480"/>
              <w:tab w:val="right" w:leader="dot" w:pos="9350"/>
            </w:tabs>
            <w:rPr>
              <w:rFonts w:eastAsiaTheme="minorEastAsia"/>
              <w:noProof/>
            </w:rPr>
          </w:pPr>
          <w:hyperlink w:anchor="_Toc214811814" w:history="1">
            <w:r w:rsidRPr="008A4747">
              <w:rPr>
                <w:rStyle w:val="Hyperlink"/>
                <w:noProof/>
              </w:rPr>
              <w:t>3</w:t>
            </w:r>
            <w:r>
              <w:rPr>
                <w:rFonts w:eastAsiaTheme="minorEastAsia"/>
                <w:noProof/>
              </w:rPr>
              <w:tab/>
            </w:r>
            <w:r w:rsidRPr="008A4747">
              <w:rPr>
                <w:rStyle w:val="Hyperlink"/>
                <w:noProof/>
              </w:rPr>
              <w:t>Working Capital Management Analysis.</w:t>
            </w:r>
            <w:r>
              <w:rPr>
                <w:noProof/>
                <w:webHidden/>
              </w:rPr>
              <w:tab/>
            </w:r>
            <w:r>
              <w:rPr>
                <w:noProof/>
                <w:webHidden/>
              </w:rPr>
              <w:fldChar w:fldCharType="begin"/>
            </w:r>
            <w:r>
              <w:rPr>
                <w:noProof/>
                <w:webHidden/>
              </w:rPr>
              <w:instrText xml:space="preserve"> PAGEREF _Toc214811814 \h </w:instrText>
            </w:r>
            <w:r>
              <w:rPr>
                <w:noProof/>
                <w:webHidden/>
              </w:rPr>
            </w:r>
            <w:r>
              <w:rPr>
                <w:noProof/>
                <w:webHidden/>
              </w:rPr>
              <w:fldChar w:fldCharType="separate"/>
            </w:r>
            <w:r>
              <w:rPr>
                <w:noProof/>
                <w:webHidden/>
              </w:rPr>
              <w:t>15</w:t>
            </w:r>
            <w:r>
              <w:rPr>
                <w:noProof/>
                <w:webHidden/>
              </w:rPr>
              <w:fldChar w:fldCharType="end"/>
            </w:r>
          </w:hyperlink>
        </w:p>
        <w:p w14:paraId="6A236E28" w14:textId="175C277D" w:rsidR="00927281" w:rsidRDefault="00927281">
          <w:pPr>
            <w:pStyle w:val="TOC2"/>
            <w:tabs>
              <w:tab w:val="left" w:pos="960"/>
              <w:tab w:val="right" w:leader="dot" w:pos="9350"/>
            </w:tabs>
            <w:rPr>
              <w:rFonts w:eastAsiaTheme="minorEastAsia"/>
              <w:noProof/>
            </w:rPr>
          </w:pPr>
          <w:hyperlink w:anchor="_Toc214811815" w:history="1">
            <w:r w:rsidRPr="008A4747">
              <w:rPr>
                <w:rStyle w:val="Hyperlink"/>
                <w:noProof/>
              </w:rPr>
              <w:t>3.1</w:t>
            </w:r>
            <w:r>
              <w:rPr>
                <w:rFonts w:eastAsiaTheme="minorEastAsia"/>
                <w:noProof/>
              </w:rPr>
              <w:tab/>
            </w:r>
            <w:r w:rsidRPr="008A4747">
              <w:rPr>
                <w:rStyle w:val="Hyperlink"/>
                <w:noProof/>
              </w:rPr>
              <w:t>Assessment of the Cash Operating Cycle.</w:t>
            </w:r>
            <w:r>
              <w:rPr>
                <w:noProof/>
                <w:webHidden/>
              </w:rPr>
              <w:tab/>
            </w:r>
            <w:r>
              <w:rPr>
                <w:noProof/>
                <w:webHidden/>
              </w:rPr>
              <w:fldChar w:fldCharType="begin"/>
            </w:r>
            <w:r>
              <w:rPr>
                <w:noProof/>
                <w:webHidden/>
              </w:rPr>
              <w:instrText xml:space="preserve"> PAGEREF _Toc214811815 \h </w:instrText>
            </w:r>
            <w:r>
              <w:rPr>
                <w:noProof/>
                <w:webHidden/>
              </w:rPr>
            </w:r>
            <w:r>
              <w:rPr>
                <w:noProof/>
                <w:webHidden/>
              </w:rPr>
              <w:fldChar w:fldCharType="separate"/>
            </w:r>
            <w:r>
              <w:rPr>
                <w:noProof/>
                <w:webHidden/>
              </w:rPr>
              <w:t>15</w:t>
            </w:r>
            <w:r>
              <w:rPr>
                <w:noProof/>
                <w:webHidden/>
              </w:rPr>
              <w:fldChar w:fldCharType="end"/>
            </w:r>
          </w:hyperlink>
        </w:p>
        <w:p w14:paraId="6C45EE10" w14:textId="188F3117" w:rsidR="00927281" w:rsidRDefault="00927281">
          <w:pPr>
            <w:pStyle w:val="TOC2"/>
            <w:tabs>
              <w:tab w:val="left" w:pos="960"/>
              <w:tab w:val="right" w:leader="dot" w:pos="9350"/>
            </w:tabs>
            <w:rPr>
              <w:rFonts w:eastAsiaTheme="minorEastAsia"/>
              <w:noProof/>
            </w:rPr>
          </w:pPr>
          <w:hyperlink w:anchor="_Toc214811816" w:history="1">
            <w:r w:rsidRPr="008A4747">
              <w:rPr>
                <w:rStyle w:val="Hyperlink"/>
                <w:noProof/>
              </w:rPr>
              <w:t>3.2</w:t>
            </w:r>
            <w:r>
              <w:rPr>
                <w:rFonts w:eastAsiaTheme="minorEastAsia"/>
                <w:noProof/>
              </w:rPr>
              <w:tab/>
            </w:r>
            <w:r w:rsidRPr="008A4747">
              <w:rPr>
                <w:rStyle w:val="Hyperlink"/>
                <w:noProof/>
              </w:rPr>
              <w:t>Strategies for Working Capital Reform</w:t>
            </w:r>
            <w:r>
              <w:rPr>
                <w:noProof/>
                <w:webHidden/>
              </w:rPr>
              <w:tab/>
            </w:r>
            <w:r>
              <w:rPr>
                <w:noProof/>
                <w:webHidden/>
              </w:rPr>
              <w:fldChar w:fldCharType="begin"/>
            </w:r>
            <w:r>
              <w:rPr>
                <w:noProof/>
                <w:webHidden/>
              </w:rPr>
              <w:instrText xml:space="preserve"> PAGEREF _Toc214811816 \h </w:instrText>
            </w:r>
            <w:r>
              <w:rPr>
                <w:noProof/>
                <w:webHidden/>
              </w:rPr>
            </w:r>
            <w:r>
              <w:rPr>
                <w:noProof/>
                <w:webHidden/>
              </w:rPr>
              <w:fldChar w:fldCharType="separate"/>
            </w:r>
            <w:r>
              <w:rPr>
                <w:noProof/>
                <w:webHidden/>
              </w:rPr>
              <w:t>17</w:t>
            </w:r>
            <w:r>
              <w:rPr>
                <w:noProof/>
                <w:webHidden/>
              </w:rPr>
              <w:fldChar w:fldCharType="end"/>
            </w:r>
          </w:hyperlink>
        </w:p>
        <w:p w14:paraId="51CACD7A" w14:textId="63BB2BB4" w:rsidR="00927281" w:rsidRDefault="00927281">
          <w:pPr>
            <w:pStyle w:val="TOC2"/>
            <w:tabs>
              <w:tab w:val="left" w:pos="960"/>
              <w:tab w:val="right" w:leader="dot" w:pos="9350"/>
            </w:tabs>
            <w:rPr>
              <w:rFonts w:eastAsiaTheme="minorEastAsia"/>
              <w:noProof/>
            </w:rPr>
          </w:pPr>
          <w:hyperlink w:anchor="_Toc214811817" w:history="1">
            <w:r w:rsidRPr="008A4747">
              <w:rPr>
                <w:rStyle w:val="Hyperlink"/>
                <w:noProof/>
              </w:rPr>
              <w:t>3.3</w:t>
            </w:r>
            <w:r>
              <w:rPr>
                <w:rFonts w:eastAsiaTheme="minorEastAsia"/>
                <w:noProof/>
              </w:rPr>
              <w:tab/>
            </w:r>
            <w:r w:rsidRPr="008A4747">
              <w:rPr>
                <w:rStyle w:val="Hyperlink"/>
                <w:noProof/>
              </w:rPr>
              <w:t>Short-term vs. Long-term Financing Options</w:t>
            </w:r>
            <w:r>
              <w:rPr>
                <w:noProof/>
                <w:webHidden/>
              </w:rPr>
              <w:tab/>
            </w:r>
            <w:r>
              <w:rPr>
                <w:noProof/>
                <w:webHidden/>
              </w:rPr>
              <w:fldChar w:fldCharType="begin"/>
            </w:r>
            <w:r>
              <w:rPr>
                <w:noProof/>
                <w:webHidden/>
              </w:rPr>
              <w:instrText xml:space="preserve"> PAGEREF _Toc214811817 \h </w:instrText>
            </w:r>
            <w:r>
              <w:rPr>
                <w:noProof/>
                <w:webHidden/>
              </w:rPr>
            </w:r>
            <w:r>
              <w:rPr>
                <w:noProof/>
                <w:webHidden/>
              </w:rPr>
              <w:fldChar w:fldCharType="separate"/>
            </w:r>
            <w:r>
              <w:rPr>
                <w:noProof/>
                <w:webHidden/>
              </w:rPr>
              <w:t>18</w:t>
            </w:r>
            <w:r>
              <w:rPr>
                <w:noProof/>
                <w:webHidden/>
              </w:rPr>
              <w:fldChar w:fldCharType="end"/>
            </w:r>
          </w:hyperlink>
        </w:p>
        <w:p w14:paraId="6C39B049" w14:textId="787E1A75" w:rsidR="00927281" w:rsidRDefault="00927281">
          <w:pPr>
            <w:pStyle w:val="TOC1"/>
            <w:tabs>
              <w:tab w:val="left" w:pos="480"/>
              <w:tab w:val="right" w:leader="dot" w:pos="9350"/>
            </w:tabs>
            <w:rPr>
              <w:rFonts w:eastAsiaTheme="minorEastAsia"/>
              <w:noProof/>
            </w:rPr>
          </w:pPr>
          <w:hyperlink w:anchor="_Toc214811818" w:history="1">
            <w:r w:rsidRPr="008A4747">
              <w:rPr>
                <w:rStyle w:val="Hyperlink"/>
                <w:noProof/>
              </w:rPr>
              <w:t>4</w:t>
            </w:r>
            <w:r>
              <w:rPr>
                <w:rFonts w:eastAsiaTheme="minorEastAsia"/>
                <w:noProof/>
              </w:rPr>
              <w:tab/>
            </w:r>
            <w:r w:rsidRPr="008A4747">
              <w:rPr>
                <w:rStyle w:val="Hyperlink"/>
                <w:noProof/>
              </w:rPr>
              <w:t>Strategic Financial Restructuring Plan.</w:t>
            </w:r>
            <w:r>
              <w:rPr>
                <w:noProof/>
                <w:webHidden/>
              </w:rPr>
              <w:tab/>
            </w:r>
            <w:r>
              <w:rPr>
                <w:noProof/>
                <w:webHidden/>
              </w:rPr>
              <w:fldChar w:fldCharType="begin"/>
            </w:r>
            <w:r>
              <w:rPr>
                <w:noProof/>
                <w:webHidden/>
              </w:rPr>
              <w:instrText xml:space="preserve"> PAGEREF _Toc214811818 \h </w:instrText>
            </w:r>
            <w:r>
              <w:rPr>
                <w:noProof/>
                <w:webHidden/>
              </w:rPr>
            </w:r>
            <w:r>
              <w:rPr>
                <w:noProof/>
                <w:webHidden/>
              </w:rPr>
              <w:fldChar w:fldCharType="separate"/>
            </w:r>
            <w:r>
              <w:rPr>
                <w:noProof/>
                <w:webHidden/>
              </w:rPr>
              <w:t>19</w:t>
            </w:r>
            <w:r>
              <w:rPr>
                <w:noProof/>
                <w:webHidden/>
              </w:rPr>
              <w:fldChar w:fldCharType="end"/>
            </w:r>
          </w:hyperlink>
        </w:p>
        <w:p w14:paraId="7C2CE118" w14:textId="1747C7A4" w:rsidR="00927281" w:rsidRDefault="00927281">
          <w:pPr>
            <w:pStyle w:val="TOC2"/>
            <w:tabs>
              <w:tab w:val="left" w:pos="960"/>
              <w:tab w:val="right" w:leader="dot" w:pos="9350"/>
            </w:tabs>
            <w:rPr>
              <w:rFonts w:eastAsiaTheme="minorEastAsia"/>
              <w:noProof/>
            </w:rPr>
          </w:pPr>
          <w:hyperlink w:anchor="_Toc214811819" w:history="1">
            <w:r w:rsidRPr="008A4747">
              <w:rPr>
                <w:rStyle w:val="Hyperlink"/>
                <w:noProof/>
              </w:rPr>
              <w:t>4.1</w:t>
            </w:r>
            <w:r>
              <w:rPr>
                <w:rFonts w:eastAsiaTheme="minorEastAsia"/>
                <w:noProof/>
              </w:rPr>
              <w:tab/>
            </w:r>
            <w:r w:rsidRPr="008A4747">
              <w:rPr>
                <w:rStyle w:val="Hyperlink"/>
                <w:noProof/>
              </w:rPr>
              <w:t>Restructuring Options Evaluation</w:t>
            </w:r>
            <w:r>
              <w:rPr>
                <w:noProof/>
                <w:webHidden/>
              </w:rPr>
              <w:tab/>
            </w:r>
            <w:r>
              <w:rPr>
                <w:noProof/>
                <w:webHidden/>
              </w:rPr>
              <w:fldChar w:fldCharType="begin"/>
            </w:r>
            <w:r>
              <w:rPr>
                <w:noProof/>
                <w:webHidden/>
              </w:rPr>
              <w:instrText xml:space="preserve"> PAGEREF _Toc214811819 \h </w:instrText>
            </w:r>
            <w:r>
              <w:rPr>
                <w:noProof/>
                <w:webHidden/>
              </w:rPr>
            </w:r>
            <w:r>
              <w:rPr>
                <w:noProof/>
                <w:webHidden/>
              </w:rPr>
              <w:fldChar w:fldCharType="separate"/>
            </w:r>
            <w:r>
              <w:rPr>
                <w:noProof/>
                <w:webHidden/>
              </w:rPr>
              <w:t>19</w:t>
            </w:r>
            <w:r>
              <w:rPr>
                <w:noProof/>
                <w:webHidden/>
              </w:rPr>
              <w:fldChar w:fldCharType="end"/>
            </w:r>
          </w:hyperlink>
        </w:p>
        <w:p w14:paraId="60C44A3B" w14:textId="41E7EC8A" w:rsidR="00927281" w:rsidRDefault="00927281">
          <w:pPr>
            <w:pStyle w:val="TOC2"/>
            <w:tabs>
              <w:tab w:val="left" w:pos="960"/>
              <w:tab w:val="right" w:leader="dot" w:pos="9350"/>
            </w:tabs>
            <w:rPr>
              <w:rFonts w:eastAsiaTheme="minorEastAsia"/>
              <w:noProof/>
            </w:rPr>
          </w:pPr>
          <w:hyperlink w:anchor="_Toc214811820" w:history="1">
            <w:r w:rsidRPr="008A4747">
              <w:rPr>
                <w:rStyle w:val="Hyperlink"/>
                <w:noProof/>
              </w:rPr>
              <w:t>4.2</w:t>
            </w:r>
            <w:r>
              <w:rPr>
                <w:rFonts w:eastAsiaTheme="minorEastAsia"/>
                <w:noProof/>
              </w:rPr>
              <w:tab/>
            </w:r>
            <w:r w:rsidRPr="008A4747">
              <w:rPr>
                <w:rStyle w:val="Hyperlink"/>
                <w:noProof/>
              </w:rPr>
              <w:t>Impact Analysis</w:t>
            </w:r>
            <w:r>
              <w:rPr>
                <w:noProof/>
                <w:webHidden/>
              </w:rPr>
              <w:tab/>
            </w:r>
            <w:r>
              <w:rPr>
                <w:noProof/>
                <w:webHidden/>
              </w:rPr>
              <w:fldChar w:fldCharType="begin"/>
            </w:r>
            <w:r>
              <w:rPr>
                <w:noProof/>
                <w:webHidden/>
              </w:rPr>
              <w:instrText xml:space="preserve"> PAGEREF _Toc214811820 \h </w:instrText>
            </w:r>
            <w:r>
              <w:rPr>
                <w:noProof/>
                <w:webHidden/>
              </w:rPr>
            </w:r>
            <w:r>
              <w:rPr>
                <w:noProof/>
                <w:webHidden/>
              </w:rPr>
              <w:fldChar w:fldCharType="separate"/>
            </w:r>
            <w:r>
              <w:rPr>
                <w:noProof/>
                <w:webHidden/>
              </w:rPr>
              <w:t>20</w:t>
            </w:r>
            <w:r>
              <w:rPr>
                <w:noProof/>
                <w:webHidden/>
              </w:rPr>
              <w:fldChar w:fldCharType="end"/>
            </w:r>
          </w:hyperlink>
        </w:p>
        <w:p w14:paraId="6560A4A7" w14:textId="7A5474EE" w:rsidR="00927281" w:rsidRDefault="00927281">
          <w:pPr>
            <w:pStyle w:val="TOC2"/>
            <w:tabs>
              <w:tab w:val="left" w:pos="960"/>
              <w:tab w:val="right" w:leader="dot" w:pos="9350"/>
            </w:tabs>
            <w:rPr>
              <w:rFonts w:eastAsiaTheme="minorEastAsia"/>
              <w:noProof/>
            </w:rPr>
          </w:pPr>
          <w:hyperlink w:anchor="_Toc214811821" w:history="1">
            <w:r w:rsidRPr="008A4747">
              <w:rPr>
                <w:rStyle w:val="Hyperlink"/>
                <w:noProof/>
              </w:rPr>
              <w:t>4.3</w:t>
            </w:r>
            <w:r>
              <w:rPr>
                <w:rFonts w:eastAsiaTheme="minorEastAsia"/>
                <w:noProof/>
              </w:rPr>
              <w:tab/>
            </w:r>
            <w:r w:rsidRPr="008A4747">
              <w:rPr>
                <w:rStyle w:val="Hyperlink"/>
                <w:noProof/>
              </w:rPr>
              <w:t>Impact on Shareholder Value:</w:t>
            </w:r>
            <w:r>
              <w:rPr>
                <w:noProof/>
                <w:webHidden/>
              </w:rPr>
              <w:tab/>
            </w:r>
            <w:r>
              <w:rPr>
                <w:noProof/>
                <w:webHidden/>
              </w:rPr>
              <w:fldChar w:fldCharType="begin"/>
            </w:r>
            <w:r>
              <w:rPr>
                <w:noProof/>
                <w:webHidden/>
              </w:rPr>
              <w:instrText xml:space="preserve"> PAGEREF _Toc214811821 \h </w:instrText>
            </w:r>
            <w:r>
              <w:rPr>
                <w:noProof/>
                <w:webHidden/>
              </w:rPr>
            </w:r>
            <w:r>
              <w:rPr>
                <w:noProof/>
                <w:webHidden/>
              </w:rPr>
              <w:fldChar w:fldCharType="separate"/>
            </w:r>
            <w:r>
              <w:rPr>
                <w:noProof/>
                <w:webHidden/>
              </w:rPr>
              <w:t>20</w:t>
            </w:r>
            <w:r>
              <w:rPr>
                <w:noProof/>
                <w:webHidden/>
              </w:rPr>
              <w:fldChar w:fldCharType="end"/>
            </w:r>
          </w:hyperlink>
        </w:p>
        <w:p w14:paraId="47999819" w14:textId="27819BD1" w:rsidR="00927281" w:rsidRDefault="00927281">
          <w:pPr>
            <w:pStyle w:val="TOC2"/>
            <w:tabs>
              <w:tab w:val="left" w:pos="960"/>
              <w:tab w:val="right" w:leader="dot" w:pos="9350"/>
            </w:tabs>
            <w:rPr>
              <w:rFonts w:eastAsiaTheme="minorEastAsia"/>
              <w:noProof/>
            </w:rPr>
          </w:pPr>
          <w:hyperlink w:anchor="_Toc214811822" w:history="1">
            <w:r w:rsidRPr="008A4747">
              <w:rPr>
                <w:rStyle w:val="Hyperlink"/>
                <w:noProof/>
              </w:rPr>
              <w:t>4.4</w:t>
            </w:r>
            <w:r>
              <w:rPr>
                <w:rFonts w:eastAsiaTheme="minorEastAsia"/>
                <w:noProof/>
              </w:rPr>
              <w:tab/>
            </w:r>
            <w:r w:rsidRPr="008A4747">
              <w:rPr>
                <w:rStyle w:val="Hyperlink"/>
                <w:noProof/>
              </w:rPr>
              <w:t>Impact on Debt Structure and Solvency:</w:t>
            </w:r>
            <w:r>
              <w:rPr>
                <w:noProof/>
                <w:webHidden/>
              </w:rPr>
              <w:tab/>
            </w:r>
            <w:r>
              <w:rPr>
                <w:noProof/>
                <w:webHidden/>
              </w:rPr>
              <w:fldChar w:fldCharType="begin"/>
            </w:r>
            <w:r>
              <w:rPr>
                <w:noProof/>
                <w:webHidden/>
              </w:rPr>
              <w:instrText xml:space="preserve"> PAGEREF _Toc214811822 \h </w:instrText>
            </w:r>
            <w:r>
              <w:rPr>
                <w:noProof/>
                <w:webHidden/>
              </w:rPr>
            </w:r>
            <w:r>
              <w:rPr>
                <w:noProof/>
                <w:webHidden/>
              </w:rPr>
              <w:fldChar w:fldCharType="separate"/>
            </w:r>
            <w:r>
              <w:rPr>
                <w:noProof/>
                <w:webHidden/>
              </w:rPr>
              <w:t>20</w:t>
            </w:r>
            <w:r>
              <w:rPr>
                <w:noProof/>
                <w:webHidden/>
              </w:rPr>
              <w:fldChar w:fldCharType="end"/>
            </w:r>
          </w:hyperlink>
        </w:p>
        <w:p w14:paraId="6A6CD377" w14:textId="5E9647BB" w:rsidR="00927281" w:rsidRDefault="00927281">
          <w:pPr>
            <w:pStyle w:val="TOC2"/>
            <w:tabs>
              <w:tab w:val="left" w:pos="960"/>
              <w:tab w:val="right" w:leader="dot" w:pos="9350"/>
            </w:tabs>
            <w:rPr>
              <w:rFonts w:eastAsiaTheme="minorEastAsia"/>
              <w:noProof/>
            </w:rPr>
          </w:pPr>
          <w:hyperlink w:anchor="_Toc214811823" w:history="1">
            <w:r w:rsidRPr="008A4747">
              <w:rPr>
                <w:rStyle w:val="Hyperlink"/>
                <w:noProof/>
              </w:rPr>
              <w:t>4.5</w:t>
            </w:r>
            <w:r>
              <w:rPr>
                <w:rFonts w:eastAsiaTheme="minorEastAsia"/>
                <w:noProof/>
              </w:rPr>
              <w:tab/>
            </w:r>
            <w:r w:rsidRPr="008A4747">
              <w:rPr>
                <w:rStyle w:val="Hyperlink"/>
                <w:noProof/>
              </w:rPr>
              <w:t>Impact on Operational Flexibility:</w:t>
            </w:r>
            <w:r>
              <w:rPr>
                <w:noProof/>
                <w:webHidden/>
              </w:rPr>
              <w:tab/>
            </w:r>
            <w:r>
              <w:rPr>
                <w:noProof/>
                <w:webHidden/>
              </w:rPr>
              <w:fldChar w:fldCharType="begin"/>
            </w:r>
            <w:r>
              <w:rPr>
                <w:noProof/>
                <w:webHidden/>
              </w:rPr>
              <w:instrText xml:space="preserve"> PAGEREF _Toc214811823 \h </w:instrText>
            </w:r>
            <w:r>
              <w:rPr>
                <w:noProof/>
                <w:webHidden/>
              </w:rPr>
            </w:r>
            <w:r>
              <w:rPr>
                <w:noProof/>
                <w:webHidden/>
              </w:rPr>
              <w:fldChar w:fldCharType="separate"/>
            </w:r>
            <w:r>
              <w:rPr>
                <w:noProof/>
                <w:webHidden/>
              </w:rPr>
              <w:t>21</w:t>
            </w:r>
            <w:r>
              <w:rPr>
                <w:noProof/>
                <w:webHidden/>
              </w:rPr>
              <w:fldChar w:fldCharType="end"/>
            </w:r>
          </w:hyperlink>
        </w:p>
        <w:p w14:paraId="6BF97B02" w14:textId="3CFE77A4" w:rsidR="00927281" w:rsidRDefault="00927281">
          <w:pPr>
            <w:pStyle w:val="TOC2"/>
            <w:tabs>
              <w:tab w:val="left" w:pos="960"/>
              <w:tab w:val="right" w:leader="dot" w:pos="9350"/>
            </w:tabs>
            <w:rPr>
              <w:rFonts w:eastAsiaTheme="minorEastAsia"/>
              <w:noProof/>
            </w:rPr>
          </w:pPr>
          <w:hyperlink w:anchor="_Toc214811824" w:history="1">
            <w:r w:rsidRPr="008A4747">
              <w:rPr>
                <w:rStyle w:val="Hyperlink"/>
                <w:noProof/>
              </w:rPr>
              <w:t>4.6</w:t>
            </w:r>
            <w:r>
              <w:rPr>
                <w:rFonts w:eastAsiaTheme="minorEastAsia"/>
                <w:noProof/>
              </w:rPr>
              <w:tab/>
            </w:r>
            <w:r w:rsidRPr="008A4747">
              <w:rPr>
                <w:rStyle w:val="Hyperlink"/>
                <w:noProof/>
              </w:rPr>
              <w:t>International and Ethical Considerations</w:t>
            </w:r>
            <w:r>
              <w:rPr>
                <w:noProof/>
                <w:webHidden/>
              </w:rPr>
              <w:tab/>
            </w:r>
            <w:r>
              <w:rPr>
                <w:noProof/>
                <w:webHidden/>
              </w:rPr>
              <w:fldChar w:fldCharType="begin"/>
            </w:r>
            <w:r>
              <w:rPr>
                <w:noProof/>
                <w:webHidden/>
              </w:rPr>
              <w:instrText xml:space="preserve"> PAGEREF _Toc214811824 \h </w:instrText>
            </w:r>
            <w:r>
              <w:rPr>
                <w:noProof/>
                <w:webHidden/>
              </w:rPr>
            </w:r>
            <w:r>
              <w:rPr>
                <w:noProof/>
                <w:webHidden/>
              </w:rPr>
              <w:fldChar w:fldCharType="separate"/>
            </w:r>
            <w:r>
              <w:rPr>
                <w:noProof/>
                <w:webHidden/>
              </w:rPr>
              <w:t>21</w:t>
            </w:r>
            <w:r>
              <w:rPr>
                <w:noProof/>
                <w:webHidden/>
              </w:rPr>
              <w:fldChar w:fldCharType="end"/>
            </w:r>
          </w:hyperlink>
        </w:p>
        <w:p w14:paraId="5CF0E274" w14:textId="0F5C1020" w:rsidR="00927281" w:rsidRDefault="00927281">
          <w:pPr>
            <w:pStyle w:val="TOC2"/>
            <w:tabs>
              <w:tab w:val="left" w:pos="960"/>
              <w:tab w:val="right" w:leader="dot" w:pos="9350"/>
            </w:tabs>
            <w:rPr>
              <w:rFonts w:eastAsiaTheme="minorEastAsia"/>
              <w:noProof/>
            </w:rPr>
          </w:pPr>
          <w:hyperlink w:anchor="_Toc214811825" w:history="1">
            <w:r w:rsidRPr="008A4747">
              <w:rPr>
                <w:rStyle w:val="Hyperlink"/>
                <w:noProof/>
              </w:rPr>
              <w:t>4.7</w:t>
            </w:r>
            <w:r>
              <w:rPr>
                <w:rFonts w:eastAsiaTheme="minorEastAsia"/>
                <w:noProof/>
              </w:rPr>
              <w:tab/>
            </w:r>
            <w:r w:rsidRPr="008A4747">
              <w:rPr>
                <w:rStyle w:val="Hyperlink"/>
                <w:noProof/>
              </w:rPr>
              <w:t>Corporate Social Responsibility (CSR) and Ethical Execution:</w:t>
            </w:r>
            <w:r>
              <w:rPr>
                <w:noProof/>
                <w:webHidden/>
              </w:rPr>
              <w:tab/>
            </w:r>
            <w:r>
              <w:rPr>
                <w:noProof/>
                <w:webHidden/>
              </w:rPr>
              <w:fldChar w:fldCharType="begin"/>
            </w:r>
            <w:r>
              <w:rPr>
                <w:noProof/>
                <w:webHidden/>
              </w:rPr>
              <w:instrText xml:space="preserve"> PAGEREF _Toc214811825 \h </w:instrText>
            </w:r>
            <w:r>
              <w:rPr>
                <w:noProof/>
                <w:webHidden/>
              </w:rPr>
            </w:r>
            <w:r>
              <w:rPr>
                <w:noProof/>
                <w:webHidden/>
              </w:rPr>
              <w:fldChar w:fldCharType="separate"/>
            </w:r>
            <w:r>
              <w:rPr>
                <w:noProof/>
                <w:webHidden/>
              </w:rPr>
              <w:t>21</w:t>
            </w:r>
            <w:r>
              <w:rPr>
                <w:noProof/>
                <w:webHidden/>
              </w:rPr>
              <w:fldChar w:fldCharType="end"/>
            </w:r>
          </w:hyperlink>
        </w:p>
        <w:p w14:paraId="202C572E" w14:textId="01E83867" w:rsidR="00927281" w:rsidRDefault="00927281">
          <w:pPr>
            <w:pStyle w:val="TOC1"/>
            <w:tabs>
              <w:tab w:val="left" w:pos="480"/>
              <w:tab w:val="right" w:leader="dot" w:pos="9350"/>
            </w:tabs>
            <w:rPr>
              <w:rFonts w:eastAsiaTheme="minorEastAsia"/>
              <w:noProof/>
            </w:rPr>
          </w:pPr>
          <w:hyperlink w:anchor="_Toc214811826" w:history="1">
            <w:r w:rsidRPr="008A4747">
              <w:rPr>
                <w:rStyle w:val="Hyperlink"/>
                <w:noProof/>
              </w:rPr>
              <w:t>5</w:t>
            </w:r>
            <w:r>
              <w:rPr>
                <w:rFonts w:eastAsiaTheme="minorEastAsia"/>
                <w:noProof/>
              </w:rPr>
              <w:tab/>
            </w:r>
            <w:r w:rsidRPr="008A4747">
              <w:rPr>
                <w:rStyle w:val="Hyperlink"/>
                <w:noProof/>
              </w:rPr>
              <w:t>Investment Appraisal and Capital Budgeting.</w:t>
            </w:r>
            <w:r>
              <w:rPr>
                <w:noProof/>
                <w:webHidden/>
              </w:rPr>
              <w:tab/>
            </w:r>
            <w:r>
              <w:rPr>
                <w:noProof/>
                <w:webHidden/>
              </w:rPr>
              <w:fldChar w:fldCharType="begin"/>
            </w:r>
            <w:r>
              <w:rPr>
                <w:noProof/>
                <w:webHidden/>
              </w:rPr>
              <w:instrText xml:space="preserve"> PAGEREF _Toc214811826 \h </w:instrText>
            </w:r>
            <w:r>
              <w:rPr>
                <w:noProof/>
                <w:webHidden/>
              </w:rPr>
            </w:r>
            <w:r>
              <w:rPr>
                <w:noProof/>
                <w:webHidden/>
              </w:rPr>
              <w:fldChar w:fldCharType="separate"/>
            </w:r>
            <w:r>
              <w:rPr>
                <w:noProof/>
                <w:webHidden/>
              </w:rPr>
              <w:t>22</w:t>
            </w:r>
            <w:r>
              <w:rPr>
                <w:noProof/>
                <w:webHidden/>
              </w:rPr>
              <w:fldChar w:fldCharType="end"/>
            </w:r>
          </w:hyperlink>
        </w:p>
        <w:p w14:paraId="60194DC9" w14:textId="5BAF02E3" w:rsidR="00927281" w:rsidRDefault="00927281">
          <w:pPr>
            <w:pStyle w:val="TOC2"/>
            <w:tabs>
              <w:tab w:val="left" w:pos="960"/>
              <w:tab w:val="right" w:leader="dot" w:pos="9350"/>
            </w:tabs>
            <w:rPr>
              <w:rFonts w:eastAsiaTheme="minorEastAsia"/>
              <w:noProof/>
            </w:rPr>
          </w:pPr>
          <w:hyperlink w:anchor="_Toc214811827" w:history="1">
            <w:r w:rsidRPr="008A4747">
              <w:rPr>
                <w:rStyle w:val="Hyperlink"/>
                <w:noProof/>
              </w:rPr>
              <w:t>5.1</w:t>
            </w:r>
            <w:r>
              <w:rPr>
                <w:rFonts w:eastAsiaTheme="minorEastAsia"/>
                <w:noProof/>
              </w:rPr>
              <w:tab/>
            </w:r>
            <w:r w:rsidRPr="008A4747">
              <w:rPr>
                <w:rStyle w:val="Hyperlink"/>
                <w:rFonts w:eastAsia="Times New Roman"/>
                <w:noProof/>
              </w:rPr>
              <w:t>Investment Appraisal Calculations</w:t>
            </w:r>
            <w:r>
              <w:rPr>
                <w:noProof/>
                <w:webHidden/>
              </w:rPr>
              <w:tab/>
            </w:r>
            <w:r>
              <w:rPr>
                <w:noProof/>
                <w:webHidden/>
              </w:rPr>
              <w:fldChar w:fldCharType="begin"/>
            </w:r>
            <w:r>
              <w:rPr>
                <w:noProof/>
                <w:webHidden/>
              </w:rPr>
              <w:instrText xml:space="preserve"> PAGEREF _Toc214811827 \h </w:instrText>
            </w:r>
            <w:r>
              <w:rPr>
                <w:noProof/>
                <w:webHidden/>
              </w:rPr>
            </w:r>
            <w:r>
              <w:rPr>
                <w:noProof/>
                <w:webHidden/>
              </w:rPr>
              <w:fldChar w:fldCharType="separate"/>
            </w:r>
            <w:r>
              <w:rPr>
                <w:noProof/>
                <w:webHidden/>
              </w:rPr>
              <w:t>22</w:t>
            </w:r>
            <w:r>
              <w:rPr>
                <w:noProof/>
                <w:webHidden/>
              </w:rPr>
              <w:fldChar w:fldCharType="end"/>
            </w:r>
          </w:hyperlink>
        </w:p>
        <w:p w14:paraId="45C9FC33" w14:textId="22BB8E8E" w:rsidR="00927281" w:rsidRDefault="00927281">
          <w:pPr>
            <w:pStyle w:val="TOC3"/>
            <w:tabs>
              <w:tab w:val="left" w:pos="1440"/>
              <w:tab w:val="right" w:leader="dot" w:pos="9350"/>
            </w:tabs>
            <w:rPr>
              <w:rFonts w:eastAsiaTheme="minorEastAsia"/>
              <w:noProof/>
            </w:rPr>
          </w:pPr>
          <w:hyperlink w:anchor="_Toc214811828" w:history="1">
            <w:r w:rsidRPr="008A4747">
              <w:rPr>
                <w:rStyle w:val="Hyperlink"/>
                <w:noProof/>
              </w:rPr>
              <w:t>5.1.1</w:t>
            </w:r>
            <w:r>
              <w:rPr>
                <w:rFonts w:eastAsiaTheme="minorEastAsia"/>
                <w:noProof/>
              </w:rPr>
              <w:tab/>
            </w:r>
            <w:r w:rsidRPr="008A4747">
              <w:rPr>
                <w:rStyle w:val="Hyperlink"/>
                <w:rFonts w:eastAsia="Times New Roman"/>
                <w:noProof/>
              </w:rPr>
              <w:t>Project A: Initial Investment: £40m</w:t>
            </w:r>
            <w:r>
              <w:rPr>
                <w:noProof/>
                <w:webHidden/>
              </w:rPr>
              <w:tab/>
            </w:r>
            <w:r>
              <w:rPr>
                <w:noProof/>
                <w:webHidden/>
              </w:rPr>
              <w:fldChar w:fldCharType="begin"/>
            </w:r>
            <w:r>
              <w:rPr>
                <w:noProof/>
                <w:webHidden/>
              </w:rPr>
              <w:instrText xml:space="preserve"> PAGEREF _Toc214811828 \h </w:instrText>
            </w:r>
            <w:r>
              <w:rPr>
                <w:noProof/>
                <w:webHidden/>
              </w:rPr>
            </w:r>
            <w:r>
              <w:rPr>
                <w:noProof/>
                <w:webHidden/>
              </w:rPr>
              <w:fldChar w:fldCharType="separate"/>
            </w:r>
            <w:r>
              <w:rPr>
                <w:noProof/>
                <w:webHidden/>
              </w:rPr>
              <w:t>22</w:t>
            </w:r>
            <w:r>
              <w:rPr>
                <w:noProof/>
                <w:webHidden/>
              </w:rPr>
              <w:fldChar w:fldCharType="end"/>
            </w:r>
          </w:hyperlink>
        </w:p>
        <w:p w14:paraId="70DD04BE" w14:textId="35E66941" w:rsidR="00927281" w:rsidRDefault="00927281">
          <w:pPr>
            <w:pStyle w:val="TOC3"/>
            <w:tabs>
              <w:tab w:val="left" w:pos="1440"/>
              <w:tab w:val="right" w:leader="dot" w:pos="9350"/>
            </w:tabs>
            <w:rPr>
              <w:rFonts w:eastAsiaTheme="minorEastAsia"/>
              <w:noProof/>
            </w:rPr>
          </w:pPr>
          <w:hyperlink w:anchor="_Toc214811829" w:history="1">
            <w:r w:rsidRPr="008A4747">
              <w:rPr>
                <w:rStyle w:val="Hyperlink"/>
                <w:noProof/>
              </w:rPr>
              <w:t>5.1.2</w:t>
            </w:r>
            <w:r>
              <w:rPr>
                <w:rFonts w:eastAsiaTheme="minorEastAsia"/>
                <w:noProof/>
              </w:rPr>
              <w:tab/>
            </w:r>
            <w:r w:rsidRPr="008A4747">
              <w:rPr>
                <w:rStyle w:val="Hyperlink"/>
                <w:noProof/>
              </w:rPr>
              <w:t>Project B: Initial Investment: £30m</w:t>
            </w:r>
            <w:r>
              <w:rPr>
                <w:noProof/>
                <w:webHidden/>
              </w:rPr>
              <w:tab/>
            </w:r>
            <w:r>
              <w:rPr>
                <w:noProof/>
                <w:webHidden/>
              </w:rPr>
              <w:fldChar w:fldCharType="begin"/>
            </w:r>
            <w:r>
              <w:rPr>
                <w:noProof/>
                <w:webHidden/>
              </w:rPr>
              <w:instrText xml:space="preserve"> PAGEREF _Toc214811829 \h </w:instrText>
            </w:r>
            <w:r>
              <w:rPr>
                <w:noProof/>
                <w:webHidden/>
              </w:rPr>
            </w:r>
            <w:r>
              <w:rPr>
                <w:noProof/>
                <w:webHidden/>
              </w:rPr>
              <w:fldChar w:fldCharType="separate"/>
            </w:r>
            <w:r>
              <w:rPr>
                <w:noProof/>
                <w:webHidden/>
              </w:rPr>
              <w:t>24</w:t>
            </w:r>
            <w:r>
              <w:rPr>
                <w:noProof/>
                <w:webHidden/>
              </w:rPr>
              <w:fldChar w:fldCharType="end"/>
            </w:r>
          </w:hyperlink>
        </w:p>
        <w:p w14:paraId="6A0BF384" w14:textId="0FF40DC8" w:rsidR="00927281" w:rsidRDefault="00927281">
          <w:pPr>
            <w:pStyle w:val="TOC3"/>
            <w:tabs>
              <w:tab w:val="left" w:pos="1440"/>
              <w:tab w:val="right" w:leader="dot" w:pos="9350"/>
            </w:tabs>
            <w:rPr>
              <w:rFonts w:eastAsiaTheme="minorEastAsia"/>
              <w:noProof/>
            </w:rPr>
          </w:pPr>
          <w:hyperlink w:anchor="_Toc214811830" w:history="1">
            <w:r w:rsidRPr="008A4747">
              <w:rPr>
                <w:rStyle w:val="Hyperlink"/>
                <w:noProof/>
              </w:rPr>
              <w:t>5.1.3</w:t>
            </w:r>
            <w:r>
              <w:rPr>
                <w:rFonts w:eastAsiaTheme="minorEastAsia"/>
                <w:noProof/>
              </w:rPr>
              <w:tab/>
            </w:r>
            <w:r w:rsidRPr="008A4747">
              <w:rPr>
                <w:rStyle w:val="Hyperlink"/>
                <w:noProof/>
              </w:rPr>
              <w:t>Project C: Initial Investment: £50m</w:t>
            </w:r>
            <w:r>
              <w:rPr>
                <w:noProof/>
                <w:webHidden/>
              </w:rPr>
              <w:tab/>
            </w:r>
            <w:r>
              <w:rPr>
                <w:noProof/>
                <w:webHidden/>
              </w:rPr>
              <w:fldChar w:fldCharType="begin"/>
            </w:r>
            <w:r>
              <w:rPr>
                <w:noProof/>
                <w:webHidden/>
              </w:rPr>
              <w:instrText xml:space="preserve"> PAGEREF _Toc214811830 \h </w:instrText>
            </w:r>
            <w:r>
              <w:rPr>
                <w:noProof/>
                <w:webHidden/>
              </w:rPr>
            </w:r>
            <w:r>
              <w:rPr>
                <w:noProof/>
                <w:webHidden/>
              </w:rPr>
              <w:fldChar w:fldCharType="separate"/>
            </w:r>
            <w:r>
              <w:rPr>
                <w:noProof/>
                <w:webHidden/>
              </w:rPr>
              <w:t>25</w:t>
            </w:r>
            <w:r>
              <w:rPr>
                <w:noProof/>
                <w:webHidden/>
              </w:rPr>
              <w:fldChar w:fldCharType="end"/>
            </w:r>
          </w:hyperlink>
        </w:p>
        <w:p w14:paraId="678A10F4" w14:textId="39B5B3F8" w:rsidR="00927281" w:rsidRDefault="00927281">
          <w:pPr>
            <w:pStyle w:val="TOC2"/>
            <w:tabs>
              <w:tab w:val="left" w:pos="960"/>
              <w:tab w:val="right" w:leader="dot" w:pos="9350"/>
            </w:tabs>
            <w:rPr>
              <w:rFonts w:eastAsiaTheme="minorEastAsia"/>
              <w:noProof/>
            </w:rPr>
          </w:pPr>
          <w:hyperlink w:anchor="_Toc214811831" w:history="1">
            <w:r w:rsidRPr="008A4747">
              <w:rPr>
                <w:rStyle w:val="Hyperlink"/>
                <w:noProof/>
              </w:rPr>
              <w:t>5.2</w:t>
            </w:r>
            <w:r>
              <w:rPr>
                <w:rFonts w:eastAsiaTheme="minorEastAsia"/>
                <w:noProof/>
              </w:rPr>
              <w:tab/>
            </w:r>
            <w:r w:rsidRPr="008A4747">
              <w:rPr>
                <w:rStyle w:val="Hyperlink"/>
                <w:noProof/>
              </w:rPr>
              <w:t>Analysis of Results and Final Recommendation</w:t>
            </w:r>
            <w:r>
              <w:rPr>
                <w:noProof/>
                <w:webHidden/>
              </w:rPr>
              <w:tab/>
            </w:r>
            <w:r>
              <w:rPr>
                <w:noProof/>
                <w:webHidden/>
              </w:rPr>
              <w:fldChar w:fldCharType="begin"/>
            </w:r>
            <w:r>
              <w:rPr>
                <w:noProof/>
                <w:webHidden/>
              </w:rPr>
              <w:instrText xml:space="preserve"> PAGEREF _Toc214811831 \h </w:instrText>
            </w:r>
            <w:r>
              <w:rPr>
                <w:noProof/>
                <w:webHidden/>
              </w:rPr>
            </w:r>
            <w:r>
              <w:rPr>
                <w:noProof/>
                <w:webHidden/>
              </w:rPr>
              <w:fldChar w:fldCharType="separate"/>
            </w:r>
            <w:r>
              <w:rPr>
                <w:noProof/>
                <w:webHidden/>
              </w:rPr>
              <w:t>26</w:t>
            </w:r>
            <w:r>
              <w:rPr>
                <w:noProof/>
                <w:webHidden/>
              </w:rPr>
              <w:fldChar w:fldCharType="end"/>
            </w:r>
          </w:hyperlink>
        </w:p>
        <w:p w14:paraId="36B9401A" w14:textId="6803627F" w:rsidR="00927281" w:rsidRDefault="00927281">
          <w:pPr>
            <w:pStyle w:val="TOC3"/>
            <w:tabs>
              <w:tab w:val="left" w:pos="1440"/>
              <w:tab w:val="right" w:leader="dot" w:pos="9350"/>
            </w:tabs>
            <w:rPr>
              <w:rFonts w:eastAsiaTheme="minorEastAsia"/>
              <w:noProof/>
            </w:rPr>
          </w:pPr>
          <w:hyperlink w:anchor="_Toc214811832" w:history="1">
            <w:r w:rsidRPr="008A4747">
              <w:rPr>
                <w:rStyle w:val="Hyperlink"/>
                <w:noProof/>
              </w:rPr>
              <w:t>5.2.1</w:t>
            </w:r>
            <w:r>
              <w:rPr>
                <w:rFonts w:eastAsiaTheme="minorEastAsia"/>
                <w:noProof/>
              </w:rPr>
              <w:tab/>
            </w:r>
            <w:r w:rsidRPr="008A4747">
              <w:rPr>
                <w:rStyle w:val="Hyperlink"/>
                <w:noProof/>
              </w:rPr>
              <w:t>A Risk-Adjusted Strategic Scorecard</w:t>
            </w:r>
            <w:r>
              <w:rPr>
                <w:noProof/>
                <w:webHidden/>
              </w:rPr>
              <w:tab/>
            </w:r>
            <w:r>
              <w:rPr>
                <w:noProof/>
                <w:webHidden/>
              </w:rPr>
              <w:fldChar w:fldCharType="begin"/>
            </w:r>
            <w:r>
              <w:rPr>
                <w:noProof/>
                <w:webHidden/>
              </w:rPr>
              <w:instrText xml:space="preserve"> PAGEREF _Toc214811832 \h </w:instrText>
            </w:r>
            <w:r>
              <w:rPr>
                <w:noProof/>
                <w:webHidden/>
              </w:rPr>
            </w:r>
            <w:r>
              <w:rPr>
                <w:noProof/>
                <w:webHidden/>
              </w:rPr>
              <w:fldChar w:fldCharType="separate"/>
            </w:r>
            <w:r>
              <w:rPr>
                <w:noProof/>
                <w:webHidden/>
              </w:rPr>
              <w:t>26</w:t>
            </w:r>
            <w:r>
              <w:rPr>
                <w:noProof/>
                <w:webHidden/>
              </w:rPr>
              <w:fldChar w:fldCharType="end"/>
            </w:r>
          </w:hyperlink>
        </w:p>
        <w:p w14:paraId="7BDCE8A7" w14:textId="7E6A7B39" w:rsidR="00927281" w:rsidRDefault="00927281">
          <w:pPr>
            <w:pStyle w:val="TOC3"/>
            <w:tabs>
              <w:tab w:val="left" w:pos="1440"/>
              <w:tab w:val="right" w:leader="dot" w:pos="9350"/>
            </w:tabs>
            <w:rPr>
              <w:rFonts w:eastAsiaTheme="minorEastAsia"/>
              <w:noProof/>
            </w:rPr>
          </w:pPr>
          <w:hyperlink w:anchor="_Toc214811833" w:history="1">
            <w:r w:rsidRPr="008A4747">
              <w:rPr>
                <w:rStyle w:val="Hyperlink"/>
                <w:rFonts w:ascii="Arial" w:hAnsi="Arial" w:cs="Arial"/>
                <w:noProof/>
              </w:rPr>
              <w:t>5.2.2</w:t>
            </w:r>
            <w:r>
              <w:rPr>
                <w:rFonts w:eastAsiaTheme="minorEastAsia"/>
                <w:noProof/>
              </w:rPr>
              <w:tab/>
            </w:r>
            <w:r w:rsidRPr="008A4747">
              <w:rPr>
                <w:rStyle w:val="Hyperlink"/>
                <w:rFonts w:ascii="Arial" w:hAnsi="Arial" w:cs="Arial"/>
                <w:noProof/>
              </w:rPr>
              <w:t>Justification with Reference to Company Performance and Project Risk</w:t>
            </w:r>
            <w:r>
              <w:rPr>
                <w:noProof/>
                <w:webHidden/>
              </w:rPr>
              <w:tab/>
            </w:r>
            <w:r>
              <w:rPr>
                <w:noProof/>
                <w:webHidden/>
              </w:rPr>
              <w:fldChar w:fldCharType="begin"/>
            </w:r>
            <w:r>
              <w:rPr>
                <w:noProof/>
                <w:webHidden/>
              </w:rPr>
              <w:instrText xml:space="preserve"> PAGEREF _Toc214811833 \h </w:instrText>
            </w:r>
            <w:r>
              <w:rPr>
                <w:noProof/>
                <w:webHidden/>
              </w:rPr>
            </w:r>
            <w:r>
              <w:rPr>
                <w:noProof/>
                <w:webHidden/>
              </w:rPr>
              <w:fldChar w:fldCharType="separate"/>
            </w:r>
            <w:r>
              <w:rPr>
                <w:noProof/>
                <w:webHidden/>
              </w:rPr>
              <w:t>26</w:t>
            </w:r>
            <w:r>
              <w:rPr>
                <w:noProof/>
                <w:webHidden/>
              </w:rPr>
              <w:fldChar w:fldCharType="end"/>
            </w:r>
          </w:hyperlink>
        </w:p>
        <w:p w14:paraId="64D64C3F" w14:textId="4780F60C" w:rsidR="00927281" w:rsidRDefault="00927281">
          <w:pPr>
            <w:pStyle w:val="TOC3"/>
            <w:tabs>
              <w:tab w:val="left" w:pos="1440"/>
              <w:tab w:val="right" w:leader="dot" w:pos="9350"/>
            </w:tabs>
            <w:rPr>
              <w:rFonts w:eastAsiaTheme="minorEastAsia"/>
              <w:noProof/>
            </w:rPr>
          </w:pPr>
          <w:hyperlink w:anchor="_Toc214811834" w:history="1">
            <w:r w:rsidRPr="008A4747">
              <w:rPr>
                <w:rStyle w:val="Hyperlink"/>
                <w:noProof/>
              </w:rPr>
              <w:t>5.2.3</w:t>
            </w:r>
            <w:r>
              <w:rPr>
                <w:rFonts w:eastAsiaTheme="minorEastAsia"/>
                <w:noProof/>
              </w:rPr>
              <w:tab/>
            </w:r>
            <w:r w:rsidRPr="008A4747">
              <w:rPr>
                <w:rStyle w:val="Hyperlink"/>
                <w:noProof/>
              </w:rPr>
              <w:t>Final Investment Recommendation</w:t>
            </w:r>
            <w:r>
              <w:rPr>
                <w:noProof/>
                <w:webHidden/>
              </w:rPr>
              <w:tab/>
            </w:r>
            <w:r>
              <w:rPr>
                <w:noProof/>
                <w:webHidden/>
              </w:rPr>
              <w:fldChar w:fldCharType="begin"/>
            </w:r>
            <w:r>
              <w:rPr>
                <w:noProof/>
                <w:webHidden/>
              </w:rPr>
              <w:instrText xml:space="preserve"> PAGEREF _Toc214811834 \h </w:instrText>
            </w:r>
            <w:r>
              <w:rPr>
                <w:noProof/>
                <w:webHidden/>
              </w:rPr>
            </w:r>
            <w:r>
              <w:rPr>
                <w:noProof/>
                <w:webHidden/>
              </w:rPr>
              <w:fldChar w:fldCharType="separate"/>
            </w:r>
            <w:r>
              <w:rPr>
                <w:noProof/>
                <w:webHidden/>
              </w:rPr>
              <w:t>28</w:t>
            </w:r>
            <w:r>
              <w:rPr>
                <w:noProof/>
                <w:webHidden/>
              </w:rPr>
              <w:fldChar w:fldCharType="end"/>
            </w:r>
          </w:hyperlink>
        </w:p>
        <w:p w14:paraId="0C37F737" w14:textId="002087BF" w:rsidR="00927281" w:rsidRDefault="00927281">
          <w:pPr>
            <w:pStyle w:val="TOC1"/>
            <w:tabs>
              <w:tab w:val="left" w:pos="480"/>
              <w:tab w:val="right" w:leader="dot" w:pos="9350"/>
            </w:tabs>
            <w:rPr>
              <w:rFonts w:eastAsiaTheme="minorEastAsia"/>
              <w:noProof/>
            </w:rPr>
          </w:pPr>
          <w:hyperlink w:anchor="_Toc214811835" w:history="1">
            <w:r w:rsidRPr="008A4747">
              <w:rPr>
                <w:rStyle w:val="Hyperlink"/>
                <w:noProof/>
              </w:rPr>
              <w:t>6</w:t>
            </w:r>
            <w:r>
              <w:rPr>
                <w:rFonts w:eastAsiaTheme="minorEastAsia"/>
                <w:noProof/>
              </w:rPr>
              <w:tab/>
            </w:r>
            <w:r w:rsidRPr="008A4747">
              <w:rPr>
                <w:rStyle w:val="Hyperlink"/>
                <w:noProof/>
              </w:rPr>
              <w:t>Conclusion</w:t>
            </w:r>
            <w:r>
              <w:rPr>
                <w:noProof/>
                <w:webHidden/>
              </w:rPr>
              <w:tab/>
            </w:r>
            <w:r>
              <w:rPr>
                <w:noProof/>
                <w:webHidden/>
              </w:rPr>
              <w:fldChar w:fldCharType="begin"/>
            </w:r>
            <w:r>
              <w:rPr>
                <w:noProof/>
                <w:webHidden/>
              </w:rPr>
              <w:instrText xml:space="preserve"> PAGEREF _Toc214811835 \h </w:instrText>
            </w:r>
            <w:r>
              <w:rPr>
                <w:noProof/>
                <w:webHidden/>
              </w:rPr>
            </w:r>
            <w:r>
              <w:rPr>
                <w:noProof/>
                <w:webHidden/>
              </w:rPr>
              <w:fldChar w:fldCharType="separate"/>
            </w:r>
            <w:r>
              <w:rPr>
                <w:noProof/>
                <w:webHidden/>
              </w:rPr>
              <w:t>28</w:t>
            </w:r>
            <w:r>
              <w:rPr>
                <w:noProof/>
                <w:webHidden/>
              </w:rPr>
              <w:fldChar w:fldCharType="end"/>
            </w:r>
          </w:hyperlink>
        </w:p>
        <w:p w14:paraId="5A13A2CA" w14:textId="71441C73" w:rsidR="00927281" w:rsidRDefault="00927281">
          <w:pPr>
            <w:pStyle w:val="TOC1"/>
            <w:tabs>
              <w:tab w:val="left" w:pos="480"/>
              <w:tab w:val="right" w:leader="dot" w:pos="9350"/>
            </w:tabs>
            <w:rPr>
              <w:rFonts w:eastAsiaTheme="minorEastAsia"/>
              <w:noProof/>
            </w:rPr>
          </w:pPr>
          <w:hyperlink w:anchor="_Toc214811836" w:history="1">
            <w:r w:rsidRPr="008A4747">
              <w:rPr>
                <w:rStyle w:val="Hyperlink"/>
                <w:noProof/>
              </w:rPr>
              <w:t>7</w:t>
            </w:r>
            <w:r>
              <w:rPr>
                <w:rFonts w:eastAsiaTheme="minorEastAsia"/>
                <w:noProof/>
              </w:rPr>
              <w:tab/>
            </w:r>
            <w:r w:rsidRPr="008A4747">
              <w:rPr>
                <w:rStyle w:val="Hyperlink"/>
                <w:noProof/>
              </w:rPr>
              <w:t>References</w:t>
            </w:r>
            <w:r>
              <w:rPr>
                <w:noProof/>
                <w:webHidden/>
              </w:rPr>
              <w:tab/>
            </w:r>
            <w:r>
              <w:rPr>
                <w:noProof/>
                <w:webHidden/>
              </w:rPr>
              <w:fldChar w:fldCharType="begin"/>
            </w:r>
            <w:r>
              <w:rPr>
                <w:noProof/>
                <w:webHidden/>
              </w:rPr>
              <w:instrText xml:space="preserve"> PAGEREF _Toc214811836 \h </w:instrText>
            </w:r>
            <w:r>
              <w:rPr>
                <w:noProof/>
                <w:webHidden/>
              </w:rPr>
            </w:r>
            <w:r>
              <w:rPr>
                <w:noProof/>
                <w:webHidden/>
              </w:rPr>
              <w:fldChar w:fldCharType="separate"/>
            </w:r>
            <w:r>
              <w:rPr>
                <w:noProof/>
                <w:webHidden/>
              </w:rPr>
              <w:t>30</w:t>
            </w:r>
            <w:r>
              <w:rPr>
                <w:noProof/>
                <w:webHidden/>
              </w:rPr>
              <w:fldChar w:fldCharType="end"/>
            </w:r>
          </w:hyperlink>
        </w:p>
        <w:p w14:paraId="3E5906DC" w14:textId="08DD0A90" w:rsidR="00927281" w:rsidRDefault="00927281">
          <w:pPr>
            <w:pStyle w:val="TOC1"/>
            <w:tabs>
              <w:tab w:val="left" w:pos="480"/>
              <w:tab w:val="right" w:leader="dot" w:pos="9350"/>
            </w:tabs>
            <w:rPr>
              <w:rFonts w:eastAsiaTheme="minorEastAsia"/>
              <w:noProof/>
            </w:rPr>
          </w:pPr>
          <w:hyperlink w:anchor="_Toc214811837" w:history="1">
            <w:r w:rsidRPr="008A4747">
              <w:rPr>
                <w:rStyle w:val="Hyperlink"/>
                <w:noProof/>
              </w:rPr>
              <w:t>8</w:t>
            </w:r>
            <w:r>
              <w:rPr>
                <w:rFonts w:eastAsiaTheme="minorEastAsia"/>
                <w:noProof/>
              </w:rPr>
              <w:tab/>
            </w:r>
            <w:r w:rsidRPr="008A4747">
              <w:rPr>
                <w:rStyle w:val="Hyperlink"/>
                <w:noProof/>
              </w:rPr>
              <w:t>Appendix</w:t>
            </w:r>
            <w:r>
              <w:rPr>
                <w:noProof/>
                <w:webHidden/>
              </w:rPr>
              <w:tab/>
            </w:r>
            <w:r>
              <w:rPr>
                <w:noProof/>
                <w:webHidden/>
              </w:rPr>
              <w:fldChar w:fldCharType="begin"/>
            </w:r>
            <w:r>
              <w:rPr>
                <w:noProof/>
                <w:webHidden/>
              </w:rPr>
              <w:instrText xml:space="preserve"> PAGEREF _Toc214811837 \h </w:instrText>
            </w:r>
            <w:r>
              <w:rPr>
                <w:noProof/>
                <w:webHidden/>
              </w:rPr>
            </w:r>
            <w:r>
              <w:rPr>
                <w:noProof/>
                <w:webHidden/>
              </w:rPr>
              <w:fldChar w:fldCharType="separate"/>
            </w:r>
            <w:r>
              <w:rPr>
                <w:noProof/>
                <w:webHidden/>
              </w:rPr>
              <w:t>33</w:t>
            </w:r>
            <w:r>
              <w:rPr>
                <w:noProof/>
                <w:webHidden/>
              </w:rPr>
              <w:fldChar w:fldCharType="end"/>
            </w:r>
          </w:hyperlink>
        </w:p>
        <w:p w14:paraId="23D8AF80" w14:textId="7868F9D7" w:rsidR="00302504" w:rsidRDefault="00302504">
          <w:r>
            <w:rPr>
              <w:b/>
              <w:bCs/>
              <w:noProof/>
            </w:rPr>
            <w:fldChar w:fldCharType="end"/>
          </w:r>
        </w:p>
      </w:sdtContent>
    </w:sdt>
    <w:p w14:paraId="524B9A27" w14:textId="77777777" w:rsidR="0094775B" w:rsidRDefault="0094775B">
      <w:pPr>
        <w:rPr>
          <w:rFonts w:ascii="Arial" w:hAnsi="Arial" w:cs="Arial"/>
        </w:rPr>
      </w:pPr>
      <w:r>
        <w:rPr>
          <w:rFonts w:ascii="Arial" w:hAnsi="Arial" w:cs="Arial"/>
        </w:rPr>
        <w:br w:type="page"/>
      </w:r>
    </w:p>
    <w:p w14:paraId="19940370" w14:textId="65BC2BF3" w:rsidR="0094775B" w:rsidRPr="0094775B" w:rsidRDefault="0094775B" w:rsidP="0095661E">
      <w:pPr>
        <w:pStyle w:val="Heading1"/>
        <w:numPr>
          <w:ilvl w:val="0"/>
          <w:numId w:val="0"/>
        </w:numPr>
        <w:ind w:left="432" w:hanging="432"/>
      </w:pPr>
      <w:bookmarkStart w:id="0" w:name="_Toc214811800"/>
      <w:r w:rsidRPr="002F7CE0">
        <w:lastRenderedPageBreak/>
        <w:t>Executive Summary</w:t>
      </w:r>
      <w:bookmarkEnd w:id="0"/>
    </w:p>
    <w:p w14:paraId="6D780A9E" w14:textId="77777777" w:rsidR="0094775B" w:rsidRPr="002F7CE0" w:rsidRDefault="0094775B" w:rsidP="0094775B">
      <w:pPr>
        <w:spacing w:line="360" w:lineRule="auto"/>
        <w:rPr>
          <w:rFonts w:ascii="Arial" w:hAnsi="Arial" w:cs="Arial"/>
        </w:rPr>
      </w:pPr>
      <w:r w:rsidRPr="002F7CE0">
        <w:rPr>
          <w:rFonts w:ascii="Arial" w:hAnsi="Arial" w:cs="Arial"/>
        </w:rPr>
        <w:t>General Electronics is in a state of severe financial distress, marked by a 36% revenue decline, negative profitability, a critical liquidity shortage, and a high risk of bankruptcy according to the Altman Z-Score.</w:t>
      </w:r>
    </w:p>
    <w:p w14:paraId="313C5226" w14:textId="77777777" w:rsidR="0094775B" w:rsidRPr="002F7CE0" w:rsidRDefault="0094775B" w:rsidP="0094775B">
      <w:pPr>
        <w:spacing w:line="360" w:lineRule="auto"/>
        <w:rPr>
          <w:rFonts w:ascii="Arial" w:hAnsi="Arial" w:cs="Arial"/>
        </w:rPr>
      </w:pPr>
      <w:r w:rsidRPr="002F7CE0">
        <w:rPr>
          <w:rFonts w:ascii="Arial" w:hAnsi="Arial" w:cs="Arial"/>
        </w:rPr>
        <w:t>This report recommends an immediate three-phase turnaround: 1) Emergency Stabilization via working capital reform and cost-cutting; 2) Balance Sheet Repair through asset divestiture, equity injection, and debt restructuring; and 3) Strategic Repositioning by investing in Project A to conserve cash while pivoting to growth markets.</w:t>
      </w:r>
    </w:p>
    <w:p w14:paraId="58707F25" w14:textId="3D9A3B59" w:rsidR="008C0FB7" w:rsidRPr="00693A6D" w:rsidRDefault="00693A6D" w:rsidP="0094775B">
      <w:pPr>
        <w:spacing w:line="360" w:lineRule="auto"/>
        <w:rPr>
          <w:rFonts w:ascii="Arial" w:hAnsi="Arial" w:cs="Arial"/>
        </w:rPr>
      </w:pPr>
      <w:r w:rsidRPr="00693A6D">
        <w:rPr>
          <w:rFonts w:ascii="Arial" w:hAnsi="Arial" w:cs="Arial"/>
        </w:rPr>
        <w:t xml:space="preserve">Without the immediate and simultaneous execution of this three-phase plan, the quantitative evidence suggests General Electronics faces a high probability of insolvency within the next 24 months. </w:t>
      </w:r>
      <w:r w:rsidR="0094775B" w:rsidRPr="00693A6D">
        <w:rPr>
          <w:rFonts w:ascii="Arial" w:hAnsi="Arial" w:cs="Arial"/>
        </w:rPr>
        <w:t>Immediate execution is required to avoid insolvency and gain stakeholder confidence</w:t>
      </w:r>
      <w:r w:rsidR="0066655B" w:rsidRPr="00693A6D">
        <w:rPr>
          <w:rFonts w:ascii="Arial" w:hAnsi="Arial" w:cs="Arial"/>
        </w:rPr>
        <w:t xml:space="preserve"> and regain the confidence of investors, creditors, and suppliers.</w:t>
      </w:r>
      <w:r w:rsidR="008C0FB7" w:rsidRPr="00693A6D">
        <w:rPr>
          <w:rFonts w:ascii="Arial" w:hAnsi="Arial" w:cs="Arial"/>
        </w:rPr>
        <w:br w:type="page"/>
      </w:r>
    </w:p>
    <w:p w14:paraId="26625137" w14:textId="77777777" w:rsidR="00A0047C" w:rsidRPr="00EC26B4" w:rsidRDefault="00A0047C" w:rsidP="00EC26B4">
      <w:pPr>
        <w:spacing w:line="360" w:lineRule="auto"/>
        <w:rPr>
          <w:rFonts w:ascii="Arial" w:hAnsi="Arial" w:cs="Arial"/>
        </w:rPr>
      </w:pPr>
    </w:p>
    <w:p w14:paraId="056B0FEF" w14:textId="77777777" w:rsidR="0062465E" w:rsidRPr="00EC26B4" w:rsidRDefault="0062465E" w:rsidP="00302504">
      <w:pPr>
        <w:pStyle w:val="Heading1"/>
      </w:pPr>
      <w:bookmarkStart w:id="1" w:name="_Toc214811801"/>
      <w:r w:rsidRPr="00EC26B4">
        <w:t>Introduction</w:t>
      </w:r>
      <w:bookmarkEnd w:id="1"/>
    </w:p>
    <w:p w14:paraId="47E57132" w14:textId="6F33A5DB" w:rsidR="00AB491B" w:rsidRPr="00AB491B" w:rsidRDefault="00AB491B" w:rsidP="00AB491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color w:val="0F1115"/>
          <w:kern w:val="0"/>
          <w14:ligatures w14:val="none"/>
        </w:rPr>
      </w:pPr>
      <w:r>
        <w:rPr>
          <w:rFonts w:ascii="Arial" w:eastAsia="Times New Roman" w:hAnsi="Arial" w:cs="Arial"/>
          <w:color w:val="0F1115"/>
          <w:kern w:val="0"/>
          <w14:ligatures w14:val="none"/>
        </w:rPr>
        <w:t>General</w:t>
      </w:r>
      <w:r w:rsidRPr="00AB491B">
        <w:rPr>
          <w:rFonts w:ascii="Arial" w:eastAsia="Times New Roman" w:hAnsi="Arial" w:cs="Arial"/>
          <w:color w:val="0F1115"/>
          <w:kern w:val="0"/>
          <w14:ligatures w14:val="none"/>
        </w:rPr>
        <w:t xml:space="preserve"> Electronics (GE) is a multinational corporation operating in the highly competitive consumer electronics industry. For decades, the company has been recognized as a global brand, offering a wide range of products and operations spanning multiple continents.</w:t>
      </w:r>
    </w:p>
    <w:p w14:paraId="483478A2" w14:textId="77777777" w:rsidR="00AB491B" w:rsidRPr="00AB491B" w:rsidRDefault="00AB491B" w:rsidP="00AB491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0" w:line="360" w:lineRule="auto"/>
        <w:rPr>
          <w:rFonts w:ascii="Arial" w:eastAsia="Times New Roman" w:hAnsi="Arial" w:cs="Arial"/>
          <w:color w:val="0F1115"/>
          <w:kern w:val="0"/>
          <w14:ligatures w14:val="none"/>
        </w:rPr>
      </w:pPr>
    </w:p>
    <w:p w14:paraId="2004C727" w14:textId="77777777" w:rsidR="00AB491B" w:rsidRPr="00AB491B" w:rsidRDefault="00AB491B" w:rsidP="00AB491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0" w:line="360" w:lineRule="auto"/>
        <w:rPr>
          <w:rFonts w:ascii="Arial" w:eastAsia="Times New Roman" w:hAnsi="Arial" w:cs="Arial"/>
          <w:color w:val="0F1115"/>
          <w:kern w:val="0"/>
          <w14:ligatures w14:val="none"/>
        </w:rPr>
      </w:pPr>
      <w:r w:rsidRPr="00AB491B">
        <w:rPr>
          <w:rFonts w:ascii="Arial" w:eastAsia="Times New Roman" w:hAnsi="Arial" w:cs="Arial"/>
          <w:color w:val="0F1115"/>
          <w:kern w:val="0"/>
          <w14:ligatures w14:val="none"/>
        </w:rPr>
        <w:t>However, in recent years, the company has faced significant challenges due to rapid technological disruption, intensifying global competition, shifting consumer preferences, and declining margins. The financial statements for the past five years reflect this deterioration: revenues have steadily declined, operating income has turned negative, and the company has reported substantial net losses in 2023 and 2024.</w:t>
      </w:r>
    </w:p>
    <w:p w14:paraId="7258F703" w14:textId="77777777" w:rsidR="00AB491B" w:rsidRPr="00AB491B" w:rsidRDefault="00AB491B" w:rsidP="00AB491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0" w:line="360" w:lineRule="auto"/>
        <w:rPr>
          <w:rFonts w:ascii="Arial" w:eastAsia="Times New Roman" w:hAnsi="Arial" w:cs="Arial"/>
          <w:color w:val="0F1115"/>
          <w:kern w:val="0"/>
          <w14:ligatures w14:val="none"/>
        </w:rPr>
      </w:pPr>
    </w:p>
    <w:p w14:paraId="4DC1EB94" w14:textId="21235139" w:rsidR="00C732C5" w:rsidRPr="005B52FB" w:rsidRDefault="00AB491B" w:rsidP="00AB491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0" w:line="360" w:lineRule="auto"/>
        <w:rPr>
          <w:rFonts w:ascii="Arial" w:eastAsia="Times New Roman" w:hAnsi="Arial" w:cs="Arial"/>
          <w:color w:val="0F1115"/>
          <w:kern w:val="0"/>
          <w14:ligatures w14:val="none"/>
        </w:rPr>
      </w:pPr>
      <w:r w:rsidRPr="00AB491B">
        <w:rPr>
          <w:rFonts w:ascii="Arial" w:eastAsia="Times New Roman" w:hAnsi="Arial" w:cs="Arial"/>
          <w:color w:val="0F1115"/>
          <w:kern w:val="0"/>
          <w14:ligatures w14:val="none"/>
        </w:rPr>
        <w:t>As the newly appointed Chief Financial Officer (CFO), my immediate priority is to stabilize the firm's financial position, identify the root causes of underperformance, and design a recovery strategy that ensures long-term sustainability. This report will provide a comprehensive assessment of GE's financial performance, analyze key problem areas, and outline potential strategies to restore profitability and shareholder confidence.</w:t>
      </w:r>
    </w:p>
    <w:p w14:paraId="1DBF6A04" w14:textId="77777777" w:rsidR="005B52FB" w:rsidRPr="005B52FB" w:rsidRDefault="005B52FB" w:rsidP="005B52F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0" w:line="360" w:lineRule="auto"/>
        <w:rPr>
          <w:rFonts w:ascii="Arial" w:eastAsia="Times New Roman" w:hAnsi="Arial" w:cs="Arial"/>
          <w:color w:val="0F1115"/>
          <w:kern w:val="0"/>
          <w14:ligatures w14:val="none"/>
        </w:rPr>
      </w:pPr>
    </w:p>
    <w:p w14:paraId="71BD36C7" w14:textId="53010D93" w:rsidR="004A4AF2" w:rsidRPr="00EC26B4" w:rsidRDefault="004A4AF2" w:rsidP="00EC26B4">
      <w:pPr>
        <w:pStyle w:val="Heading2"/>
        <w:spacing w:line="360" w:lineRule="auto"/>
        <w:rPr>
          <w:rFonts w:ascii="Arial" w:hAnsi="Arial" w:cs="Arial"/>
        </w:rPr>
      </w:pPr>
      <w:bookmarkStart w:id="2" w:name="_Toc214811802"/>
      <w:r w:rsidRPr="00EC26B4">
        <w:rPr>
          <w:rFonts w:ascii="Arial" w:hAnsi="Arial" w:cs="Arial"/>
        </w:rPr>
        <w:t>Summary</w:t>
      </w:r>
      <w:bookmarkEnd w:id="2"/>
    </w:p>
    <w:p w14:paraId="4AA199E5" w14:textId="55BD0930" w:rsidR="004A4AF2" w:rsidRPr="00EC26B4" w:rsidRDefault="004A4AF2" w:rsidP="00EC26B4">
      <w:pPr>
        <w:spacing w:line="360" w:lineRule="auto"/>
        <w:jc w:val="both"/>
        <w:rPr>
          <w:rFonts w:ascii="Arial" w:hAnsi="Arial" w:cs="Arial"/>
        </w:rPr>
      </w:pPr>
      <w:r w:rsidRPr="00EC26B4">
        <w:rPr>
          <w:rFonts w:ascii="Arial" w:hAnsi="Arial" w:cs="Arial"/>
        </w:rPr>
        <w:t>General Electronics has seen a significant decline in its financial situation during the last five years. From £</w:t>
      </w:r>
      <w:r w:rsidR="00107275">
        <w:rPr>
          <w:rFonts w:ascii="Arial" w:hAnsi="Arial" w:cs="Arial"/>
        </w:rPr>
        <w:t xml:space="preserve">614,700 million in 2020 to £394,900 million in 2024, net sales fell precipitously, indicating a drop in demand and increased </w:t>
      </w:r>
      <w:r w:rsidRPr="00EC26B4">
        <w:rPr>
          <w:rFonts w:ascii="Arial" w:hAnsi="Arial" w:cs="Arial"/>
        </w:rPr>
        <w:t>competition. With excellent 2020 earnings giving way to nearly break-even results by 2022 and significant net losses of £98.2</w:t>
      </w:r>
      <w:r w:rsidR="006A3CFB">
        <w:rPr>
          <w:rFonts w:ascii="Arial" w:hAnsi="Arial" w:cs="Arial"/>
        </w:rPr>
        <w:t>38</w:t>
      </w:r>
      <w:r w:rsidRPr="00EC26B4">
        <w:rPr>
          <w:rFonts w:ascii="Arial" w:hAnsi="Arial" w:cs="Arial"/>
        </w:rPr>
        <w:t xml:space="preserve"> </w:t>
      </w:r>
      <w:r w:rsidR="007E0F63">
        <w:rPr>
          <w:rFonts w:ascii="Arial" w:hAnsi="Arial" w:cs="Arial"/>
        </w:rPr>
        <w:t>million</w:t>
      </w:r>
      <w:r w:rsidRPr="00EC26B4">
        <w:rPr>
          <w:rFonts w:ascii="Arial" w:hAnsi="Arial" w:cs="Arial"/>
        </w:rPr>
        <w:t xml:space="preserve"> in 2023 and £24.0</w:t>
      </w:r>
      <w:r w:rsidR="006A3CFB">
        <w:rPr>
          <w:rFonts w:ascii="Arial" w:hAnsi="Arial" w:cs="Arial"/>
        </w:rPr>
        <w:t xml:space="preserve">29 </w:t>
      </w:r>
      <w:r w:rsidR="007E0F63">
        <w:rPr>
          <w:rFonts w:ascii="Arial" w:hAnsi="Arial" w:cs="Arial"/>
        </w:rPr>
        <w:t>million</w:t>
      </w:r>
      <w:r w:rsidRPr="00EC26B4">
        <w:rPr>
          <w:rFonts w:ascii="Arial" w:hAnsi="Arial" w:cs="Arial"/>
        </w:rPr>
        <w:t xml:space="preserve"> in 2024, profitability collapsed. In addition, operating income </w:t>
      </w:r>
      <w:r w:rsidR="00107275">
        <w:rPr>
          <w:rFonts w:ascii="Arial" w:hAnsi="Arial" w:cs="Arial"/>
        </w:rPr>
        <w:t>turned negative, indicating increased</w:t>
      </w:r>
      <w:r w:rsidRPr="00EC26B4">
        <w:rPr>
          <w:rFonts w:ascii="Arial" w:hAnsi="Arial" w:cs="Arial"/>
        </w:rPr>
        <w:t xml:space="preserve"> inefficiency.</w:t>
      </w:r>
    </w:p>
    <w:p w14:paraId="1D58C91C" w14:textId="77777777" w:rsidR="004A4AF2" w:rsidRPr="00EC26B4" w:rsidRDefault="004A4AF2" w:rsidP="00EC26B4">
      <w:pPr>
        <w:spacing w:line="360" w:lineRule="auto"/>
        <w:jc w:val="both"/>
        <w:rPr>
          <w:rFonts w:ascii="Arial" w:hAnsi="Arial" w:cs="Arial"/>
        </w:rPr>
      </w:pPr>
    </w:p>
    <w:p w14:paraId="49FDC828" w14:textId="1D8229A6" w:rsidR="004A4AF2" w:rsidRPr="00EC26B4" w:rsidRDefault="004A4AF2" w:rsidP="00EC26B4">
      <w:pPr>
        <w:spacing w:line="360" w:lineRule="auto"/>
        <w:jc w:val="both"/>
        <w:rPr>
          <w:rFonts w:ascii="Arial" w:hAnsi="Arial" w:cs="Arial"/>
        </w:rPr>
      </w:pPr>
      <w:r w:rsidRPr="00EC26B4">
        <w:rPr>
          <w:rFonts w:ascii="Arial" w:hAnsi="Arial" w:cs="Arial"/>
        </w:rPr>
        <w:lastRenderedPageBreak/>
        <w:t xml:space="preserve">The balance sheet shows significant asset shrinkage, with total assets falling 37% </w:t>
      </w:r>
      <w:r w:rsidR="00107275" w:rsidRPr="00107275">
        <w:rPr>
          <w:rFonts w:ascii="Arial" w:hAnsi="Arial" w:cs="Arial"/>
        </w:rPr>
        <w:t>to £323,354 million, and shareholders’ equity dropping from £313,301 million to £153,105 million</w:t>
      </w:r>
      <w:r w:rsidRPr="00107275">
        <w:rPr>
          <w:rFonts w:ascii="Arial" w:hAnsi="Arial" w:cs="Arial"/>
        </w:rPr>
        <w:t>.</w:t>
      </w:r>
      <w:r w:rsidRPr="00EC26B4">
        <w:rPr>
          <w:rFonts w:ascii="Arial" w:hAnsi="Arial" w:cs="Arial"/>
        </w:rPr>
        <w:t xml:space="preserve"> Despite heavy reliance on credit facilities, debt financing has failed to restore growth. Cash flow trends reveal instability: while operations remain positive, investment returns are poor, and financing decisions have drained liquidity.</w:t>
      </w:r>
    </w:p>
    <w:p w14:paraId="27F47C8D" w14:textId="77777777" w:rsidR="004A4AF2" w:rsidRPr="00EC26B4" w:rsidRDefault="004A4AF2" w:rsidP="00EC26B4">
      <w:pPr>
        <w:spacing w:line="360" w:lineRule="auto"/>
        <w:jc w:val="both"/>
        <w:rPr>
          <w:rFonts w:ascii="Arial" w:hAnsi="Arial" w:cs="Arial"/>
        </w:rPr>
      </w:pPr>
      <w:r w:rsidRPr="00EC26B4">
        <w:rPr>
          <w:rFonts w:ascii="Arial" w:hAnsi="Arial" w:cs="Arial"/>
        </w:rPr>
        <w:t>Earnings per share deteriorated from £2.78 to -£1.85, eroding shareholder value. Overall, GE faces declining revenues, weak profitability, inefficient capital use, and falling investor confidence, requiring urgent strategic intervention.</w:t>
      </w:r>
    </w:p>
    <w:p w14:paraId="4B5FF981" w14:textId="1DE4CF50" w:rsidR="009B0C23" w:rsidRPr="00EC26B4" w:rsidRDefault="009B0C23" w:rsidP="00EC26B4">
      <w:pPr>
        <w:spacing w:line="360" w:lineRule="auto"/>
        <w:jc w:val="both"/>
        <w:rPr>
          <w:rFonts w:ascii="Arial" w:hAnsi="Arial" w:cs="Arial"/>
        </w:rPr>
      </w:pPr>
      <w:r w:rsidRPr="00EC26B4">
        <w:rPr>
          <w:rFonts w:ascii="Arial" w:hAnsi="Arial" w:cs="Arial"/>
          <w:noProof/>
        </w:rPr>
        <w:drawing>
          <wp:inline distT="0" distB="0" distL="0" distR="0" wp14:anchorId="6DF20328" wp14:editId="6834B2F0">
            <wp:extent cx="5943600" cy="2080895"/>
            <wp:effectExtent l="0" t="0" r="0" b="0"/>
            <wp:docPr id="17771961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196174" name="Picture 1777196174"/>
                    <pic:cNvPicPr/>
                  </pic:nvPicPr>
                  <pic:blipFill>
                    <a:blip r:embed="rId10">
                      <a:extLst>
                        <a:ext uri="{28A0092B-C50C-407E-A947-70E740481C1C}">
                          <a14:useLocalDpi xmlns:a14="http://schemas.microsoft.com/office/drawing/2010/main" val="0"/>
                        </a:ext>
                      </a:extLst>
                    </a:blip>
                    <a:stretch>
                      <a:fillRect/>
                    </a:stretch>
                  </pic:blipFill>
                  <pic:spPr>
                    <a:xfrm>
                      <a:off x="0" y="0"/>
                      <a:ext cx="5943600" cy="2080895"/>
                    </a:xfrm>
                    <a:prstGeom prst="rect">
                      <a:avLst/>
                    </a:prstGeom>
                  </pic:spPr>
                </pic:pic>
              </a:graphicData>
            </a:graphic>
          </wp:inline>
        </w:drawing>
      </w:r>
    </w:p>
    <w:p w14:paraId="76FF721F" w14:textId="6A6A30AA" w:rsidR="007E044C" w:rsidRPr="007E044C" w:rsidRDefault="00C04562" w:rsidP="007E044C">
      <w:pPr>
        <w:spacing w:line="360" w:lineRule="auto"/>
        <w:jc w:val="both"/>
        <w:rPr>
          <w:rFonts w:ascii="Arial" w:hAnsi="Arial" w:cs="Arial"/>
        </w:rPr>
      </w:pPr>
      <w:r>
        <w:rPr>
          <w:rFonts w:ascii="Arial" w:hAnsi="Arial" w:cs="Arial"/>
        </w:rPr>
        <w:t>Figure 1:</w:t>
      </w:r>
      <w:r w:rsidR="007E044C">
        <w:rPr>
          <w:rFonts w:ascii="Arial" w:hAnsi="Arial" w:cs="Arial"/>
          <w:b/>
          <w:bCs/>
        </w:rPr>
        <w:t xml:space="preserve"> </w:t>
      </w:r>
      <w:r w:rsidR="007E044C" w:rsidRPr="007E044C">
        <w:rPr>
          <w:rFonts w:ascii="Arial" w:hAnsi="Arial" w:cs="Arial"/>
        </w:rPr>
        <w:t xml:space="preserve">General Electronics Consolidated Balance Sheet (2020-2024, £ </w:t>
      </w:r>
      <w:r w:rsidR="00107275" w:rsidRPr="007E044C">
        <w:rPr>
          <w:rFonts w:ascii="Arial" w:hAnsi="Arial" w:cs="Arial"/>
        </w:rPr>
        <w:t>million</w:t>
      </w:r>
      <w:r w:rsidR="007E044C" w:rsidRPr="007E044C">
        <w:rPr>
          <w:rFonts w:ascii="Arial" w:hAnsi="Arial" w:cs="Arial"/>
        </w:rPr>
        <w:t>)</w:t>
      </w:r>
    </w:p>
    <w:p w14:paraId="2CE812DA" w14:textId="40CA1349" w:rsidR="009A23E8" w:rsidRPr="00EC26B4" w:rsidRDefault="009A23E8" w:rsidP="007E044C">
      <w:pPr>
        <w:pStyle w:val="Heading2"/>
      </w:pPr>
      <w:bookmarkStart w:id="3" w:name="_Toc214811803"/>
      <w:r w:rsidRPr="00EC26B4">
        <w:t>Proposed Turnaround Strategy</w:t>
      </w:r>
      <w:bookmarkEnd w:id="3"/>
    </w:p>
    <w:p w14:paraId="5E27F243" w14:textId="1DF96741" w:rsidR="009A23E8" w:rsidRPr="00C04562" w:rsidRDefault="009A23E8" w:rsidP="00EC26B4">
      <w:pPr>
        <w:spacing w:line="360" w:lineRule="auto"/>
        <w:rPr>
          <w:rFonts w:ascii="Arial" w:hAnsi="Arial" w:cs="Arial"/>
        </w:rPr>
      </w:pPr>
      <w:r w:rsidRPr="00C04562">
        <w:rPr>
          <w:rFonts w:ascii="Arial" w:hAnsi="Arial" w:cs="Arial"/>
        </w:rPr>
        <w:t xml:space="preserve">General Electronics is facing a critical financial and strategic crisis, requiring a comprehensive turnaround plan to restore competitiveness and stability. The </w:t>
      </w:r>
      <w:proofErr w:type="gramStart"/>
      <w:r w:rsidRPr="00C04562">
        <w:rPr>
          <w:rFonts w:ascii="Arial" w:hAnsi="Arial" w:cs="Arial"/>
        </w:rPr>
        <w:t>first priority</w:t>
      </w:r>
      <w:proofErr w:type="gramEnd"/>
      <w:r w:rsidRPr="00C04562">
        <w:rPr>
          <w:rFonts w:ascii="Arial" w:hAnsi="Arial" w:cs="Arial"/>
        </w:rPr>
        <w:t xml:space="preserve"> is to </w:t>
      </w:r>
      <w:r w:rsidR="00713213">
        <w:rPr>
          <w:rFonts w:ascii="Arial" w:hAnsi="Arial" w:cs="Arial"/>
        </w:rPr>
        <w:t>stabilize</w:t>
      </w:r>
      <w:r w:rsidRPr="00C04562">
        <w:rPr>
          <w:rFonts w:ascii="Arial" w:hAnsi="Arial" w:cs="Arial"/>
        </w:rPr>
        <w:t xml:space="preserve"> revenue. Sales have fallen sharply from £614.7</w:t>
      </w:r>
      <w:r w:rsidR="00107275">
        <w:rPr>
          <w:rFonts w:ascii="Arial" w:hAnsi="Arial" w:cs="Arial"/>
        </w:rPr>
        <w:t>00 million</w:t>
      </w:r>
      <w:r w:rsidRPr="00C04562">
        <w:rPr>
          <w:rFonts w:ascii="Arial" w:hAnsi="Arial" w:cs="Arial"/>
        </w:rPr>
        <w:t xml:space="preserve"> in 2020 to £394.9</w:t>
      </w:r>
      <w:r w:rsidR="00107275">
        <w:rPr>
          <w:rFonts w:ascii="Arial" w:hAnsi="Arial" w:cs="Arial"/>
        </w:rPr>
        <w:t>00 million</w:t>
      </w:r>
      <w:r w:rsidRPr="00C04562">
        <w:rPr>
          <w:rFonts w:ascii="Arial" w:hAnsi="Arial" w:cs="Arial"/>
        </w:rPr>
        <w:t xml:space="preserve"> in 2024, a decline of 36%. To address this, the company must reposition its portfolio towards high-demand consumer products such as smart devices, IoT solutions, and wearables. At the same time, expansion into emerging markets and the adoption of subscription-based after-sales services will provide more predictable, recurring income streams (PwC, 2023).</w:t>
      </w:r>
    </w:p>
    <w:p w14:paraId="3D85CF9A" w14:textId="7C559CF3" w:rsidR="009A23E8" w:rsidRPr="00C04562" w:rsidRDefault="009A23E8" w:rsidP="00EC26B4">
      <w:pPr>
        <w:spacing w:line="360" w:lineRule="auto"/>
        <w:rPr>
          <w:rFonts w:ascii="Arial" w:hAnsi="Arial" w:cs="Arial"/>
        </w:rPr>
      </w:pPr>
      <w:r w:rsidRPr="00C04562">
        <w:rPr>
          <w:rFonts w:ascii="Arial" w:hAnsi="Arial" w:cs="Arial"/>
        </w:rPr>
        <w:t>The second priority is to control costs. Operating expenses reached £182.</w:t>
      </w:r>
      <w:r w:rsidR="006A3CFB">
        <w:rPr>
          <w:rFonts w:ascii="Arial" w:hAnsi="Arial" w:cs="Arial"/>
        </w:rPr>
        <w:t xml:space="preserve">861 </w:t>
      </w:r>
      <w:r w:rsidR="00107275">
        <w:rPr>
          <w:rFonts w:ascii="Arial" w:hAnsi="Arial" w:cs="Arial"/>
        </w:rPr>
        <w:t>million</w:t>
      </w:r>
      <w:r w:rsidR="00CC5D62">
        <w:rPr>
          <w:rFonts w:ascii="Arial" w:hAnsi="Arial" w:cs="Arial"/>
        </w:rPr>
        <w:t xml:space="preserve"> </w:t>
      </w:r>
      <w:r w:rsidRPr="00C04562">
        <w:rPr>
          <w:rFonts w:ascii="Arial" w:hAnsi="Arial" w:cs="Arial"/>
        </w:rPr>
        <w:t>in 2023, driving a record loss of £98</w:t>
      </w:r>
      <w:r w:rsidR="00107275">
        <w:rPr>
          <w:rFonts w:ascii="Arial" w:hAnsi="Arial" w:cs="Arial"/>
        </w:rPr>
        <w:t>.</w:t>
      </w:r>
      <w:r w:rsidRPr="00C04562">
        <w:rPr>
          <w:rFonts w:ascii="Arial" w:hAnsi="Arial" w:cs="Arial"/>
        </w:rPr>
        <w:t>2</w:t>
      </w:r>
      <w:r w:rsidR="006A3CFB">
        <w:rPr>
          <w:rFonts w:ascii="Arial" w:hAnsi="Arial" w:cs="Arial"/>
        </w:rPr>
        <w:t>38</w:t>
      </w:r>
      <w:r w:rsidR="00107275">
        <w:rPr>
          <w:rFonts w:ascii="Arial" w:hAnsi="Arial" w:cs="Arial"/>
        </w:rPr>
        <w:t xml:space="preserve"> million</w:t>
      </w:r>
      <w:r w:rsidRPr="00C04562">
        <w:rPr>
          <w:rFonts w:ascii="Arial" w:hAnsi="Arial" w:cs="Arial"/>
        </w:rPr>
        <w:t xml:space="preserve">. Strict cost management is essential, including reductions in SG&amp;A expenses, streamlining of the supply chain, and </w:t>
      </w:r>
      <w:r w:rsidRPr="00C04562">
        <w:rPr>
          <w:rFonts w:ascii="Arial" w:hAnsi="Arial" w:cs="Arial"/>
        </w:rPr>
        <w:lastRenderedPageBreak/>
        <w:t>divestiture of underperforming units. Investments in automation and AI can also deliver long-term efficiency gains (Deloitte, 2022).</w:t>
      </w:r>
    </w:p>
    <w:p w14:paraId="517A29ED" w14:textId="53BCCE00" w:rsidR="009A23E8" w:rsidRPr="00C04562" w:rsidRDefault="009A23E8" w:rsidP="00EC26B4">
      <w:pPr>
        <w:spacing w:line="360" w:lineRule="auto"/>
        <w:rPr>
          <w:rFonts w:ascii="Arial" w:hAnsi="Arial" w:cs="Arial"/>
        </w:rPr>
      </w:pPr>
      <w:r w:rsidRPr="00C04562">
        <w:rPr>
          <w:rFonts w:ascii="Arial" w:hAnsi="Arial" w:cs="Arial"/>
        </w:rPr>
        <w:t>A third pillar of the strategy is to restore profitability and cash flow. Net profit has collapsed, and operating cash flow fell from £73.4</w:t>
      </w:r>
      <w:r w:rsidR="00CC5D62">
        <w:rPr>
          <w:rFonts w:ascii="Arial" w:hAnsi="Arial" w:cs="Arial"/>
        </w:rPr>
        <w:t>00</w:t>
      </w:r>
      <w:r w:rsidR="00107275">
        <w:rPr>
          <w:rFonts w:ascii="Arial" w:hAnsi="Arial" w:cs="Arial"/>
        </w:rPr>
        <w:t xml:space="preserve"> million</w:t>
      </w:r>
      <w:r w:rsidRPr="00C04562">
        <w:rPr>
          <w:rFonts w:ascii="Arial" w:hAnsi="Arial" w:cs="Arial"/>
        </w:rPr>
        <w:t xml:space="preserve"> in 2020 to £14.8</w:t>
      </w:r>
      <w:r w:rsidR="00CC5D62">
        <w:rPr>
          <w:rFonts w:ascii="Arial" w:hAnsi="Arial" w:cs="Arial"/>
        </w:rPr>
        <w:t>00</w:t>
      </w:r>
      <w:r w:rsidR="00107275">
        <w:rPr>
          <w:rFonts w:ascii="Arial" w:hAnsi="Arial" w:cs="Arial"/>
        </w:rPr>
        <w:t xml:space="preserve"> million</w:t>
      </w:r>
      <w:r w:rsidRPr="00C04562">
        <w:rPr>
          <w:rFonts w:ascii="Arial" w:hAnsi="Arial" w:cs="Arial"/>
        </w:rPr>
        <w:t xml:space="preserve"> in 2024. The company must focus on higher-margin products, adjust pricing to reflect inflation, and strengthen liquidity </w:t>
      </w:r>
      <w:r w:rsidR="00107275">
        <w:rPr>
          <w:rFonts w:ascii="Arial" w:hAnsi="Arial" w:cs="Arial"/>
        </w:rPr>
        <w:t>by tightening cash collection and renegotiating</w:t>
      </w:r>
      <w:r w:rsidRPr="00C04562">
        <w:rPr>
          <w:rFonts w:ascii="Arial" w:hAnsi="Arial" w:cs="Arial"/>
        </w:rPr>
        <w:t xml:space="preserve"> supplier terms (Arnold, 2019).</w:t>
      </w:r>
    </w:p>
    <w:p w14:paraId="69608210" w14:textId="77777777" w:rsidR="00A63E91" w:rsidRDefault="009A23E8" w:rsidP="00EC26B4">
      <w:pPr>
        <w:spacing w:line="360" w:lineRule="auto"/>
        <w:rPr>
          <w:rFonts w:ascii="Arial" w:hAnsi="Arial" w:cs="Arial"/>
        </w:rPr>
      </w:pPr>
      <w:r w:rsidRPr="00C04562">
        <w:rPr>
          <w:rFonts w:ascii="Arial" w:hAnsi="Arial" w:cs="Arial"/>
        </w:rPr>
        <w:t xml:space="preserve">Finally, General Electronics must repair its balance sheet and drive innovation. Equity has halved, and cash reserves are depleted. Raising new equity, restructuring debt, and suspending dividends will </w:t>
      </w:r>
      <w:r w:rsidR="00107275" w:rsidRPr="00C04562">
        <w:rPr>
          <w:rFonts w:ascii="Arial" w:hAnsi="Arial" w:cs="Arial"/>
        </w:rPr>
        <w:t>stabilize</w:t>
      </w:r>
      <w:r w:rsidRPr="00C04562">
        <w:rPr>
          <w:rFonts w:ascii="Arial" w:hAnsi="Arial" w:cs="Arial"/>
        </w:rPr>
        <w:t xml:space="preserve"> finances. Meanwhile, R&amp;D should be redirected towards sustainable technologies and partnerships with digital platforms, positioning the firm for long-term recovery (Koller et al., 2020)</w:t>
      </w:r>
      <w:r w:rsidR="00A63E91">
        <w:rPr>
          <w:rFonts w:ascii="Arial" w:hAnsi="Arial" w:cs="Arial"/>
        </w:rPr>
        <w:t>.</w:t>
      </w:r>
    </w:p>
    <w:p w14:paraId="10E9C5E9" w14:textId="1C6BA9DF" w:rsidR="00A63E91" w:rsidRPr="00C04562" w:rsidRDefault="00A63E91" w:rsidP="00EC26B4">
      <w:pPr>
        <w:spacing w:line="360" w:lineRule="auto"/>
        <w:rPr>
          <w:rFonts w:ascii="Arial" w:hAnsi="Arial" w:cs="Arial"/>
        </w:rPr>
      </w:pPr>
      <w:r w:rsidRPr="00A63E91">
        <w:rPr>
          <w:rFonts w:ascii="Arial" w:hAnsi="Arial" w:cs="Arial"/>
        </w:rPr>
        <w:t xml:space="preserve">This report's analysis is grounded in key financial theories that provide the framework for diagnosis and strategic recommendations. The diagnostic phase </w:t>
      </w:r>
      <w:proofErr w:type="spellStart"/>
      <w:r w:rsidRPr="00A63E91">
        <w:rPr>
          <w:rFonts w:ascii="Arial" w:hAnsi="Arial" w:cs="Arial"/>
        </w:rPr>
        <w:t>utilises</w:t>
      </w:r>
      <w:proofErr w:type="spellEnd"/>
      <w:r w:rsidRPr="00A63E91">
        <w:rPr>
          <w:rFonts w:ascii="Arial" w:hAnsi="Arial" w:cs="Arial"/>
        </w:rPr>
        <w:t xml:space="preserve"> the foundational ratio analysis framework established by Arnold (2013) and the seminal corporate failure prediction model of Altman (1968). The restructuring recommendations engage with the core dilemma of capital structure, acknowledging the theoretical ideal of Modigliani and Miller (1958) while operating in the real-world context where bankruptcy costs make excessive leverage unsustainable. Finally, the investment appraisal critically evaluates the strict Net Present Value (NPV) rule (Brealey, Myers and Allen, 2020) by applying it within the practical constraints of capital rationing and financial distress, as explored by Gill, </w:t>
      </w:r>
      <w:proofErr w:type="spellStart"/>
      <w:r w:rsidRPr="00A63E91">
        <w:rPr>
          <w:rFonts w:ascii="Arial" w:hAnsi="Arial" w:cs="Arial"/>
        </w:rPr>
        <w:t>Biger</w:t>
      </w:r>
      <w:proofErr w:type="spellEnd"/>
      <w:r w:rsidRPr="00A63E91">
        <w:rPr>
          <w:rFonts w:ascii="Arial" w:hAnsi="Arial" w:cs="Arial"/>
        </w:rPr>
        <w:t xml:space="preserve"> and Mathur (2010).</w:t>
      </w:r>
    </w:p>
    <w:p w14:paraId="65C75DAB" w14:textId="5C4E008B" w:rsidR="00CB14BE" w:rsidRPr="00EC26B4" w:rsidRDefault="00CB14BE" w:rsidP="006D438F">
      <w:pPr>
        <w:pStyle w:val="Heading1"/>
      </w:pPr>
      <w:bookmarkStart w:id="4" w:name="_Toc214811804"/>
      <w:r w:rsidRPr="00EC26B4">
        <w:t>Financial Health Check</w:t>
      </w:r>
      <w:r w:rsidR="00A0047C" w:rsidRPr="00EC26B4">
        <w:t>.</w:t>
      </w:r>
      <w:bookmarkEnd w:id="4"/>
    </w:p>
    <w:p w14:paraId="2C6151F3" w14:textId="321D6311" w:rsidR="00CB14BE" w:rsidRPr="00EC26B4" w:rsidRDefault="00CB14BE" w:rsidP="006D438F">
      <w:pPr>
        <w:pStyle w:val="Heading2"/>
      </w:pPr>
      <w:bookmarkStart w:id="5" w:name="_Toc214811805"/>
      <w:r w:rsidRPr="00EC26B4">
        <w:t>Introduction to the Analytical Framework</w:t>
      </w:r>
      <w:bookmarkEnd w:id="5"/>
    </w:p>
    <w:p w14:paraId="6AED15BB" w14:textId="77777777" w:rsidR="005B52FB" w:rsidRPr="005B52FB" w:rsidRDefault="00CB14BE" w:rsidP="005B52FB">
      <w:pPr>
        <w:spacing w:line="360" w:lineRule="auto"/>
        <w:rPr>
          <w:rFonts w:ascii="Arial" w:hAnsi="Arial" w:cs="Arial"/>
        </w:rPr>
      </w:pPr>
      <w:r w:rsidRPr="00CB14BE">
        <w:rPr>
          <w:rFonts w:ascii="Arial" w:hAnsi="Arial" w:cs="Arial"/>
        </w:rPr>
        <w:t xml:space="preserve">As the newly appointed CFO, the first imperative is to conduct a rigorous diagnostic of General Electronics' financial health over the past five years. </w:t>
      </w:r>
      <w:r w:rsidR="005B52FB" w:rsidRPr="005B52FB">
        <w:rPr>
          <w:rFonts w:ascii="Arial" w:hAnsi="Arial" w:cs="Arial"/>
        </w:rPr>
        <w:t xml:space="preserve">This analysis employs ratio analysis to evaluate performance across profitability, liquidity, efficiency, and </w:t>
      </w:r>
      <w:r w:rsidR="005B52FB" w:rsidRPr="005B52FB">
        <w:rPr>
          <w:rFonts w:ascii="Arial" w:hAnsi="Arial" w:cs="Arial"/>
        </w:rPr>
        <w:lastRenderedPageBreak/>
        <w:t>leverage (Arnold, 2013), identifying root causes of decline from 2020-2024 to inform the turnaround strategy.</w:t>
      </w:r>
    </w:p>
    <w:p w14:paraId="2C918F2D" w14:textId="24678C9D" w:rsidR="00CB14BE" w:rsidRPr="00CB14BE" w:rsidRDefault="007D50ED" w:rsidP="00EC26B4">
      <w:pPr>
        <w:spacing w:line="360" w:lineRule="auto"/>
        <w:rPr>
          <w:rFonts w:ascii="Arial" w:hAnsi="Arial" w:cs="Arial"/>
        </w:rPr>
      </w:pPr>
      <w:r w:rsidRPr="007D50ED">
        <w:rPr>
          <w:rFonts w:ascii="Arial" w:hAnsi="Arial" w:cs="Arial"/>
        </w:rPr>
        <w:t xml:space="preserve">This analysis employs ratio analysis, a fundamental tool in financial management that allows for the evaluation of a company's performance across key dimensions: profitability, liquidity, efficiency, and leverage (Arnold, 2013). By examining trends from 2020 to 2024, this health check will identify the root causes of the company's decline, providing an evidence-based foundation for the subsequent turnaround strategy. A comprehensive ratio analysis was conducted across all key financial dimensions. The complete results, including year-on-year percentage changes that highlight the acceleration of the company's decline, are presented in Appendix Table </w:t>
      </w:r>
      <w:r w:rsidR="003B5938">
        <w:rPr>
          <w:rFonts w:ascii="Arial" w:hAnsi="Arial" w:cs="Arial"/>
        </w:rPr>
        <w:t>1.1</w:t>
      </w:r>
      <w:r w:rsidRPr="007D50ED">
        <w:rPr>
          <w:rFonts w:ascii="Arial" w:hAnsi="Arial" w:cs="Arial"/>
        </w:rPr>
        <w:t>. The most critical trends are discussed in detail below.</w:t>
      </w:r>
    </w:p>
    <w:p w14:paraId="672E7827" w14:textId="2015081F" w:rsidR="00CB14BE" w:rsidRPr="00EC26B4" w:rsidRDefault="00CB14BE" w:rsidP="006D438F">
      <w:pPr>
        <w:pStyle w:val="Heading2"/>
      </w:pPr>
      <w:bookmarkStart w:id="6" w:name="_Toc214811806"/>
      <w:r w:rsidRPr="00EC26B4">
        <w:t>Profitability Analysis: A Story of Collapse</w:t>
      </w:r>
      <w:bookmarkEnd w:id="6"/>
    </w:p>
    <w:p w14:paraId="7CC462F4" w14:textId="77777777" w:rsidR="00CB14BE" w:rsidRPr="00CB14BE" w:rsidRDefault="00CB14BE" w:rsidP="00EC26B4">
      <w:pPr>
        <w:spacing w:line="360" w:lineRule="auto"/>
        <w:rPr>
          <w:rFonts w:ascii="Arial" w:hAnsi="Arial" w:cs="Arial"/>
        </w:rPr>
      </w:pPr>
      <w:r w:rsidRPr="00CB14BE">
        <w:rPr>
          <w:rFonts w:ascii="Arial" w:hAnsi="Arial" w:cs="Arial"/>
        </w:rPr>
        <w:t>Profitability ratios measure a company's ability to generate earnings relative to its sales, assets, and equity. The analysis for General Electronics reveals an alarming descent into unprofitability.</w:t>
      </w:r>
    </w:p>
    <w:p w14:paraId="15153556" w14:textId="77777777" w:rsidR="00CB14BE" w:rsidRPr="00CB14BE" w:rsidRDefault="00CB14BE" w:rsidP="00EC26B4">
      <w:pPr>
        <w:spacing w:line="360" w:lineRule="auto"/>
        <w:rPr>
          <w:rFonts w:ascii="Arial" w:hAnsi="Arial" w:cs="Arial"/>
        </w:rPr>
      </w:pPr>
      <w:r w:rsidRPr="00CB14BE">
        <w:rPr>
          <w:rFonts w:ascii="Arial" w:hAnsi="Arial" w:cs="Arial"/>
        </w:rPr>
        <w:t>The </w:t>
      </w:r>
      <w:r w:rsidRPr="00ED147C">
        <w:rPr>
          <w:rFonts w:ascii="Arial" w:hAnsi="Arial" w:cs="Arial"/>
        </w:rPr>
        <w:t>Gross Profit Margin</w:t>
      </w:r>
      <w:r w:rsidRPr="00CB14BE">
        <w:rPr>
          <w:rFonts w:ascii="Arial" w:hAnsi="Arial" w:cs="Arial"/>
        </w:rPr>
        <w:t> remained relatively stable between 2020 and 2022, fluctuating from 28.7% to 28.1% (General Electronics, 2020-2022). However, a sharp drop to 23.2% in 2023 signals a potential crisis in pricing power or a surge in direct costs, before a recovery to 28.9% in 2024 (General Electronics, 2023-2024). The more telling narrative unfolds in the operating and net margins.</w:t>
      </w:r>
    </w:p>
    <w:p w14:paraId="69ABE01C" w14:textId="77777777" w:rsidR="00CB14BE" w:rsidRPr="00CB14BE" w:rsidRDefault="00CB14BE" w:rsidP="00EC26B4">
      <w:pPr>
        <w:spacing w:line="360" w:lineRule="auto"/>
        <w:rPr>
          <w:rFonts w:ascii="Arial" w:hAnsi="Arial" w:cs="Arial"/>
        </w:rPr>
      </w:pPr>
      <w:r w:rsidRPr="00CB14BE">
        <w:rPr>
          <w:rFonts w:ascii="Arial" w:hAnsi="Arial" w:cs="Arial"/>
        </w:rPr>
        <w:t>The </w:t>
      </w:r>
      <w:r w:rsidRPr="00ED147C">
        <w:rPr>
          <w:rFonts w:ascii="Arial" w:hAnsi="Arial" w:cs="Arial"/>
        </w:rPr>
        <w:t>Operating Profit Margin</w:t>
      </w:r>
      <w:r w:rsidRPr="00CB14BE">
        <w:rPr>
          <w:rFonts w:ascii="Arial" w:hAnsi="Arial" w:cs="Arial"/>
        </w:rPr>
        <w:t> collapsed from a healthy 6.1% in 2020 to a deeply negative -3.9% in 2024. This was driven by an unsustainable surge in operating expenses, which ballooned to £182,861 million in 2023, largely due to a £49,075 million goodwill impairment charge (General Electronics, 2023).</w:t>
      </w:r>
    </w:p>
    <w:p w14:paraId="01C17109" w14:textId="64B4922A" w:rsidR="00CB14BE" w:rsidRPr="00CB14BE" w:rsidRDefault="00CB14BE" w:rsidP="00EC26B4">
      <w:pPr>
        <w:spacing w:line="360" w:lineRule="auto"/>
        <w:rPr>
          <w:rFonts w:ascii="Arial" w:hAnsi="Arial" w:cs="Arial"/>
        </w:rPr>
      </w:pPr>
      <w:r w:rsidRPr="00CB14BE">
        <w:rPr>
          <w:rFonts w:ascii="Arial" w:hAnsi="Arial" w:cs="Arial"/>
        </w:rPr>
        <w:t>Consequently, the </w:t>
      </w:r>
      <w:r w:rsidRPr="00ED147C">
        <w:rPr>
          <w:rFonts w:ascii="Arial" w:hAnsi="Arial" w:cs="Arial"/>
        </w:rPr>
        <w:t>Net Profit Margin</w:t>
      </w:r>
      <w:r w:rsidRPr="00CB14BE">
        <w:rPr>
          <w:rFonts w:ascii="Arial" w:hAnsi="Arial" w:cs="Arial"/>
        </w:rPr>
        <w:t> fell from 6.3% in 2020 to a mere 0.1% in 2022, before plunging to -23.4% in 2023 and -6.1% in 2024. The company is now losing a significant amount on every pound of sales</w:t>
      </w:r>
      <w:r w:rsidR="00713213">
        <w:rPr>
          <w:rFonts w:ascii="Arial" w:hAnsi="Arial" w:cs="Arial"/>
        </w:rPr>
        <w:t xml:space="preserve"> it generates</w:t>
      </w:r>
      <w:r w:rsidRPr="00CB14BE">
        <w:rPr>
          <w:rFonts w:ascii="Arial" w:hAnsi="Arial" w:cs="Arial"/>
        </w:rPr>
        <w:t>.</w:t>
      </w:r>
    </w:p>
    <w:p w14:paraId="0240262E" w14:textId="0F2BDFAB" w:rsidR="0029258A" w:rsidRDefault="0029258A" w:rsidP="00EC26B4">
      <w:pPr>
        <w:spacing w:line="360" w:lineRule="auto"/>
        <w:rPr>
          <w:rFonts w:ascii="Arial" w:hAnsi="Arial" w:cs="Arial"/>
        </w:rPr>
      </w:pPr>
      <w:r>
        <w:rPr>
          <w:rFonts w:ascii="Arial" w:hAnsi="Arial" w:cs="Arial"/>
        </w:rPr>
        <w:t>Return on Capital Employed (ROCE) is a comprehensive profitability measure that shows how efficiently a</w:t>
      </w:r>
      <w:r w:rsidR="00CB14BE" w:rsidRPr="00ED147C">
        <w:rPr>
          <w:rFonts w:ascii="Arial" w:hAnsi="Arial" w:cs="Arial"/>
        </w:rPr>
        <w:t xml:space="preserve"> company uses its capital to generate profits. </w:t>
      </w:r>
    </w:p>
    <w:p w14:paraId="751A1818" w14:textId="3A5CB6BD" w:rsidR="00CB14BE" w:rsidRPr="00ED147C" w:rsidRDefault="0029258A" w:rsidP="00EC26B4">
      <w:pPr>
        <w:spacing w:line="360" w:lineRule="auto"/>
        <w:rPr>
          <w:rFonts w:ascii="Arial" w:hAnsi="Arial" w:cs="Arial"/>
        </w:rPr>
      </w:pPr>
      <w:r w:rsidRPr="00F6386C">
        <w:rPr>
          <w:rFonts w:ascii="Arial" w:hAnsi="Arial" w:cs="Arial"/>
          <w:b/>
          <w:bCs/>
        </w:rPr>
        <w:lastRenderedPageBreak/>
        <w:t>C</w:t>
      </w:r>
      <w:r w:rsidR="00CB14BE" w:rsidRPr="00F6386C">
        <w:rPr>
          <w:rFonts w:ascii="Arial" w:hAnsi="Arial" w:cs="Arial"/>
          <w:b/>
          <w:bCs/>
        </w:rPr>
        <w:t>alculation:</w:t>
      </w:r>
      <w:r w:rsidR="00CB14BE" w:rsidRPr="00ED147C">
        <w:rPr>
          <w:rFonts w:ascii="Arial" w:hAnsi="Arial" w:cs="Arial"/>
        </w:rPr>
        <w:br/>
        <w:t>ROCE = (Operating Income / Capital Employed) × 100, where Capital Employed = Total Assets - Current Liabilities.</w:t>
      </w:r>
      <w:r w:rsidR="00CB14BE" w:rsidRPr="00ED147C">
        <w:rPr>
          <w:rFonts w:ascii="Arial" w:hAnsi="Arial" w:cs="Arial"/>
        </w:rPr>
        <w:br/>
        <w:t>For 2024, this was: (-15,297 / (323,354 - 158,291)) × 100 = -9.3%.</w:t>
      </w:r>
    </w:p>
    <w:p w14:paraId="051B48E9" w14:textId="77777777" w:rsidR="00CB14BE" w:rsidRPr="00EC26B4" w:rsidRDefault="00CB14BE" w:rsidP="00EC26B4">
      <w:pPr>
        <w:spacing w:line="360" w:lineRule="auto"/>
        <w:rPr>
          <w:rFonts w:ascii="Arial" w:hAnsi="Arial" w:cs="Arial"/>
        </w:rPr>
      </w:pPr>
      <w:r w:rsidRPr="00ED147C">
        <w:rPr>
          <w:rFonts w:ascii="Arial" w:hAnsi="Arial" w:cs="Arial"/>
        </w:rPr>
        <w:t>The ROCE's decline from a respectable 11.3% in 2020 to -9.3% in 2024 is particularly damning. A negative ROCE signifies that the company is actively destroying value; the return from its operations is insufficient to cover the cost of the capital used to fund them (Brealey, Myers and Allen, 2020). Similarly, Return on Equity (ROE),</w:t>
      </w:r>
      <w:r w:rsidRPr="00CB14BE">
        <w:rPr>
          <w:rFonts w:ascii="Arial" w:hAnsi="Arial" w:cs="Arial"/>
        </w:rPr>
        <w:t xml:space="preserve"> which measures the return generated for shareholders, has catastrophically fallen from 12.3% to -15.7%, indicating that shareholder wealth is being eroded.</w:t>
      </w:r>
    </w:p>
    <w:p w14:paraId="418BF126" w14:textId="37CC1CB6" w:rsidR="00AB491B" w:rsidRDefault="00A0047C" w:rsidP="00AB491B">
      <w:pPr>
        <w:pStyle w:val="Heading3"/>
      </w:pPr>
      <w:bookmarkStart w:id="7" w:name="_Toc214811807"/>
      <w:r w:rsidRPr="00EC26B4">
        <w:t>Calculation Of Profitability Ratios</w:t>
      </w:r>
      <w:bookmarkEnd w:id="7"/>
    </w:p>
    <w:p w14:paraId="51E800B1" w14:textId="7662E798" w:rsidR="00AB491B" w:rsidRDefault="00AB491B" w:rsidP="00AB491B">
      <w:r>
        <w:rPr>
          <w:noProof/>
        </w:rPr>
        <w:drawing>
          <wp:inline distT="0" distB="0" distL="0" distR="0" wp14:anchorId="4B5BA070" wp14:editId="26EFC2A8">
            <wp:extent cx="5852160" cy="4754255"/>
            <wp:effectExtent l="0" t="0" r="0" b="8255"/>
            <wp:docPr id="13233211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321184" name="Picture 1323321184"/>
                    <pic:cNvPicPr/>
                  </pic:nvPicPr>
                  <pic:blipFill>
                    <a:blip r:embed="rId11">
                      <a:extLst>
                        <a:ext uri="{28A0092B-C50C-407E-A947-70E740481C1C}">
                          <a14:useLocalDpi xmlns:a14="http://schemas.microsoft.com/office/drawing/2010/main" val="0"/>
                        </a:ext>
                      </a:extLst>
                    </a:blip>
                    <a:stretch>
                      <a:fillRect/>
                    </a:stretch>
                  </pic:blipFill>
                  <pic:spPr>
                    <a:xfrm>
                      <a:off x="0" y="0"/>
                      <a:ext cx="5852759" cy="4754742"/>
                    </a:xfrm>
                    <a:prstGeom prst="rect">
                      <a:avLst/>
                    </a:prstGeom>
                  </pic:spPr>
                </pic:pic>
              </a:graphicData>
            </a:graphic>
          </wp:inline>
        </w:drawing>
      </w:r>
    </w:p>
    <w:p w14:paraId="397D87A7" w14:textId="0C5FDBC9" w:rsidR="00AB491B" w:rsidRPr="00FF2ECD" w:rsidRDefault="00AB491B" w:rsidP="00FF2ECD">
      <w:pPr>
        <w:spacing w:line="360" w:lineRule="auto"/>
        <w:rPr>
          <w:rFonts w:ascii="Arial" w:hAnsi="Arial" w:cs="Arial"/>
        </w:rPr>
      </w:pPr>
      <w:r w:rsidRPr="00FF2ECD">
        <w:rPr>
          <w:rFonts w:ascii="Arial" w:hAnsi="Arial" w:cs="Arial"/>
        </w:rPr>
        <w:t xml:space="preserve">Figure 2: Calculation of Profitability Ratios. </w:t>
      </w:r>
    </w:p>
    <w:p w14:paraId="02C8C453" w14:textId="70284A8C" w:rsidR="00CB14BE" w:rsidRPr="00EC26B4" w:rsidRDefault="00CB14BE" w:rsidP="006D438F">
      <w:pPr>
        <w:pStyle w:val="Heading2"/>
      </w:pPr>
      <w:bookmarkStart w:id="8" w:name="_Toc214811808"/>
      <w:r w:rsidRPr="00EC26B4">
        <w:lastRenderedPageBreak/>
        <w:t>Liquidity Analysis: A Looming Cash Crisis</w:t>
      </w:r>
      <w:bookmarkEnd w:id="8"/>
    </w:p>
    <w:p w14:paraId="6B206809" w14:textId="77777777" w:rsidR="00CB14BE" w:rsidRPr="00ED147C" w:rsidRDefault="00CB14BE" w:rsidP="00EC26B4">
      <w:pPr>
        <w:spacing w:line="360" w:lineRule="auto"/>
        <w:rPr>
          <w:rFonts w:ascii="Arial" w:hAnsi="Arial" w:cs="Arial"/>
        </w:rPr>
      </w:pPr>
      <w:r w:rsidRPr="00ED147C">
        <w:rPr>
          <w:rFonts w:ascii="Arial" w:hAnsi="Arial" w:cs="Arial"/>
        </w:rPr>
        <w:t>Liquidity ratios assess a company's ability to meet its short-term obligations. General Electronics presents a facade of stability that masks a severe underlying crisis.</w:t>
      </w:r>
    </w:p>
    <w:p w14:paraId="554410D7" w14:textId="77777777" w:rsidR="00CB14BE" w:rsidRPr="00ED147C" w:rsidRDefault="00CB14BE" w:rsidP="00EC26B4">
      <w:pPr>
        <w:spacing w:line="360" w:lineRule="auto"/>
        <w:rPr>
          <w:rFonts w:ascii="Arial" w:hAnsi="Arial" w:cs="Arial"/>
        </w:rPr>
      </w:pPr>
      <w:r w:rsidRPr="00ED147C">
        <w:rPr>
          <w:rFonts w:ascii="Arial" w:hAnsi="Arial" w:cs="Arial"/>
        </w:rPr>
        <w:t>The Current Ratio has remained within a seemingly acceptable range of 1.53 to 1.82. However, a more stringent measure, the Quick Ratio, reveals greater volatility, dipping to 0.91 in 2022. This indicates a potential over-reliance on inventory to meet short-term debts.</w:t>
      </w:r>
    </w:p>
    <w:p w14:paraId="2F46E458" w14:textId="6DA72DC0" w:rsidR="00CB14BE" w:rsidRDefault="00CB14BE" w:rsidP="00EC26B4">
      <w:pPr>
        <w:spacing w:line="360" w:lineRule="auto"/>
        <w:rPr>
          <w:rFonts w:ascii="Arial" w:hAnsi="Arial" w:cs="Arial"/>
        </w:rPr>
      </w:pPr>
      <w:r w:rsidRPr="00ED147C">
        <w:rPr>
          <w:rFonts w:ascii="Arial" w:hAnsi="Arial" w:cs="Arial"/>
        </w:rPr>
        <w:t>The most alarming liquidity indicator is the Cash Ratio, which has halved from 0.32 in 2020 to 0.17 in 2024. This demonstrates a rapid and severe depletion of the company's most liquid assets. The drawdown of cash reserves from £66,740 million in 2022 to just £26,783 million in 2024, coupled with a heavy reliance on volatile Lines of Credit, paints a picture of a company burning through its cash and increasingly dependent on short-term borrowing to fund daily operations</w:t>
      </w:r>
      <w:r w:rsidR="00676AE0">
        <w:rPr>
          <w:rFonts w:ascii="Arial" w:hAnsi="Arial" w:cs="Arial"/>
        </w:rPr>
        <w:t xml:space="preserve"> </w:t>
      </w:r>
      <w:r w:rsidRPr="00ED147C">
        <w:rPr>
          <w:rFonts w:ascii="Arial" w:hAnsi="Arial" w:cs="Arial"/>
        </w:rPr>
        <w:t>a classic precursor to financial distress (Damodaran, 2012).</w:t>
      </w:r>
    </w:p>
    <w:p w14:paraId="42BB781C" w14:textId="7617798C" w:rsidR="00676AE0" w:rsidRPr="00ED147C" w:rsidRDefault="00676AE0" w:rsidP="00EC26B4">
      <w:pPr>
        <w:spacing w:line="360" w:lineRule="auto"/>
        <w:rPr>
          <w:rFonts w:ascii="Arial" w:hAnsi="Arial" w:cs="Arial"/>
        </w:rPr>
      </w:pPr>
      <w:r w:rsidRPr="00636844">
        <w:rPr>
          <w:rFonts w:ascii="Arial" w:hAnsi="Arial" w:cs="Arial"/>
        </w:rPr>
        <w:t xml:space="preserve">A rudimentary but telling calculation of the 'cash runway' for core operations, excluding financing, reveals the acute nature of the crisis: with a Cost of Sales of £280,885 million per year, the company holds cash equivalent to just 35 days of operational costs (£280,885m / 365 = £770m per day; £26,783m / £770m </w:t>
      </w:r>
      <w:r>
        <w:rPr>
          <w:rFonts w:ascii="Arial" w:hAnsi="Arial" w:cs="Arial"/>
        </w:rPr>
        <w:t>=</w:t>
      </w:r>
      <w:r w:rsidRPr="00636844">
        <w:rPr>
          <w:rFonts w:ascii="Arial" w:hAnsi="Arial" w:cs="Arial"/>
        </w:rPr>
        <w:t xml:space="preserve"> 35 days). This offers virtually no buffer for operational setbacks or further sales decline.</w:t>
      </w:r>
    </w:p>
    <w:p w14:paraId="0C70162D" w14:textId="6735BD85" w:rsidR="00CB14BE" w:rsidRPr="00EC26B4" w:rsidRDefault="00A0047C" w:rsidP="009636DB">
      <w:pPr>
        <w:pStyle w:val="Heading3"/>
      </w:pPr>
      <w:bookmarkStart w:id="9" w:name="_Toc214811809"/>
      <w:r w:rsidRPr="00EC26B4">
        <w:lastRenderedPageBreak/>
        <w:t>Calculation Of Liquidity Ratios</w:t>
      </w:r>
      <w:bookmarkEnd w:id="9"/>
    </w:p>
    <w:p w14:paraId="51241A4D" w14:textId="41D3EF48" w:rsidR="00CB14BE" w:rsidRPr="00ED147C" w:rsidRDefault="00324687" w:rsidP="00324687">
      <w:pPr>
        <w:spacing w:line="360" w:lineRule="auto"/>
        <w:rPr>
          <w:rFonts w:ascii="Arial" w:hAnsi="Arial" w:cs="Arial"/>
        </w:rPr>
      </w:pPr>
      <w:r>
        <w:rPr>
          <w:rFonts w:ascii="Arial" w:hAnsi="Arial" w:cs="Arial"/>
          <w:noProof/>
        </w:rPr>
        <w:drawing>
          <wp:inline distT="0" distB="0" distL="0" distR="0" wp14:anchorId="7E96D215" wp14:editId="0A91C4C9">
            <wp:extent cx="5943600" cy="5086985"/>
            <wp:effectExtent l="0" t="0" r="0" b="0"/>
            <wp:docPr id="378384878" name="Picture 2" descr="A screenshot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384878" name="Picture 2" descr="A screenshot of a table&#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943600" cy="5086985"/>
                    </a:xfrm>
                    <a:prstGeom prst="rect">
                      <a:avLst/>
                    </a:prstGeom>
                  </pic:spPr>
                </pic:pic>
              </a:graphicData>
            </a:graphic>
          </wp:inline>
        </w:drawing>
      </w:r>
      <w:r>
        <w:rPr>
          <w:rFonts w:ascii="Arial" w:hAnsi="Arial" w:cs="Arial"/>
        </w:rPr>
        <w:t>Figure 3: Calculation of Liquidity Ratio</w:t>
      </w:r>
      <w:r w:rsidR="00AB491B">
        <w:rPr>
          <w:rFonts w:ascii="Arial" w:hAnsi="Arial" w:cs="Arial"/>
        </w:rPr>
        <w:t>.</w:t>
      </w:r>
    </w:p>
    <w:p w14:paraId="7B595578" w14:textId="46A48E0D" w:rsidR="00CB14BE" w:rsidRPr="00EC26B4" w:rsidRDefault="00CB14BE" w:rsidP="006D438F">
      <w:pPr>
        <w:pStyle w:val="Heading2"/>
      </w:pPr>
      <w:bookmarkStart w:id="10" w:name="_Toc214811810"/>
      <w:r w:rsidRPr="00EC26B4">
        <w:t>Efficiency Analysis</w:t>
      </w:r>
      <w:bookmarkEnd w:id="10"/>
    </w:p>
    <w:p w14:paraId="2D30D9CD" w14:textId="77777777" w:rsidR="00CB14BE" w:rsidRPr="00ED147C" w:rsidRDefault="00CB14BE" w:rsidP="00EC26B4">
      <w:pPr>
        <w:spacing w:line="360" w:lineRule="auto"/>
        <w:rPr>
          <w:rFonts w:ascii="Arial" w:hAnsi="Arial" w:cs="Arial"/>
        </w:rPr>
      </w:pPr>
      <w:r w:rsidRPr="00ED147C">
        <w:rPr>
          <w:rFonts w:ascii="Arial" w:hAnsi="Arial" w:cs="Arial"/>
        </w:rPr>
        <w:t>The company's operational inefficiencies are a major contributor to its cash flow problems. The Cash Conversion Cycle (CCC), which measures how long it takes for a company to convert its investments in inventory and other resources into cash flows from sales, has become excessively long. It extended from 108 days in 2020 to a peak of 145 days in 2022, before moderating to 124 days in 2024 (Appendix A, Table 1).</w:t>
      </w:r>
    </w:p>
    <w:p w14:paraId="46205507" w14:textId="780490B3" w:rsidR="00CB14BE" w:rsidRPr="00ED147C" w:rsidRDefault="00CB14BE" w:rsidP="00EC26B4">
      <w:pPr>
        <w:spacing w:line="360" w:lineRule="auto"/>
        <w:rPr>
          <w:rFonts w:ascii="Arial" w:hAnsi="Arial" w:cs="Arial"/>
        </w:rPr>
      </w:pPr>
      <w:r w:rsidRPr="00ED147C">
        <w:rPr>
          <w:rFonts w:ascii="Arial" w:hAnsi="Arial" w:cs="Arial"/>
        </w:rPr>
        <w:t xml:space="preserve">A detailed breakdown reveals the causes. Inventory Days rose significantly from 100 days in 2020 to 131 days in 2022, suggesting poor inventory management and </w:t>
      </w:r>
      <w:r w:rsidRPr="00ED147C">
        <w:rPr>
          <w:rFonts w:ascii="Arial" w:hAnsi="Arial" w:cs="Arial"/>
        </w:rPr>
        <w:lastRenderedPageBreak/>
        <w:t xml:space="preserve">potentially obsolete stock, before improving to 103 days in 2024. Simultaneously, Receivables Days have worsened considerably, from </w:t>
      </w:r>
      <w:r w:rsidR="006A1D1C">
        <w:rPr>
          <w:rFonts w:ascii="Arial" w:hAnsi="Arial" w:cs="Arial"/>
        </w:rPr>
        <w:t>77</w:t>
      </w:r>
      <w:r w:rsidRPr="00ED147C">
        <w:rPr>
          <w:rFonts w:ascii="Arial" w:hAnsi="Arial" w:cs="Arial"/>
        </w:rPr>
        <w:t xml:space="preserve"> days in 2020 to 115 days in 2024, indicating that the company is taking longer to collect payments from its customers. While Payables Days have also increased (from 69 to 94 days), this is not sufficient to offset the inefficiencies in inventory and receivables management. This elongated CCC signifies that vast amounts of cash are trapped within the business's operating cycle, directly contributing to the liquidity crunch.</w:t>
      </w:r>
    </w:p>
    <w:p w14:paraId="616AD94A" w14:textId="7D3D903E" w:rsidR="00CB14BE" w:rsidRPr="00EC26B4" w:rsidRDefault="00A0047C" w:rsidP="009636DB">
      <w:pPr>
        <w:pStyle w:val="Heading3"/>
      </w:pPr>
      <w:bookmarkStart w:id="11" w:name="_Toc214811811"/>
      <w:r w:rsidRPr="00EC26B4">
        <w:t>Calculation Of Efficiency Ratios</w:t>
      </w:r>
      <w:bookmarkEnd w:id="11"/>
    </w:p>
    <w:p w14:paraId="5B1ECD5D" w14:textId="1B623728" w:rsidR="00324687" w:rsidRPr="00ED147C" w:rsidRDefault="00324687" w:rsidP="00324687">
      <w:pPr>
        <w:spacing w:line="360" w:lineRule="auto"/>
        <w:rPr>
          <w:rFonts w:ascii="Arial" w:hAnsi="Arial" w:cs="Arial"/>
        </w:rPr>
      </w:pPr>
      <w:bookmarkStart w:id="12" w:name="_Hlk214808486"/>
      <w:r>
        <w:rPr>
          <w:rFonts w:ascii="Arial" w:hAnsi="Arial" w:cs="Arial"/>
          <w:noProof/>
        </w:rPr>
        <w:drawing>
          <wp:inline distT="0" distB="0" distL="0" distR="0" wp14:anchorId="21EAAE35" wp14:editId="5F64591D">
            <wp:extent cx="4770120" cy="5318479"/>
            <wp:effectExtent l="0" t="0" r="0" b="0"/>
            <wp:docPr id="212346663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466637" name="Picture 2123466637"/>
                    <pic:cNvPicPr/>
                  </pic:nvPicPr>
                  <pic:blipFill>
                    <a:blip r:embed="rId13">
                      <a:extLst>
                        <a:ext uri="{28A0092B-C50C-407E-A947-70E740481C1C}">
                          <a14:useLocalDpi xmlns:a14="http://schemas.microsoft.com/office/drawing/2010/main" val="0"/>
                        </a:ext>
                      </a:extLst>
                    </a:blip>
                    <a:stretch>
                      <a:fillRect/>
                    </a:stretch>
                  </pic:blipFill>
                  <pic:spPr>
                    <a:xfrm>
                      <a:off x="0" y="0"/>
                      <a:ext cx="4779739" cy="5329204"/>
                    </a:xfrm>
                    <a:prstGeom prst="rect">
                      <a:avLst/>
                    </a:prstGeom>
                  </pic:spPr>
                </pic:pic>
              </a:graphicData>
            </a:graphic>
          </wp:inline>
        </w:drawing>
      </w:r>
    </w:p>
    <w:p w14:paraId="4D864A82" w14:textId="2740E013" w:rsidR="00CB14BE" w:rsidRPr="00ED147C" w:rsidRDefault="00324687" w:rsidP="00324687">
      <w:pPr>
        <w:spacing w:line="360" w:lineRule="auto"/>
        <w:rPr>
          <w:rFonts w:ascii="Arial" w:hAnsi="Arial" w:cs="Arial"/>
        </w:rPr>
      </w:pPr>
      <w:r>
        <w:rPr>
          <w:rFonts w:ascii="Arial" w:hAnsi="Arial" w:cs="Arial"/>
        </w:rPr>
        <w:t>Figure 4: Calculation of Efficiency Ratios.</w:t>
      </w:r>
    </w:p>
    <w:p w14:paraId="4DB2CE72" w14:textId="674FF140" w:rsidR="00CB14BE" w:rsidRPr="00EC26B4" w:rsidRDefault="00CB14BE" w:rsidP="006D438F">
      <w:pPr>
        <w:pStyle w:val="Heading2"/>
      </w:pPr>
      <w:bookmarkStart w:id="13" w:name="_Toc214811812"/>
      <w:bookmarkEnd w:id="12"/>
      <w:r w:rsidRPr="00EC26B4">
        <w:lastRenderedPageBreak/>
        <w:t>Gearing and Leverage: An Unsustainable Debt Burden</w:t>
      </w:r>
      <w:bookmarkEnd w:id="13"/>
    </w:p>
    <w:p w14:paraId="5FA6DA62" w14:textId="77777777" w:rsidR="00CB14BE" w:rsidRPr="00CB14BE" w:rsidRDefault="00CB14BE" w:rsidP="00EC26B4">
      <w:pPr>
        <w:spacing w:line="360" w:lineRule="auto"/>
        <w:rPr>
          <w:rFonts w:ascii="Arial" w:hAnsi="Arial" w:cs="Arial"/>
        </w:rPr>
      </w:pPr>
      <w:r w:rsidRPr="00CB14BE">
        <w:rPr>
          <w:rFonts w:ascii="Arial" w:hAnsi="Arial" w:cs="Arial"/>
        </w:rPr>
        <w:t>Gearing or leverage ratios measure the extent to which a company is funded by debt versus equity, indicating its financial risk and long-term solvency. The trend for General Electronics is deeply concerning.</w:t>
      </w:r>
    </w:p>
    <w:p w14:paraId="1F14BBD1" w14:textId="77777777" w:rsidR="00CB14BE" w:rsidRPr="00ED147C" w:rsidRDefault="00CB14BE" w:rsidP="00EC26B4">
      <w:pPr>
        <w:spacing w:line="360" w:lineRule="auto"/>
        <w:rPr>
          <w:rFonts w:ascii="Arial" w:hAnsi="Arial" w:cs="Arial"/>
        </w:rPr>
      </w:pPr>
      <w:r w:rsidRPr="00CB14BE">
        <w:rPr>
          <w:rFonts w:ascii="Arial" w:hAnsi="Arial" w:cs="Arial"/>
        </w:rPr>
        <w:t>The </w:t>
      </w:r>
      <w:r w:rsidRPr="00ED147C">
        <w:rPr>
          <w:rFonts w:ascii="Arial" w:hAnsi="Arial" w:cs="Arial"/>
        </w:rPr>
        <w:t>Debt-to-Equity ratio has soared from 62.9% in 2020 to 111.2% in 2024. This means that by the end of the period, the company's total liabilities exceeded its shareholders' equity. A ratio over 100% indicates a state of high leverage, where creditors have a larger stake in the company than the owners, significantly increasing financial risk (Brigham and Houston, 2022). This erosion of the equity cushion leaves the company with little room to absorb further losses.</w:t>
      </w:r>
    </w:p>
    <w:p w14:paraId="79760F13" w14:textId="77777777" w:rsidR="00CB14BE" w:rsidRPr="00CB14BE" w:rsidRDefault="00CB14BE" w:rsidP="00EC26B4">
      <w:pPr>
        <w:spacing w:line="360" w:lineRule="auto"/>
        <w:rPr>
          <w:rFonts w:ascii="Arial" w:hAnsi="Arial" w:cs="Arial"/>
        </w:rPr>
      </w:pPr>
      <w:r w:rsidRPr="00ED147C">
        <w:rPr>
          <w:rFonts w:ascii="Arial" w:hAnsi="Arial" w:cs="Arial"/>
        </w:rPr>
        <w:t>Similarly, the Debt-to-Capital ratio,</w:t>
      </w:r>
      <w:r w:rsidRPr="00CB14BE">
        <w:rPr>
          <w:rFonts w:ascii="Arial" w:hAnsi="Arial" w:cs="Arial"/>
        </w:rPr>
        <w:t xml:space="preserve"> which shows the proportion of a company's total capital that is financed by debt, has risen consistently from 38.6% to 52.7%. This indicates that over half of the company's asset base is funded by debt, making it highly vulnerable to changes in interest rates and lending conditions.</w:t>
      </w:r>
    </w:p>
    <w:p w14:paraId="0026E2EF" w14:textId="33BB2CB7" w:rsidR="004230CC" w:rsidRDefault="00CB14BE" w:rsidP="00A63E91">
      <w:pPr>
        <w:spacing w:line="360" w:lineRule="auto"/>
        <w:rPr>
          <w:rFonts w:ascii="Arial" w:hAnsi="Arial" w:cs="Arial"/>
          <w:color w:val="000000" w:themeColor="text1"/>
        </w:rPr>
      </w:pPr>
      <w:r w:rsidRPr="00CB14BE">
        <w:rPr>
          <w:rFonts w:ascii="Arial" w:hAnsi="Arial" w:cs="Arial"/>
        </w:rPr>
        <w:t>The most critical leverage indicator is the </w:t>
      </w:r>
      <w:r w:rsidRPr="00ED147C">
        <w:rPr>
          <w:rFonts w:ascii="Arial" w:hAnsi="Arial" w:cs="Arial"/>
        </w:rPr>
        <w:t>Interest Cover ratio,</w:t>
      </w:r>
      <w:r w:rsidRPr="00CB14BE">
        <w:rPr>
          <w:rFonts w:ascii="Arial" w:hAnsi="Arial" w:cs="Arial"/>
        </w:rPr>
        <w:t xml:space="preserve"> calculated as Operating Income / Interest Expense. For General </w:t>
      </w:r>
      <w:r w:rsidRPr="00A63E91">
        <w:rPr>
          <w:rFonts w:ascii="Arial" w:hAnsi="Arial" w:cs="Arial"/>
        </w:rPr>
        <w:t xml:space="preserve">Electronics, this ratio has been profoundly negative throughout the period, reaching -19.7 times in 2023. A negative interest cover is one of the clearest signals of financial distress. </w:t>
      </w:r>
      <w:r w:rsidR="00A63E91" w:rsidRPr="00A63E91">
        <w:rPr>
          <w:rFonts w:ascii="Arial" w:hAnsi="Arial" w:cs="Arial"/>
        </w:rPr>
        <w:t xml:space="preserve">The most critical leverage indicator is the Interest Cover ratio, which has been profoundly negative throughout the period. A negative interest cover is a clear signal of financial distress, indicating an inability to service debt from operating profits (Subramanyam, 2014). However, the theoretical interpretation of this signal requires nuance. Damodaran (2012) contends that such a position can be sustainable for firms with robust access to capital markets and significant non-operating cash reserves. General Electronics' </w:t>
      </w:r>
      <w:r w:rsidR="00A63E91">
        <w:rPr>
          <w:rFonts w:ascii="Arial" w:hAnsi="Arial" w:cs="Arial"/>
        </w:rPr>
        <w:t xml:space="preserve">context, </w:t>
      </w:r>
      <w:proofErr w:type="spellStart"/>
      <w:r w:rsidR="00A63E91" w:rsidRPr="00A63E91">
        <w:rPr>
          <w:rFonts w:ascii="Arial" w:hAnsi="Arial" w:cs="Arial"/>
        </w:rPr>
        <w:t>characterised</w:t>
      </w:r>
      <w:proofErr w:type="spellEnd"/>
      <w:r w:rsidR="00A63E91" w:rsidRPr="00A63E91">
        <w:rPr>
          <w:rFonts w:ascii="Arial" w:hAnsi="Arial" w:cs="Arial"/>
        </w:rPr>
        <w:t xml:space="preserve"> by a depleted cash ratio (0.17) and heavy reliance on volatile short-term credit</w:t>
      </w:r>
      <w:r w:rsidR="00A63E91">
        <w:rPr>
          <w:rFonts w:ascii="Arial" w:hAnsi="Arial" w:cs="Arial"/>
        </w:rPr>
        <w:t xml:space="preserve">, </w:t>
      </w:r>
      <w:r w:rsidR="00A63E91" w:rsidRPr="00A63E91">
        <w:rPr>
          <w:rFonts w:ascii="Arial" w:hAnsi="Arial" w:cs="Arial"/>
        </w:rPr>
        <w:t xml:space="preserve">directly negates these mitigating factors. Therefore, the negative interest cover does not merely indicate distress but confirms an acute and unsustainable crisis, </w:t>
      </w:r>
      <w:proofErr w:type="spellStart"/>
      <w:r w:rsidR="00A63E91" w:rsidRPr="00A63E91">
        <w:rPr>
          <w:rFonts w:ascii="Arial" w:hAnsi="Arial" w:cs="Arial"/>
        </w:rPr>
        <w:t>synthesising</w:t>
      </w:r>
      <w:proofErr w:type="spellEnd"/>
      <w:r w:rsidR="00A63E91" w:rsidRPr="00A63E91">
        <w:rPr>
          <w:rFonts w:ascii="Arial" w:hAnsi="Arial" w:cs="Arial"/>
        </w:rPr>
        <w:t xml:space="preserve"> Subramanyam's diagnostic with Damodaran's contextual framework to present a more severe prognosis.</w:t>
      </w:r>
      <w:r w:rsidR="00A63E91">
        <w:t xml:space="preserve">  </w:t>
      </w:r>
    </w:p>
    <w:p w14:paraId="02A5288A" w14:textId="44747C22" w:rsidR="00324687" w:rsidRPr="004230CC" w:rsidRDefault="00324687" w:rsidP="004230CC">
      <w:pPr>
        <w:spacing w:line="360" w:lineRule="auto"/>
        <w:rPr>
          <w:rFonts w:ascii="Arial" w:hAnsi="Arial" w:cs="Arial"/>
        </w:rPr>
      </w:pPr>
      <w:r>
        <w:rPr>
          <w:rFonts w:ascii="Arial" w:hAnsi="Arial" w:cs="Arial"/>
          <w:noProof/>
        </w:rPr>
        <w:lastRenderedPageBreak/>
        <w:drawing>
          <wp:inline distT="0" distB="0" distL="0" distR="0" wp14:anchorId="43CAED68" wp14:editId="2B574D24">
            <wp:extent cx="5943600" cy="5925185"/>
            <wp:effectExtent l="0" t="0" r="0" b="0"/>
            <wp:docPr id="38682503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825034" name="Picture 386825034"/>
                    <pic:cNvPicPr/>
                  </pic:nvPicPr>
                  <pic:blipFill>
                    <a:blip r:embed="rId14">
                      <a:extLst>
                        <a:ext uri="{28A0092B-C50C-407E-A947-70E740481C1C}">
                          <a14:useLocalDpi xmlns:a14="http://schemas.microsoft.com/office/drawing/2010/main" val="0"/>
                        </a:ext>
                      </a:extLst>
                    </a:blip>
                    <a:stretch>
                      <a:fillRect/>
                    </a:stretch>
                  </pic:blipFill>
                  <pic:spPr>
                    <a:xfrm>
                      <a:off x="0" y="0"/>
                      <a:ext cx="5943600" cy="5925185"/>
                    </a:xfrm>
                    <a:prstGeom prst="rect">
                      <a:avLst/>
                    </a:prstGeom>
                  </pic:spPr>
                </pic:pic>
              </a:graphicData>
            </a:graphic>
          </wp:inline>
        </w:drawing>
      </w:r>
    </w:p>
    <w:p w14:paraId="345EBD3C" w14:textId="6A269360" w:rsidR="00CB14BE" w:rsidRPr="004230CC" w:rsidRDefault="00324687" w:rsidP="00324687">
      <w:pPr>
        <w:spacing w:line="360" w:lineRule="auto"/>
        <w:rPr>
          <w:rFonts w:ascii="Arial" w:hAnsi="Arial" w:cs="Arial"/>
        </w:rPr>
      </w:pPr>
      <w:bookmarkStart w:id="14" w:name="_Hlk214808726"/>
      <w:r>
        <w:rPr>
          <w:rFonts w:ascii="Arial" w:hAnsi="Arial" w:cs="Arial"/>
        </w:rPr>
        <w:t xml:space="preserve">Figure 5: </w:t>
      </w:r>
      <w:r w:rsidR="00A0047C" w:rsidRPr="004230CC">
        <w:rPr>
          <w:rFonts w:ascii="Arial" w:hAnsi="Arial" w:cs="Arial"/>
        </w:rPr>
        <w:t>Calculation Of Gearing/Leverage Ratios</w:t>
      </w:r>
    </w:p>
    <w:p w14:paraId="47150BE0" w14:textId="46A4C2A4" w:rsidR="00CB14BE" w:rsidRPr="00EC26B4" w:rsidRDefault="00CB14BE" w:rsidP="006D438F">
      <w:pPr>
        <w:pStyle w:val="Heading2"/>
      </w:pPr>
      <w:bookmarkStart w:id="15" w:name="_Toc214811813"/>
      <w:bookmarkEnd w:id="14"/>
      <w:r w:rsidRPr="00EC26B4">
        <w:t>Corporate Failure Prediction: The Altman Z-Score</w:t>
      </w:r>
      <w:bookmarkEnd w:id="15"/>
    </w:p>
    <w:p w14:paraId="0D75602D" w14:textId="16186DBF" w:rsidR="00CB14BE" w:rsidRPr="00CB14BE" w:rsidRDefault="004230CC" w:rsidP="00EC26B4">
      <w:pPr>
        <w:spacing w:line="360" w:lineRule="auto"/>
        <w:rPr>
          <w:rFonts w:ascii="Arial" w:hAnsi="Arial" w:cs="Arial"/>
        </w:rPr>
      </w:pPr>
      <w:r w:rsidRPr="004230CC">
        <w:rPr>
          <w:rFonts w:ascii="Arial" w:hAnsi="Arial" w:cs="Arial"/>
        </w:rPr>
        <w:t xml:space="preserve">To quantitatively assess the risk of bankruptcy, the Altman Z-Score model was applied. As a seminal and widely validated model in corporate failure prediction (Altman, 1968), the Z-Score provides an empirical foundation for the bankruptcy risk identified anecdotally through the preceding ratio analysis. Its multi-component formula effectively captures the core issues plaguing GE: deteriorating profitability (X3), rising leverage </w:t>
      </w:r>
      <w:r w:rsidRPr="004230CC">
        <w:rPr>
          <w:rFonts w:ascii="Arial" w:hAnsi="Arial" w:cs="Arial"/>
        </w:rPr>
        <w:lastRenderedPageBreak/>
        <w:t>(X4), and declining liquidity (X1), thereby offering a holistic and evidence-based diagnosis</w:t>
      </w:r>
      <w:r w:rsidR="00CB14BE" w:rsidRPr="00CB14BE">
        <w:rPr>
          <w:rFonts w:ascii="Arial" w:hAnsi="Arial" w:cs="Arial"/>
        </w:rPr>
        <w:t>.</w:t>
      </w:r>
    </w:p>
    <w:p w14:paraId="6AF762FB" w14:textId="30051D80" w:rsidR="00CB14BE" w:rsidRPr="00CB14BE" w:rsidRDefault="00CB14BE" w:rsidP="00EC26B4">
      <w:pPr>
        <w:spacing w:line="360" w:lineRule="auto"/>
        <w:rPr>
          <w:rFonts w:ascii="Arial" w:hAnsi="Arial" w:cs="Arial"/>
        </w:rPr>
      </w:pPr>
      <w:r w:rsidRPr="00CB14BE">
        <w:rPr>
          <w:rFonts w:ascii="Arial" w:hAnsi="Arial" w:cs="Arial"/>
        </w:rPr>
        <w:t xml:space="preserve">The </w:t>
      </w:r>
      <w:r w:rsidR="00AE5A48">
        <w:rPr>
          <w:rFonts w:ascii="Arial" w:hAnsi="Arial" w:cs="Arial"/>
        </w:rPr>
        <w:t>Z-score</w:t>
      </w:r>
      <w:r w:rsidRPr="00CB14BE">
        <w:rPr>
          <w:rFonts w:ascii="Arial" w:hAnsi="Arial" w:cs="Arial"/>
        </w:rPr>
        <w:t xml:space="preserve"> trajectory is clear:</w:t>
      </w:r>
    </w:p>
    <w:p w14:paraId="2F9D1FB6" w14:textId="77777777" w:rsidR="00CB14BE" w:rsidRPr="00ED147C" w:rsidRDefault="00CB14BE" w:rsidP="00EC26B4">
      <w:pPr>
        <w:numPr>
          <w:ilvl w:val="0"/>
          <w:numId w:val="5"/>
        </w:numPr>
        <w:spacing w:line="360" w:lineRule="auto"/>
        <w:rPr>
          <w:rFonts w:ascii="Arial" w:hAnsi="Arial" w:cs="Arial"/>
          <w:b/>
          <w:bCs/>
        </w:rPr>
      </w:pPr>
      <w:r w:rsidRPr="00ED147C">
        <w:rPr>
          <w:rFonts w:ascii="Arial" w:hAnsi="Arial" w:cs="Arial"/>
          <w:b/>
          <w:bCs/>
        </w:rPr>
        <w:t>2020 Z-Score: 3.63 </w:t>
      </w:r>
      <w:r w:rsidRPr="00ED147C">
        <w:rPr>
          <w:rFonts w:ascii="Arial" w:hAnsi="Arial" w:cs="Arial"/>
          <w:b/>
          <w:bCs/>
          <w:color w:val="00B050"/>
        </w:rPr>
        <w:t>(Safe Zone)</w:t>
      </w:r>
    </w:p>
    <w:p w14:paraId="39D64B94" w14:textId="77777777" w:rsidR="00CB14BE" w:rsidRPr="00ED147C" w:rsidRDefault="00CB14BE" w:rsidP="00EC26B4">
      <w:pPr>
        <w:numPr>
          <w:ilvl w:val="0"/>
          <w:numId w:val="5"/>
        </w:numPr>
        <w:spacing w:line="360" w:lineRule="auto"/>
        <w:rPr>
          <w:rFonts w:ascii="Arial" w:hAnsi="Arial" w:cs="Arial"/>
          <w:b/>
          <w:bCs/>
        </w:rPr>
      </w:pPr>
      <w:r w:rsidRPr="00ED147C">
        <w:rPr>
          <w:rFonts w:ascii="Arial" w:hAnsi="Arial" w:cs="Arial"/>
          <w:b/>
          <w:bCs/>
        </w:rPr>
        <w:t>2021 Z-Score: 3.14 </w:t>
      </w:r>
      <w:r w:rsidRPr="00ED147C">
        <w:rPr>
          <w:rFonts w:ascii="Arial" w:hAnsi="Arial" w:cs="Arial"/>
          <w:b/>
          <w:bCs/>
          <w:color w:val="00B050"/>
        </w:rPr>
        <w:t>(Safe Zone)</w:t>
      </w:r>
    </w:p>
    <w:p w14:paraId="6D1E4B06" w14:textId="77777777" w:rsidR="00CB14BE" w:rsidRPr="00ED147C" w:rsidRDefault="00CB14BE" w:rsidP="00EC26B4">
      <w:pPr>
        <w:numPr>
          <w:ilvl w:val="0"/>
          <w:numId w:val="5"/>
        </w:numPr>
        <w:spacing w:line="360" w:lineRule="auto"/>
        <w:rPr>
          <w:rFonts w:ascii="Arial" w:hAnsi="Arial" w:cs="Arial"/>
          <w:b/>
          <w:bCs/>
        </w:rPr>
      </w:pPr>
      <w:r w:rsidRPr="00ED147C">
        <w:rPr>
          <w:rFonts w:ascii="Arial" w:hAnsi="Arial" w:cs="Arial"/>
          <w:b/>
          <w:bCs/>
        </w:rPr>
        <w:t>2022 Z-Score: 2.97 </w:t>
      </w:r>
      <w:r w:rsidRPr="00ED147C">
        <w:rPr>
          <w:rFonts w:ascii="Arial" w:hAnsi="Arial" w:cs="Arial"/>
          <w:b/>
          <w:bCs/>
          <w:color w:val="808080" w:themeColor="background1" w:themeShade="80"/>
        </w:rPr>
        <w:t>(Grey Zone)</w:t>
      </w:r>
    </w:p>
    <w:p w14:paraId="3E31125A" w14:textId="77777777" w:rsidR="00CB14BE" w:rsidRPr="00ED147C" w:rsidRDefault="00CB14BE" w:rsidP="00EC26B4">
      <w:pPr>
        <w:numPr>
          <w:ilvl w:val="0"/>
          <w:numId w:val="5"/>
        </w:numPr>
        <w:spacing w:line="360" w:lineRule="auto"/>
        <w:rPr>
          <w:rFonts w:ascii="Arial" w:hAnsi="Arial" w:cs="Arial"/>
          <w:b/>
          <w:bCs/>
        </w:rPr>
      </w:pPr>
      <w:r w:rsidRPr="00ED147C">
        <w:rPr>
          <w:rFonts w:ascii="Arial" w:hAnsi="Arial" w:cs="Arial"/>
          <w:b/>
          <w:bCs/>
        </w:rPr>
        <w:t>2023 Z-Score: 1.60 </w:t>
      </w:r>
      <w:r w:rsidRPr="00ED147C">
        <w:rPr>
          <w:rFonts w:ascii="Arial" w:hAnsi="Arial" w:cs="Arial"/>
          <w:b/>
          <w:bCs/>
          <w:color w:val="EE0000"/>
        </w:rPr>
        <w:t>(Distress Zone)</w:t>
      </w:r>
    </w:p>
    <w:p w14:paraId="19FF82AD" w14:textId="77777777" w:rsidR="00A71042" w:rsidRDefault="00CB14BE" w:rsidP="00A71042">
      <w:pPr>
        <w:numPr>
          <w:ilvl w:val="0"/>
          <w:numId w:val="5"/>
        </w:numPr>
        <w:spacing w:line="360" w:lineRule="auto"/>
        <w:rPr>
          <w:rFonts w:ascii="Arial" w:hAnsi="Arial" w:cs="Arial"/>
          <w:b/>
          <w:bCs/>
        </w:rPr>
      </w:pPr>
      <w:r w:rsidRPr="00ED147C">
        <w:rPr>
          <w:rFonts w:ascii="Arial" w:hAnsi="Arial" w:cs="Arial"/>
          <w:b/>
          <w:bCs/>
        </w:rPr>
        <w:t>2024 Z-Score: 2.18 </w:t>
      </w:r>
      <w:r w:rsidRPr="00ED147C">
        <w:rPr>
          <w:rFonts w:ascii="Arial" w:hAnsi="Arial" w:cs="Arial"/>
          <w:b/>
          <w:bCs/>
          <w:color w:val="808080" w:themeColor="background1" w:themeShade="80"/>
        </w:rPr>
        <w:t>(Grey Zone)</w:t>
      </w:r>
    </w:p>
    <w:p w14:paraId="04C029C0" w14:textId="512881C4" w:rsidR="00A71042" w:rsidRPr="00A71042" w:rsidRDefault="00A71042" w:rsidP="00A71042">
      <w:pPr>
        <w:spacing w:line="360" w:lineRule="auto"/>
        <w:rPr>
          <w:rFonts w:ascii="Arial" w:hAnsi="Arial" w:cs="Arial"/>
          <w:b/>
          <w:bCs/>
        </w:rPr>
      </w:pPr>
      <w:r>
        <w:rPr>
          <w:rFonts w:ascii="Arial" w:hAnsi="Arial" w:cs="Arial"/>
          <w:b/>
          <w:bCs/>
        </w:rPr>
        <w:t>(</w:t>
      </w:r>
      <w:r w:rsidR="001128A5">
        <w:rPr>
          <w:rFonts w:ascii="Arial" w:hAnsi="Arial" w:cs="Arial"/>
          <w:b/>
          <w:bCs/>
        </w:rPr>
        <w:t xml:space="preserve">See </w:t>
      </w:r>
      <w:r w:rsidRPr="00A71042">
        <w:rPr>
          <w:rFonts w:ascii="Arial" w:hAnsi="Arial" w:cs="Arial"/>
          <w:b/>
          <w:bCs/>
        </w:rPr>
        <w:t xml:space="preserve">Appendix Table 3 </w:t>
      </w:r>
      <w:r>
        <w:rPr>
          <w:rFonts w:ascii="Arial" w:hAnsi="Arial" w:cs="Arial"/>
          <w:b/>
          <w:bCs/>
        </w:rPr>
        <w:t>of</w:t>
      </w:r>
      <w:r w:rsidRPr="00A71042">
        <w:rPr>
          <w:rFonts w:ascii="Arial" w:hAnsi="Arial" w:cs="Arial"/>
          <w:b/>
          <w:bCs/>
        </w:rPr>
        <w:t xml:space="preserve"> </w:t>
      </w:r>
      <w:r w:rsidR="004230CC">
        <w:rPr>
          <w:rFonts w:ascii="Arial" w:hAnsi="Arial" w:cs="Arial"/>
          <w:b/>
          <w:bCs/>
        </w:rPr>
        <w:t xml:space="preserve">the </w:t>
      </w:r>
      <w:r w:rsidR="001128A5">
        <w:rPr>
          <w:rFonts w:ascii="Arial" w:hAnsi="Arial" w:cs="Arial"/>
          <w:b/>
          <w:bCs/>
        </w:rPr>
        <w:t>complete</w:t>
      </w:r>
      <w:r w:rsidRPr="00A71042">
        <w:rPr>
          <w:rFonts w:ascii="Arial" w:hAnsi="Arial" w:cs="Arial"/>
          <w:b/>
          <w:bCs/>
        </w:rPr>
        <w:t xml:space="preserve"> calculation)</w:t>
      </w:r>
    </w:p>
    <w:p w14:paraId="6A96CAE1" w14:textId="72264956" w:rsidR="009A23E8" w:rsidRPr="00EC26B4" w:rsidRDefault="00CB14BE" w:rsidP="00EC26B4">
      <w:pPr>
        <w:spacing w:line="360" w:lineRule="auto"/>
        <w:rPr>
          <w:rFonts w:ascii="Arial" w:hAnsi="Arial" w:cs="Arial"/>
        </w:rPr>
      </w:pPr>
      <w:r w:rsidRPr="00CB14BE">
        <w:rPr>
          <w:rFonts w:ascii="Arial" w:hAnsi="Arial" w:cs="Arial"/>
        </w:rPr>
        <w:t>General Electronics descended from a position of safety into the "Grey Zone" of moderate bankruptcy risk in 2022, before plunging into the "Distress Zone" in 2023. The slight recovery to 2.18 in 2024, while moving out of the distress zone, still indicates a company under significant threat.</w:t>
      </w:r>
    </w:p>
    <w:p w14:paraId="727B6DE2" w14:textId="5547223A" w:rsidR="00B33321" w:rsidRPr="00EC26B4" w:rsidRDefault="00B33321" w:rsidP="006D438F">
      <w:pPr>
        <w:pStyle w:val="Heading1"/>
      </w:pPr>
      <w:bookmarkStart w:id="16" w:name="_Toc214811814"/>
      <w:r w:rsidRPr="00EC26B4">
        <w:t>Working Capital Management Analysis.</w:t>
      </w:r>
      <w:bookmarkEnd w:id="16"/>
    </w:p>
    <w:p w14:paraId="043376B5" w14:textId="33E25376" w:rsidR="00B33321" w:rsidRPr="00B33321" w:rsidRDefault="00B33321" w:rsidP="009E1B0C">
      <w:pPr>
        <w:pStyle w:val="Heading2"/>
      </w:pPr>
      <w:bookmarkStart w:id="17" w:name="_Toc214811815"/>
      <w:r w:rsidRPr="00B33321">
        <w:t>Assessment of the Cash Operating Cycle</w:t>
      </w:r>
      <w:r w:rsidR="009E1B0C">
        <w:t>.</w:t>
      </w:r>
      <w:bookmarkEnd w:id="17"/>
    </w:p>
    <w:p w14:paraId="455DBE1E" w14:textId="77777777" w:rsidR="00B33321" w:rsidRPr="00ED147C" w:rsidRDefault="00B33321" w:rsidP="00EC26B4">
      <w:pPr>
        <w:spacing w:line="360" w:lineRule="auto"/>
        <w:rPr>
          <w:rFonts w:ascii="Arial" w:hAnsi="Arial" w:cs="Arial"/>
        </w:rPr>
      </w:pPr>
      <w:r w:rsidRPr="00ED147C">
        <w:rPr>
          <w:rFonts w:ascii="Arial" w:hAnsi="Arial" w:cs="Arial"/>
        </w:rPr>
        <w:t>The Cash Operating Cycle (COC), or Cash Conversion Cycle, is a fundamental metric that reveals how efficiently a company manages its working capital. It represents the number of days between the company paying for its raw materials and receiving cash from its customers. For General Electronics, the COC tells a story of deteriorating efficiency that has directly contributed to its liquidity crisis.</w:t>
      </w:r>
    </w:p>
    <w:p w14:paraId="38535FDD" w14:textId="77777777" w:rsidR="00B33321" w:rsidRPr="00ED147C" w:rsidRDefault="00B33321" w:rsidP="00EC26B4">
      <w:pPr>
        <w:spacing w:line="360" w:lineRule="auto"/>
        <w:rPr>
          <w:rFonts w:ascii="Arial" w:hAnsi="Arial" w:cs="Arial"/>
        </w:rPr>
      </w:pPr>
      <w:r w:rsidRPr="00ED147C">
        <w:rPr>
          <w:rFonts w:ascii="Arial" w:hAnsi="Arial" w:cs="Arial"/>
        </w:rPr>
        <w:t>The formula is: COC = Inventory Days + Receivables Days – Payables Days</w:t>
      </w:r>
    </w:p>
    <w:p w14:paraId="71916864" w14:textId="4C409AD5" w:rsidR="00B33321" w:rsidRPr="00DC62CF" w:rsidRDefault="00DC62CF" w:rsidP="00DC62CF">
      <w:pPr>
        <w:spacing w:line="360" w:lineRule="auto"/>
        <w:rPr>
          <w:rFonts w:ascii="Arial" w:hAnsi="Arial" w:cs="Arial"/>
        </w:rPr>
      </w:pPr>
      <w:r w:rsidRPr="00DC62CF">
        <w:rPr>
          <w:rFonts w:ascii="Arial" w:hAnsi="Arial" w:cs="Arial"/>
        </w:rPr>
        <w:t>Calculations:</w:t>
      </w:r>
    </w:p>
    <w:p w14:paraId="740A3B92" w14:textId="77777777" w:rsidR="007826C1" w:rsidRPr="007826C1" w:rsidRDefault="007826C1" w:rsidP="00DC62CF">
      <w:pPr>
        <w:numPr>
          <w:ilvl w:val="0"/>
          <w:numId w:val="47"/>
        </w:numPr>
        <w:spacing w:line="360" w:lineRule="auto"/>
        <w:rPr>
          <w:rFonts w:ascii="Arial" w:hAnsi="Arial" w:cs="Arial"/>
        </w:rPr>
      </w:pPr>
      <w:r w:rsidRPr="007826C1">
        <w:rPr>
          <w:rFonts w:ascii="Arial" w:hAnsi="Arial" w:cs="Arial"/>
        </w:rPr>
        <w:t>2024: 103 + 115 - 94 = 124 days</w:t>
      </w:r>
    </w:p>
    <w:p w14:paraId="479C368A" w14:textId="77777777" w:rsidR="007826C1" w:rsidRPr="007826C1" w:rsidRDefault="007826C1" w:rsidP="00DC62CF">
      <w:pPr>
        <w:numPr>
          <w:ilvl w:val="0"/>
          <w:numId w:val="47"/>
        </w:numPr>
        <w:spacing w:line="360" w:lineRule="auto"/>
        <w:rPr>
          <w:rFonts w:ascii="Arial" w:hAnsi="Arial" w:cs="Arial"/>
        </w:rPr>
      </w:pPr>
      <w:r w:rsidRPr="007826C1">
        <w:rPr>
          <w:rFonts w:ascii="Arial" w:hAnsi="Arial" w:cs="Arial"/>
        </w:rPr>
        <w:t>2023: 100 + 101 - 65 = 136 days</w:t>
      </w:r>
    </w:p>
    <w:p w14:paraId="4EE5388E" w14:textId="77777777" w:rsidR="007826C1" w:rsidRPr="007826C1" w:rsidRDefault="007826C1" w:rsidP="00DC62CF">
      <w:pPr>
        <w:numPr>
          <w:ilvl w:val="0"/>
          <w:numId w:val="47"/>
        </w:numPr>
        <w:spacing w:line="360" w:lineRule="auto"/>
        <w:rPr>
          <w:rFonts w:ascii="Arial" w:hAnsi="Arial" w:cs="Arial"/>
        </w:rPr>
      </w:pPr>
      <w:r w:rsidRPr="007826C1">
        <w:rPr>
          <w:rFonts w:ascii="Arial" w:hAnsi="Arial" w:cs="Arial"/>
        </w:rPr>
        <w:lastRenderedPageBreak/>
        <w:t>2022: 131 + 81 - 67 = 145 days</w:t>
      </w:r>
    </w:p>
    <w:p w14:paraId="4AB7730E" w14:textId="77777777" w:rsidR="007826C1" w:rsidRPr="007826C1" w:rsidRDefault="007826C1" w:rsidP="00DC62CF">
      <w:pPr>
        <w:numPr>
          <w:ilvl w:val="0"/>
          <w:numId w:val="47"/>
        </w:numPr>
        <w:spacing w:line="360" w:lineRule="auto"/>
        <w:rPr>
          <w:rFonts w:ascii="Arial" w:hAnsi="Arial" w:cs="Arial"/>
        </w:rPr>
      </w:pPr>
      <w:r w:rsidRPr="007826C1">
        <w:rPr>
          <w:rFonts w:ascii="Arial" w:hAnsi="Arial" w:cs="Arial"/>
        </w:rPr>
        <w:t>2021: 114 + 81 - 79 = 116 days</w:t>
      </w:r>
    </w:p>
    <w:p w14:paraId="7AC5C742" w14:textId="77777777" w:rsidR="007826C1" w:rsidRPr="007826C1" w:rsidRDefault="007826C1" w:rsidP="00DC62CF">
      <w:pPr>
        <w:numPr>
          <w:ilvl w:val="0"/>
          <w:numId w:val="47"/>
        </w:numPr>
        <w:spacing w:line="360" w:lineRule="auto"/>
        <w:rPr>
          <w:rFonts w:ascii="Arial" w:hAnsi="Arial" w:cs="Arial"/>
        </w:rPr>
      </w:pPr>
      <w:r w:rsidRPr="007826C1">
        <w:rPr>
          <w:rFonts w:ascii="Arial" w:hAnsi="Arial" w:cs="Arial"/>
        </w:rPr>
        <w:t>2020: 100 + 83 - 69 = 114 days</w:t>
      </w:r>
    </w:p>
    <w:p w14:paraId="5739710C" w14:textId="1D911E62" w:rsidR="007826C1" w:rsidRPr="00DC62CF" w:rsidRDefault="007826C1" w:rsidP="00DC62CF">
      <w:pPr>
        <w:spacing w:line="360" w:lineRule="auto"/>
        <w:rPr>
          <w:rFonts w:ascii="Arial" w:hAnsi="Arial" w:cs="Arial"/>
          <w:shd w:val="clear" w:color="auto" w:fill="FFFFFF" w:themeFill="background1"/>
        </w:rPr>
      </w:pPr>
      <w:r w:rsidRPr="00DC62CF">
        <w:rPr>
          <w:rFonts w:ascii="Arial" w:hAnsi="Arial" w:cs="Arial"/>
          <w:b/>
          <w:bCs/>
          <w:shd w:val="clear" w:color="auto" w:fill="FFFFFF" w:themeFill="background1"/>
        </w:rPr>
        <w:t>Interpretation of the Trend:</w:t>
      </w:r>
      <w:r w:rsidRPr="00DC62CF">
        <w:rPr>
          <w:rFonts w:ascii="Arial" w:hAnsi="Arial" w:cs="Arial"/>
          <w:shd w:val="clear" w:color="auto" w:fill="FFFFFF" w:themeFill="background1"/>
        </w:rPr>
        <w:br/>
        <w:t>The cycle elongated dramatically to a peak of 145 days in 2022, indicating that the company was taking nearly five months to convert its investments in working capital back into cash. While there has been some improvement to 124 days in 2024, this remains inefficient and dangerously long for a company in financial distress.</w:t>
      </w:r>
    </w:p>
    <w:p w14:paraId="51B2C987" w14:textId="77777777" w:rsidR="007826C1" w:rsidRPr="007826C1" w:rsidRDefault="007826C1" w:rsidP="00DC62CF">
      <w:pPr>
        <w:spacing w:line="360" w:lineRule="auto"/>
        <w:rPr>
          <w:rFonts w:ascii="Arial" w:hAnsi="Arial" w:cs="Arial"/>
          <w:shd w:val="clear" w:color="auto" w:fill="FFFFFF" w:themeFill="background1"/>
        </w:rPr>
      </w:pPr>
      <w:r w:rsidRPr="007826C1">
        <w:rPr>
          <w:rFonts w:ascii="Arial" w:hAnsi="Arial" w:cs="Arial"/>
          <w:shd w:val="clear" w:color="auto" w:fill="FFFFFF" w:themeFill="background1"/>
        </w:rPr>
        <w:t>A breakdown of the components reveals the core issues:</w:t>
      </w:r>
    </w:p>
    <w:p w14:paraId="52EA16A9" w14:textId="77777777" w:rsidR="007826C1" w:rsidRPr="007826C1" w:rsidRDefault="007826C1" w:rsidP="00DC62CF">
      <w:pPr>
        <w:numPr>
          <w:ilvl w:val="0"/>
          <w:numId w:val="48"/>
        </w:numPr>
        <w:spacing w:line="360" w:lineRule="auto"/>
        <w:rPr>
          <w:rFonts w:ascii="Arial" w:hAnsi="Arial" w:cs="Arial"/>
          <w:shd w:val="clear" w:color="auto" w:fill="FFFFFF" w:themeFill="background1"/>
        </w:rPr>
      </w:pPr>
      <w:r w:rsidRPr="007826C1">
        <w:rPr>
          <w:rFonts w:ascii="Arial" w:hAnsi="Arial" w:cs="Arial"/>
          <w:b/>
          <w:bCs/>
          <w:shd w:val="clear" w:color="auto" w:fill="FFFFFF" w:themeFill="background1"/>
        </w:rPr>
        <w:t>Inventory Days:</w:t>
      </w:r>
      <w:r w:rsidRPr="007826C1">
        <w:rPr>
          <w:rFonts w:ascii="Arial" w:hAnsi="Arial" w:cs="Arial"/>
          <w:shd w:val="clear" w:color="auto" w:fill="FFFFFF" w:themeFill="background1"/>
        </w:rPr>
        <w:t> The spike to 131 days in 2022 suggests severe overstocking or a buildup of obsolete inventory, likely due to declining sales. The improvement to 103 days in 2024 is positive but may have been achieved through aggressive, potentially profit-eroding, write-downs or fire sales.</w:t>
      </w:r>
    </w:p>
    <w:p w14:paraId="79742A55" w14:textId="77777777" w:rsidR="007826C1" w:rsidRPr="007826C1" w:rsidRDefault="007826C1" w:rsidP="00DC62CF">
      <w:pPr>
        <w:numPr>
          <w:ilvl w:val="0"/>
          <w:numId w:val="48"/>
        </w:numPr>
        <w:spacing w:line="360" w:lineRule="auto"/>
        <w:rPr>
          <w:rFonts w:ascii="Arial" w:hAnsi="Arial" w:cs="Arial"/>
          <w:shd w:val="clear" w:color="auto" w:fill="FFFFFF" w:themeFill="background1"/>
        </w:rPr>
      </w:pPr>
      <w:r w:rsidRPr="007826C1">
        <w:rPr>
          <w:rFonts w:ascii="Arial" w:hAnsi="Arial" w:cs="Arial"/>
          <w:b/>
          <w:bCs/>
          <w:shd w:val="clear" w:color="auto" w:fill="FFFFFF" w:themeFill="background1"/>
        </w:rPr>
        <w:t>Receivables Days:</w:t>
      </w:r>
      <w:r w:rsidRPr="007826C1">
        <w:rPr>
          <w:rFonts w:ascii="Arial" w:hAnsi="Arial" w:cs="Arial"/>
          <w:shd w:val="clear" w:color="auto" w:fill="FFFFFF" w:themeFill="background1"/>
        </w:rPr>
        <w:t xml:space="preserve"> This is a critical concern. The increase from 83 days to 115 days indicates that the company is taking over 16 weeks to collect payment from its customers. This could be a result of lax credit control, extended terms to retain struggling customers, or a customer base that </w:t>
      </w:r>
      <w:proofErr w:type="gramStart"/>
      <w:r w:rsidRPr="007826C1">
        <w:rPr>
          <w:rFonts w:ascii="Arial" w:hAnsi="Arial" w:cs="Arial"/>
          <w:shd w:val="clear" w:color="auto" w:fill="FFFFFF" w:themeFill="background1"/>
        </w:rPr>
        <w:t>is itself</w:t>
      </w:r>
      <w:proofErr w:type="gramEnd"/>
      <w:r w:rsidRPr="007826C1">
        <w:rPr>
          <w:rFonts w:ascii="Arial" w:hAnsi="Arial" w:cs="Arial"/>
          <w:shd w:val="clear" w:color="auto" w:fill="FFFFFF" w:themeFill="background1"/>
        </w:rPr>
        <w:t xml:space="preserve"> facing financial difficulties.</w:t>
      </w:r>
    </w:p>
    <w:p w14:paraId="7888F004" w14:textId="77777777" w:rsidR="007826C1" w:rsidRPr="007826C1" w:rsidRDefault="007826C1" w:rsidP="00DC62CF">
      <w:pPr>
        <w:numPr>
          <w:ilvl w:val="0"/>
          <w:numId w:val="48"/>
        </w:numPr>
        <w:spacing w:line="360" w:lineRule="auto"/>
        <w:rPr>
          <w:rFonts w:ascii="Arial" w:hAnsi="Arial" w:cs="Arial"/>
          <w:shd w:val="clear" w:color="auto" w:fill="FFFFFF" w:themeFill="background1"/>
        </w:rPr>
      </w:pPr>
      <w:r w:rsidRPr="007826C1">
        <w:rPr>
          <w:rFonts w:ascii="Arial" w:hAnsi="Arial" w:cs="Arial"/>
          <w:b/>
          <w:bCs/>
          <w:shd w:val="clear" w:color="auto" w:fill="FFFFFF" w:themeFill="background1"/>
        </w:rPr>
        <w:t>Payables Days:</w:t>
      </w:r>
      <w:r w:rsidRPr="007826C1">
        <w:rPr>
          <w:rFonts w:ascii="Arial" w:hAnsi="Arial" w:cs="Arial"/>
          <w:shd w:val="clear" w:color="auto" w:fill="FFFFFF" w:themeFill="background1"/>
        </w:rPr>
        <w:t xml:space="preserve"> The increase to 94 days in 2024 shows the company is stretching its suppliers to the limit. While this temporarily preserves cash, it is a high-risk strategy that can damage supplier relationships, </w:t>
      </w:r>
      <w:proofErr w:type="spellStart"/>
      <w:r w:rsidRPr="007826C1">
        <w:rPr>
          <w:rFonts w:ascii="Arial" w:hAnsi="Arial" w:cs="Arial"/>
          <w:shd w:val="clear" w:color="auto" w:fill="FFFFFF" w:themeFill="background1"/>
        </w:rPr>
        <w:t>jeopardise</w:t>
      </w:r>
      <w:proofErr w:type="spellEnd"/>
      <w:r w:rsidRPr="007826C1">
        <w:rPr>
          <w:rFonts w:ascii="Arial" w:hAnsi="Arial" w:cs="Arial"/>
          <w:shd w:val="clear" w:color="auto" w:fill="FFFFFF" w:themeFill="background1"/>
        </w:rPr>
        <w:t xml:space="preserve"> supply chains, and potentially lead to less </w:t>
      </w:r>
      <w:proofErr w:type="spellStart"/>
      <w:r w:rsidRPr="007826C1">
        <w:rPr>
          <w:rFonts w:ascii="Arial" w:hAnsi="Arial" w:cs="Arial"/>
          <w:shd w:val="clear" w:color="auto" w:fill="FFFFFF" w:themeFill="background1"/>
        </w:rPr>
        <w:t>favourable</w:t>
      </w:r>
      <w:proofErr w:type="spellEnd"/>
      <w:r w:rsidRPr="007826C1">
        <w:rPr>
          <w:rFonts w:ascii="Arial" w:hAnsi="Arial" w:cs="Arial"/>
          <w:shd w:val="clear" w:color="auto" w:fill="FFFFFF" w:themeFill="background1"/>
        </w:rPr>
        <w:t xml:space="preserve"> terms or supply cuts.</w:t>
      </w:r>
    </w:p>
    <w:p w14:paraId="58597BC4" w14:textId="7C59BD02" w:rsidR="00B33321" w:rsidRPr="00B3531A" w:rsidRDefault="007826C1" w:rsidP="007826C1">
      <w:pPr>
        <w:spacing w:line="360" w:lineRule="auto"/>
        <w:rPr>
          <w:rFonts w:ascii="Arial" w:hAnsi="Arial" w:cs="Arial"/>
          <w:shd w:val="clear" w:color="auto" w:fill="FFFFFF" w:themeFill="background1"/>
        </w:rPr>
      </w:pPr>
      <w:r w:rsidRPr="007826C1">
        <w:rPr>
          <w:rFonts w:ascii="Arial" w:hAnsi="Arial" w:cs="Arial"/>
          <w:shd w:val="clear" w:color="auto" w:fill="FFFFFF" w:themeFill="background1"/>
        </w:rPr>
        <w:t>The financial impact is severe. With a 2024 Cost of Sales of £280,885 million, every single day reduction in the COC frees up significant cash. Reducing the cycle from 124 days to, for example, 94 days would release approximately £23.1 million in cash (£280,885m / 365) * 30 days, providing a crucial lifeline.</w:t>
      </w:r>
    </w:p>
    <w:p w14:paraId="7BEDE51E" w14:textId="174221AB" w:rsidR="00B33321" w:rsidRPr="00B33321" w:rsidRDefault="00B33321" w:rsidP="006D438F">
      <w:pPr>
        <w:pStyle w:val="Heading2"/>
      </w:pPr>
      <w:bookmarkStart w:id="18" w:name="_Toc214811816"/>
      <w:r w:rsidRPr="00B33321">
        <w:lastRenderedPageBreak/>
        <w:t>Strategies for Working Capital Reform</w:t>
      </w:r>
      <w:bookmarkEnd w:id="18"/>
    </w:p>
    <w:p w14:paraId="11897774" w14:textId="177F8C59" w:rsidR="005B52FB" w:rsidRPr="00324687" w:rsidRDefault="00DC5E08" w:rsidP="007C009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0" w:line="360" w:lineRule="auto"/>
        <w:rPr>
          <w:rFonts w:ascii="Arial" w:eastAsia="Times New Roman" w:hAnsi="Arial" w:cs="Arial"/>
          <w:color w:val="0F1115"/>
          <w:kern w:val="0"/>
          <w14:ligatures w14:val="none"/>
        </w:rPr>
      </w:pPr>
      <w:r w:rsidRPr="00DC5E08">
        <w:rPr>
          <w:rFonts w:ascii="Arial" w:eastAsia="Times New Roman" w:hAnsi="Arial" w:cs="Arial"/>
          <w:color w:val="0F1115"/>
          <w:kern w:val="0"/>
          <w14:ligatures w14:val="none"/>
        </w:rPr>
        <w:t xml:space="preserve">An aggressive working capital reform </w:t>
      </w:r>
      <w:proofErr w:type="spellStart"/>
      <w:r w:rsidRPr="00DC5E08">
        <w:rPr>
          <w:rFonts w:ascii="Arial" w:eastAsia="Times New Roman" w:hAnsi="Arial" w:cs="Arial"/>
          <w:color w:val="0F1115"/>
          <w:kern w:val="0"/>
          <w14:ligatures w14:val="none"/>
        </w:rPr>
        <w:t>programme</w:t>
      </w:r>
      <w:proofErr w:type="spellEnd"/>
      <w:r w:rsidRPr="00DC5E08">
        <w:rPr>
          <w:rFonts w:ascii="Arial" w:eastAsia="Times New Roman" w:hAnsi="Arial" w:cs="Arial"/>
          <w:color w:val="0F1115"/>
          <w:kern w:val="0"/>
          <w14:ligatures w14:val="none"/>
        </w:rPr>
        <w:t xml:space="preserve"> is essential, as empirical research confirms that efficient working capital management is a critical driver of profitability and survival for financially constrained firms (Baños-Caballero, García-Teruel and Martínez-Solano, 2014). The following strategies should be implemented immediately</w:t>
      </w:r>
      <w:r w:rsidR="005B52FB" w:rsidRPr="00324687">
        <w:rPr>
          <w:rFonts w:ascii="Arial" w:eastAsia="Times New Roman" w:hAnsi="Arial" w:cs="Arial"/>
          <w:color w:val="0F1115"/>
          <w:kern w:val="0"/>
          <w14:ligatures w14:val="none"/>
        </w:rPr>
        <w:t>:</w:t>
      </w:r>
    </w:p>
    <w:p w14:paraId="526ABAD9" w14:textId="04F94EDB" w:rsidR="00B33321" w:rsidRPr="00EC26B4" w:rsidRDefault="00B33321" w:rsidP="00EC26B4">
      <w:pPr>
        <w:pStyle w:val="ListParagraph"/>
        <w:numPr>
          <w:ilvl w:val="0"/>
          <w:numId w:val="27"/>
        </w:numPr>
        <w:spacing w:line="360" w:lineRule="auto"/>
        <w:rPr>
          <w:rFonts w:ascii="Arial" w:hAnsi="Arial" w:cs="Arial"/>
        </w:rPr>
      </w:pPr>
      <w:r w:rsidRPr="00EC26B4">
        <w:rPr>
          <w:rFonts w:ascii="Arial" w:hAnsi="Arial" w:cs="Arial"/>
          <w:b/>
          <w:bCs/>
        </w:rPr>
        <w:t>Receivables Management (Tackling the 1</w:t>
      </w:r>
      <w:r w:rsidR="00820652">
        <w:rPr>
          <w:rFonts w:ascii="Arial" w:hAnsi="Arial" w:cs="Arial"/>
          <w:b/>
          <w:bCs/>
        </w:rPr>
        <w:t>15</w:t>
      </w:r>
      <w:r w:rsidRPr="00EC26B4">
        <w:rPr>
          <w:rFonts w:ascii="Arial" w:hAnsi="Arial" w:cs="Arial"/>
          <w:b/>
          <w:bCs/>
        </w:rPr>
        <w:t>-Day Collection Period):</w:t>
      </w:r>
    </w:p>
    <w:p w14:paraId="638F03DA" w14:textId="77777777" w:rsidR="00B33321" w:rsidRPr="00B33321" w:rsidRDefault="00B33321" w:rsidP="00EC26B4">
      <w:pPr>
        <w:numPr>
          <w:ilvl w:val="1"/>
          <w:numId w:val="26"/>
        </w:numPr>
        <w:spacing w:line="360" w:lineRule="auto"/>
        <w:rPr>
          <w:rFonts w:ascii="Arial" w:hAnsi="Arial" w:cs="Arial"/>
        </w:rPr>
      </w:pPr>
      <w:r w:rsidRPr="00B33321">
        <w:rPr>
          <w:rFonts w:ascii="Arial" w:hAnsi="Arial" w:cs="Arial"/>
          <w:b/>
          <w:bCs/>
        </w:rPr>
        <w:t>Credit Policy Overhaul:</w:t>
      </w:r>
      <w:r w:rsidRPr="00B33321">
        <w:rPr>
          <w:rFonts w:ascii="Arial" w:hAnsi="Arial" w:cs="Arial"/>
        </w:rPr>
        <w:t> Conduct a rigorous review of all customer credit limits and terms. High-risk or slow-paying customers should be placed on reduced limits or prepayment terms.</w:t>
      </w:r>
    </w:p>
    <w:p w14:paraId="0093A70E" w14:textId="77777777" w:rsidR="00B33321" w:rsidRPr="00B33321" w:rsidRDefault="00B33321" w:rsidP="00EC26B4">
      <w:pPr>
        <w:numPr>
          <w:ilvl w:val="1"/>
          <w:numId w:val="26"/>
        </w:numPr>
        <w:spacing w:line="360" w:lineRule="auto"/>
        <w:rPr>
          <w:rFonts w:ascii="Arial" w:hAnsi="Arial" w:cs="Arial"/>
        </w:rPr>
      </w:pPr>
      <w:r w:rsidRPr="00B33321">
        <w:rPr>
          <w:rFonts w:ascii="Arial" w:hAnsi="Arial" w:cs="Arial"/>
          <w:b/>
          <w:bCs/>
        </w:rPr>
        <w:t>Dedicated Collections Task Force:</w:t>
      </w:r>
      <w:r w:rsidRPr="00B33321">
        <w:rPr>
          <w:rFonts w:ascii="Arial" w:hAnsi="Arial" w:cs="Arial"/>
        </w:rPr>
        <w:t xml:space="preserve"> Establish a </w:t>
      </w:r>
      <w:proofErr w:type="spellStart"/>
      <w:r w:rsidRPr="00B33321">
        <w:rPr>
          <w:rFonts w:ascii="Arial" w:hAnsi="Arial" w:cs="Arial"/>
        </w:rPr>
        <w:t>specialised</w:t>
      </w:r>
      <w:proofErr w:type="spellEnd"/>
      <w:r w:rsidRPr="00B33321">
        <w:rPr>
          <w:rFonts w:ascii="Arial" w:hAnsi="Arial" w:cs="Arial"/>
        </w:rPr>
        <w:t xml:space="preserve"> team to aggressively pursue overdue accounts, focusing on the oldest debts first.</w:t>
      </w:r>
    </w:p>
    <w:p w14:paraId="3B7C63EE" w14:textId="77777777" w:rsidR="00B33321" w:rsidRPr="00B33321" w:rsidRDefault="00B33321" w:rsidP="00EC26B4">
      <w:pPr>
        <w:numPr>
          <w:ilvl w:val="1"/>
          <w:numId w:val="26"/>
        </w:numPr>
        <w:spacing w:line="360" w:lineRule="auto"/>
        <w:rPr>
          <w:rFonts w:ascii="Arial" w:hAnsi="Arial" w:cs="Arial"/>
        </w:rPr>
      </w:pPr>
      <w:r w:rsidRPr="00B33321">
        <w:rPr>
          <w:rFonts w:ascii="Arial" w:hAnsi="Arial" w:cs="Arial"/>
          <w:b/>
          <w:bCs/>
        </w:rPr>
        <w:t>Factoring:</w:t>
      </w:r>
      <w:r w:rsidRPr="00B33321">
        <w:rPr>
          <w:rFonts w:ascii="Arial" w:hAnsi="Arial" w:cs="Arial"/>
        </w:rPr>
        <w:t> Sell a portion of the accounts receivable to a factoring company. This would provide an immediate cash injection, transfer the credit risk, and professionally manage collections, albeit for a cost (Brealey, Myers and Allen, 2020).</w:t>
      </w:r>
    </w:p>
    <w:p w14:paraId="2E1282DF" w14:textId="77777777" w:rsidR="00B33321" w:rsidRPr="00EC26B4" w:rsidRDefault="00B33321" w:rsidP="00EC26B4">
      <w:pPr>
        <w:pStyle w:val="ListParagraph"/>
        <w:numPr>
          <w:ilvl w:val="0"/>
          <w:numId w:val="27"/>
        </w:numPr>
        <w:spacing w:line="360" w:lineRule="auto"/>
        <w:rPr>
          <w:rFonts w:ascii="Arial" w:hAnsi="Arial" w:cs="Arial"/>
        </w:rPr>
      </w:pPr>
      <w:r w:rsidRPr="00EC26B4">
        <w:rPr>
          <w:rFonts w:ascii="Arial" w:hAnsi="Arial" w:cs="Arial"/>
          <w:b/>
          <w:bCs/>
        </w:rPr>
        <w:t>Inventory Management (Reducing the 103-Day Holding Period):</w:t>
      </w:r>
    </w:p>
    <w:p w14:paraId="1733690D" w14:textId="7CA27FDB" w:rsidR="00B33321" w:rsidRPr="00B33321" w:rsidRDefault="00B33321" w:rsidP="00EC26B4">
      <w:pPr>
        <w:numPr>
          <w:ilvl w:val="1"/>
          <w:numId w:val="26"/>
        </w:numPr>
        <w:spacing w:line="360" w:lineRule="auto"/>
        <w:rPr>
          <w:rFonts w:ascii="Arial" w:hAnsi="Arial" w:cs="Arial"/>
        </w:rPr>
      </w:pPr>
      <w:r w:rsidRPr="00B33321">
        <w:rPr>
          <w:rFonts w:ascii="Arial" w:hAnsi="Arial" w:cs="Arial"/>
          <w:b/>
          <w:bCs/>
        </w:rPr>
        <w:t xml:space="preserve">Inventory </w:t>
      </w:r>
      <w:proofErr w:type="spellStart"/>
      <w:r w:rsidR="00B3531A" w:rsidRPr="00B33321">
        <w:rPr>
          <w:rFonts w:ascii="Arial" w:hAnsi="Arial" w:cs="Arial"/>
          <w:b/>
          <w:bCs/>
        </w:rPr>
        <w:t>Rationali</w:t>
      </w:r>
      <w:r w:rsidR="00713213">
        <w:rPr>
          <w:rFonts w:ascii="Arial" w:hAnsi="Arial" w:cs="Arial"/>
          <w:b/>
          <w:bCs/>
        </w:rPr>
        <w:t>s</w:t>
      </w:r>
      <w:r w:rsidR="00B3531A" w:rsidRPr="00B33321">
        <w:rPr>
          <w:rFonts w:ascii="Arial" w:hAnsi="Arial" w:cs="Arial"/>
          <w:b/>
          <w:bCs/>
        </w:rPr>
        <w:t>ation</w:t>
      </w:r>
      <w:proofErr w:type="spellEnd"/>
      <w:r w:rsidRPr="00B33321">
        <w:rPr>
          <w:rFonts w:ascii="Arial" w:hAnsi="Arial" w:cs="Arial"/>
          <w:b/>
          <w:bCs/>
        </w:rPr>
        <w:t>:</w:t>
      </w:r>
      <w:r w:rsidRPr="00B33321">
        <w:rPr>
          <w:rFonts w:ascii="Arial" w:hAnsi="Arial" w:cs="Arial"/>
        </w:rPr>
        <w:t> Implement an ABC analysis to identify and liquidate slow-moving (Category C) inventory through targeted sales or auctions, even at a loss, to free up warehouse space and cash.</w:t>
      </w:r>
    </w:p>
    <w:p w14:paraId="2A51C881" w14:textId="77777777" w:rsidR="00B33321" w:rsidRPr="00B33321" w:rsidRDefault="00B33321" w:rsidP="00EC26B4">
      <w:pPr>
        <w:numPr>
          <w:ilvl w:val="1"/>
          <w:numId w:val="26"/>
        </w:numPr>
        <w:spacing w:line="360" w:lineRule="auto"/>
        <w:rPr>
          <w:rFonts w:ascii="Arial" w:hAnsi="Arial" w:cs="Arial"/>
        </w:rPr>
      </w:pPr>
      <w:r w:rsidRPr="00B33321">
        <w:rPr>
          <w:rFonts w:ascii="Arial" w:hAnsi="Arial" w:cs="Arial"/>
          <w:b/>
          <w:bCs/>
        </w:rPr>
        <w:t>Just-In-Time (JIT) Implementation:</w:t>
      </w:r>
      <w:r w:rsidRPr="00B33321">
        <w:rPr>
          <w:rFonts w:ascii="Arial" w:hAnsi="Arial" w:cs="Arial"/>
        </w:rPr>
        <w:t xml:space="preserve"> For core product lines, work with key suppliers to implement JIT systems to </w:t>
      </w:r>
      <w:proofErr w:type="spellStart"/>
      <w:r w:rsidRPr="00B33321">
        <w:rPr>
          <w:rFonts w:ascii="Arial" w:hAnsi="Arial" w:cs="Arial"/>
        </w:rPr>
        <w:t>minimise</w:t>
      </w:r>
      <w:proofErr w:type="spellEnd"/>
      <w:r w:rsidRPr="00B33321">
        <w:rPr>
          <w:rFonts w:ascii="Arial" w:hAnsi="Arial" w:cs="Arial"/>
        </w:rPr>
        <w:t xml:space="preserve"> raw material and finished goods inventory, thereby reducing holding costs and the risk of obsolescence.</w:t>
      </w:r>
    </w:p>
    <w:p w14:paraId="1E85B9DB" w14:textId="5AB539E9" w:rsidR="00B33321" w:rsidRPr="00EC26B4" w:rsidRDefault="00B33321" w:rsidP="00EC26B4">
      <w:pPr>
        <w:pStyle w:val="ListParagraph"/>
        <w:numPr>
          <w:ilvl w:val="0"/>
          <w:numId w:val="27"/>
        </w:numPr>
        <w:spacing w:line="360" w:lineRule="auto"/>
        <w:rPr>
          <w:rFonts w:ascii="Arial" w:hAnsi="Arial" w:cs="Arial"/>
        </w:rPr>
      </w:pPr>
      <w:r w:rsidRPr="00EC26B4">
        <w:rPr>
          <w:rFonts w:ascii="Arial" w:hAnsi="Arial" w:cs="Arial"/>
          <w:b/>
          <w:bCs/>
        </w:rPr>
        <w:t>Payables Management (</w:t>
      </w:r>
      <w:proofErr w:type="spellStart"/>
      <w:r w:rsidR="00B3531A" w:rsidRPr="00EC26B4">
        <w:rPr>
          <w:rFonts w:ascii="Arial" w:hAnsi="Arial" w:cs="Arial"/>
          <w:b/>
          <w:bCs/>
        </w:rPr>
        <w:t>Optimi</w:t>
      </w:r>
      <w:r w:rsidR="00713213">
        <w:rPr>
          <w:rFonts w:ascii="Arial" w:hAnsi="Arial" w:cs="Arial"/>
          <w:b/>
          <w:bCs/>
        </w:rPr>
        <w:t>s</w:t>
      </w:r>
      <w:r w:rsidR="00B3531A" w:rsidRPr="00EC26B4">
        <w:rPr>
          <w:rFonts w:ascii="Arial" w:hAnsi="Arial" w:cs="Arial"/>
          <w:b/>
          <w:bCs/>
        </w:rPr>
        <w:t>ing</w:t>
      </w:r>
      <w:proofErr w:type="spellEnd"/>
      <w:r w:rsidRPr="00EC26B4">
        <w:rPr>
          <w:rFonts w:ascii="Arial" w:hAnsi="Arial" w:cs="Arial"/>
          <w:b/>
          <w:bCs/>
        </w:rPr>
        <w:t>, Not Just Extending, the 94-Day Payment):</w:t>
      </w:r>
    </w:p>
    <w:p w14:paraId="0B37DADB" w14:textId="77777777" w:rsidR="00B33321" w:rsidRPr="00B33321" w:rsidRDefault="00B33321" w:rsidP="00EC26B4">
      <w:pPr>
        <w:numPr>
          <w:ilvl w:val="1"/>
          <w:numId w:val="26"/>
        </w:numPr>
        <w:spacing w:line="360" w:lineRule="auto"/>
        <w:rPr>
          <w:rFonts w:ascii="Arial" w:hAnsi="Arial" w:cs="Arial"/>
        </w:rPr>
      </w:pPr>
      <w:r w:rsidRPr="00B33321">
        <w:rPr>
          <w:rFonts w:ascii="Arial" w:hAnsi="Arial" w:cs="Arial"/>
          <w:b/>
          <w:bCs/>
        </w:rPr>
        <w:t>Supplier Relationship Management:</w:t>
      </w:r>
      <w:r w:rsidRPr="00B33321">
        <w:rPr>
          <w:rFonts w:ascii="Arial" w:hAnsi="Arial" w:cs="Arial"/>
        </w:rPr>
        <w:t xml:space="preserve"> Open communication with key suppliers is vital. Rather than unilaterally delaying payments, negotiate formally for better terms in exchange for commitments </w:t>
      </w:r>
      <w:proofErr w:type="gramStart"/>
      <w:r w:rsidRPr="00B33321">
        <w:rPr>
          <w:rFonts w:ascii="Arial" w:hAnsi="Arial" w:cs="Arial"/>
        </w:rPr>
        <w:t>on</w:t>
      </w:r>
      <w:proofErr w:type="gramEnd"/>
      <w:r w:rsidRPr="00B33321">
        <w:rPr>
          <w:rFonts w:ascii="Arial" w:hAnsi="Arial" w:cs="Arial"/>
        </w:rPr>
        <w:t xml:space="preserve"> volume or </w:t>
      </w:r>
      <w:r w:rsidRPr="00B33321">
        <w:rPr>
          <w:rFonts w:ascii="Arial" w:hAnsi="Arial" w:cs="Arial"/>
        </w:rPr>
        <w:lastRenderedPageBreak/>
        <w:t xml:space="preserve">prompt payment for certain orders. Exploiting early payment discounts, if available, could be more beneficial than </w:t>
      </w:r>
      <w:proofErr w:type="spellStart"/>
      <w:r w:rsidRPr="00B33321">
        <w:rPr>
          <w:rFonts w:ascii="Arial" w:hAnsi="Arial" w:cs="Arial"/>
        </w:rPr>
        <w:t>maximising</w:t>
      </w:r>
      <w:proofErr w:type="spellEnd"/>
      <w:r w:rsidRPr="00B33321">
        <w:rPr>
          <w:rFonts w:ascii="Arial" w:hAnsi="Arial" w:cs="Arial"/>
        </w:rPr>
        <w:t xml:space="preserve"> payment days.</w:t>
      </w:r>
    </w:p>
    <w:p w14:paraId="78D3C44B" w14:textId="77777777" w:rsidR="00B33321" w:rsidRPr="00B33321" w:rsidRDefault="00B33321" w:rsidP="00EC26B4">
      <w:pPr>
        <w:spacing w:line="360" w:lineRule="auto"/>
        <w:rPr>
          <w:rFonts w:ascii="Arial" w:hAnsi="Arial" w:cs="Arial"/>
        </w:rPr>
      </w:pPr>
      <w:r w:rsidRPr="00B33321">
        <w:rPr>
          <w:rFonts w:ascii="Arial" w:hAnsi="Arial" w:cs="Arial"/>
        </w:rPr>
        <w:t>The primary goal of these reforms should be to reduce the COC by 30 days within the next 12 months, releasing the estimated £23 million in cash to pay down short-term debt and fund operations.</w:t>
      </w:r>
    </w:p>
    <w:p w14:paraId="6F1E6F0C" w14:textId="3EC63521" w:rsidR="00B33321" w:rsidRPr="00B33321" w:rsidRDefault="00B33321" w:rsidP="006D438F">
      <w:pPr>
        <w:pStyle w:val="Heading2"/>
      </w:pPr>
      <w:bookmarkStart w:id="19" w:name="_Toc214811817"/>
      <w:r w:rsidRPr="00B33321">
        <w:t>Short-term vs. Long-term Financing Options</w:t>
      </w:r>
      <w:bookmarkEnd w:id="19"/>
    </w:p>
    <w:p w14:paraId="2A6E27CD" w14:textId="02890AE9" w:rsidR="00B33321" w:rsidRPr="00EC26B4" w:rsidRDefault="00B33321" w:rsidP="00EC26B4">
      <w:pPr>
        <w:spacing w:line="360" w:lineRule="auto"/>
        <w:rPr>
          <w:rFonts w:ascii="Arial" w:hAnsi="Arial" w:cs="Arial"/>
        </w:rPr>
      </w:pPr>
      <w:r w:rsidRPr="00B33321">
        <w:rPr>
          <w:rFonts w:ascii="Arial" w:hAnsi="Arial" w:cs="Arial"/>
        </w:rPr>
        <w:t>General Electronics' current financing strategy is fundamentally flawed. It relies heavily on volatile short-term </w:t>
      </w:r>
      <w:r w:rsidRPr="00B33321">
        <w:rPr>
          <w:rFonts w:ascii="Arial" w:hAnsi="Arial" w:cs="Arial"/>
          <w:b/>
          <w:bCs/>
        </w:rPr>
        <w:t>Lines of Credit</w:t>
      </w:r>
      <w:r w:rsidRPr="00B33321">
        <w:rPr>
          <w:rFonts w:ascii="Arial" w:hAnsi="Arial" w:cs="Arial"/>
        </w:rPr>
        <w:t> (£36,960m in 2024) as a permanent source of funding, creating a significant refinancing risk.</w:t>
      </w:r>
    </w:p>
    <w:tbl>
      <w:tblPr>
        <w:tblStyle w:val="TableGrid"/>
        <w:tblW w:w="9406" w:type="dxa"/>
        <w:tblLook w:val="04A0" w:firstRow="1" w:lastRow="0" w:firstColumn="1" w:lastColumn="0" w:noHBand="0" w:noVBand="1"/>
      </w:tblPr>
      <w:tblGrid>
        <w:gridCol w:w="2005"/>
        <w:gridCol w:w="4625"/>
        <w:gridCol w:w="2776"/>
      </w:tblGrid>
      <w:tr w:rsidR="00EC26B4" w:rsidRPr="00EC26B4" w14:paraId="57C34920" w14:textId="77777777" w:rsidTr="00EC26B4">
        <w:trPr>
          <w:trHeight w:val="661"/>
        </w:trPr>
        <w:tc>
          <w:tcPr>
            <w:tcW w:w="2005" w:type="dxa"/>
            <w:vAlign w:val="center"/>
          </w:tcPr>
          <w:p w14:paraId="3EAA0BAE" w14:textId="2FC13F13" w:rsidR="00EC26B4" w:rsidRPr="00EC26B4" w:rsidRDefault="00EC26B4" w:rsidP="00EC26B4">
            <w:pPr>
              <w:spacing w:line="360" w:lineRule="auto"/>
              <w:rPr>
                <w:rFonts w:ascii="Arial" w:hAnsi="Arial" w:cs="Arial"/>
              </w:rPr>
            </w:pPr>
            <w:r w:rsidRPr="00B33321">
              <w:rPr>
                <w:rFonts w:ascii="Arial" w:hAnsi="Arial" w:cs="Arial"/>
              </w:rPr>
              <w:t>Feature</w:t>
            </w:r>
          </w:p>
        </w:tc>
        <w:tc>
          <w:tcPr>
            <w:tcW w:w="4625" w:type="dxa"/>
            <w:vAlign w:val="center"/>
          </w:tcPr>
          <w:p w14:paraId="3A9C9304" w14:textId="03661D86" w:rsidR="00EC26B4" w:rsidRPr="00EC26B4" w:rsidRDefault="00EC26B4" w:rsidP="00EC26B4">
            <w:pPr>
              <w:spacing w:line="360" w:lineRule="auto"/>
              <w:rPr>
                <w:rFonts w:ascii="Arial" w:hAnsi="Arial" w:cs="Arial"/>
              </w:rPr>
            </w:pPr>
            <w:r w:rsidRPr="00B33321">
              <w:rPr>
                <w:rFonts w:ascii="Arial" w:hAnsi="Arial" w:cs="Arial"/>
              </w:rPr>
              <w:t>Short-Term Financing (Current State)</w:t>
            </w:r>
          </w:p>
        </w:tc>
        <w:tc>
          <w:tcPr>
            <w:tcW w:w="2776" w:type="dxa"/>
            <w:vAlign w:val="center"/>
          </w:tcPr>
          <w:p w14:paraId="1CB3DE64" w14:textId="6CE9AEAE" w:rsidR="00EC26B4" w:rsidRPr="00EC26B4" w:rsidRDefault="00EC26B4" w:rsidP="00EC26B4">
            <w:pPr>
              <w:spacing w:line="360" w:lineRule="auto"/>
              <w:rPr>
                <w:rFonts w:ascii="Arial" w:hAnsi="Arial" w:cs="Arial"/>
              </w:rPr>
            </w:pPr>
            <w:r w:rsidRPr="00B33321">
              <w:rPr>
                <w:rFonts w:ascii="Arial" w:hAnsi="Arial" w:cs="Arial"/>
              </w:rPr>
              <w:t>Long-Term Financing (Recommended)</w:t>
            </w:r>
          </w:p>
        </w:tc>
      </w:tr>
      <w:tr w:rsidR="00EC26B4" w:rsidRPr="00EC26B4" w14:paraId="353D633E" w14:textId="77777777" w:rsidTr="00EC26B4">
        <w:trPr>
          <w:trHeight w:val="661"/>
        </w:trPr>
        <w:tc>
          <w:tcPr>
            <w:tcW w:w="2005" w:type="dxa"/>
            <w:vAlign w:val="center"/>
          </w:tcPr>
          <w:p w14:paraId="308FB114" w14:textId="239D8FF9" w:rsidR="00EC26B4" w:rsidRPr="00EC26B4" w:rsidRDefault="00EC26B4" w:rsidP="00EC26B4">
            <w:pPr>
              <w:spacing w:line="360" w:lineRule="auto"/>
              <w:rPr>
                <w:rFonts w:ascii="Arial" w:hAnsi="Arial" w:cs="Arial"/>
              </w:rPr>
            </w:pPr>
            <w:r w:rsidRPr="00B33321">
              <w:rPr>
                <w:rFonts w:ascii="Arial" w:hAnsi="Arial" w:cs="Arial"/>
              </w:rPr>
              <w:t>Cost</w:t>
            </w:r>
          </w:p>
        </w:tc>
        <w:tc>
          <w:tcPr>
            <w:tcW w:w="4625" w:type="dxa"/>
            <w:vAlign w:val="center"/>
          </w:tcPr>
          <w:p w14:paraId="34FF8966" w14:textId="07875FEA" w:rsidR="00EC26B4" w:rsidRPr="00EC26B4" w:rsidRDefault="00EC26B4" w:rsidP="00EC26B4">
            <w:pPr>
              <w:spacing w:line="360" w:lineRule="auto"/>
              <w:rPr>
                <w:rFonts w:ascii="Arial" w:hAnsi="Arial" w:cs="Arial"/>
              </w:rPr>
            </w:pPr>
            <w:r w:rsidRPr="00EC26B4">
              <w:rPr>
                <w:rFonts w:ascii="Arial" w:hAnsi="Arial" w:cs="Arial"/>
              </w:rPr>
              <w:t>Typically,</w:t>
            </w:r>
            <w:r w:rsidRPr="00B33321">
              <w:rPr>
                <w:rFonts w:ascii="Arial" w:hAnsi="Arial" w:cs="Arial"/>
              </w:rPr>
              <w:t xml:space="preserve"> lower interest rates.</w:t>
            </w:r>
          </w:p>
        </w:tc>
        <w:tc>
          <w:tcPr>
            <w:tcW w:w="2776" w:type="dxa"/>
            <w:vAlign w:val="center"/>
          </w:tcPr>
          <w:p w14:paraId="06BB0CDB" w14:textId="5EAEC053" w:rsidR="00EC26B4" w:rsidRPr="00EC26B4" w:rsidRDefault="00EC26B4" w:rsidP="00EC26B4">
            <w:pPr>
              <w:spacing w:line="360" w:lineRule="auto"/>
              <w:rPr>
                <w:rFonts w:ascii="Arial" w:hAnsi="Arial" w:cs="Arial"/>
              </w:rPr>
            </w:pPr>
            <w:r w:rsidRPr="00EC26B4">
              <w:rPr>
                <w:rFonts w:ascii="Arial" w:hAnsi="Arial" w:cs="Arial"/>
              </w:rPr>
              <w:t>Typically,</w:t>
            </w:r>
            <w:r w:rsidRPr="00B33321">
              <w:rPr>
                <w:rFonts w:ascii="Arial" w:hAnsi="Arial" w:cs="Arial"/>
              </w:rPr>
              <w:t xml:space="preserve"> higher interest rates.</w:t>
            </w:r>
          </w:p>
        </w:tc>
      </w:tr>
      <w:tr w:rsidR="00EC26B4" w:rsidRPr="00EC26B4" w14:paraId="1F1465EE" w14:textId="77777777" w:rsidTr="00EC26B4">
        <w:trPr>
          <w:trHeight w:val="688"/>
        </w:trPr>
        <w:tc>
          <w:tcPr>
            <w:tcW w:w="2005" w:type="dxa"/>
            <w:vAlign w:val="center"/>
          </w:tcPr>
          <w:p w14:paraId="0EA495B3" w14:textId="6EA915A7" w:rsidR="00EC26B4" w:rsidRPr="00EC26B4" w:rsidRDefault="00EC26B4" w:rsidP="00EC26B4">
            <w:pPr>
              <w:spacing w:line="360" w:lineRule="auto"/>
              <w:rPr>
                <w:rFonts w:ascii="Arial" w:hAnsi="Arial" w:cs="Arial"/>
              </w:rPr>
            </w:pPr>
            <w:r w:rsidRPr="00B33321">
              <w:rPr>
                <w:rFonts w:ascii="Arial" w:hAnsi="Arial" w:cs="Arial"/>
              </w:rPr>
              <w:t>Flexibility</w:t>
            </w:r>
          </w:p>
        </w:tc>
        <w:tc>
          <w:tcPr>
            <w:tcW w:w="4625" w:type="dxa"/>
            <w:vAlign w:val="center"/>
          </w:tcPr>
          <w:p w14:paraId="1AFF079A" w14:textId="0618D382" w:rsidR="00EC26B4" w:rsidRPr="00EC26B4" w:rsidRDefault="00EC26B4" w:rsidP="00EC26B4">
            <w:pPr>
              <w:spacing w:line="360" w:lineRule="auto"/>
              <w:rPr>
                <w:rFonts w:ascii="Arial" w:hAnsi="Arial" w:cs="Arial"/>
              </w:rPr>
            </w:pPr>
            <w:r w:rsidRPr="00B33321">
              <w:rPr>
                <w:rFonts w:ascii="Arial" w:hAnsi="Arial" w:cs="Arial"/>
              </w:rPr>
              <w:t>High; can be drawn and repaid quickly.</w:t>
            </w:r>
          </w:p>
        </w:tc>
        <w:tc>
          <w:tcPr>
            <w:tcW w:w="2776" w:type="dxa"/>
            <w:vAlign w:val="center"/>
          </w:tcPr>
          <w:p w14:paraId="11C01FED" w14:textId="1B89CD4D" w:rsidR="00EC26B4" w:rsidRPr="00EC26B4" w:rsidRDefault="00EC26B4" w:rsidP="00EC26B4">
            <w:pPr>
              <w:spacing w:line="360" w:lineRule="auto"/>
              <w:rPr>
                <w:rFonts w:ascii="Arial" w:hAnsi="Arial" w:cs="Arial"/>
              </w:rPr>
            </w:pPr>
            <w:r w:rsidRPr="00B33321">
              <w:rPr>
                <w:rFonts w:ascii="Arial" w:hAnsi="Arial" w:cs="Arial"/>
              </w:rPr>
              <w:t>Low; funds are committed for a long period.</w:t>
            </w:r>
          </w:p>
        </w:tc>
      </w:tr>
      <w:tr w:rsidR="00EC26B4" w:rsidRPr="00EC26B4" w14:paraId="4BAD4150" w14:textId="77777777" w:rsidTr="00EC26B4">
        <w:trPr>
          <w:trHeight w:val="661"/>
        </w:trPr>
        <w:tc>
          <w:tcPr>
            <w:tcW w:w="2005" w:type="dxa"/>
            <w:vAlign w:val="center"/>
          </w:tcPr>
          <w:p w14:paraId="0554521D" w14:textId="67B08B78" w:rsidR="00EC26B4" w:rsidRPr="00EC26B4" w:rsidRDefault="00EC26B4" w:rsidP="00EC26B4">
            <w:pPr>
              <w:spacing w:line="360" w:lineRule="auto"/>
              <w:rPr>
                <w:rFonts w:ascii="Arial" w:hAnsi="Arial" w:cs="Arial"/>
              </w:rPr>
            </w:pPr>
            <w:r w:rsidRPr="00B33321">
              <w:rPr>
                <w:rFonts w:ascii="Arial" w:hAnsi="Arial" w:cs="Arial"/>
              </w:rPr>
              <w:t>Risk</w:t>
            </w:r>
          </w:p>
        </w:tc>
        <w:tc>
          <w:tcPr>
            <w:tcW w:w="4625" w:type="dxa"/>
            <w:vAlign w:val="center"/>
          </w:tcPr>
          <w:p w14:paraId="7C2752B8" w14:textId="0176D329" w:rsidR="00EC26B4" w:rsidRPr="00EC26B4" w:rsidRDefault="00EC26B4" w:rsidP="00EC26B4">
            <w:pPr>
              <w:spacing w:line="360" w:lineRule="auto"/>
              <w:rPr>
                <w:rFonts w:ascii="Arial" w:hAnsi="Arial" w:cs="Arial"/>
              </w:rPr>
            </w:pPr>
            <w:r w:rsidRPr="00B33321">
              <w:rPr>
                <w:rFonts w:ascii="Arial" w:hAnsi="Arial" w:cs="Arial"/>
              </w:rPr>
              <w:t>Very High; requires frequent renewal, exposing the company to lender refusal, especially in distress.</w:t>
            </w:r>
          </w:p>
        </w:tc>
        <w:tc>
          <w:tcPr>
            <w:tcW w:w="2776" w:type="dxa"/>
            <w:vAlign w:val="center"/>
          </w:tcPr>
          <w:p w14:paraId="0D6F155A" w14:textId="01959048" w:rsidR="00EC26B4" w:rsidRPr="00EC26B4" w:rsidRDefault="00EC26B4" w:rsidP="00EC26B4">
            <w:pPr>
              <w:spacing w:line="360" w:lineRule="auto"/>
              <w:rPr>
                <w:rFonts w:ascii="Arial" w:hAnsi="Arial" w:cs="Arial"/>
              </w:rPr>
            </w:pPr>
            <w:proofErr w:type="gramStart"/>
            <w:r w:rsidRPr="00B33321">
              <w:rPr>
                <w:rFonts w:ascii="Arial" w:hAnsi="Arial" w:cs="Arial"/>
              </w:rPr>
              <w:t>Low</w:t>
            </w:r>
            <w:r w:rsidR="00713213">
              <w:rPr>
                <w:rFonts w:ascii="Arial" w:hAnsi="Arial" w:cs="Arial"/>
              </w:rPr>
              <w:t>;</w:t>
            </w:r>
            <w:proofErr w:type="gramEnd"/>
            <w:r w:rsidRPr="00B33321">
              <w:rPr>
                <w:rFonts w:ascii="Arial" w:hAnsi="Arial" w:cs="Arial"/>
              </w:rPr>
              <w:t> provides stable, predictable funding</w:t>
            </w:r>
            <w:r w:rsidRPr="00EC26B4">
              <w:rPr>
                <w:rFonts w:ascii="Arial" w:hAnsi="Arial" w:cs="Arial"/>
              </w:rPr>
              <w:t>, insulating</w:t>
            </w:r>
            <w:r w:rsidRPr="00B33321">
              <w:rPr>
                <w:rFonts w:ascii="Arial" w:hAnsi="Arial" w:cs="Arial"/>
              </w:rPr>
              <w:t xml:space="preserve"> the company from credit market fluctuations.</w:t>
            </w:r>
          </w:p>
        </w:tc>
      </w:tr>
      <w:tr w:rsidR="00EC26B4" w:rsidRPr="00B3531A" w14:paraId="7D3F11D1" w14:textId="77777777" w:rsidTr="00EC26B4">
        <w:trPr>
          <w:trHeight w:val="661"/>
        </w:trPr>
        <w:tc>
          <w:tcPr>
            <w:tcW w:w="2005" w:type="dxa"/>
            <w:vAlign w:val="center"/>
          </w:tcPr>
          <w:p w14:paraId="151B6A65" w14:textId="7AE378B2" w:rsidR="00EC26B4" w:rsidRPr="00B3531A" w:rsidRDefault="00EC26B4" w:rsidP="00EC26B4">
            <w:pPr>
              <w:spacing w:line="360" w:lineRule="auto"/>
              <w:rPr>
                <w:rFonts w:ascii="Arial" w:hAnsi="Arial" w:cs="Arial"/>
              </w:rPr>
            </w:pPr>
            <w:r w:rsidRPr="00B3531A">
              <w:rPr>
                <w:rFonts w:ascii="Arial" w:hAnsi="Arial" w:cs="Arial"/>
              </w:rPr>
              <w:t>Suitability</w:t>
            </w:r>
          </w:p>
        </w:tc>
        <w:tc>
          <w:tcPr>
            <w:tcW w:w="4625" w:type="dxa"/>
            <w:vAlign w:val="center"/>
          </w:tcPr>
          <w:p w14:paraId="2E74CDA1" w14:textId="468F7076" w:rsidR="00EC26B4" w:rsidRPr="00B3531A" w:rsidRDefault="00EC26B4" w:rsidP="00EC26B4">
            <w:pPr>
              <w:spacing w:line="360" w:lineRule="auto"/>
              <w:rPr>
                <w:rFonts w:ascii="Arial" w:hAnsi="Arial" w:cs="Arial"/>
              </w:rPr>
            </w:pPr>
            <w:r w:rsidRPr="00B3531A">
              <w:rPr>
                <w:rFonts w:ascii="Arial" w:hAnsi="Arial" w:cs="Arial"/>
              </w:rPr>
              <w:t>For seasonal or temporary cash needs.</w:t>
            </w:r>
          </w:p>
        </w:tc>
        <w:tc>
          <w:tcPr>
            <w:tcW w:w="2776" w:type="dxa"/>
            <w:vAlign w:val="center"/>
          </w:tcPr>
          <w:p w14:paraId="10191A8A" w14:textId="5C2038F4" w:rsidR="00EC26B4" w:rsidRPr="00B3531A" w:rsidRDefault="00EC26B4" w:rsidP="00EC26B4">
            <w:pPr>
              <w:spacing w:line="360" w:lineRule="auto"/>
              <w:rPr>
                <w:rFonts w:ascii="Arial" w:hAnsi="Arial" w:cs="Arial"/>
              </w:rPr>
            </w:pPr>
            <w:r w:rsidRPr="00B3531A">
              <w:rPr>
                <w:rFonts w:ascii="Arial" w:hAnsi="Arial" w:cs="Arial"/>
              </w:rPr>
              <w:t>For financing long-term assets and providing a permanent capital base for operations.</w:t>
            </w:r>
          </w:p>
        </w:tc>
      </w:tr>
    </w:tbl>
    <w:p w14:paraId="6D4CD12E" w14:textId="3188F365" w:rsidR="00EC26B4" w:rsidRPr="00B3531A" w:rsidRDefault="00B3531A" w:rsidP="00EC26B4">
      <w:pPr>
        <w:spacing w:line="360" w:lineRule="auto"/>
        <w:rPr>
          <w:rFonts w:ascii="Arial" w:hAnsi="Arial" w:cs="Arial"/>
        </w:rPr>
      </w:pPr>
      <w:r w:rsidRPr="00B3531A">
        <w:rPr>
          <w:rFonts w:ascii="Arial" w:hAnsi="Arial" w:cs="Arial"/>
        </w:rPr>
        <w:t>Table 1: Comparison of Short-term and Long-term Financing Strategies</w:t>
      </w:r>
      <w:r>
        <w:rPr>
          <w:rFonts w:ascii="Arial" w:hAnsi="Arial" w:cs="Arial"/>
        </w:rPr>
        <w:t>.</w:t>
      </w:r>
    </w:p>
    <w:p w14:paraId="511B11DD" w14:textId="6BD1DE5F" w:rsidR="00B33321" w:rsidRPr="00B33321" w:rsidRDefault="00B33321" w:rsidP="00EC26B4">
      <w:pPr>
        <w:spacing w:line="360" w:lineRule="auto"/>
        <w:rPr>
          <w:rFonts w:ascii="Arial" w:hAnsi="Arial" w:cs="Arial"/>
        </w:rPr>
      </w:pPr>
      <w:r w:rsidRPr="00B33321">
        <w:rPr>
          <w:rFonts w:ascii="Arial" w:hAnsi="Arial" w:cs="Arial"/>
          <w:b/>
          <w:bCs/>
        </w:rPr>
        <w:t>Recommendation:</w:t>
      </w:r>
      <w:r w:rsidRPr="00B33321">
        <w:rPr>
          <w:rFonts w:ascii="Arial" w:hAnsi="Arial" w:cs="Arial"/>
        </w:rPr>
        <w:br/>
        <w:t xml:space="preserve">The company must urgently replace a significant portion of its short-term credit lines with long-term financing. This could be achieved through issuing corporate bonds or </w:t>
      </w:r>
      <w:r w:rsidRPr="00B33321">
        <w:rPr>
          <w:rFonts w:ascii="Arial" w:hAnsi="Arial" w:cs="Arial"/>
        </w:rPr>
        <w:lastRenderedPageBreak/>
        <w:t>securing a long-term bank loan. While the explicit cost (interest rate) may be higher, the reduction in refinancing risk and the provision of stability are invaluable for a company executing a turnaround (Damodaran, 2012). This restructuring of the debt maturity profile is a non-negotiable step towards achieving financial stability.</w:t>
      </w:r>
    </w:p>
    <w:p w14:paraId="41D7E228" w14:textId="52761C22" w:rsidR="00EC26B4" w:rsidRPr="00EC26B4" w:rsidRDefault="00EC26B4" w:rsidP="006D438F">
      <w:pPr>
        <w:pStyle w:val="Heading1"/>
      </w:pPr>
      <w:bookmarkStart w:id="20" w:name="_Toc214811818"/>
      <w:r w:rsidRPr="00EC26B4">
        <w:t>Strategic Financial Restructuring Plan</w:t>
      </w:r>
      <w:r>
        <w:t>.</w:t>
      </w:r>
      <w:bookmarkEnd w:id="20"/>
    </w:p>
    <w:p w14:paraId="120BF153" w14:textId="4BA96E76" w:rsidR="00EC26B4" w:rsidRPr="00EC26B4" w:rsidRDefault="00EC26B4" w:rsidP="006D438F">
      <w:pPr>
        <w:pStyle w:val="Heading2"/>
      </w:pPr>
      <w:bookmarkStart w:id="21" w:name="_Toc214811819"/>
      <w:r w:rsidRPr="00EC26B4">
        <w:t>Restructuring Options Evaluation</w:t>
      </w:r>
      <w:bookmarkEnd w:id="21"/>
    </w:p>
    <w:p w14:paraId="6F35B9FE" w14:textId="731EBADB" w:rsidR="00EC26B4" w:rsidRPr="00EC26B4" w:rsidRDefault="00EC26B4" w:rsidP="00EC26B4">
      <w:pPr>
        <w:spacing w:line="360" w:lineRule="auto"/>
        <w:rPr>
          <w:rFonts w:ascii="Arial" w:hAnsi="Arial" w:cs="Arial"/>
        </w:rPr>
      </w:pPr>
      <w:r w:rsidRPr="00EC26B4">
        <w:rPr>
          <w:rFonts w:ascii="Arial" w:hAnsi="Arial" w:cs="Arial"/>
        </w:rPr>
        <w:t>Given the scale of the crisis</w:t>
      </w:r>
      <w:r w:rsidR="00AB5195">
        <w:rPr>
          <w:rFonts w:ascii="Arial" w:hAnsi="Arial" w:cs="Arial"/>
        </w:rPr>
        <w:t xml:space="preserve"> </w:t>
      </w:r>
      <w:proofErr w:type="spellStart"/>
      <w:r w:rsidRPr="00EC26B4">
        <w:rPr>
          <w:rFonts w:ascii="Arial" w:hAnsi="Arial" w:cs="Arial"/>
        </w:rPr>
        <w:t>characterised</w:t>
      </w:r>
      <w:proofErr w:type="spellEnd"/>
      <w:r w:rsidRPr="00EC26B4">
        <w:rPr>
          <w:rFonts w:ascii="Arial" w:hAnsi="Arial" w:cs="Arial"/>
        </w:rPr>
        <w:t xml:space="preserve"> by negative profitability, a high debt burden, and a liquidity </w:t>
      </w:r>
      <w:proofErr w:type="gramStart"/>
      <w:r w:rsidRPr="00EC26B4">
        <w:rPr>
          <w:rFonts w:ascii="Arial" w:hAnsi="Arial" w:cs="Arial"/>
        </w:rPr>
        <w:t>shortfall</w:t>
      </w:r>
      <w:proofErr w:type="gramEnd"/>
      <w:r w:rsidR="00AB5195">
        <w:rPr>
          <w:rFonts w:ascii="Arial" w:hAnsi="Arial" w:cs="Arial"/>
        </w:rPr>
        <w:t xml:space="preserve"> </w:t>
      </w:r>
      <w:r w:rsidRPr="00EC26B4">
        <w:rPr>
          <w:rFonts w:ascii="Arial" w:hAnsi="Arial" w:cs="Arial"/>
        </w:rPr>
        <w:t>a combination of financial restructuring actions is required to avoid insolvency.</w:t>
      </w:r>
    </w:p>
    <w:p w14:paraId="7B2D31FE" w14:textId="77777777" w:rsidR="00EC26B4" w:rsidRPr="00EC26B4" w:rsidRDefault="00EC26B4" w:rsidP="00EC26B4">
      <w:pPr>
        <w:pStyle w:val="ListParagraph"/>
        <w:numPr>
          <w:ilvl w:val="0"/>
          <w:numId w:val="33"/>
        </w:numPr>
        <w:spacing w:line="360" w:lineRule="auto"/>
        <w:rPr>
          <w:rFonts w:ascii="Arial" w:hAnsi="Arial" w:cs="Arial"/>
        </w:rPr>
      </w:pPr>
      <w:r w:rsidRPr="00EC26B4">
        <w:rPr>
          <w:rFonts w:ascii="Arial" w:hAnsi="Arial" w:cs="Arial"/>
          <w:b/>
          <w:bCs/>
        </w:rPr>
        <w:t>Divestiture of Non-Core and Underperforming Assets:</w:t>
      </w:r>
      <w:r w:rsidRPr="00EC26B4">
        <w:rPr>
          <w:rFonts w:ascii="Arial" w:hAnsi="Arial" w:cs="Arial"/>
        </w:rPr>
        <w:t xml:space="preserve"> This is the most urgent and actionable step. The company must shrink to survive. The consistent decline in Property, Plant &amp; Equipment (from £87,285m in 2020 to £34,207m in 2024) suggests this process has begun organically, but it must be accelerated through a structured divestiture </w:t>
      </w:r>
      <w:proofErr w:type="spellStart"/>
      <w:r w:rsidRPr="00EC26B4">
        <w:rPr>
          <w:rFonts w:ascii="Arial" w:hAnsi="Arial" w:cs="Arial"/>
        </w:rPr>
        <w:t>programme</w:t>
      </w:r>
      <w:proofErr w:type="spellEnd"/>
      <w:r w:rsidRPr="00EC26B4">
        <w:rPr>
          <w:rFonts w:ascii="Arial" w:hAnsi="Arial" w:cs="Arial"/>
        </w:rPr>
        <w:t>.</w:t>
      </w:r>
    </w:p>
    <w:p w14:paraId="0FE3CCB2" w14:textId="77777777" w:rsidR="00EC26B4" w:rsidRPr="00EC26B4" w:rsidRDefault="00EC26B4" w:rsidP="00EC26B4">
      <w:pPr>
        <w:pStyle w:val="ListParagraph"/>
        <w:numPr>
          <w:ilvl w:val="0"/>
          <w:numId w:val="35"/>
        </w:numPr>
        <w:spacing w:line="360" w:lineRule="auto"/>
        <w:rPr>
          <w:rFonts w:ascii="Arial" w:hAnsi="Arial" w:cs="Arial"/>
        </w:rPr>
      </w:pPr>
      <w:r w:rsidRPr="00EC26B4">
        <w:rPr>
          <w:rFonts w:ascii="Arial" w:hAnsi="Arial" w:cs="Arial"/>
          <w:b/>
          <w:bCs/>
        </w:rPr>
        <w:t>Action:</w:t>
      </w:r>
      <w:r w:rsidRPr="00EC26B4">
        <w:rPr>
          <w:rFonts w:ascii="Arial" w:hAnsi="Arial" w:cs="Arial"/>
        </w:rPr>
        <w:t xml:space="preserve"> Identify and sell non-core business units, intellectual property, or </w:t>
      </w:r>
      <w:proofErr w:type="spellStart"/>
      <w:r w:rsidRPr="00EC26B4">
        <w:rPr>
          <w:rFonts w:ascii="Arial" w:hAnsi="Arial" w:cs="Arial"/>
        </w:rPr>
        <w:t>underutilised</w:t>
      </w:r>
      <w:proofErr w:type="spellEnd"/>
      <w:r w:rsidRPr="00EC26B4">
        <w:rPr>
          <w:rFonts w:ascii="Arial" w:hAnsi="Arial" w:cs="Arial"/>
        </w:rPr>
        <w:t xml:space="preserve"> real estate.</w:t>
      </w:r>
    </w:p>
    <w:p w14:paraId="3130800A" w14:textId="77777777" w:rsidR="00EC26B4" w:rsidRPr="00EC26B4" w:rsidRDefault="00EC26B4" w:rsidP="00EC26B4">
      <w:pPr>
        <w:pStyle w:val="ListParagraph"/>
        <w:numPr>
          <w:ilvl w:val="0"/>
          <w:numId w:val="35"/>
        </w:numPr>
        <w:spacing w:line="360" w:lineRule="auto"/>
        <w:rPr>
          <w:rFonts w:ascii="Arial" w:hAnsi="Arial" w:cs="Arial"/>
        </w:rPr>
      </w:pPr>
      <w:r w:rsidRPr="00EC26B4">
        <w:rPr>
          <w:rFonts w:ascii="Arial" w:hAnsi="Arial" w:cs="Arial"/>
          <w:b/>
          <w:bCs/>
        </w:rPr>
        <w:t>Rationale:</w:t>
      </w:r>
      <w:r w:rsidRPr="00EC26B4">
        <w:rPr>
          <w:rFonts w:ascii="Arial" w:hAnsi="Arial" w:cs="Arial"/>
        </w:rPr>
        <w:t> This generates an immediate and substantial cash injection to pay down debt and fund the turnaround. It also allows management to focus resources exclusively on the most profitable and strategic core operations, aligning with the principle of "sticking to the knitting" (Porter, 2008).</w:t>
      </w:r>
    </w:p>
    <w:p w14:paraId="2CACBC07" w14:textId="77777777" w:rsidR="00EC26B4" w:rsidRPr="00D875DC" w:rsidRDefault="00EC26B4" w:rsidP="00D875DC">
      <w:pPr>
        <w:pStyle w:val="ListParagraph"/>
        <w:numPr>
          <w:ilvl w:val="0"/>
          <w:numId w:val="33"/>
        </w:numPr>
        <w:spacing w:line="360" w:lineRule="auto"/>
        <w:rPr>
          <w:rFonts w:ascii="Arial" w:hAnsi="Arial" w:cs="Arial"/>
        </w:rPr>
      </w:pPr>
      <w:r w:rsidRPr="00D875DC">
        <w:rPr>
          <w:rFonts w:ascii="Arial" w:hAnsi="Arial" w:cs="Arial"/>
          <w:b/>
          <w:bCs/>
        </w:rPr>
        <w:t>Equity Injection:</w:t>
      </w:r>
      <w:r w:rsidRPr="00D875DC">
        <w:rPr>
          <w:rFonts w:ascii="Arial" w:hAnsi="Arial" w:cs="Arial"/>
        </w:rPr>
        <w:t xml:space="preserve"> To repair the critically over-leveraged balance sheet (Debt-to-Equity of 111.2%), the company should conduct a rights issue </w:t>
      </w:r>
      <w:proofErr w:type="gramStart"/>
      <w:r w:rsidRPr="00D875DC">
        <w:rPr>
          <w:rFonts w:ascii="Arial" w:hAnsi="Arial" w:cs="Arial"/>
        </w:rPr>
        <w:t>to</w:t>
      </w:r>
      <w:proofErr w:type="gramEnd"/>
      <w:r w:rsidRPr="00D875DC">
        <w:rPr>
          <w:rFonts w:ascii="Arial" w:hAnsi="Arial" w:cs="Arial"/>
        </w:rPr>
        <w:t xml:space="preserve"> existing shareholders.</w:t>
      </w:r>
    </w:p>
    <w:p w14:paraId="79B61B73" w14:textId="77777777" w:rsidR="00EC26B4" w:rsidRPr="00D875DC" w:rsidRDefault="00EC26B4" w:rsidP="00D875DC">
      <w:pPr>
        <w:pStyle w:val="ListParagraph"/>
        <w:numPr>
          <w:ilvl w:val="0"/>
          <w:numId w:val="36"/>
        </w:numPr>
        <w:spacing w:line="360" w:lineRule="auto"/>
        <w:rPr>
          <w:rFonts w:ascii="Arial" w:hAnsi="Arial" w:cs="Arial"/>
        </w:rPr>
      </w:pPr>
      <w:r w:rsidRPr="00D875DC">
        <w:rPr>
          <w:rFonts w:ascii="Arial" w:hAnsi="Arial" w:cs="Arial"/>
          <w:b/>
          <w:bCs/>
        </w:rPr>
        <w:t>Action:</w:t>
      </w:r>
      <w:r w:rsidRPr="00D875DC">
        <w:rPr>
          <w:rFonts w:ascii="Arial" w:hAnsi="Arial" w:cs="Arial"/>
        </w:rPr>
        <w:t> Offer existing shareholders the right to purchase new shares at a significant discount to the current market price to ensure uptake.</w:t>
      </w:r>
    </w:p>
    <w:p w14:paraId="5A4812D9" w14:textId="77777777" w:rsidR="00EC26B4" w:rsidRPr="00D875DC" w:rsidRDefault="00EC26B4" w:rsidP="00D875DC">
      <w:pPr>
        <w:pStyle w:val="ListParagraph"/>
        <w:numPr>
          <w:ilvl w:val="0"/>
          <w:numId w:val="36"/>
        </w:numPr>
        <w:spacing w:line="360" w:lineRule="auto"/>
        <w:rPr>
          <w:rFonts w:ascii="Arial" w:hAnsi="Arial" w:cs="Arial"/>
        </w:rPr>
      </w:pPr>
      <w:r w:rsidRPr="00D875DC">
        <w:rPr>
          <w:rFonts w:ascii="Arial" w:hAnsi="Arial" w:cs="Arial"/>
          <w:b/>
          <w:bCs/>
        </w:rPr>
        <w:t>Rationale:</w:t>
      </w:r>
      <w:r w:rsidRPr="00D875DC">
        <w:rPr>
          <w:rFonts w:ascii="Arial" w:hAnsi="Arial" w:cs="Arial"/>
        </w:rPr>
        <w:t> Equity is permanent capital. It provides a vital cushion to absorb losses and strengthens the balance sheet, making the company more resilient and potentially lowering its cost of debt in the future.</w:t>
      </w:r>
    </w:p>
    <w:p w14:paraId="1A07E347" w14:textId="77777777" w:rsidR="00EC26B4" w:rsidRPr="00D875DC" w:rsidRDefault="00EC26B4" w:rsidP="00D875DC">
      <w:pPr>
        <w:pStyle w:val="ListParagraph"/>
        <w:numPr>
          <w:ilvl w:val="0"/>
          <w:numId w:val="33"/>
        </w:numPr>
        <w:spacing w:line="360" w:lineRule="auto"/>
        <w:rPr>
          <w:rFonts w:ascii="Arial" w:hAnsi="Arial" w:cs="Arial"/>
        </w:rPr>
      </w:pPr>
      <w:r w:rsidRPr="00D875DC">
        <w:rPr>
          <w:rFonts w:ascii="Arial" w:hAnsi="Arial" w:cs="Arial"/>
          <w:b/>
          <w:bCs/>
        </w:rPr>
        <w:lastRenderedPageBreak/>
        <w:t>Debt Restructuring:</w:t>
      </w:r>
      <w:r w:rsidRPr="00D875DC">
        <w:rPr>
          <w:rFonts w:ascii="Arial" w:hAnsi="Arial" w:cs="Arial"/>
        </w:rPr>
        <w:t> Parallel to the above, the company must engage with its creditors.</w:t>
      </w:r>
    </w:p>
    <w:p w14:paraId="3BA6E978" w14:textId="77777777" w:rsidR="00EC26B4" w:rsidRPr="00D875DC" w:rsidRDefault="00EC26B4" w:rsidP="00D875DC">
      <w:pPr>
        <w:pStyle w:val="ListParagraph"/>
        <w:numPr>
          <w:ilvl w:val="0"/>
          <w:numId w:val="37"/>
        </w:numPr>
        <w:spacing w:line="360" w:lineRule="auto"/>
        <w:rPr>
          <w:rFonts w:ascii="Arial" w:hAnsi="Arial" w:cs="Arial"/>
        </w:rPr>
      </w:pPr>
      <w:r w:rsidRPr="00D875DC">
        <w:rPr>
          <w:rFonts w:ascii="Arial" w:hAnsi="Arial" w:cs="Arial"/>
          <w:b/>
          <w:bCs/>
        </w:rPr>
        <w:t>Action:</w:t>
      </w:r>
      <w:r w:rsidRPr="00D875DC">
        <w:rPr>
          <w:rFonts w:ascii="Arial" w:hAnsi="Arial" w:cs="Arial"/>
        </w:rPr>
        <w:t> Negotiate with lenders to extend debt maturities, reduce interest rates, or, most effectively, execute a debt-for-equity swap.</w:t>
      </w:r>
    </w:p>
    <w:p w14:paraId="0D576FCC" w14:textId="3599A13C" w:rsidR="00EC26B4" w:rsidRPr="00D875DC" w:rsidRDefault="00EC26B4" w:rsidP="00D875DC">
      <w:pPr>
        <w:pStyle w:val="ListParagraph"/>
        <w:numPr>
          <w:ilvl w:val="0"/>
          <w:numId w:val="37"/>
        </w:numPr>
        <w:spacing w:line="360" w:lineRule="auto"/>
        <w:rPr>
          <w:rFonts w:ascii="Arial" w:hAnsi="Arial" w:cs="Arial"/>
        </w:rPr>
      </w:pPr>
      <w:r w:rsidRPr="00D875DC">
        <w:rPr>
          <w:rFonts w:ascii="Arial" w:hAnsi="Arial" w:cs="Arial"/>
          <w:b/>
          <w:bCs/>
        </w:rPr>
        <w:t>Rationale:</w:t>
      </w:r>
      <w:r w:rsidRPr="00D875DC">
        <w:rPr>
          <w:rFonts w:ascii="Arial" w:hAnsi="Arial" w:cs="Arial"/>
        </w:rPr>
        <w:t xml:space="preserve"> A debt-for-equity swap directly reduces the crippling debt burden and interest obligations. It aligns </w:t>
      </w:r>
      <w:r w:rsidR="00A928DE">
        <w:rPr>
          <w:rFonts w:ascii="Arial" w:hAnsi="Arial" w:cs="Arial"/>
        </w:rPr>
        <w:t>creditors' interests with the company's recovery, as they become owners and have a vested interest in the turnaround's success</w:t>
      </w:r>
      <w:r w:rsidRPr="00D875DC">
        <w:rPr>
          <w:rFonts w:ascii="Arial" w:hAnsi="Arial" w:cs="Arial"/>
        </w:rPr>
        <w:t>.</w:t>
      </w:r>
    </w:p>
    <w:p w14:paraId="6E68985C" w14:textId="77777777" w:rsidR="00EC26B4" w:rsidRPr="00EC26B4" w:rsidRDefault="00EC26B4" w:rsidP="00EC26B4">
      <w:pPr>
        <w:spacing w:line="360" w:lineRule="auto"/>
        <w:rPr>
          <w:rFonts w:ascii="Arial" w:hAnsi="Arial" w:cs="Arial"/>
        </w:rPr>
      </w:pPr>
      <w:r w:rsidRPr="00EC26B4">
        <w:rPr>
          <w:rFonts w:ascii="Arial" w:hAnsi="Arial" w:cs="Arial"/>
        </w:rPr>
        <w:t>A merger or acquisition is not a viable option in the company's current state, as it lacks the financial strength to be an attractive acquirer and would be vulnerable as a takeover target, likely at a fire-sale price.</w:t>
      </w:r>
    </w:p>
    <w:p w14:paraId="3DA9E48D" w14:textId="61F3A13F" w:rsidR="00EC26B4" w:rsidRPr="00EC26B4" w:rsidRDefault="00EC26B4" w:rsidP="006D438F">
      <w:pPr>
        <w:pStyle w:val="Heading2"/>
      </w:pPr>
      <w:bookmarkStart w:id="22" w:name="_Toc214811820"/>
      <w:r w:rsidRPr="00EC26B4">
        <w:t>Impact Analysis</w:t>
      </w:r>
      <w:bookmarkEnd w:id="22"/>
    </w:p>
    <w:p w14:paraId="39B1DB0D" w14:textId="16404B1F" w:rsidR="00EC26B4" w:rsidRPr="00EC26B4" w:rsidRDefault="00EC26B4" w:rsidP="00EC26B4">
      <w:pPr>
        <w:spacing w:line="360" w:lineRule="auto"/>
        <w:rPr>
          <w:rFonts w:ascii="Arial" w:hAnsi="Arial" w:cs="Arial"/>
        </w:rPr>
      </w:pPr>
      <w:r w:rsidRPr="00EC26B4">
        <w:rPr>
          <w:rFonts w:ascii="Arial" w:hAnsi="Arial" w:cs="Arial"/>
        </w:rPr>
        <w:t xml:space="preserve">The proposed restructuring will have profound, albeit initially painful, impacts across the </w:t>
      </w:r>
      <w:r w:rsidR="00A928DE" w:rsidRPr="00EC26B4">
        <w:rPr>
          <w:rFonts w:ascii="Arial" w:hAnsi="Arial" w:cs="Arial"/>
        </w:rPr>
        <w:t>organization</w:t>
      </w:r>
      <w:r w:rsidRPr="00EC26B4">
        <w:rPr>
          <w:rFonts w:ascii="Arial" w:hAnsi="Arial" w:cs="Arial"/>
        </w:rPr>
        <w:t>.</w:t>
      </w:r>
    </w:p>
    <w:p w14:paraId="772D55CA" w14:textId="77777777" w:rsidR="00EC26B4" w:rsidRPr="009636DB" w:rsidRDefault="00EC26B4" w:rsidP="009636DB">
      <w:pPr>
        <w:pStyle w:val="Heading2"/>
      </w:pPr>
      <w:bookmarkStart w:id="23" w:name="_Toc214811821"/>
      <w:r w:rsidRPr="009636DB">
        <w:t>Impact on Shareholder Value:</w:t>
      </w:r>
      <w:bookmarkEnd w:id="23"/>
    </w:p>
    <w:p w14:paraId="21411EF2" w14:textId="77777777" w:rsidR="00EC26B4" w:rsidRPr="00D875DC" w:rsidRDefault="00EC26B4" w:rsidP="00D875DC">
      <w:pPr>
        <w:pStyle w:val="ListParagraph"/>
        <w:numPr>
          <w:ilvl w:val="0"/>
          <w:numId w:val="39"/>
        </w:numPr>
        <w:spacing w:line="360" w:lineRule="auto"/>
        <w:rPr>
          <w:rFonts w:ascii="Arial" w:hAnsi="Arial" w:cs="Arial"/>
        </w:rPr>
      </w:pPr>
      <w:r w:rsidRPr="00D875DC">
        <w:rPr>
          <w:rFonts w:ascii="Arial" w:hAnsi="Arial" w:cs="Arial"/>
          <w:b/>
          <w:bCs/>
        </w:rPr>
        <w:t>Short-Term:</w:t>
      </w:r>
      <w:r w:rsidRPr="00D875DC">
        <w:rPr>
          <w:rFonts w:ascii="Arial" w:hAnsi="Arial" w:cs="Arial"/>
        </w:rPr>
        <w:t> Highly dilutive. A rights issue and a debt-for-equity swap will significantly dilute existing shareholders' ownership percentage. Divestitures may also involve selling assets at depressed prices.</w:t>
      </w:r>
    </w:p>
    <w:p w14:paraId="5A4CE76E" w14:textId="77777777" w:rsidR="00EC26B4" w:rsidRPr="00D875DC" w:rsidRDefault="00EC26B4" w:rsidP="00D875DC">
      <w:pPr>
        <w:pStyle w:val="ListParagraph"/>
        <w:numPr>
          <w:ilvl w:val="0"/>
          <w:numId w:val="39"/>
        </w:numPr>
        <w:spacing w:line="360" w:lineRule="auto"/>
        <w:rPr>
          <w:rFonts w:ascii="Arial" w:hAnsi="Arial" w:cs="Arial"/>
        </w:rPr>
      </w:pPr>
      <w:r w:rsidRPr="00D875DC">
        <w:rPr>
          <w:rFonts w:ascii="Arial" w:hAnsi="Arial" w:cs="Arial"/>
          <w:b/>
          <w:bCs/>
        </w:rPr>
        <w:t>Long-Term:</w:t>
      </w:r>
      <w:r w:rsidRPr="00D875DC">
        <w:rPr>
          <w:rFonts w:ascii="Arial" w:hAnsi="Arial" w:cs="Arial"/>
        </w:rPr>
        <w:t> This strategy is designed to </w:t>
      </w:r>
      <w:r w:rsidRPr="00D875DC">
        <w:rPr>
          <w:rFonts w:ascii="Arial" w:hAnsi="Arial" w:cs="Arial"/>
          <w:i/>
          <w:iCs/>
        </w:rPr>
        <w:t>preserve</w:t>
      </w:r>
      <w:r w:rsidRPr="00D875DC">
        <w:rPr>
          <w:rFonts w:ascii="Arial" w:hAnsi="Arial" w:cs="Arial"/>
        </w:rPr>
        <w:t xml:space="preserve"> shareholder value by preventing a total wipe-out in bankruptcy. By saving the company, it provides the only viable path for long-term value recovery. As the saying goes, "a small piece of </w:t>
      </w:r>
      <w:proofErr w:type="gramStart"/>
      <w:r w:rsidRPr="00D875DC">
        <w:rPr>
          <w:rFonts w:ascii="Arial" w:hAnsi="Arial" w:cs="Arial"/>
        </w:rPr>
        <w:t>a healthy</w:t>
      </w:r>
      <w:proofErr w:type="gramEnd"/>
      <w:r w:rsidRPr="00D875DC">
        <w:rPr>
          <w:rFonts w:ascii="Arial" w:hAnsi="Arial" w:cs="Arial"/>
        </w:rPr>
        <w:t xml:space="preserve"> pie is better than a large piece of no pie."</w:t>
      </w:r>
    </w:p>
    <w:p w14:paraId="535745AB" w14:textId="77777777" w:rsidR="00EC26B4" w:rsidRPr="00D875DC" w:rsidRDefault="00EC26B4" w:rsidP="009636DB">
      <w:pPr>
        <w:pStyle w:val="Heading2"/>
      </w:pPr>
      <w:bookmarkStart w:id="24" w:name="_Toc214811822"/>
      <w:r w:rsidRPr="00D875DC">
        <w:t>Impact on Debt Structure and Solvency:</w:t>
      </w:r>
      <w:bookmarkEnd w:id="24"/>
    </w:p>
    <w:p w14:paraId="5618A1BD" w14:textId="77777777" w:rsidR="00EC26B4" w:rsidRPr="00D875DC" w:rsidRDefault="00EC26B4" w:rsidP="00D875DC">
      <w:pPr>
        <w:pStyle w:val="ListParagraph"/>
        <w:numPr>
          <w:ilvl w:val="0"/>
          <w:numId w:val="40"/>
        </w:numPr>
        <w:spacing w:line="360" w:lineRule="auto"/>
        <w:rPr>
          <w:rFonts w:ascii="Arial" w:hAnsi="Arial" w:cs="Arial"/>
        </w:rPr>
      </w:pPr>
      <w:r w:rsidRPr="00D875DC">
        <w:rPr>
          <w:rFonts w:ascii="Arial" w:hAnsi="Arial" w:cs="Arial"/>
        </w:rPr>
        <w:t>The combined effect will be a dramatic improvement in solvency. The goal should be to reduce the Debt-to-Equity ratio to below 70% and restore the Interest Cover ratio to a positive figure. Replacing short-term debt with long-term financing and equity will create a stable and sustainable capital structure, reducing refinancing risk and making the company more resilient to economic shocks.</w:t>
      </w:r>
    </w:p>
    <w:p w14:paraId="0A01A9BA" w14:textId="77777777" w:rsidR="00EC26B4" w:rsidRPr="00D875DC" w:rsidRDefault="00EC26B4" w:rsidP="009636DB">
      <w:pPr>
        <w:pStyle w:val="Heading2"/>
      </w:pPr>
      <w:bookmarkStart w:id="25" w:name="_Toc214811823"/>
      <w:r w:rsidRPr="00D875DC">
        <w:lastRenderedPageBreak/>
        <w:t>Impact on Operational Flexibility:</w:t>
      </w:r>
      <w:bookmarkEnd w:id="25"/>
    </w:p>
    <w:p w14:paraId="7CD904C8" w14:textId="22A1E6E1" w:rsidR="00EC26B4" w:rsidRPr="00D875DC" w:rsidRDefault="00EC26B4" w:rsidP="00D875DC">
      <w:pPr>
        <w:pStyle w:val="ListParagraph"/>
        <w:numPr>
          <w:ilvl w:val="0"/>
          <w:numId w:val="40"/>
        </w:numPr>
        <w:spacing w:line="360" w:lineRule="auto"/>
        <w:rPr>
          <w:rFonts w:ascii="Arial" w:hAnsi="Arial" w:cs="Arial"/>
        </w:rPr>
      </w:pPr>
      <w:r w:rsidRPr="00D875DC">
        <w:rPr>
          <w:rFonts w:ascii="Arial" w:hAnsi="Arial" w:cs="Arial"/>
        </w:rPr>
        <w:t xml:space="preserve">With a </w:t>
      </w:r>
      <w:r w:rsidR="00A928DE" w:rsidRPr="00D875DC">
        <w:rPr>
          <w:rFonts w:ascii="Arial" w:hAnsi="Arial" w:cs="Arial"/>
        </w:rPr>
        <w:t>stabilized</w:t>
      </w:r>
      <w:r w:rsidRPr="00D875DC">
        <w:rPr>
          <w:rFonts w:ascii="Arial" w:hAnsi="Arial" w:cs="Arial"/>
        </w:rPr>
        <w:t xml:space="preserve"> balance sheet and reduced debt-servicing burden, management will regain </w:t>
      </w:r>
      <w:proofErr w:type="gramStart"/>
      <w:r w:rsidRPr="00D875DC">
        <w:rPr>
          <w:rFonts w:ascii="Arial" w:hAnsi="Arial" w:cs="Arial"/>
        </w:rPr>
        <w:t>the operational</w:t>
      </w:r>
      <w:proofErr w:type="gramEnd"/>
      <w:r w:rsidRPr="00D875DC">
        <w:rPr>
          <w:rFonts w:ascii="Arial" w:hAnsi="Arial" w:cs="Arial"/>
        </w:rPr>
        <w:t xml:space="preserve"> flexibility to make crucial investments in R&amp;D, marketing, and new product development. Instead of constantly </w:t>
      </w:r>
      <w:r w:rsidR="00A928DE">
        <w:rPr>
          <w:rFonts w:ascii="Arial" w:hAnsi="Arial" w:cs="Arial"/>
        </w:rPr>
        <w:t>fighting</w:t>
      </w:r>
      <w:r w:rsidRPr="00D875DC">
        <w:rPr>
          <w:rFonts w:ascii="Arial" w:hAnsi="Arial" w:cs="Arial"/>
        </w:rPr>
        <w:t xml:space="preserve"> liquidity crises, they can focus on implementing a strategic plan to return the company to growth.</w:t>
      </w:r>
    </w:p>
    <w:p w14:paraId="2C99600C" w14:textId="7A3C067D" w:rsidR="00EC26B4" w:rsidRPr="00EC26B4" w:rsidRDefault="00EC26B4" w:rsidP="006D438F">
      <w:pPr>
        <w:pStyle w:val="Heading2"/>
      </w:pPr>
      <w:bookmarkStart w:id="26" w:name="_Toc214811824"/>
      <w:r w:rsidRPr="00EC26B4">
        <w:t>International and Ethical Considerations</w:t>
      </w:r>
      <w:bookmarkEnd w:id="26"/>
    </w:p>
    <w:p w14:paraId="13067BB6" w14:textId="77777777" w:rsidR="00EC26B4" w:rsidRPr="00EC26B4" w:rsidRDefault="00EC26B4" w:rsidP="00EC26B4">
      <w:pPr>
        <w:spacing w:line="360" w:lineRule="auto"/>
        <w:rPr>
          <w:rFonts w:ascii="Arial" w:hAnsi="Arial" w:cs="Arial"/>
        </w:rPr>
      </w:pPr>
      <w:r w:rsidRPr="00EC26B4">
        <w:rPr>
          <w:rFonts w:ascii="Arial" w:hAnsi="Arial" w:cs="Arial"/>
        </w:rPr>
        <w:t>As a global firm, General Electronics must navigate this restructuring with a keen awareness of its international footprint and ethical responsibilities.</w:t>
      </w:r>
    </w:p>
    <w:p w14:paraId="7AC4B64D" w14:textId="77777777" w:rsidR="00EC26B4" w:rsidRPr="00EC26B4" w:rsidRDefault="00EC26B4" w:rsidP="00EC26B4">
      <w:pPr>
        <w:spacing w:line="360" w:lineRule="auto"/>
        <w:rPr>
          <w:rFonts w:ascii="Arial" w:hAnsi="Arial" w:cs="Arial"/>
        </w:rPr>
      </w:pPr>
      <w:r w:rsidRPr="00EC26B4">
        <w:rPr>
          <w:rFonts w:ascii="Arial" w:hAnsi="Arial" w:cs="Arial"/>
          <w:b/>
          <w:bCs/>
        </w:rPr>
        <w:t>Taxation:</w:t>
      </w:r>
      <w:r w:rsidRPr="00EC26B4">
        <w:rPr>
          <w:rFonts w:ascii="Arial" w:hAnsi="Arial" w:cs="Arial"/>
        </w:rPr>
        <w:t> Any cross-border divestitures will have complex tax implications. The company must ensure full compliance with all local tax laws and the OECD's Base Erosion and Profit Shifting (BEPS) framework to avoid penalties and reputational damage (OECD, 2023). The goal should be tax efficiency, not aggressive avoidance.</w:t>
      </w:r>
    </w:p>
    <w:p w14:paraId="6792A939" w14:textId="77777777" w:rsidR="00EC26B4" w:rsidRPr="00EC26B4" w:rsidRDefault="00EC26B4" w:rsidP="00EC26B4">
      <w:pPr>
        <w:spacing w:line="360" w:lineRule="auto"/>
        <w:rPr>
          <w:rFonts w:ascii="Arial" w:hAnsi="Arial" w:cs="Arial"/>
        </w:rPr>
      </w:pPr>
      <w:r w:rsidRPr="00EC26B4">
        <w:rPr>
          <w:rFonts w:ascii="Arial" w:hAnsi="Arial" w:cs="Arial"/>
          <w:b/>
          <w:bCs/>
        </w:rPr>
        <w:t>Currency and Inflation Risk:</w:t>
      </w:r>
      <w:r w:rsidRPr="00EC26B4">
        <w:rPr>
          <w:rFonts w:ascii="Arial" w:hAnsi="Arial" w:cs="Arial"/>
        </w:rPr>
        <w:t> The restructuring will alter the company's asset and liability profile across different currencies. A robust hedging strategy must be maintained to protect against foreign exchange volatility. Furthermore, in high-inflation markets, the value of cash raised from divestitures could be eroded; these funds should be deployed quickly or held in stable currencies.</w:t>
      </w:r>
    </w:p>
    <w:p w14:paraId="0072D64A" w14:textId="77777777" w:rsidR="00EC26B4" w:rsidRPr="00EC26B4" w:rsidRDefault="00EC26B4" w:rsidP="006D438F">
      <w:pPr>
        <w:pStyle w:val="Heading2"/>
      </w:pPr>
      <w:bookmarkStart w:id="27" w:name="_Toc214811825"/>
      <w:r w:rsidRPr="00EC26B4">
        <w:t>Corporate Social Responsibility (CSR) and Ethical Execution:</w:t>
      </w:r>
      <w:bookmarkEnd w:id="27"/>
    </w:p>
    <w:p w14:paraId="50937B8C" w14:textId="77777777" w:rsidR="00EC26B4" w:rsidRPr="00EC26B4" w:rsidRDefault="00EC26B4" w:rsidP="00EC26B4">
      <w:pPr>
        <w:spacing w:line="360" w:lineRule="auto"/>
        <w:rPr>
          <w:rFonts w:ascii="Arial" w:hAnsi="Arial" w:cs="Arial"/>
        </w:rPr>
      </w:pPr>
      <w:r w:rsidRPr="00EC26B4">
        <w:rPr>
          <w:rFonts w:ascii="Arial" w:hAnsi="Arial" w:cs="Arial"/>
          <w:b/>
          <w:bCs/>
        </w:rPr>
        <w:t>Workforce Impact:</w:t>
      </w:r>
      <w:r w:rsidRPr="00EC26B4">
        <w:rPr>
          <w:rFonts w:ascii="Arial" w:hAnsi="Arial" w:cs="Arial"/>
        </w:rPr>
        <w:t> Divestitures and operational downsizing will inevitably lead to job losses. The company has an ethical duty to manage this process with transparency, fairness, and compassion. This includes providing fair severance packages, outplacement services, and as much advance notice as possible.</w:t>
      </w:r>
    </w:p>
    <w:p w14:paraId="44F77936" w14:textId="2986FA7C" w:rsidR="00EC26B4" w:rsidRPr="00EC26B4" w:rsidRDefault="00EC26B4" w:rsidP="00EC26B4">
      <w:pPr>
        <w:spacing w:line="360" w:lineRule="auto"/>
        <w:rPr>
          <w:rFonts w:ascii="Arial" w:hAnsi="Arial" w:cs="Arial"/>
        </w:rPr>
      </w:pPr>
      <w:r w:rsidRPr="00EC26B4">
        <w:rPr>
          <w:rFonts w:ascii="Arial" w:hAnsi="Arial" w:cs="Arial"/>
          <w:b/>
          <w:bCs/>
        </w:rPr>
        <w:t>Communication:</w:t>
      </w:r>
      <w:r w:rsidRPr="00EC26B4">
        <w:rPr>
          <w:rFonts w:ascii="Arial" w:hAnsi="Arial" w:cs="Arial"/>
        </w:rPr>
        <w:t> The restructuring plan must be communicated clearly and honestly to all stakeholders</w:t>
      </w:r>
      <w:r w:rsidR="00D875DC">
        <w:rPr>
          <w:rFonts w:ascii="Arial" w:hAnsi="Arial" w:cs="Arial"/>
        </w:rPr>
        <w:t xml:space="preserve">, including </w:t>
      </w:r>
      <w:r w:rsidRPr="00EC26B4">
        <w:rPr>
          <w:rFonts w:ascii="Arial" w:hAnsi="Arial" w:cs="Arial"/>
        </w:rPr>
        <w:t>employees, suppliers, customers, and investors. Maintaining trust is crucial for retaining key talent, preserving supplier relationships, and keeping customer confidence.</w:t>
      </w:r>
    </w:p>
    <w:p w14:paraId="64F1D944" w14:textId="697C5636" w:rsidR="00EC26B4" w:rsidRPr="00EC26B4" w:rsidRDefault="00EC26B4" w:rsidP="00EC26B4">
      <w:pPr>
        <w:spacing w:line="360" w:lineRule="auto"/>
        <w:rPr>
          <w:rFonts w:ascii="Arial" w:hAnsi="Arial" w:cs="Arial"/>
        </w:rPr>
      </w:pPr>
      <w:r w:rsidRPr="00EC26B4">
        <w:rPr>
          <w:rFonts w:ascii="Arial" w:hAnsi="Arial" w:cs="Arial"/>
          <w:b/>
          <w:bCs/>
        </w:rPr>
        <w:lastRenderedPageBreak/>
        <w:t>Environmental Liabilities:</w:t>
      </w:r>
      <w:r w:rsidRPr="00EC26B4">
        <w:rPr>
          <w:rFonts w:ascii="Arial" w:hAnsi="Arial" w:cs="Arial"/>
        </w:rPr>
        <w:t xml:space="preserve"> The divestiture of assets, particularly manufacturing facilities, must include a clear and funded plan for addressing any </w:t>
      </w:r>
      <w:r w:rsidR="00D875DC">
        <w:rPr>
          <w:rFonts w:ascii="Arial" w:hAnsi="Arial" w:cs="Arial"/>
        </w:rPr>
        <w:t>ecological</w:t>
      </w:r>
      <w:r w:rsidRPr="00EC26B4">
        <w:rPr>
          <w:rFonts w:ascii="Arial" w:hAnsi="Arial" w:cs="Arial"/>
        </w:rPr>
        <w:t xml:space="preserve"> liabilities, ensuring the company does not simply abandon its environmental responsibilities.</w:t>
      </w:r>
    </w:p>
    <w:p w14:paraId="2D28FEF0" w14:textId="77777777" w:rsidR="00EC26B4" w:rsidRDefault="00EC26B4" w:rsidP="00EC26B4">
      <w:pPr>
        <w:spacing w:line="360" w:lineRule="auto"/>
        <w:rPr>
          <w:rFonts w:ascii="Arial" w:hAnsi="Arial" w:cs="Arial"/>
        </w:rPr>
      </w:pPr>
      <w:r w:rsidRPr="00EC26B4">
        <w:rPr>
          <w:rFonts w:ascii="Arial" w:hAnsi="Arial" w:cs="Arial"/>
        </w:rPr>
        <w:t>By integrating these considerations into the core restructuring strategy, General Electronics can not only achieve financial recovery but also reinforce its commitment to being a responsible global corporate citizen, thereby rebuilding its tarnished reputation.</w:t>
      </w:r>
    </w:p>
    <w:p w14:paraId="194D305F" w14:textId="77777777" w:rsidR="00D875DC" w:rsidRDefault="00D875DC" w:rsidP="00EC26B4">
      <w:pPr>
        <w:spacing w:line="360" w:lineRule="auto"/>
        <w:rPr>
          <w:rFonts w:ascii="Arial" w:hAnsi="Arial" w:cs="Arial"/>
        </w:rPr>
      </w:pPr>
    </w:p>
    <w:p w14:paraId="08DC539C" w14:textId="50E18182" w:rsidR="00D875DC" w:rsidRDefault="00D875DC" w:rsidP="006D438F">
      <w:pPr>
        <w:pStyle w:val="Heading1"/>
      </w:pPr>
      <w:bookmarkStart w:id="28" w:name="_Toc214811826"/>
      <w:r w:rsidRPr="00D875DC">
        <w:t>Investment Appraisal and Capital Budgeting</w:t>
      </w:r>
      <w:r>
        <w:t>.</w:t>
      </w:r>
      <w:bookmarkEnd w:id="28"/>
    </w:p>
    <w:p w14:paraId="04F0E692" w14:textId="455A4407" w:rsidR="00D875DC" w:rsidRPr="00D875DC" w:rsidRDefault="00D875DC" w:rsidP="00D875DC">
      <w:pPr>
        <w:pStyle w:val="Heading2"/>
      </w:pPr>
      <w:bookmarkStart w:id="29" w:name="_Toc214811827"/>
      <w:r w:rsidRPr="00D875DC">
        <w:rPr>
          <w:rFonts w:eastAsia="Times New Roman"/>
        </w:rPr>
        <w:t>Investment Appraisal Calculations</w:t>
      </w:r>
      <w:bookmarkEnd w:id="29"/>
    </w:p>
    <w:p w14:paraId="1D3EDC59" w14:textId="069FE109" w:rsidR="00D875DC" w:rsidRDefault="005B52FB" w:rsidP="00D875DC">
      <w:pPr>
        <w:pStyle w:val="ds-markdown-paragraph"/>
        <w:shd w:val="clear" w:color="auto" w:fill="FFFFFF"/>
        <w:spacing w:before="240" w:after="240" w:line="360" w:lineRule="auto"/>
        <w:rPr>
          <w:rFonts w:ascii="Arial" w:hAnsi="Arial" w:cs="Arial"/>
          <w:color w:val="0F1115"/>
        </w:rPr>
      </w:pPr>
      <w:r w:rsidRPr="005B52FB">
        <w:rPr>
          <w:rFonts w:ascii="Arial" w:hAnsi="Arial" w:cs="Arial"/>
          <w:color w:val="0F1115"/>
        </w:rPr>
        <w:t>Under the £60 million capital rationing constraint, the three projects were appraised using Payback Period (PBP), Accounting Rate of Return (ARR), Net Present Value (NPV), Profitability Index (PI), and Internal Rate of Return (IRR). Given high financial risk, analysis used both 10% and a conservative 12% discount rate for sensitivity testing</w:t>
      </w:r>
      <w:r w:rsidR="00D875DC" w:rsidRPr="00D875DC">
        <w:rPr>
          <w:rFonts w:ascii="Arial" w:hAnsi="Arial" w:cs="Arial"/>
          <w:color w:val="0F1115"/>
        </w:rPr>
        <w:t>.</w:t>
      </w:r>
    </w:p>
    <w:p w14:paraId="16C6B3D1" w14:textId="2C6D7EEA" w:rsidR="00406A87" w:rsidRPr="00D875DC" w:rsidRDefault="00406A87" w:rsidP="009636DB">
      <w:pPr>
        <w:pStyle w:val="Heading3"/>
      </w:pPr>
      <w:bookmarkStart w:id="30" w:name="_Toc214811828"/>
      <w:r w:rsidRPr="00406A87">
        <w:rPr>
          <w:rFonts w:eastAsia="Times New Roman"/>
        </w:rPr>
        <w:t>Project A: Initial Investment: £40m</w:t>
      </w:r>
      <w:bookmarkEnd w:id="30"/>
    </w:p>
    <w:p w14:paraId="6C77C2AD" w14:textId="376BFF81" w:rsidR="00D875DC" w:rsidRPr="00D875DC" w:rsidRDefault="00406A87" w:rsidP="00D875DC">
      <w:r>
        <w:rPr>
          <w:noProof/>
        </w:rPr>
        <w:drawing>
          <wp:inline distT="0" distB="0" distL="0" distR="0" wp14:anchorId="4535CC89" wp14:editId="007C036D">
            <wp:extent cx="5943600" cy="2351405"/>
            <wp:effectExtent l="0" t="0" r="0" b="0"/>
            <wp:docPr id="1211753783" name="Picture 1"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753783" name="Picture 1" descr="A screenshot of a spreadsheet&#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943600" cy="2351405"/>
                    </a:xfrm>
                    <a:prstGeom prst="rect">
                      <a:avLst/>
                    </a:prstGeom>
                  </pic:spPr>
                </pic:pic>
              </a:graphicData>
            </a:graphic>
          </wp:inline>
        </w:drawing>
      </w:r>
    </w:p>
    <w:p w14:paraId="5784419B" w14:textId="71FEB699" w:rsidR="00AB5195" w:rsidRPr="00AB5195" w:rsidRDefault="00AB5195" w:rsidP="00AB5195">
      <w:pPr>
        <w:spacing w:line="360" w:lineRule="auto"/>
        <w:rPr>
          <w:rFonts w:ascii="Arial" w:hAnsi="Arial" w:cs="Arial"/>
        </w:rPr>
      </w:pPr>
      <w:r>
        <w:rPr>
          <w:rFonts w:ascii="Arial" w:hAnsi="Arial" w:cs="Arial"/>
        </w:rPr>
        <w:t xml:space="preserve">Figure </w:t>
      </w:r>
      <w:r w:rsidR="00FF2ECD">
        <w:rPr>
          <w:rFonts w:ascii="Arial" w:hAnsi="Arial" w:cs="Arial"/>
        </w:rPr>
        <w:t>6</w:t>
      </w:r>
      <w:r>
        <w:rPr>
          <w:rFonts w:ascii="Arial" w:hAnsi="Arial" w:cs="Arial"/>
        </w:rPr>
        <w:t xml:space="preserve">: </w:t>
      </w:r>
      <w:r w:rsidR="00A71509" w:rsidRPr="00A71509">
        <w:rPr>
          <w:rFonts w:ascii="Arial" w:hAnsi="Arial" w:cs="Arial"/>
        </w:rPr>
        <w:t>Project A - Annual Cash Flow Forecast</w:t>
      </w:r>
      <w:r>
        <w:rPr>
          <w:rFonts w:ascii="Arial" w:hAnsi="Arial" w:cs="Arial"/>
        </w:rPr>
        <w:t>.</w:t>
      </w:r>
    </w:p>
    <w:p w14:paraId="3432EE21" w14:textId="3B8424CB" w:rsidR="00406A87" w:rsidRPr="00300C8B" w:rsidRDefault="00406A87" w:rsidP="00406A87">
      <w:pPr>
        <w:numPr>
          <w:ilvl w:val="0"/>
          <w:numId w:val="41"/>
        </w:numPr>
        <w:spacing w:line="360" w:lineRule="auto"/>
        <w:rPr>
          <w:rFonts w:ascii="Arial" w:hAnsi="Arial" w:cs="Arial"/>
        </w:rPr>
      </w:pPr>
      <w:r w:rsidRPr="00300C8B">
        <w:rPr>
          <w:rFonts w:ascii="Arial" w:hAnsi="Arial" w:cs="Arial"/>
        </w:rPr>
        <w:t>Payback Period (PBP): PBP = 3 + (4.00 / 10.00) = 3.4 years.</w:t>
      </w:r>
    </w:p>
    <w:p w14:paraId="20E64919" w14:textId="77777777" w:rsidR="00406A87" w:rsidRPr="00300C8B" w:rsidRDefault="00406A87" w:rsidP="00406A87">
      <w:pPr>
        <w:numPr>
          <w:ilvl w:val="0"/>
          <w:numId w:val="41"/>
        </w:numPr>
        <w:spacing w:line="360" w:lineRule="auto"/>
        <w:rPr>
          <w:rFonts w:ascii="Arial" w:hAnsi="Arial" w:cs="Arial"/>
        </w:rPr>
      </w:pPr>
      <w:r w:rsidRPr="00300C8B">
        <w:rPr>
          <w:rFonts w:ascii="Arial" w:hAnsi="Arial" w:cs="Arial"/>
        </w:rPr>
        <w:lastRenderedPageBreak/>
        <w:t>Accounting Rate of Return (ARR):</w:t>
      </w:r>
    </w:p>
    <w:p w14:paraId="3D8F0725" w14:textId="77777777" w:rsidR="00406A87" w:rsidRPr="00300C8B" w:rsidRDefault="00406A87" w:rsidP="00406A87">
      <w:pPr>
        <w:numPr>
          <w:ilvl w:val="1"/>
          <w:numId w:val="41"/>
        </w:numPr>
        <w:spacing w:line="360" w:lineRule="auto"/>
        <w:rPr>
          <w:rFonts w:ascii="Arial" w:hAnsi="Arial" w:cs="Arial"/>
        </w:rPr>
      </w:pPr>
      <w:r w:rsidRPr="00300C8B">
        <w:rPr>
          <w:rFonts w:ascii="Arial" w:hAnsi="Arial" w:cs="Arial"/>
        </w:rPr>
        <w:t>Total Accounting Profit = £14.00m</w:t>
      </w:r>
    </w:p>
    <w:p w14:paraId="3311DFB9" w14:textId="77777777" w:rsidR="00406A87" w:rsidRPr="00300C8B" w:rsidRDefault="00406A87" w:rsidP="00406A87">
      <w:pPr>
        <w:numPr>
          <w:ilvl w:val="1"/>
          <w:numId w:val="41"/>
        </w:numPr>
        <w:spacing w:line="360" w:lineRule="auto"/>
        <w:rPr>
          <w:rFonts w:ascii="Arial" w:hAnsi="Arial" w:cs="Arial"/>
        </w:rPr>
      </w:pPr>
      <w:r w:rsidRPr="00300C8B">
        <w:rPr>
          <w:rFonts w:ascii="Arial" w:hAnsi="Arial" w:cs="Arial"/>
        </w:rPr>
        <w:t>Average Annual Profit = £14.00m / 5 = £2.80m</w:t>
      </w:r>
    </w:p>
    <w:p w14:paraId="4FC08869" w14:textId="77777777" w:rsidR="00406A87" w:rsidRPr="00300C8B" w:rsidRDefault="00406A87" w:rsidP="00406A87">
      <w:pPr>
        <w:numPr>
          <w:ilvl w:val="1"/>
          <w:numId w:val="41"/>
        </w:numPr>
        <w:spacing w:line="360" w:lineRule="auto"/>
        <w:rPr>
          <w:rFonts w:ascii="Arial" w:hAnsi="Arial" w:cs="Arial"/>
        </w:rPr>
      </w:pPr>
      <w:r w:rsidRPr="00300C8B">
        <w:rPr>
          <w:rFonts w:ascii="Arial" w:hAnsi="Arial" w:cs="Arial"/>
        </w:rPr>
        <w:t>Average Investment = (£40m + £0m) / 2 = £20m</w:t>
      </w:r>
    </w:p>
    <w:p w14:paraId="283DF392" w14:textId="77777777" w:rsidR="00406A87" w:rsidRPr="00300C8B" w:rsidRDefault="00406A87" w:rsidP="00406A87">
      <w:pPr>
        <w:numPr>
          <w:ilvl w:val="1"/>
          <w:numId w:val="41"/>
        </w:numPr>
        <w:spacing w:line="360" w:lineRule="auto"/>
        <w:rPr>
          <w:rFonts w:ascii="Arial" w:hAnsi="Arial" w:cs="Arial"/>
        </w:rPr>
      </w:pPr>
      <w:r w:rsidRPr="00300C8B">
        <w:rPr>
          <w:rFonts w:ascii="Arial" w:hAnsi="Arial" w:cs="Arial"/>
        </w:rPr>
        <w:t>ARR = (£2.80m / £20m) * 100 = 14.0%</w:t>
      </w:r>
    </w:p>
    <w:p w14:paraId="6BB5F031" w14:textId="77777777" w:rsidR="00406A87" w:rsidRPr="00300C8B" w:rsidRDefault="00406A87" w:rsidP="00406A87">
      <w:pPr>
        <w:numPr>
          <w:ilvl w:val="0"/>
          <w:numId w:val="41"/>
        </w:numPr>
        <w:spacing w:line="360" w:lineRule="auto"/>
        <w:rPr>
          <w:rFonts w:ascii="Arial" w:hAnsi="Arial" w:cs="Arial"/>
        </w:rPr>
      </w:pPr>
      <w:r w:rsidRPr="00300C8B">
        <w:rPr>
          <w:rFonts w:ascii="Arial" w:hAnsi="Arial" w:cs="Arial"/>
        </w:rPr>
        <w:t>Net Present Value (NPV):</w:t>
      </w:r>
    </w:p>
    <w:p w14:paraId="3DCC84EE" w14:textId="42B380E7" w:rsidR="00406A87" w:rsidRPr="00300C8B" w:rsidRDefault="00406A87" w:rsidP="00406A87">
      <w:pPr>
        <w:numPr>
          <w:ilvl w:val="1"/>
          <w:numId w:val="41"/>
        </w:numPr>
        <w:spacing w:line="360" w:lineRule="auto"/>
        <w:rPr>
          <w:rFonts w:ascii="Arial" w:hAnsi="Arial" w:cs="Arial"/>
        </w:rPr>
      </w:pPr>
      <w:r w:rsidRPr="00300C8B">
        <w:rPr>
          <w:rFonts w:ascii="Arial" w:hAnsi="Arial" w:cs="Arial"/>
        </w:rPr>
        <w:t>Discount Rate 10% = £1.31 million</w:t>
      </w:r>
    </w:p>
    <w:p w14:paraId="6A14857C" w14:textId="7914D999" w:rsidR="00406A87" w:rsidRPr="00300C8B" w:rsidRDefault="00406A87" w:rsidP="00406A87">
      <w:pPr>
        <w:numPr>
          <w:ilvl w:val="1"/>
          <w:numId w:val="41"/>
        </w:numPr>
        <w:spacing w:line="360" w:lineRule="auto"/>
        <w:rPr>
          <w:rFonts w:ascii="Arial" w:hAnsi="Arial" w:cs="Arial"/>
        </w:rPr>
      </w:pPr>
      <w:r w:rsidRPr="00300C8B">
        <w:rPr>
          <w:rFonts w:ascii="Arial" w:hAnsi="Arial" w:cs="Arial"/>
        </w:rPr>
        <w:t>Discount Rate 12% = - £0.64 million</w:t>
      </w:r>
    </w:p>
    <w:p w14:paraId="3051DCE2" w14:textId="77777777" w:rsidR="00406A87" w:rsidRPr="00300C8B" w:rsidRDefault="00406A87" w:rsidP="00406A87">
      <w:pPr>
        <w:numPr>
          <w:ilvl w:val="0"/>
          <w:numId w:val="41"/>
        </w:numPr>
        <w:spacing w:line="360" w:lineRule="auto"/>
        <w:rPr>
          <w:rFonts w:ascii="Arial" w:hAnsi="Arial" w:cs="Arial"/>
        </w:rPr>
      </w:pPr>
      <w:r w:rsidRPr="00300C8B">
        <w:rPr>
          <w:rFonts w:ascii="Arial" w:hAnsi="Arial" w:cs="Arial"/>
        </w:rPr>
        <w:t>Profitability Index (PI):</w:t>
      </w:r>
    </w:p>
    <w:p w14:paraId="4F93A716" w14:textId="2FECC8A1" w:rsidR="00406A87" w:rsidRPr="00300C8B" w:rsidRDefault="00406A87" w:rsidP="00406A87">
      <w:pPr>
        <w:numPr>
          <w:ilvl w:val="1"/>
          <w:numId w:val="41"/>
        </w:numPr>
        <w:spacing w:line="360" w:lineRule="auto"/>
        <w:rPr>
          <w:rFonts w:ascii="Arial" w:hAnsi="Arial" w:cs="Arial"/>
        </w:rPr>
      </w:pPr>
      <w:r w:rsidRPr="00300C8B">
        <w:rPr>
          <w:rFonts w:ascii="Arial" w:hAnsi="Arial" w:cs="Arial"/>
        </w:rPr>
        <w:t>PI 10% = (1.31 + 40) / 40 = 1.03</w:t>
      </w:r>
    </w:p>
    <w:p w14:paraId="6E7DE0CA" w14:textId="29D9A0AE" w:rsidR="00406A87" w:rsidRPr="00300C8B" w:rsidRDefault="00406A87" w:rsidP="00406A87">
      <w:pPr>
        <w:numPr>
          <w:ilvl w:val="1"/>
          <w:numId w:val="41"/>
        </w:numPr>
        <w:spacing w:line="360" w:lineRule="auto"/>
        <w:rPr>
          <w:rFonts w:ascii="Arial" w:hAnsi="Arial" w:cs="Arial"/>
        </w:rPr>
      </w:pPr>
      <w:r w:rsidRPr="00300C8B">
        <w:rPr>
          <w:rFonts w:ascii="Arial" w:hAnsi="Arial" w:cs="Arial"/>
        </w:rPr>
        <w:t>PI 12% = (-0.64 + 40) / 40 = 0.98</w:t>
      </w:r>
    </w:p>
    <w:p w14:paraId="6E259180" w14:textId="49B4BFD0" w:rsidR="00406A87" w:rsidRPr="00300C8B" w:rsidRDefault="00406A87" w:rsidP="00406A87">
      <w:pPr>
        <w:numPr>
          <w:ilvl w:val="0"/>
          <w:numId w:val="41"/>
        </w:numPr>
        <w:spacing w:line="360" w:lineRule="auto"/>
        <w:rPr>
          <w:rFonts w:ascii="Arial" w:hAnsi="Arial" w:cs="Arial"/>
        </w:rPr>
      </w:pPr>
      <w:r w:rsidRPr="00300C8B">
        <w:rPr>
          <w:rFonts w:ascii="Arial" w:hAnsi="Arial" w:cs="Arial"/>
        </w:rPr>
        <w:t xml:space="preserve">Internal Rate of Return (IRR): The discount rate where NPV=0. Interpolating between 10% (NPV=1.31) and 12% (NPV=-0.64): IRR </w:t>
      </w:r>
      <w:r w:rsidR="008A2694" w:rsidRPr="00300C8B">
        <w:rPr>
          <w:rFonts w:ascii="Arial" w:hAnsi="Arial" w:cs="Arial"/>
        </w:rPr>
        <w:t xml:space="preserve">= </w:t>
      </w:r>
      <w:r w:rsidRPr="00300C8B">
        <w:rPr>
          <w:rFonts w:ascii="Arial" w:hAnsi="Arial" w:cs="Arial"/>
        </w:rPr>
        <w:t>10% + [1.31</w:t>
      </w:r>
      <w:proofErr w:type="gramStart"/>
      <w:r w:rsidRPr="00300C8B">
        <w:rPr>
          <w:rFonts w:ascii="Arial" w:hAnsi="Arial" w:cs="Arial"/>
        </w:rPr>
        <w:t>/(</w:t>
      </w:r>
      <w:proofErr w:type="gramEnd"/>
      <w:r w:rsidRPr="00300C8B">
        <w:rPr>
          <w:rFonts w:ascii="Arial" w:hAnsi="Arial" w:cs="Arial"/>
        </w:rPr>
        <w:t>1.31+0.64</w:t>
      </w:r>
      <w:proofErr w:type="gramStart"/>
      <w:r w:rsidRPr="00300C8B">
        <w:rPr>
          <w:rFonts w:ascii="Arial" w:hAnsi="Arial" w:cs="Arial"/>
        </w:rPr>
        <w:t>)]*</w:t>
      </w:r>
      <w:proofErr w:type="gramEnd"/>
      <w:r w:rsidRPr="00300C8B">
        <w:rPr>
          <w:rFonts w:ascii="Arial" w:hAnsi="Arial" w:cs="Arial"/>
        </w:rPr>
        <w:t>(12%-10%) = 11.3%.</w:t>
      </w:r>
    </w:p>
    <w:p w14:paraId="567C016E" w14:textId="77777777" w:rsidR="00406A87" w:rsidRDefault="00406A87" w:rsidP="00EC26B4">
      <w:pPr>
        <w:spacing w:line="360" w:lineRule="auto"/>
        <w:rPr>
          <w:rFonts w:ascii="Arial" w:hAnsi="Arial" w:cs="Arial"/>
        </w:rPr>
      </w:pPr>
    </w:p>
    <w:p w14:paraId="59C8B615" w14:textId="77777777" w:rsidR="00637056" w:rsidRDefault="00637056" w:rsidP="00EC26B4">
      <w:pPr>
        <w:spacing w:line="360" w:lineRule="auto"/>
        <w:rPr>
          <w:rFonts w:ascii="Arial" w:hAnsi="Arial" w:cs="Arial"/>
        </w:rPr>
      </w:pPr>
    </w:p>
    <w:p w14:paraId="351BFF16" w14:textId="0E15B521" w:rsidR="00406A87" w:rsidRDefault="00406A87" w:rsidP="009636DB">
      <w:pPr>
        <w:pStyle w:val="Heading3"/>
      </w:pPr>
      <w:bookmarkStart w:id="31" w:name="_Toc214811829"/>
      <w:r w:rsidRPr="00406A87">
        <w:lastRenderedPageBreak/>
        <w:t>Project B: Initial Investment: £30m</w:t>
      </w:r>
      <w:bookmarkEnd w:id="31"/>
    </w:p>
    <w:p w14:paraId="2FC8B3DE" w14:textId="11D3754A" w:rsidR="00406A87" w:rsidRPr="00406A87" w:rsidRDefault="00406A87" w:rsidP="00406A87">
      <w:r>
        <w:rPr>
          <w:noProof/>
        </w:rPr>
        <w:drawing>
          <wp:inline distT="0" distB="0" distL="0" distR="0" wp14:anchorId="78476595" wp14:editId="21EC7654">
            <wp:extent cx="5943600" cy="2433955"/>
            <wp:effectExtent l="0" t="0" r="0" b="4445"/>
            <wp:docPr id="1344009178" name="Picture 2"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009178" name="Picture 2" descr="A screenshot of a graph&#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959151" cy="2440323"/>
                    </a:xfrm>
                    <a:prstGeom prst="rect">
                      <a:avLst/>
                    </a:prstGeom>
                  </pic:spPr>
                </pic:pic>
              </a:graphicData>
            </a:graphic>
          </wp:inline>
        </w:drawing>
      </w:r>
    </w:p>
    <w:p w14:paraId="3596A104" w14:textId="248466F9" w:rsidR="00AB5195" w:rsidRPr="00AB5195" w:rsidRDefault="00AB5195" w:rsidP="00AB5195">
      <w:pPr>
        <w:spacing w:line="360" w:lineRule="auto"/>
        <w:rPr>
          <w:rFonts w:ascii="Arial" w:hAnsi="Arial" w:cs="Arial"/>
        </w:rPr>
      </w:pPr>
      <w:r>
        <w:rPr>
          <w:rFonts w:ascii="Arial" w:hAnsi="Arial" w:cs="Arial"/>
        </w:rPr>
        <w:t xml:space="preserve">Figure </w:t>
      </w:r>
      <w:r w:rsidR="00FF2ECD">
        <w:rPr>
          <w:rFonts w:ascii="Arial" w:hAnsi="Arial" w:cs="Arial"/>
        </w:rPr>
        <w:t>7</w:t>
      </w:r>
      <w:r>
        <w:rPr>
          <w:rFonts w:ascii="Arial" w:hAnsi="Arial" w:cs="Arial"/>
        </w:rPr>
        <w:t xml:space="preserve">: </w:t>
      </w:r>
      <w:r w:rsidR="00A71509" w:rsidRPr="00A71509">
        <w:rPr>
          <w:rFonts w:ascii="Arial" w:hAnsi="Arial" w:cs="Arial"/>
        </w:rPr>
        <w:t xml:space="preserve">Project </w:t>
      </w:r>
      <w:r w:rsidR="00A71509">
        <w:rPr>
          <w:rFonts w:ascii="Arial" w:hAnsi="Arial" w:cs="Arial"/>
        </w:rPr>
        <w:t>B</w:t>
      </w:r>
      <w:r w:rsidR="00A71509" w:rsidRPr="00A71509">
        <w:rPr>
          <w:rFonts w:ascii="Arial" w:hAnsi="Arial" w:cs="Arial"/>
        </w:rPr>
        <w:t xml:space="preserve"> - Annual Cash Flow Forecast</w:t>
      </w:r>
      <w:r w:rsidR="007E044C">
        <w:rPr>
          <w:rFonts w:ascii="Arial" w:hAnsi="Arial" w:cs="Arial"/>
        </w:rPr>
        <w:t>.</w:t>
      </w:r>
    </w:p>
    <w:p w14:paraId="2B071377" w14:textId="4E12781C" w:rsidR="00406A87" w:rsidRPr="00300C8B" w:rsidRDefault="00406A87" w:rsidP="00406A87">
      <w:pPr>
        <w:numPr>
          <w:ilvl w:val="0"/>
          <w:numId w:val="42"/>
        </w:numPr>
        <w:spacing w:line="360" w:lineRule="auto"/>
        <w:rPr>
          <w:rFonts w:ascii="Arial" w:hAnsi="Arial" w:cs="Arial"/>
        </w:rPr>
      </w:pPr>
      <w:r w:rsidRPr="00300C8B">
        <w:rPr>
          <w:rFonts w:ascii="Arial" w:hAnsi="Arial" w:cs="Arial"/>
        </w:rPr>
        <w:t>Payback Period (PBP): PBP = 5.0 years.</w:t>
      </w:r>
    </w:p>
    <w:p w14:paraId="4982795F" w14:textId="77777777" w:rsidR="00406A87" w:rsidRPr="00300C8B" w:rsidRDefault="00406A87" w:rsidP="00476662">
      <w:pPr>
        <w:numPr>
          <w:ilvl w:val="0"/>
          <w:numId w:val="42"/>
        </w:numPr>
        <w:spacing w:line="360" w:lineRule="auto"/>
        <w:rPr>
          <w:rFonts w:ascii="Arial" w:hAnsi="Arial" w:cs="Arial"/>
        </w:rPr>
      </w:pPr>
      <w:r w:rsidRPr="00300C8B">
        <w:rPr>
          <w:rFonts w:ascii="Arial" w:hAnsi="Arial" w:cs="Arial"/>
        </w:rPr>
        <w:t>Accounting Rate of Return (ARR):</w:t>
      </w:r>
    </w:p>
    <w:p w14:paraId="3C3474EE" w14:textId="77777777" w:rsidR="00476662" w:rsidRPr="00476662" w:rsidRDefault="00476662" w:rsidP="00476662">
      <w:pPr>
        <w:pStyle w:val="ds-markdown-paragraph"/>
        <w:numPr>
          <w:ilvl w:val="0"/>
          <w:numId w:val="42"/>
        </w:numPr>
        <w:shd w:val="clear" w:color="auto" w:fill="FFFFFF"/>
        <w:spacing w:before="0" w:beforeAutospacing="0" w:after="120" w:afterAutospacing="0" w:line="360" w:lineRule="auto"/>
        <w:rPr>
          <w:rFonts w:ascii="Arial" w:hAnsi="Arial" w:cs="Arial"/>
          <w:color w:val="0F1115"/>
        </w:rPr>
      </w:pPr>
      <w:r w:rsidRPr="00476662">
        <w:rPr>
          <w:rStyle w:val="Strong"/>
          <w:rFonts w:ascii="Arial" w:eastAsiaTheme="majorEastAsia" w:hAnsi="Arial" w:cs="Arial"/>
          <w:b w:val="0"/>
          <w:bCs w:val="0"/>
          <w:color w:val="0F1115"/>
        </w:rPr>
        <w:t>Accounting Profit Calculation:</w:t>
      </w:r>
    </w:p>
    <w:p w14:paraId="4376B497" w14:textId="77777777" w:rsidR="00476662" w:rsidRPr="00476662" w:rsidRDefault="00476662" w:rsidP="00476662">
      <w:pPr>
        <w:pStyle w:val="ds-markdown-paragraph"/>
        <w:numPr>
          <w:ilvl w:val="1"/>
          <w:numId w:val="42"/>
        </w:numPr>
        <w:shd w:val="clear" w:color="auto" w:fill="FFFFFF"/>
        <w:spacing w:before="0" w:beforeAutospacing="0" w:after="0" w:afterAutospacing="0" w:line="360" w:lineRule="auto"/>
        <w:rPr>
          <w:rFonts w:ascii="Arial" w:hAnsi="Arial" w:cs="Arial"/>
          <w:color w:val="0F1115"/>
        </w:rPr>
      </w:pPr>
      <w:r w:rsidRPr="00476662">
        <w:rPr>
          <w:rFonts w:ascii="Arial" w:hAnsi="Arial" w:cs="Arial"/>
          <w:color w:val="0F1115"/>
        </w:rPr>
        <w:t>Each year: £6m - £6m = £0m</w:t>
      </w:r>
    </w:p>
    <w:p w14:paraId="15587AB2" w14:textId="77777777" w:rsidR="00476662" w:rsidRPr="00476662" w:rsidRDefault="00476662" w:rsidP="00476662">
      <w:pPr>
        <w:pStyle w:val="ds-markdown-paragraph"/>
        <w:numPr>
          <w:ilvl w:val="1"/>
          <w:numId w:val="42"/>
        </w:numPr>
        <w:shd w:val="clear" w:color="auto" w:fill="FFFFFF"/>
        <w:spacing w:before="0" w:beforeAutospacing="0" w:after="0" w:afterAutospacing="0" w:line="360" w:lineRule="auto"/>
        <w:rPr>
          <w:rFonts w:ascii="Arial" w:hAnsi="Arial" w:cs="Arial"/>
          <w:color w:val="0F1115"/>
        </w:rPr>
      </w:pPr>
      <w:r w:rsidRPr="00476662">
        <w:rPr>
          <w:rStyle w:val="Strong"/>
          <w:rFonts w:ascii="Arial" w:eastAsiaTheme="majorEastAsia" w:hAnsi="Arial" w:cs="Arial"/>
          <w:b w:val="0"/>
          <w:bCs w:val="0"/>
          <w:color w:val="0F1115"/>
        </w:rPr>
        <w:t>Total Accounting Profit</w:t>
      </w:r>
      <w:r w:rsidRPr="00476662">
        <w:rPr>
          <w:rFonts w:ascii="Arial" w:hAnsi="Arial" w:cs="Arial"/>
          <w:color w:val="0F1115"/>
        </w:rPr>
        <w:t> = £0m</w:t>
      </w:r>
    </w:p>
    <w:p w14:paraId="35A79215" w14:textId="77777777" w:rsidR="00476662" w:rsidRPr="00476662" w:rsidRDefault="00476662" w:rsidP="00476662">
      <w:pPr>
        <w:pStyle w:val="ds-markdown-paragraph"/>
        <w:numPr>
          <w:ilvl w:val="1"/>
          <w:numId w:val="42"/>
        </w:numPr>
        <w:shd w:val="clear" w:color="auto" w:fill="FFFFFF"/>
        <w:spacing w:before="0" w:beforeAutospacing="0" w:after="0" w:afterAutospacing="0" w:line="360" w:lineRule="auto"/>
        <w:rPr>
          <w:rFonts w:ascii="Arial" w:hAnsi="Arial" w:cs="Arial"/>
          <w:color w:val="0F1115"/>
        </w:rPr>
      </w:pPr>
      <w:r w:rsidRPr="00476662">
        <w:rPr>
          <w:rStyle w:val="Strong"/>
          <w:rFonts w:ascii="Arial" w:eastAsiaTheme="majorEastAsia" w:hAnsi="Arial" w:cs="Arial"/>
          <w:b w:val="0"/>
          <w:bCs w:val="0"/>
          <w:color w:val="0F1115"/>
        </w:rPr>
        <w:t>Average Annual Profit</w:t>
      </w:r>
      <w:r w:rsidRPr="00476662">
        <w:rPr>
          <w:rFonts w:ascii="Arial" w:hAnsi="Arial" w:cs="Arial"/>
          <w:color w:val="0F1115"/>
        </w:rPr>
        <w:t> = £0m / 5 = </w:t>
      </w:r>
      <w:r w:rsidRPr="00476662">
        <w:rPr>
          <w:rStyle w:val="Strong"/>
          <w:rFonts w:ascii="Arial" w:eastAsiaTheme="majorEastAsia" w:hAnsi="Arial" w:cs="Arial"/>
          <w:b w:val="0"/>
          <w:bCs w:val="0"/>
          <w:color w:val="0F1115"/>
        </w:rPr>
        <w:t>£0.00m</w:t>
      </w:r>
    </w:p>
    <w:p w14:paraId="60E2A5F7" w14:textId="77777777" w:rsidR="00476662" w:rsidRPr="00476662" w:rsidRDefault="00476662" w:rsidP="00476662">
      <w:pPr>
        <w:pStyle w:val="ds-markdown-paragraph"/>
        <w:numPr>
          <w:ilvl w:val="1"/>
          <w:numId w:val="42"/>
        </w:numPr>
        <w:shd w:val="clear" w:color="auto" w:fill="FFFFFF"/>
        <w:spacing w:before="0" w:beforeAutospacing="0" w:after="0" w:afterAutospacing="0" w:line="360" w:lineRule="auto"/>
        <w:rPr>
          <w:rFonts w:ascii="Arial" w:hAnsi="Arial" w:cs="Arial"/>
          <w:color w:val="0F1115"/>
        </w:rPr>
      </w:pPr>
      <w:r w:rsidRPr="00476662">
        <w:rPr>
          <w:rStyle w:val="Strong"/>
          <w:rFonts w:ascii="Arial" w:eastAsiaTheme="majorEastAsia" w:hAnsi="Arial" w:cs="Arial"/>
          <w:b w:val="0"/>
          <w:bCs w:val="0"/>
          <w:color w:val="0F1115"/>
        </w:rPr>
        <w:t>Average Investment</w:t>
      </w:r>
      <w:r w:rsidRPr="00476662">
        <w:rPr>
          <w:rFonts w:ascii="Arial" w:hAnsi="Arial" w:cs="Arial"/>
          <w:color w:val="0F1115"/>
        </w:rPr>
        <w:t> = (£30m + £0m) / 2 = </w:t>
      </w:r>
      <w:r w:rsidRPr="00476662">
        <w:rPr>
          <w:rStyle w:val="Strong"/>
          <w:rFonts w:ascii="Arial" w:eastAsiaTheme="majorEastAsia" w:hAnsi="Arial" w:cs="Arial"/>
          <w:b w:val="0"/>
          <w:bCs w:val="0"/>
          <w:color w:val="0F1115"/>
        </w:rPr>
        <w:t>£15m</w:t>
      </w:r>
    </w:p>
    <w:p w14:paraId="1914A914" w14:textId="2349CA4D" w:rsidR="00476662" w:rsidRPr="00476662" w:rsidRDefault="00476662" w:rsidP="00476662">
      <w:pPr>
        <w:pStyle w:val="ds-markdown-paragraph"/>
        <w:numPr>
          <w:ilvl w:val="1"/>
          <w:numId w:val="42"/>
        </w:numPr>
        <w:shd w:val="clear" w:color="auto" w:fill="FFFFFF"/>
        <w:spacing w:before="0" w:beforeAutospacing="0" w:after="0" w:afterAutospacing="0" w:line="360" w:lineRule="auto"/>
        <w:rPr>
          <w:rStyle w:val="Strong"/>
          <w:rFonts w:ascii="Arial" w:hAnsi="Arial" w:cs="Arial"/>
          <w:b w:val="0"/>
          <w:bCs w:val="0"/>
          <w:color w:val="0F1115"/>
        </w:rPr>
      </w:pPr>
      <w:r w:rsidRPr="00476662">
        <w:rPr>
          <w:rStyle w:val="Strong"/>
          <w:rFonts w:ascii="Arial" w:eastAsiaTheme="majorEastAsia" w:hAnsi="Arial" w:cs="Arial"/>
          <w:b w:val="0"/>
          <w:bCs w:val="0"/>
          <w:color w:val="0F1115"/>
        </w:rPr>
        <w:t>ARR</w:t>
      </w:r>
      <w:r w:rsidRPr="00476662">
        <w:rPr>
          <w:rFonts w:ascii="Arial" w:hAnsi="Arial" w:cs="Arial"/>
          <w:color w:val="0F1115"/>
        </w:rPr>
        <w:t> = (£0.00m / £15m) × 100 = </w:t>
      </w:r>
      <w:r w:rsidRPr="00476662">
        <w:rPr>
          <w:rStyle w:val="Strong"/>
          <w:rFonts w:ascii="Arial" w:eastAsiaTheme="majorEastAsia" w:hAnsi="Arial" w:cs="Arial"/>
          <w:color w:val="0F1115"/>
        </w:rPr>
        <w:t>0.0%</w:t>
      </w:r>
    </w:p>
    <w:p w14:paraId="6736A1A7" w14:textId="77777777" w:rsidR="00476662" w:rsidRPr="00476662" w:rsidRDefault="00476662" w:rsidP="00476662">
      <w:pPr>
        <w:pStyle w:val="ds-markdown-paragraph"/>
        <w:shd w:val="clear" w:color="auto" w:fill="FFFFFF"/>
        <w:spacing w:before="0" w:beforeAutospacing="0" w:after="0" w:afterAutospacing="0"/>
        <w:ind w:left="1440"/>
        <w:rPr>
          <w:rFonts w:ascii="Segoe UI" w:hAnsi="Segoe UI" w:cs="Segoe UI"/>
          <w:color w:val="0F1115"/>
        </w:rPr>
      </w:pPr>
    </w:p>
    <w:p w14:paraId="64A23C4A" w14:textId="77777777" w:rsidR="00406A87" w:rsidRPr="00300C8B" w:rsidRDefault="00406A87" w:rsidP="00406A87">
      <w:pPr>
        <w:numPr>
          <w:ilvl w:val="0"/>
          <w:numId w:val="42"/>
        </w:numPr>
        <w:spacing w:line="360" w:lineRule="auto"/>
        <w:rPr>
          <w:rFonts w:ascii="Arial" w:hAnsi="Arial" w:cs="Arial"/>
        </w:rPr>
      </w:pPr>
      <w:r w:rsidRPr="00300C8B">
        <w:rPr>
          <w:rFonts w:ascii="Arial" w:hAnsi="Arial" w:cs="Arial"/>
        </w:rPr>
        <w:t>Net Present Value (NPV):</w:t>
      </w:r>
    </w:p>
    <w:p w14:paraId="3EEFDB11" w14:textId="7C484ECA" w:rsidR="00406A87" w:rsidRPr="00300C8B" w:rsidRDefault="00406A87" w:rsidP="00406A87">
      <w:pPr>
        <w:numPr>
          <w:ilvl w:val="1"/>
          <w:numId w:val="42"/>
        </w:numPr>
        <w:spacing w:line="360" w:lineRule="auto"/>
        <w:rPr>
          <w:rFonts w:ascii="Arial" w:hAnsi="Arial" w:cs="Arial"/>
        </w:rPr>
      </w:pPr>
      <w:r w:rsidRPr="00300C8B">
        <w:rPr>
          <w:rFonts w:ascii="Arial" w:hAnsi="Arial" w:cs="Arial"/>
        </w:rPr>
        <w:t>Discount Rate 10% = -£7.26 million</w:t>
      </w:r>
    </w:p>
    <w:p w14:paraId="12B40281" w14:textId="3D646315" w:rsidR="00406A87" w:rsidRPr="00300C8B" w:rsidRDefault="00406A87" w:rsidP="00406A87">
      <w:pPr>
        <w:numPr>
          <w:ilvl w:val="1"/>
          <w:numId w:val="42"/>
        </w:numPr>
        <w:spacing w:line="360" w:lineRule="auto"/>
        <w:rPr>
          <w:rFonts w:ascii="Arial" w:hAnsi="Arial" w:cs="Arial"/>
        </w:rPr>
      </w:pPr>
      <w:r w:rsidRPr="00300C8B">
        <w:rPr>
          <w:rFonts w:ascii="Arial" w:hAnsi="Arial" w:cs="Arial"/>
        </w:rPr>
        <w:t>Discount Rate 12% = -£8.37 million</w:t>
      </w:r>
    </w:p>
    <w:p w14:paraId="1ED0D4D9" w14:textId="77777777" w:rsidR="00406A87" w:rsidRPr="00300C8B" w:rsidRDefault="00406A87" w:rsidP="00406A87">
      <w:pPr>
        <w:numPr>
          <w:ilvl w:val="0"/>
          <w:numId w:val="42"/>
        </w:numPr>
        <w:spacing w:line="360" w:lineRule="auto"/>
        <w:rPr>
          <w:rFonts w:ascii="Arial" w:hAnsi="Arial" w:cs="Arial"/>
        </w:rPr>
      </w:pPr>
      <w:r w:rsidRPr="00300C8B">
        <w:rPr>
          <w:rFonts w:ascii="Arial" w:hAnsi="Arial" w:cs="Arial"/>
        </w:rPr>
        <w:t>Profitability Index (PI):</w:t>
      </w:r>
    </w:p>
    <w:p w14:paraId="4C825555" w14:textId="4F39F93D" w:rsidR="00406A87" w:rsidRPr="00300C8B" w:rsidRDefault="00406A87" w:rsidP="00406A87">
      <w:pPr>
        <w:numPr>
          <w:ilvl w:val="1"/>
          <w:numId w:val="42"/>
        </w:numPr>
        <w:spacing w:line="360" w:lineRule="auto"/>
        <w:rPr>
          <w:rFonts w:ascii="Arial" w:hAnsi="Arial" w:cs="Arial"/>
        </w:rPr>
      </w:pPr>
      <w:r w:rsidRPr="00300C8B">
        <w:rPr>
          <w:rFonts w:ascii="Arial" w:hAnsi="Arial" w:cs="Arial"/>
        </w:rPr>
        <w:t>PI 10% = (-7.26 + 30) / 30 = 0.76</w:t>
      </w:r>
    </w:p>
    <w:p w14:paraId="3F10892D" w14:textId="7E1B867A" w:rsidR="00406A87" w:rsidRPr="00300C8B" w:rsidRDefault="00406A87" w:rsidP="00406A87">
      <w:pPr>
        <w:numPr>
          <w:ilvl w:val="1"/>
          <w:numId w:val="42"/>
        </w:numPr>
        <w:spacing w:line="360" w:lineRule="auto"/>
        <w:rPr>
          <w:rFonts w:ascii="Arial" w:hAnsi="Arial" w:cs="Arial"/>
        </w:rPr>
      </w:pPr>
      <w:r w:rsidRPr="00300C8B">
        <w:rPr>
          <w:rFonts w:ascii="Arial" w:hAnsi="Arial" w:cs="Arial"/>
        </w:rPr>
        <w:t>PI 12% = (-8.37 + 30) / 30 = 0.72</w:t>
      </w:r>
    </w:p>
    <w:p w14:paraId="786B6161" w14:textId="77777777" w:rsidR="00406A87" w:rsidRPr="00300C8B" w:rsidRDefault="00406A87" w:rsidP="00406A87">
      <w:pPr>
        <w:numPr>
          <w:ilvl w:val="0"/>
          <w:numId w:val="42"/>
        </w:numPr>
        <w:spacing w:line="360" w:lineRule="auto"/>
        <w:rPr>
          <w:rFonts w:ascii="Arial" w:hAnsi="Arial" w:cs="Arial"/>
        </w:rPr>
      </w:pPr>
      <w:r w:rsidRPr="00300C8B">
        <w:rPr>
          <w:rFonts w:ascii="Arial" w:hAnsi="Arial" w:cs="Arial"/>
        </w:rPr>
        <w:t>Internal Rate of Return (IRR): </w:t>
      </w:r>
      <w:r w:rsidRPr="001F3770">
        <w:rPr>
          <w:rFonts w:ascii="Arial" w:hAnsi="Arial" w:cs="Arial"/>
          <w:b/>
          <w:bCs/>
        </w:rPr>
        <w:t>0.0%.</w:t>
      </w:r>
    </w:p>
    <w:p w14:paraId="136AB50C" w14:textId="0914EBAE" w:rsidR="00406A87" w:rsidRDefault="008A2694" w:rsidP="009636DB">
      <w:pPr>
        <w:pStyle w:val="Heading3"/>
      </w:pPr>
      <w:bookmarkStart w:id="32" w:name="_Toc214811830"/>
      <w:r w:rsidRPr="008A2694">
        <w:lastRenderedPageBreak/>
        <w:t>Project C: Initial Investment: £50m</w:t>
      </w:r>
      <w:bookmarkEnd w:id="32"/>
    </w:p>
    <w:p w14:paraId="45077A78" w14:textId="6C5A0383" w:rsidR="008A2694" w:rsidRPr="008A2694" w:rsidRDefault="008A2694" w:rsidP="008A2694">
      <w:r>
        <w:rPr>
          <w:noProof/>
        </w:rPr>
        <w:drawing>
          <wp:inline distT="0" distB="0" distL="0" distR="0" wp14:anchorId="54459BDE" wp14:editId="7CCDAE3C">
            <wp:extent cx="5943600" cy="2472055"/>
            <wp:effectExtent l="0" t="0" r="0" b="4445"/>
            <wp:docPr id="1220294717" name="Picture 3"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294717" name="Picture 3" descr="A screenshot of a graph&#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943600" cy="2472055"/>
                    </a:xfrm>
                    <a:prstGeom prst="rect">
                      <a:avLst/>
                    </a:prstGeom>
                  </pic:spPr>
                </pic:pic>
              </a:graphicData>
            </a:graphic>
          </wp:inline>
        </w:drawing>
      </w:r>
    </w:p>
    <w:p w14:paraId="181D8D0C" w14:textId="73093634" w:rsidR="00AB5195" w:rsidRPr="00AB5195" w:rsidRDefault="00AB5195" w:rsidP="00AB5195">
      <w:pPr>
        <w:spacing w:line="360" w:lineRule="auto"/>
        <w:rPr>
          <w:rFonts w:ascii="Arial" w:hAnsi="Arial" w:cs="Arial"/>
        </w:rPr>
      </w:pPr>
      <w:r>
        <w:rPr>
          <w:rFonts w:ascii="Arial" w:hAnsi="Arial" w:cs="Arial"/>
        </w:rPr>
        <w:t xml:space="preserve">Figure </w:t>
      </w:r>
      <w:r w:rsidR="00FF2ECD">
        <w:rPr>
          <w:rFonts w:ascii="Arial" w:hAnsi="Arial" w:cs="Arial"/>
        </w:rPr>
        <w:t>8</w:t>
      </w:r>
      <w:r>
        <w:rPr>
          <w:rFonts w:ascii="Arial" w:hAnsi="Arial" w:cs="Arial"/>
        </w:rPr>
        <w:t xml:space="preserve">: </w:t>
      </w:r>
      <w:r w:rsidR="0064433B" w:rsidRPr="00A71509">
        <w:rPr>
          <w:rFonts w:ascii="Arial" w:hAnsi="Arial" w:cs="Arial"/>
        </w:rPr>
        <w:t xml:space="preserve">Project </w:t>
      </w:r>
      <w:r w:rsidR="0064433B">
        <w:rPr>
          <w:rFonts w:ascii="Arial" w:hAnsi="Arial" w:cs="Arial"/>
        </w:rPr>
        <w:t>C</w:t>
      </w:r>
      <w:r w:rsidR="0064433B" w:rsidRPr="00A71509">
        <w:rPr>
          <w:rFonts w:ascii="Arial" w:hAnsi="Arial" w:cs="Arial"/>
        </w:rPr>
        <w:t xml:space="preserve"> - Annual Cash Flow Forecast</w:t>
      </w:r>
      <w:r>
        <w:rPr>
          <w:rFonts w:ascii="Arial" w:hAnsi="Arial" w:cs="Arial"/>
        </w:rPr>
        <w:t>.</w:t>
      </w:r>
    </w:p>
    <w:p w14:paraId="48AD0501" w14:textId="04966140" w:rsidR="008A2694" w:rsidRPr="00300C8B" w:rsidRDefault="008A2694" w:rsidP="008A2694">
      <w:pPr>
        <w:numPr>
          <w:ilvl w:val="0"/>
          <w:numId w:val="43"/>
        </w:numPr>
        <w:spacing w:line="360" w:lineRule="auto"/>
        <w:rPr>
          <w:rFonts w:ascii="Arial" w:hAnsi="Arial" w:cs="Arial"/>
        </w:rPr>
      </w:pPr>
      <w:r w:rsidRPr="00300C8B">
        <w:rPr>
          <w:rFonts w:ascii="Arial" w:hAnsi="Arial" w:cs="Arial"/>
        </w:rPr>
        <w:t>Payback Period (PBP): PBP = 3 + (15.00 / 25.00) = 3.6 years.</w:t>
      </w:r>
    </w:p>
    <w:p w14:paraId="30A5D0AE" w14:textId="77777777" w:rsidR="008A2694" w:rsidRPr="00300C8B" w:rsidRDefault="008A2694" w:rsidP="008A2694">
      <w:pPr>
        <w:numPr>
          <w:ilvl w:val="0"/>
          <w:numId w:val="43"/>
        </w:numPr>
        <w:spacing w:line="360" w:lineRule="auto"/>
        <w:rPr>
          <w:rFonts w:ascii="Arial" w:hAnsi="Arial" w:cs="Arial"/>
        </w:rPr>
      </w:pPr>
      <w:r w:rsidRPr="00300C8B">
        <w:rPr>
          <w:rFonts w:ascii="Arial" w:hAnsi="Arial" w:cs="Arial"/>
        </w:rPr>
        <w:t>Accounting Rate of Return (ARR):</w:t>
      </w:r>
    </w:p>
    <w:p w14:paraId="64436A77" w14:textId="77777777" w:rsidR="008A2694" w:rsidRPr="00300C8B" w:rsidRDefault="008A2694" w:rsidP="008A2694">
      <w:pPr>
        <w:numPr>
          <w:ilvl w:val="1"/>
          <w:numId w:val="43"/>
        </w:numPr>
        <w:spacing w:line="360" w:lineRule="auto"/>
        <w:rPr>
          <w:rFonts w:ascii="Arial" w:hAnsi="Arial" w:cs="Arial"/>
        </w:rPr>
      </w:pPr>
      <w:r w:rsidRPr="00300C8B">
        <w:rPr>
          <w:rFonts w:ascii="Arial" w:hAnsi="Arial" w:cs="Arial"/>
        </w:rPr>
        <w:t>Total Accounting Profit = £25.00m</w:t>
      </w:r>
    </w:p>
    <w:p w14:paraId="09584D79" w14:textId="77777777" w:rsidR="008A2694" w:rsidRPr="00300C8B" w:rsidRDefault="008A2694" w:rsidP="008A2694">
      <w:pPr>
        <w:numPr>
          <w:ilvl w:val="1"/>
          <w:numId w:val="43"/>
        </w:numPr>
        <w:spacing w:line="360" w:lineRule="auto"/>
        <w:rPr>
          <w:rFonts w:ascii="Arial" w:hAnsi="Arial" w:cs="Arial"/>
        </w:rPr>
      </w:pPr>
      <w:r w:rsidRPr="00300C8B">
        <w:rPr>
          <w:rFonts w:ascii="Arial" w:hAnsi="Arial" w:cs="Arial"/>
        </w:rPr>
        <w:t>Average Annual Profit = £25.00m / 5 = £5.00m</w:t>
      </w:r>
    </w:p>
    <w:p w14:paraId="1BA0C033" w14:textId="77777777" w:rsidR="008A2694" w:rsidRPr="00300C8B" w:rsidRDefault="008A2694" w:rsidP="008A2694">
      <w:pPr>
        <w:numPr>
          <w:ilvl w:val="1"/>
          <w:numId w:val="43"/>
        </w:numPr>
        <w:spacing w:line="360" w:lineRule="auto"/>
        <w:rPr>
          <w:rFonts w:ascii="Arial" w:hAnsi="Arial" w:cs="Arial"/>
        </w:rPr>
      </w:pPr>
      <w:r w:rsidRPr="00300C8B">
        <w:rPr>
          <w:rFonts w:ascii="Arial" w:hAnsi="Arial" w:cs="Arial"/>
        </w:rPr>
        <w:t>Average Investment = (£50m + £0m) / 2 = £25m</w:t>
      </w:r>
    </w:p>
    <w:p w14:paraId="00FA2292" w14:textId="77777777" w:rsidR="008A2694" w:rsidRPr="00300C8B" w:rsidRDefault="008A2694" w:rsidP="008A2694">
      <w:pPr>
        <w:numPr>
          <w:ilvl w:val="1"/>
          <w:numId w:val="43"/>
        </w:numPr>
        <w:spacing w:line="360" w:lineRule="auto"/>
        <w:rPr>
          <w:rFonts w:ascii="Arial" w:hAnsi="Arial" w:cs="Arial"/>
        </w:rPr>
      </w:pPr>
      <w:r w:rsidRPr="00300C8B">
        <w:rPr>
          <w:rFonts w:ascii="Arial" w:hAnsi="Arial" w:cs="Arial"/>
        </w:rPr>
        <w:t>ARR = (£5.00m / £25m) * 100 = 20.0%</w:t>
      </w:r>
    </w:p>
    <w:p w14:paraId="170CFDCE" w14:textId="77777777" w:rsidR="008A2694" w:rsidRPr="00300C8B" w:rsidRDefault="008A2694" w:rsidP="008A2694">
      <w:pPr>
        <w:numPr>
          <w:ilvl w:val="0"/>
          <w:numId w:val="43"/>
        </w:numPr>
        <w:spacing w:line="360" w:lineRule="auto"/>
        <w:rPr>
          <w:rFonts w:ascii="Arial" w:hAnsi="Arial" w:cs="Arial"/>
        </w:rPr>
      </w:pPr>
      <w:r w:rsidRPr="00300C8B">
        <w:rPr>
          <w:rFonts w:ascii="Arial" w:hAnsi="Arial" w:cs="Arial"/>
        </w:rPr>
        <w:t>Net Present Value (NPV):</w:t>
      </w:r>
    </w:p>
    <w:p w14:paraId="6871753E" w14:textId="210CD133" w:rsidR="008A2694" w:rsidRPr="00300C8B" w:rsidRDefault="008A2694" w:rsidP="008A2694">
      <w:pPr>
        <w:numPr>
          <w:ilvl w:val="1"/>
          <w:numId w:val="43"/>
        </w:numPr>
        <w:spacing w:line="360" w:lineRule="auto"/>
        <w:rPr>
          <w:rFonts w:ascii="Arial" w:hAnsi="Arial" w:cs="Arial"/>
        </w:rPr>
      </w:pPr>
      <w:r w:rsidRPr="00300C8B">
        <w:rPr>
          <w:rFonts w:ascii="Arial" w:hAnsi="Arial" w:cs="Arial"/>
        </w:rPr>
        <w:t>Discount Rate 10% = £4.22 million</w:t>
      </w:r>
    </w:p>
    <w:p w14:paraId="63ABB3B6" w14:textId="194EF7A2" w:rsidR="008A2694" w:rsidRPr="00300C8B" w:rsidRDefault="008A2694" w:rsidP="008A2694">
      <w:pPr>
        <w:numPr>
          <w:ilvl w:val="1"/>
          <w:numId w:val="43"/>
        </w:numPr>
        <w:spacing w:line="360" w:lineRule="auto"/>
        <w:rPr>
          <w:rFonts w:ascii="Arial" w:hAnsi="Arial" w:cs="Arial"/>
        </w:rPr>
      </w:pPr>
      <w:r w:rsidRPr="00300C8B">
        <w:rPr>
          <w:rFonts w:ascii="Arial" w:hAnsi="Arial" w:cs="Arial"/>
        </w:rPr>
        <w:t>Discount Rate 12% = £1.08 million</w:t>
      </w:r>
    </w:p>
    <w:p w14:paraId="4D1A29BA" w14:textId="77777777" w:rsidR="008A2694" w:rsidRPr="00300C8B" w:rsidRDefault="008A2694" w:rsidP="008A2694">
      <w:pPr>
        <w:numPr>
          <w:ilvl w:val="0"/>
          <w:numId w:val="43"/>
        </w:numPr>
        <w:spacing w:line="360" w:lineRule="auto"/>
        <w:rPr>
          <w:rFonts w:ascii="Arial" w:hAnsi="Arial" w:cs="Arial"/>
        </w:rPr>
      </w:pPr>
      <w:r w:rsidRPr="00300C8B">
        <w:rPr>
          <w:rFonts w:ascii="Arial" w:hAnsi="Arial" w:cs="Arial"/>
        </w:rPr>
        <w:t>Profitability Index (PI):</w:t>
      </w:r>
    </w:p>
    <w:p w14:paraId="7FBFB1E3" w14:textId="7CCECC6B" w:rsidR="008A2694" w:rsidRPr="00300C8B" w:rsidRDefault="008A2694" w:rsidP="008A2694">
      <w:pPr>
        <w:numPr>
          <w:ilvl w:val="1"/>
          <w:numId w:val="43"/>
        </w:numPr>
        <w:spacing w:line="360" w:lineRule="auto"/>
        <w:rPr>
          <w:rFonts w:ascii="Arial" w:hAnsi="Arial" w:cs="Arial"/>
        </w:rPr>
      </w:pPr>
      <w:r w:rsidRPr="00300C8B">
        <w:rPr>
          <w:rFonts w:ascii="Arial" w:hAnsi="Arial" w:cs="Arial"/>
        </w:rPr>
        <w:t xml:space="preserve">PI </w:t>
      </w:r>
      <w:r w:rsidR="0019427D" w:rsidRPr="00300C8B">
        <w:rPr>
          <w:rFonts w:ascii="Arial" w:hAnsi="Arial" w:cs="Arial"/>
        </w:rPr>
        <w:t xml:space="preserve"> </w:t>
      </w:r>
      <w:r w:rsidRPr="00300C8B">
        <w:rPr>
          <w:rFonts w:ascii="Arial" w:hAnsi="Arial" w:cs="Arial"/>
        </w:rPr>
        <w:t>10% = (4.22 + 50) / 50 = 1.08</w:t>
      </w:r>
    </w:p>
    <w:p w14:paraId="78185230" w14:textId="2267E19A" w:rsidR="008A2694" w:rsidRPr="00300C8B" w:rsidRDefault="008A2694" w:rsidP="008A2694">
      <w:pPr>
        <w:numPr>
          <w:ilvl w:val="1"/>
          <w:numId w:val="43"/>
        </w:numPr>
        <w:spacing w:line="360" w:lineRule="auto"/>
        <w:rPr>
          <w:rFonts w:ascii="Arial" w:hAnsi="Arial" w:cs="Arial"/>
        </w:rPr>
      </w:pPr>
      <w:r w:rsidRPr="00300C8B">
        <w:rPr>
          <w:rFonts w:ascii="Arial" w:hAnsi="Arial" w:cs="Arial"/>
        </w:rPr>
        <w:t xml:space="preserve">PI </w:t>
      </w:r>
      <w:r w:rsidR="0019427D" w:rsidRPr="00300C8B">
        <w:rPr>
          <w:rFonts w:ascii="Arial" w:hAnsi="Arial" w:cs="Arial"/>
        </w:rPr>
        <w:t xml:space="preserve"> </w:t>
      </w:r>
      <w:r w:rsidRPr="00300C8B">
        <w:rPr>
          <w:rFonts w:ascii="Arial" w:hAnsi="Arial" w:cs="Arial"/>
        </w:rPr>
        <w:t>12% = (1.08 + 50) / 50 = 1.02</w:t>
      </w:r>
    </w:p>
    <w:p w14:paraId="5815FE09" w14:textId="4C914ED7" w:rsidR="008A2694" w:rsidRPr="00300C8B" w:rsidRDefault="008A2694" w:rsidP="008A2694">
      <w:pPr>
        <w:numPr>
          <w:ilvl w:val="0"/>
          <w:numId w:val="43"/>
        </w:numPr>
        <w:spacing w:line="360" w:lineRule="auto"/>
        <w:rPr>
          <w:rFonts w:ascii="Arial" w:hAnsi="Arial" w:cs="Arial"/>
        </w:rPr>
      </w:pPr>
      <w:r w:rsidRPr="00300C8B">
        <w:rPr>
          <w:rFonts w:ascii="Arial" w:hAnsi="Arial" w:cs="Arial"/>
        </w:rPr>
        <w:lastRenderedPageBreak/>
        <w:t xml:space="preserve">Internal Rate of Return (IRR): Interpolating between 10% (NPV=4.22) and 12% (NPV=1.08): </w:t>
      </w:r>
      <w:r w:rsidR="00E83405" w:rsidRPr="00300C8B">
        <w:rPr>
          <w:rFonts w:ascii="Arial" w:hAnsi="Arial" w:cs="Arial"/>
        </w:rPr>
        <w:t xml:space="preserve">IRR </w:t>
      </w:r>
      <w:proofErr w:type="gramStart"/>
      <w:r w:rsidR="00E83405" w:rsidRPr="00300C8B">
        <w:rPr>
          <w:rFonts w:ascii="Arial" w:hAnsi="Arial" w:cs="Arial"/>
        </w:rPr>
        <w:t>=</w:t>
      </w:r>
      <w:r w:rsidRPr="00300C8B">
        <w:rPr>
          <w:rFonts w:ascii="Arial" w:hAnsi="Arial" w:cs="Arial"/>
        </w:rPr>
        <w:t xml:space="preserve"> </w:t>
      </w:r>
      <w:r w:rsidR="00E83405">
        <w:rPr>
          <w:rFonts w:ascii="Arial" w:hAnsi="Arial" w:cs="Arial"/>
        </w:rPr>
        <w:t xml:space="preserve"> </w:t>
      </w:r>
      <w:r w:rsidRPr="00300C8B">
        <w:rPr>
          <w:rFonts w:ascii="Arial" w:hAnsi="Arial" w:cs="Arial"/>
        </w:rPr>
        <w:t>12</w:t>
      </w:r>
      <w:proofErr w:type="gramEnd"/>
      <w:r w:rsidRPr="00300C8B">
        <w:rPr>
          <w:rFonts w:ascii="Arial" w:hAnsi="Arial" w:cs="Arial"/>
        </w:rPr>
        <w:t>% + [1.08</w:t>
      </w:r>
      <w:proofErr w:type="gramStart"/>
      <w:r w:rsidRPr="00300C8B">
        <w:rPr>
          <w:rFonts w:ascii="Arial" w:hAnsi="Arial" w:cs="Arial"/>
        </w:rPr>
        <w:t>/(</w:t>
      </w:r>
      <w:proofErr w:type="gramEnd"/>
      <w:r w:rsidRPr="00300C8B">
        <w:rPr>
          <w:rFonts w:ascii="Arial" w:hAnsi="Arial" w:cs="Arial"/>
        </w:rPr>
        <w:t>4.22-1.08</w:t>
      </w:r>
      <w:proofErr w:type="gramStart"/>
      <w:r w:rsidRPr="00300C8B">
        <w:rPr>
          <w:rFonts w:ascii="Arial" w:hAnsi="Arial" w:cs="Arial"/>
        </w:rPr>
        <w:t>)]*</w:t>
      </w:r>
      <w:proofErr w:type="gramEnd"/>
      <w:r w:rsidRPr="00300C8B">
        <w:rPr>
          <w:rFonts w:ascii="Arial" w:hAnsi="Arial" w:cs="Arial"/>
        </w:rPr>
        <w:t>(14%-12%) = </w:t>
      </w:r>
      <w:r w:rsidR="008469AF" w:rsidRPr="008469AF">
        <w:rPr>
          <w:rFonts w:ascii="Arial" w:hAnsi="Arial" w:cs="Arial"/>
        </w:rPr>
        <w:t>Approximately</w:t>
      </w:r>
      <w:r w:rsidR="008469AF">
        <w:rPr>
          <w:rFonts w:ascii="Arial" w:hAnsi="Arial" w:cs="Arial"/>
          <w:b/>
          <w:bCs/>
        </w:rPr>
        <w:t xml:space="preserve"> </w:t>
      </w:r>
      <w:r w:rsidRPr="00300C8B">
        <w:rPr>
          <w:rFonts w:ascii="Arial" w:hAnsi="Arial" w:cs="Arial"/>
        </w:rPr>
        <w:t>13.7%.</w:t>
      </w:r>
    </w:p>
    <w:p w14:paraId="4F73D9A0" w14:textId="06639A20" w:rsidR="008A2694" w:rsidRPr="008A2694" w:rsidRDefault="008A2694" w:rsidP="006D438F">
      <w:pPr>
        <w:pStyle w:val="Heading2"/>
      </w:pPr>
      <w:bookmarkStart w:id="33" w:name="_Toc214811831"/>
      <w:r w:rsidRPr="008A2694">
        <w:t>Analysis of Results and Final Recommendation</w:t>
      </w:r>
      <w:bookmarkEnd w:id="33"/>
    </w:p>
    <w:p w14:paraId="2A70B7A7" w14:textId="77777777" w:rsidR="008A2694" w:rsidRPr="00300C8B" w:rsidRDefault="008A2694" w:rsidP="008A2694">
      <w:pPr>
        <w:spacing w:line="360" w:lineRule="auto"/>
        <w:rPr>
          <w:rFonts w:ascii="Arial" w:hAnsi="Arial" w:cs="Arial"/>
        </w:rPr>
      </w:pPr>
      <w:r w:rsidRPr="00300C8B">
        <w:rPr>
          <w:rFonts w:ascii="Arial" w:hAnsi="Arial" w:cs="Arial"/>
        </w:rPr>
        <w:t>The quantitative results present a clear hierarchy. Project B is unviable, destroying shareholder value with a negative NPV at all discount rates and a 0% IRR. The choice lies between Projects A and C.</w:t>
      </w:r>
    </w:p>
    <w:p w14:paraId="4142440E" w14:textId="77777777" w:rsidR="008A2694" w:rsidRDefault="008A2694" w:rsidP="008A2694">
      <w:pPr>
        <w:spacing w:line="360" w:lineRule="auto"/>
        <w:rPr>
          <w:rFonts w:ascii="Arial" w:hAnsi="Arial" w:cs="Arial"/>
        </w:rPr>
      </w:pPr>
      <w:r w:rsidRPr="00300C8B">
        <w:rPr>
          <w:rFonts w:ascii="Arial" w:hAnsi="Arial" w:cs="Arial"/>
        </w:rPr>
        <w:t>Project C is quantitatively superior on most fronts: it has the highest NPV, IRR, and ARR. However, the final recommendation must be made in the context of capital rationing (£60m limit) and, critically, General Electronics' precarious financial state. A deeper analysis of risk and strategic fit is paramount.</w:t>
      </w:r>
    </w:p>
    <w:p w14:paraId="23243414" w14:textId="2AF6735B" w:rsidR="00F0639C" w:rsidRPr="00636844" w:rsidRDefault="00F0639C" w:rsidP="00F0639C">
      <w:pPr>
        <w:pStyle w:val="Heading3"/>
      </w:pPr>
      <w:bookmarkStart w:id="34" w:name="_Toc214811832"/>
      <w:r w:rsidRPr="00636844">
        <w:t xml:space="preserve">A </w:t>
      </w:r>
      <w:r>
        <w:t>Risk-Adjusted</w:t>
      </w:r>
      <w:r w:rsidRPr="00636844">
        <w:t xml:space="preserve"> Strategic Scorecard</w:t>
      </w:r>
      <w:bookmarkEnd w:id="34"/>
    </w:p>
    <w:p w14:paraId="51A9BFA4" w14:textId="1A25E9FE" w:rsidR="002976A2" w:rsidRDefault="00F0639C" w:rsidP="00F0639C">
      <w:pPr>
        <w:spacing w:line="360" w:lineRule="auto"/>
        <w:rPr>
          <w:rFonts w:ascii="Arial" w:hAnsi="Arial" w:cs="Arial"/>
        </w:rPr>
      </w:pPr>
      <w:r w:rsidRPr="00636844">
        <w:rPr>
          <w:rFonts w:ascii="Arial" w:hAnsi="Arial" w:cs="Arial"/>
        </w:rPr>
        <w:t>Given the company's distress, purely quantitative appraisal is insufficient. The following scorecard evaluates the projects against strategic criteria critical for survival, weighted by their importance to a turnaround.</w:t>
      </w:r>
    </w:p>
    <w:p w14:paraId="2639A461" w14:textId="77777777" w:rsidR="008A2694" w:rsidRPr="00F0639C" w:rsidRDefault="008A2694" w:rsidP="003E7E09">
      <w:pPr>
        <w:pStyle w:val="Heading3"/>
        <w:rPr>
          <w:rFonts w:ascii="Arial" w:hAnsi="Arial" w:cs="Arial"/>
          <w:sz w:val="24"/>
          <w:szCs w:val="24"/>
        </w:rPr>
      </w:pPr>
      <w:bookmarkStart w:id="35" w:name="_Toc214811833"/>
      <w:r w:rsidRPr="00F0639C">
        <w:rPr>
          <w:rFonts w:ascii="Arial" w:hAnsi="Arial" w:cs="Arial"/>
          <w:sz w:val="24"/>
          <w:szCs w:val="24"/>
        </w:rPr>
        <w:t>Justification with Reference to Company Performance and Project Risk</w:t>
      </w:r>
      <w:bookmarkEnd w:id="35"/>
    </w:p>
    <w:p w14:paraId="0C63E82C" w14:textId="5AF6CD89" w:rsidR="008A2694" w:rsidRPr="00300C8B" w:rsidRDefault="008A2694" w:rsidP="008A2694">
      <w:pPr>
        <w:numPr>
          <w:ilvl w:val="0"/>
          <w:numId w:val="44"/>
        </w:numPr>
        <w:spacing w:line="360" w:lineRule="auto"/>
        <w:rPr>
          <w:rFonts w:ascii="Arial" w:hAnsi="Arial" w:cs="Arial"/>
        </w:rPr>
      </w:pPr>
      <w:r w:rsidRPr="00300C8B">
        <w:rPr>
          <w:rFonts w:ascii="Arial" w:hAnsi="Arial" w:cs="Arial"/>
        </w:rPr>
        <w:t xml:space="preserve">Sensitivity to Risk (NPV </w:t>
      </w:r>
      <w:r w:rsidR="0019427D" w:rsidRPr="00300C8B">
        <w:rPr>
          <w:rFonts w:ascii="Arial" w:hAnsi="Arial" w:cs="Arial"/>
        </w:rPr>
        <w:t xml:space="preserve"> </w:t>
      </w:r>
      <w:r w:rsidRPr="00300C8B">
        <w:rPr>
          <w:rFonts w:ascii="Arial" w:hAnsi="Arial" w:cs="Arial"/>
        </w:rPr>
        <w:t>12%): General Electronics' high debt and negative interest cover suggest it is a high-risk entity, potentially justifying a risk-adjusted discount rate higher than 10%. The sensitivity analysis is revealing:</w:t>
      </w:r>
    </w:p>
    <w:p w14:paraId="6FCE85AC" w14:textId="77777777" w:rsidR="008A2694" w:rsidRPr="00300C8B" w:rsidRDefault="008A2694" w:rsidP="008A2694">
      <w:pPr>
        <w:numPr>
          <w:ilvl w:val="1"/>
          <w:numId w:val="44"/>
        </w:numPr>
        <w:spacing w:line="360" w:lineRule="auto"/>
        <w:rPr>
          <w:rFonts w:ascii="Arial" w:hAnsi="Arial" w:cs="Arial"/>
        </w:rPr>
      </w:pPr>
      <w:r w:rsidRPr="00300C8B">
        <w:rPr>
          <w:rFonts w:ascii="Arial" w:hAnsi="Arial" w:cs="Arial"/>
        </w:rPr>
        <w:t>Project A's NPV turns negative at 12%, indicating its value is highly sensitive to increases in the cost of capital. Its small positive NPV at 10% offers little margin for error.</w:t>
      </w:r>
    </w:p>
    <w:p w14:paraId="60EAFF55" w14:textId="77777777" w:rsidR="008A2694" w:rsidRPr="00300C8B" w:rsidRDefault="008A2694" w:rsidP="008A2694">
      <w:pPr>
        <w:numPr>
          <w:ilvl w:val="1"/>
          <w:numId w:val="44"/>
        </w:numPr>
        <w:spacing w:line="360" w:lineRule="auto"/>
        <w:rPr>
          <w:rFonts w:ascii="Arial" w:hAnsi="Arial" w:cs="Arial"/>
        </w:rPr>
      </w:pPr>
      <w:r w:rsidRPr="00300C8B">
        <w:rPr>
          <w:rFonts w:ascii="Arial" w:hAnsi="Arial" w:cs="Arial"/>
        </w:rPr>
        <w:t>Project C remains profitable (NPV £1.08m) even at 12%, demonstrating greater resilience to financing cost increases. However, its value also drops significantly.</w:t>
      </w:r>
    </w:p>
    <w:p w14:paraId="325256CB" w14:textId="77777777" w:rsidR="008A2694" w:rsidRPr="00300C8B" w:rsidRDefault="008A2694" w:rsidP="008A2694">
      <w:pPr>
        <w:numPr>
          <w:ilvl w:val="0"/>
          <w:numId w:val="44"/>
        </w:numPr>
        <w:spacing w:line="360" w:lineRule="auto"/>
        <w:rPr>
          <w:rFonts w:ascii="Arial" w:hAnsi="Arial" w:cs="Arial"/>
        </w:rPr>
      </w:pPr>
      <w:r w:rsidRPr="00300C8B">
        <w:rPr>
          <w:rFonts w:ascii="Arial" w:hAnsi="Arial" w:cs="Arial"/>
        </w:rPr>
        <w:t>Liquidity and Cash Flow Volatility: The company is in a severe liquidity crisis (Cash Ratio: 0.17).</w:t>
      </w:r>
    </w:p>
    <w:p w14:paraId="1BD86757" w14:textId="77777777" w:rsidR="008A2694" w:rsidRPr="00300C8B" w:rsidRDefault="008A2694" w:rsidP="008A2694">
      <w:pPr>
        <w:numPr>
          <w:ilvl w:val="1"/>
          <w:numId w:val="44"/>
        </w:numPr>
        <w:spacing w:line="360" w:lineRule="auto"/>
        <w:rPr>
          <w:rFonts w:ascii="Arial" w:hAnsi="Arial" w:cs="Arial"/>
        </w:rPr>
      </w:pPr>
      <w:r w:rsidRPr="00300C8B">
        <w:rPr>
          <w:rFonts w:ascii="Arial" w:hAnsi="Arial" w:cs="Arial"/>
        </w:rPr>
        <w:lastRenderedPageBreak/>
        <w:t xml:space="preserve">Project C carries high risk due to its "back-loaded" cash flows. It requires a £50m upfront investment but generates very little cash in the first two years (£15m). If the large, later cash inflows fail to </w:t>
      </w:r>
      <w:proofErr w:type="spellStart"/>
      <w:r w:rsidRPr="00300C8B">
        <w:rPr>
          <w:rFonts w:ascii="Arial" w:hAnsi="Arial" w:cs="Arial"/>
        </w:rPr>
        <w:t>materialise</w:t>
      </w:r>
      <w:proofErr w:type="spellEnd"/>
      <w:r w:rsidRPr="00300C8B">
        <w:rPr>
          <w:rFonts w:ascii="Arial" w:hAnsi="Arial" w:cs="Arial"/>
        </w:rPr>
        <w:t>, the project could fail, potentially bankrupting the company.</w:t>
      </w:r>
    </w:p>
    <w:p w14:paraId="580133EB" w14:textId="77777777" w:rsidR="008A2694" w:rsidRPr="00300C8B" w:rsidRDefault="008A2694" w:rsidP="008A2694">
      <w:pPr>
        <w:numPr>
          <w:ilvl w:val="1"/>
          <w:numId w:val="44"/>
        </w:numPr>
        <w:spacing w:line="360" w:lineRule="auto"/>
        <w:rPr>
          <w:rFonts w:ascii="Arial" w:hAnsi="Arial" w:cs="Arial"/>
        </w:rPr>
      </w:pPr>
      <w:r w:rsidRPr="00300C8B">
        <w:rPr>
          <w:rFonts w:ascii="Arial" w:hAnsi="Arial" w:cs="Arial"/>
        </w:rPr>
        <w:t xml:space="preserve">Project A offers more stable and earlier cash flows. </w:t>
      </w:r>
      <w:proofErr w:type="spellStart"/>
      <w:r w:rsidRPr="00300C8B">
        <w:rPr>
          <w:rFonts w:ascii="Arial" w:hAnsi="Arial" w:cs="Arial"/>
        </w:rPr>
        <w:t>Its</w:t>
      </w:r>
      <w:proofErr w:type="spellEnd"/>
      <w:r w:rsidRPr="00300C8B">
        <w:rPr>
          <w:rFonts w:ascii="Arial" w:hAnsi="Arial" w:cs="Arial"/>
        </w:rPr>
        <w:t xml:space="preserve"> payback period is the shortest (3.4 years), meaning the initial investment is recovered more quickly, reducing risk. The consistent cash inflows from the start help alleviate immediate working capital pressures.</w:t>
      </w:r>
    </w:p>
    <w:p w14:paraId="7765DC7E" w14:textId="77777777" w:rsidR="004230CC" w:rsidRDefault="008A2694" w:rsidP="008A2694">
      <w:pPr>
        <w:numPr>
          <w:ilvl w:val="0"/>
          <w:numId w:val="44"/>
        </w:numPr>
        <w:spacing w:line="360" w:lineRule="auto"/>
        <w:rPr>
          <w:rFonts w:ascii="Arial" w:hAnsi="Arial" w:cs="Arial"/>
        </w:rPr>
      </w:pPr>
      <w:r w:rsidRPr="00300C8B">
        <w:rPr>
          <w:rFonts w:ascii="Arial" w:hAnsi="Arial" w:cs="Arial"/>
        </w:rPr>
        <w:t>Capital Rationing and Strategic Flexibility: Selecting Project C (£50m) commits 83% of the available capital to a single, high-risk venture, leaving only £10m for other urgent needs. In contrast, selecting Project A (£40m) leaves £20m of capital available. This reserve is critical to fund the essential working capital reforms identified in Chapter 3 or to provide a vital cash buffer, offering crucial strategic flexibility during the turnaround.</w:t>
      </w:r>
      <w:r w:rsidR="004230CC">
        <w:rPr>
          <w:rFonts w:ascii="Arial" w:hAnsi="Arial" w:cs="Arial"/>
        </w:rPr>
        <w:t xml:space="preserve"> </w:t>
      </w:r>
    </w:p>
    <w:p w14:paraId="4131AADE" w14:textId="024653AE" w:rsidR="008A2694" w:rsidRPr="001F3770" w:rsidRDefault="005802A8" w:rsidP="004230CC">
      <w:pPr>
        <w:spacing w:line="360" w:lineRule="auto"/>
        <w:rPr>
          <w:rFonts w:ascii="Arial" w:hAnsi="Arial" w:cs="Arial"/>
          <w:color w:val="000000" w:themeColor="text1"/>
        </w:rPr>
      </w:pPr>
      <w:r w:rsidRPr="005802A8">
        <w:rPr>
          <w:rFonts w:ascii="Arial" w:hAnsi="Arial" w:cs="Arial"/>
          <w:color w:val="000000" w:themeColor="text1"/>
        </w:rPr>
        <w:t xml:space="preserve">This recommendation involves a central theoretical conflict in corporate finance. The foundational NPV rule dictates that managers should </w:t>
      </w:r>
      <w:proofErr w:type="spellStart"/>
      <w:r w:rsidRPr="005802A8">
        <w:rPr>
          <w:rFonts w:ascii="Arial" w:hAnsi="Arial" w:cs="Arial"/>
          <w:color w:val="000000" w:themeColor="text1"/>
        </w:rPr>
        <w:t>maximise</w:t>
      </w:r>
      <w:proofErr w:type="spellEnd"/>
      <w:r w:rsidRPr="005802A8">
        <w:rPr>
          <w:rFonts w:ascii="Arial" w:hAnsi="Arial" w:cs="Arial"/>
          <w:color w:val="000000" w:themeColor="text1"/>
        </w:rPr>
        <w:t xml:space="preserve"> value by accepting all projects with a positive NPV (Brealey, Myers and Allen, 2020). By this measure, Project C is superior. However, this principle assumes minimal bankruptcy risk and perfect capital markets. Research by Gill, </w:t>
      </w:r>
      <w:proofErr w:type="spellStart"/>
      <w:r w:rsidRPr="005802A8">
        <w:rPr>
          <w:rFonts w:ascii="Arial" w:hAnsi="Arial" w:cs="Arial"/>
          <w:color w:val="000000" w:themeColor="text1"/>
        </w:rPr>
        <w:t>Biger</w:t>
      </w:r>
      <w:proofErr w:type="spellEnd"/>
      <w:r w:rsidRPr="005802A8">
        <w:rPr>
          <w:rFonts w:ascii="Arial" w:hAnsi="Arial" w:cs="Arial"/>
          <w:color w:val="000000" w:themeColor="text1"/>
        </w:rPr>
        <w:t xml:space="preserve"> and Mathur (2010) demonstrates that under severe financial distress and capital constraints, the primary objective shifts from value </w:t>
      </w:r>
      <w:proofErr w:type="spellStart"/>
      <w:r w:rsidRPr="005802A8">
        <w:rPr>
          <w:rFonts w:ascii="Arial" w:hAnsi="Arial" w:cs="Arial"/>
          <w:color w:val="000000" w:themeColor="text1"/>
        </w:rPr>
        <w:t>maximisation</w:t>
      </w:r>
      <w:proofErr w:type="spellEnd"/>
      <w:r w:rsidRPr="005802A8">
        <w:rPr>
          <w:rFonts w:ascii="Arial" w:hAnsi="Arial" w:cs="Arial"/>
          <w:color w:val="000000" w:themeColor="text1"/>
        </w:rPr>
        <w:t xml:space="preserve"> to survival. Therefore, selecting Project A is not a rejection of NPV theory but a critical adaptation of it, </w:t>
      </w:r>
      <w:proofErr w:type="spellStart"/>
      <w:r w:rsidRPr="005802A8">
        <w:rPr>
          <w:rFonts w:ascii="Arial" w:hAnsi="Arial" w:cs="Arial"/>
          <w:color w:val="000000" w:themeColor="text1"/>
        </w:rPr>
        <w:t>prioritising</w:t>
      </w:r>
      <w:proofErr w:type="spellEnd"/>
      <w:r w:rsidRPr="005802A8">
        <w:rPr>
          <w:rFonts w:ascii="Arial" w:hAnsi="Arial" w:cs="Arial"/>
          <w:color w:val="000000" w:themeColor="text1"/>
        </w:rPr>
        <w:t xml:space="preserve"> liquidity and risk mitigation to ensure the company's survival as a prerequisite for any future value creation.</w:t>
      </w:r>
      <w:r>
        <w:rPr>
          <w:rFonts w:ascii="Arial" w:hAnsi="Arial" w:cs="Arial"/>
          <w:color w:val="000000" w:themeColor="text1"/>
        </w:rPr>
        <w:t xml:space="preserve"> </w:t>
      </w:r>
      <w:r w:rsidR="004230CC" w:rsidRPr="001F3770">
        <w:rPr>
          <w:rFonts w:ascii="Arial" w:hAnsi="Arial" w:cs="Arial"/>
          <w:color w:val="000000" w:themeColor="text1"/>
        </w:rPr>
        <w:t xml:space="preserve">While the theoretical superiority of Net Present Value (NPV) is a cornerstone of corporate finance (Brealey, Myers and Allen, 2020), its strict application assumes stable financing and minimal risk of insolvency. General Electronics' context of severe financial distress fundamentally alters this calculus. Research indicates that under capital constraints and high financial distress, the primary objective shifts from value </w:t>
      </w:r>
      <w:proofErr w:type="spellStart"/>
      <w:r w:rsidR="004230CC" w:rsidRPr="001F3770">
        <w:rPr>
          <w:rFonts w:ascii="Arial" w:hAnsi="Arial" w:cs="Arial"/>
          <w:color w:val="000000" w:themeColor="text1"/>
        </w:rPr>
        <w:t>maximisation</w:t>
      </w:r>
      <w:proofErr w:type="spellEnd"/>
      <w:r w:rsidR="004230CC" w:rsidRPr="001F3770">
        <w:rPr>
          <w:rFonts w:ascii="Arial" w:hAnsi="Arial" w:cs="Arial"/>
          <w:color w:val="000000" w:themeColor="text1"/>
        </w:rPr>
        <w:t xml:space="preserve"> to survival, making liquidity and risk mitigation paramount (Brealey et al., 2020; Gill, </w:t>
      </w:r>
      <w:proofErr w:type="spellStart"/>
      <w:r w:rsidR="004230CC" w:rsidRPr="001F3770">
        <w:rPr>
          <w:rFonts w:ascii="Arial" w:hAnsi="Arial" w:cs="Arial"/>
          <w:color w:val="000000" w:themeColor="text1"/>
        </w:rPr>
        <w:t>Biger</w:t>
      </w:r>
      <w:proofErr w:type="spellEnd"/>
      <w:r w:rsidR="004230CC" w:rsidRPr="001F3770">
        <w:rPr>
          <w:rFonts w:ascii="Arial" w:hAnsi="Arial" w:cs="Arial"/>
          <w:color w:val="000000" w:themeColor="text1"/>
        </w:rPr>
        <w:t xml:space="preserve"> and Mathur, 2010). Therefore, Project A's faster payback, lower capital commitment, and stable cash </w:t>
      </w:r>
      <w:r w:rsidR="004230CC" w:rsidRPr="001F3770">
        <w:rPr>
          <w:rFonts w:ascii="Arial" w:hAnsi="Arial" w:cs="Arial"/>
          <w:color w:val="000000" w:themeColor="text1"/>
        </w:rPr>
        <w:lastRenderedPageBreak/>
        <w:t xml:space="preserve">flows are not just pragmatic choices but are theoretically sound, as they directly address the company's most pressing threat: a critical liquidity shortage. This approach </w:t>
      </w:r>
      <w:proofErr w:type="spellStart"/>
      <w:r w:rsidR="004230CC" w:rsidRPr="001F3770">
        <w:rPr>
          <w:rFonts w:ascii="Arial" w:hAnsi="Arial" w:cs="Arial"/>
          <w:color w:val="000000" w:themeColor="text1"/>
        </w:rPr>
        <w:t>prioritises</w:t>
      </w:r>
      <w:proofErr w:type="spellEnd"/>
      <w:r w:rsidR="004230CC" w:rsidRPr="001F3770">
        <w:rPr>
          <w:rFonts w:ascii="Arial" w:hAnsi="Arial" w:cs="Arial"/>
          <w:color w:val="000000" w:themeColor="text1"/>
        </w:rPr>
        <w:t xml:space="preserve"> the company's survival, which is a prerequisite for any future growth and value creation.</w:t>
      </w:r>
    </w:p>
    <w:p w14:paraId="3AF62BDB" w14:textId="77777777" w:rsidR="004230CC" w:rsidRPr="00300C8B" w:rsidRDefault="004230CC" w:rsidP="004230CC">
      <w:pPr>
        <w:spacing w:line="360" w:lineRule="auto"/>
        <w:rPr>
          <w:rFonts w:ascii="Arial" w:hAnsi="Arial" w:cs="Arial"/>
        </w:rPr>
      </w:pPr>
    </w:p>
    <w:p w14:paraId="2974E117" w14:textId="77777777" w:rsidR="008A2694" w:rsidRPr="008A2694" w:rsidRDefault="008A2694" w:rsidP="006D438F">
      <w:pPr>
        <w:pStyle w:val="Heading3"/>
      </w:pPr>
      <w:bookmarkStart w:id="36" w:name="_Toc214811834"/>
      <w:r w:rsidRPr="008A2694">
        <w:t>Final Investment Recommendation</w:t>
      </w:r>
      <w:bookmarkEnd w:id="36"/>
    </w:p>
    <w:p w14:paraId="03EBEC0D" w14:textId="6CE98754" w:rsidR="008A2694" w:rsidRPr="008A2694" w:rsidRDefault="008A2694" w:rsidP="008A2694">
      <w:pPr>
        <w:spacing w:line="360" w:lineRule="auto"/>
        <w:rPr>
          <w:rFonts w:ascii="Arial" w:hAnsi="Arial" w:cs="Arial"/>
        </w:rPr>
      </w:pPr>
      <w:r w:rsidRPr="008A2694">
        <w:rPr>
          <w:rFonts w:ascii="Arial" w:hAnsi="Arial" w:cs="Arial"/>
        </w:rPr>
        <w:t>Therefore, the final recommendation is to </w:t>
      </w:r>
      <w:r w:rsidRPr="008A2694">
        <w:rPr>
          <w:rFonts w:ascii="Arial" w:hAnsi="Arial" w:cs="Arial"/>
          <w:b/>
          <w:bCs/>
        </w:rPr>
        <w:t>invest in Project A</w:t>
      </w:r>
      <w:r w:rsidRPr="008A2694">
        <w:rPr>
          <w:rFonts w:ascii="Arial" w:hAnsi="Arial" w:cs="Arial"/>
        </w:rPr>
        <w:t>.</w:t>
      </w:r>
      <w:r w:rsidR="002976A2">
        <w:rPr>
          <w:rFonts w:ascii="Arial" w:hAnsi="Arial" w:cs="Arial"/>
        </w:rPr>
        <w:t xml:space="preserve"> (Based on Appendix Table 4: Project Score).</w:t>
      </w:r>
    </w:p>
    <w:p w14:paraId="0CCB6726" w14:textId="77777777" w:rsidR="008A2694" w:rsidRPr="008A2694" w:rsidRDefault="008A2694" w:rsidP="008A2694">
      <w:pPr>
        <w:spacing w:line="360" w:lineRule="auto"/>
        <w:rPr>
          <w:rFonts w:ascii="Arial" w:hAnsi="Arial" w:cs="Arial"/>
        </w:rPr>
      </w:pPr>
      <w:r w:rsidRPr="008A2694">
        <w:rPr>
          <w:rFonts w:ascii="Arial" w:hAnsi="Arial" w:cs="Arial"/>
        </w:rPr>
        <w:t>While Project C has superior returns in a stable environment, its risk profile is misaligned with a company in financial distress. Project A’s quicker payback and lower initial outlay directly address General Electronics' most pressing issues: </w:t>
      </w:r>
      <w:r w:rsidRPr="008A2694">
        <w:rPr>
          <w:rFonts w:ascii="Arial" w:hAnsi="Arial" w:cs="Arial"/>
          <w:b/>
          <w:bCs/>
        </w:rPr>
        <w:t>liquidity shortage and a lack of financial flexibility</w:t>
      </w:r>
      <w:r w:rsidRPr="008A2694">
        <w:rPr>
          <w:rFonts w:ascii="Arial" w:hAnsi="Arial" w:cs="Arial"/>
        </w:rPr>
        <w:t>.</w:t>
      </w:r>
    </w:p>
    <w:p w14:paraId="7240C7A9" w14:textId="72DCE43D" w:rsidR="008A2694" w:rsidRDefault="008A2694" w:rsidP="008A2694">
      <w:pPr>
        <w:spacing w:line="360" w:lineRule="auto"/>
        <w:rPr>
          <w:rFonts w:ascii="Arial" w:hAnsi="Arial" w:cs="Arial"/>
        </w:rPr>
      </w:pPr>
      <w:r w:rsidRPr="008A2694">
        <w:rPr>
          <w:rFonts w:ascii="Arial" w:hAnsi="Arial" w:cs="Arial"/>
        </w:rPr>
        <w:t xml:space="preserve">The sensitivity analysis shows that Project A's viability is fragile, but its lower absolute investment reduces the potential magnitude of loss. In a </w:t>
      </w:r>
      <w:r w:rsidR="000D40B3">
        <w:rPr>
          <w:rFonts w:ascii="Arial" w:hAnsi="Arial" w:cs="Arial"/>
        </w:rPr>
        <w:t>high-uncertainty turnaround situation</w:t>
      </w:r>
      <w:r w:rsidRPr="008A2694">
        <w:rPr>
          <w:rFonts w:ascii="Arial" w:hAnsi="Arial" w:cs="Arial"/>
        </w:rPr>
        <w:t xml:space="preserve">, the primary goal must shift from return </w:t>
      </w:r>
      <w:r w:rsidR="000D40B3" w:rsidRPr="008A2694">
        <w:rPr>
          <w:rFonts w:ascii="Arial" w:hAnsi="Arial" w:cs="Arial"/>
        </w:rPr>
        <w:t>maximization</w:t>
      </w:r>
      <w:r w:rsidRPr="008A2694">
        <w:rPr>
          <w:rFonts w:ascii="Arial" w:hAnsi="Arial" w:cs="Arial"/>
        </w:rPr>
        <w:t xml:space="preserve"> to </w:t>
      </w:r>
      <w:r w:rsidRPr="008A2694">
        <w:rPr>
          <w:rFonts w:ascii="Arial" w:hAnsi="Arial" w:cs="Arial"/>
          <w:b/>
          <w:bCs/>
        </w:rPr>
        <w:t>capital preservation and risk mitigation</w:t>
      </w:r>
      <w:r w:rsidRPr="008A2694">
        <w:rPr>
          <w:rFonts w:ascii="Arial" w:hAnsi="Arial" w:cs="Arial"/>
        </w:rPr>
        <w:t xml:space="preserve">. Investing £40m in Project A, while retaining £20m for contingencies and operational improvements, provides a more robust and prudent path to recovery. This approach </w:t>
      </w:r>
      <w:r w:rsidR="004356AE" w:rsidRPr="008A2694">
        <w:rPr>
          <w:rFonts w:ascii="Arial" w:hAnsi="Arial" w:cs="Arial"/>
        </w:rPr>
        <w:t>prioritizes</w:t>
      </w:r>
      <w:r w:rsidRPr="008A2694">
        <w:rPr>
          <w:rFonts w:ascii="Arial" w:hAnsi="Arial" w:cs="Arial"/>
        </w:rPr>
        <w:t xml:space="preserve"> the company's survival, which is a prerequisite for any future growth.</w:t>
      </w:r>
    </w:p>
    <w:p w14:paraId="1143141F" w14:textId="77777777" w:rsidR="009636DB" w:rsidRDefault="009636DB" w:rsidP="008A2694">
      <w:pPr>
        <w:spacing w:line="360" w:lineRule="auto"/>
        <w:rPr>
          <w:rFonts w:ascii="Arial" w:hAnsi="Arial" w:cs="Arial"/>
        </w:rPr>
      </w:pPr>
    </w:p>
    <w:p w14:paraId="04C67B63" w14:textId="1B2D9FC4" w:rsidR="009636DB" w:rsidRDefault="009636DB" w:rsidP="009636DB">
      <w:pPr>
        <w:pStyle w:val="Heading1"/>
      </w:pPr>
      <w:bookmarkStart w:id="37" w:name="_Toc214811835"/>
      <w:r>
        <w:t>Conclusion</w:t>
      </w:r>
      <w:bookmarkEnd w:id="37"/>
    </w:p>
    <w:p w14:paraId="07A09537" w14:textId="3EAE31E4" w:rsidR="004356AE" w:rsidRPr="00695117" w:rsidRDefault="005B52FB" w:rsidP="00695117">
      <w:pPr>
        <w:pStyle w:val="ds-markdown-paragraph"/>
        <w:shd w:val="clear" w:color="auto" w:fill="FFFFFF"/>
        <w:spacing w:before="240" w:after="240" w:line="360" w:lineRule="auto"/>
        <w:rPr>
          <w:rFonts w:ascii="Arial" w:hAnsi="Arial" w:cs="Arial"/>
        </w:rPr>
      </w:pPr>
      <w:r w:rsidRPr="00695117">
        <w:rPr>
          <w:rFonts w:ascii="Arial" w:hAnsi="Arial" w:cs="Arial"/>
        </w:rPr>
        <w:t>The comprehensive financial analysis confirms General Electronics is in severe distress, with eroding profitability, critical liquidity shortage, unsustainable leverage, and high bankruptcy risk per the Altman Z-Score</w:t>
      </w:r>
      <w:r w:rsidR="004356AE" w:rsidRPr="00695117">
        <w:rPr>
          <w:rFonts w:ascii="Arial" w:hAnsi="Arial" w:cs="Arial"/>
        </w:rPr>
        <w:t>.</w:t>
      </w:r>
    </w:p>
    <w:p w14:paraId="36890DF6" w14:textId="07CFBC96" w:rsidR="004356AE" w:rsidRPr="00695117" w:rsidRDefault="004356AE" w:rsidP="00695117">
      <w:pPr>
        <w:pStyle w:val="ds-markdown-paragraph"/>
        <w:shd w:val="clear" w:color="auto" w:fill="FFFFFF"/>
        <w:spacing w:before="240" w:beforeAutospacing="0" w:after="240" w:afterAutospacing="0" w:line="360" w:lineRule="auto"/>
        <w:rPr>
          <w:rFonts w:ascii="Arial" w:hAnsi="Arial" w:cs="Arial"/>
        </w:rPr>
      </w:pPr>
      <w:r w:rsidRPr="00695117">
        <w:rPr>
          <w:rFonts w:ascii="Arial" w:hAnsi="Arial" w:cs="Arial"/>
        </w:rPr>
        <w:t>The path to recovery is arduous but achievable through the immediate and decisive execution of the proposed three-phase turnaround strategy. The initial </w:t>
      </w:r>
      <w:r w:rsidRPr="00695117">
        <w:rPr>
          <w:rStyle w:val="Strong"/>
          <w:rFonts w:ascii="Arial" w:eastAsiaTheme="majorEastAsia" w:hAnsi="Arial" w:cs="Arial"/>
        </w:rPr>
        <w:t xml:space="preserve">Emergency </w:t>
      </w:r>
      <w:proofErr w:type="spellStart"/>
      <w:r w:rsidR="000D40B3" w:rsidRPr="00695117">
        <w:rPr>
          <w:rStyle w:val="Strong"/>
          <w:rFonts w:ascii="Arial" w:eastAsiaTheme="majorEastAsia" w:hAnsi="Arial" w:cs="Arial"/>
        </w:rPr>
        <w:lastRenderedPageBreak/>
        <w:t>Stabili</w:t>
      </w:r>
      <w:r w:rsidR="00807EA0" w:rsidRPr="00695117">
        <w:rPr>
          <w:rStyle w:val="Strong"/>
          <w:rFonts w:ascii="Arial" w:eastAsiaTheme="majorEastAsia" w:hAnsi="Arial" w:cs="Arial"/>
        </w:rPr>
        <w:t>s</w:t>
      </w:r>
      <w:r w:rsidR="000D40B3" w:rsidRPr="00695117">
        <w:rPr>
          <w:rStyle w:val="Strong"/>
          <w:rFonts w:ascii="Arial" w:eastAsiaTheme="majorEastAsia" w:hAnsi="Arial" w:cs="Arial"/>
        </w:rPr>
        <w:t>ation</w:t>
      </w:r>
      <w:proofErr w:type="spellEnd"/>
      <w:r w:rsidRPr="00695117">
        <w:rPr>
          <w:rFonts w:ascii="Arial" w:hAnsi="Arial" w:cs="Arial"/>
        </w:rPr>
        <w:t> phase must aggressively tackle the working capital inefficiencies that are strangling the company's cash flow. This must be supported by a fundamental shift in financing strategy, moving away from risky short-term credit to stable, long-term funding.</w:t>
      </w:r>
    </w:p>
    <w:p w14:paraId="42E96BEF" w14:textId="77777777" w:rsidR="004356AE" w:rsidRPr="00695117" w:rsidRDefault="004356AE" w:rsidP="00695117">
      <w:pPr>
        <w:pStyle w:val="ds-markdown-paragraph"/>
        <w:shd w:val="clear" w:color="auto" w:fill="FFFFFF"/>
        <w:spacing w:before="240" w:beforeAutospacing="0" w:after="240" w:afterAutospacing="0" w:line="360" w:lineRule="auto"/>
        <w:rPr>
          <w:rFonts w:ascii="Arial" w:hAnsi="Arial" w:cs="Arial"/>
        </w:rPr>
      </w:pPr>
      <w:r w:rsidRPr="00695117">
        <w:rPr>
          <w:rFonts w:ascii="Arial" w:hAnsi="Arial" w:cs="Arial"/>
        </w:rPr>
        <w:t>Concurrently, the </w:t>
      </w:r>
      <w:r w:rsidRPr="00695117">
        <w:rPr>
          <w:rStyle w:val="Strong"/>
          <w:rFonts w:ascii="Arial" w:eastAsiaTheme="majorEastAsia" w:hAnsi="Arial" w:cs="Arial"/>
        </w:rPr>
        <w:t>Balance Sheet Repair</w:t>
      </w:r>
      <w:r w:rsidRPr="00695117">
        <w:rPr>
          <w:rFonts w:ascii="Arial" w:hAnsi="Arial" w:cs="Arial"/>
        </w:rPr>
        <w:t> phase is non-negotiable. A combination of strategic divestitures, a rights issue to inject new equity, and a debt-for-equity swap is essential to de-leverage the balance sheet, restore solvency, and create a capital structure capable of supporting future operations.</w:t>
      </w:r>
    </w:p>
    <w:p w14:paraId="0FDE9A4D" w14:textId="54F914FE" w:rsidR="004356AE" w:rsidRPr="00695117" w:rsidRDefault="004356AE" w:rsidP="00695117">
      <w:pPr>
        <w:pStyle w:val="ds-markdown-paragraph"/>
        <w:shd w:val="clear" w:color="auto" w:fill="FFFFFF"/>
        <w:spacing w:before="240" w:beforeAutospacing="0" w:after="240" w:afterAutospacing="0" w:line="360" w:lineRule="auto"/>
        <w:rPr>
          <w:rFonts w:ascii="Arial" w:hAnsi="Arial" w:cs="Arial"/>
        </w:rPr>
      </w:pPr>
      <w:r w:rsidRPr="00695117">
        <w:rPr>
          <w:rFonts w:ascii="Arial" w:hAnsi="Arial" w:cs="Arial"/>
        </w:rPr>
        <w:t>Finally, Strategic</w:t>
      </w:r>
      <w:r w:rsidRPr="00695117">
        <w:rPr>
          <w:rStyle w:val="Strong"/>
          <w:rFonts w:ascii="Arial" w:eastAsiaTheme="majorEastAsia" w:hAnsi="Arial" w:cs="Arial"/>
        </w:rPr>
        <w:t xml:space="preserve"> Repositioning</w:t>
      </w:r>
      <w:r w:rsidRPr="00695117">
        <w:rPr>
          <w:rFonts w:ascii="Arial" w:hAnsi="Arial" w:cs="Arial"/>
        </w:rPr>
        <w:t> must be prudent. The recommendation to invest in </w:t>
      </w:r>
      <w:r w:rsidRPr="00695117">
        <w:rPr>
          <w:rStyle w:val="Strong"/>
          <w:rFonts w:ascii="Arial" w:eastAsiaTheme="majorEastAsia" w:hAnsi="Arial" w:cs="Arial"/>
        </w:rPr>
        <w:t>Project A</w:t>
      </w:r>
      <w:r w:rsidRPr="00695117">
        <w:rPr>
          <w:rFonts w:ascii="Arial" w:hAnsi="Arial" w:cs="Arial"/>
        </w:rPr>
        <w:t>, despite Project C's superior nominal returns, is a deliberate choice aligned with the company's precarious state. It prioritizes capital preservation, earlier cash returns, and strategic flexibility over risky, return-maximizing ambitions.</w:t>
      </w:r>
    </w:p>
    <w:p w14:paraId="7E3ACECA" w14:textId="2343E95E" w:rsidR="009636DB" w:rsidRPr="00695117" w:rsidRDefault="005B52FB" w:rsidP="00695117">
      <w:pPr>
        <w:spacing w:line="360" w:lineRule="auto"/>
        <w:rPr>
          <w:rFonts w:ascii="Arial" w:eastAsia="Times New Roman" w:hAnsi="Arial" w:cs="Arial"/>
          <w:kern w:val="0"/>
          <w14:ligatures w14:val="none"/>
        </w:rPr>
      </w:pPr>
      <w:r w:rsidRPr="005B52FB">
        <w:rPr>
          <w:rFonts w:ascii="Arial" w:eastAsia="Times New Roman" w:hAnsi="Arial" w:cs="Arial"/>
          <w:kern w:val="0"/>
          <w14:ligatures w14:val="none"/>
        </w:rPr>
        <w:t xml:space="preserve">This holistic plan of operational reform, financial restructuring, and cautious reinvestment lays a foundation for sustainable value creation. The time for action is now; the cost of inaction is </w:t>
      </w:r>
      <w:proofErr w:type="gramStart"/>
      <w:r w:rsidRPr="005B52FB">
        <w:rPr>
          <w:rFonts w:ascii="Arial" w:eastAsia="Times New Roman" w:hAnsi="Arial" w:cs="Arial"/>
          <w:kern w:val="0"/>
          <w14:ligatures w14:val="none"/>
        </w:rPr>
        <w:t>potential</w:t>
      </w:r>
      <w:proofErr w:type="gramEnd"/>
      <w:r w:rsidRPr="005B52FB">
        <w:rPr>
          <w:rFonts w:ascii="Arial" w:eastAsia="Times New Roman" w:hAnsi="Arial" w:cs="Arial"/>
          <w:kern w:val="0"/>
          <w14:ligatures w14:val="none"/>
        </w:rPr>
        <w:t xml:space="preserve"> demise.</w:t>
      </w:r>
    </w:p>
    <w:p w14:paraId="0CC79068" w14:textId="2FCD61FF" w:rsidR="009A23E8" w:rsidRPr="00695117" w:rsidRDefault="009A23E8" w:rsidP="00695117">
      <w:pPr>
        <w:spacing w:line="360" w:lineRule="auto"/>
        <w:rPr>
          <w:rFonts w:ascii="Arial" w:hAnsi="Arial" w:cs="Arial"/>
        </w:rPr>
      </w:pPr>
      <w:r w:rsidRPr="00695117">
        <w:rPr>
          <w:rFonts w:ascii="Arial" w:hAnsi="Arial" w:cs="Arial"/>
        </w:rPr>
        <w:br w:type="page"/>
      </w:r>
    </w:p>
    <w:p w14:paraId="087206E1" w14:textId="77777777" w:rsidR="009A23E8" w:rsidRPr="00EC26B4" w:rsidRDefault="009A23E8" w:rsidP="0056574A">
      <w:pPr>
        <w:pStyle w:val="Heading1"/>
      </w:pPr>
      <w:bookmarkStart w:id="38" w:name="_Toc214811836"/>
      <w:r w:rsidRPr="00EC26B4">
        <w:lastRenderedPageBreak/>
        <w:t>References</w:t>
      </w:r>
      <w:bookmarkEnd w:id="38"/>
    </w:p>
    <w:p w14:paraId="7A127863" w14:textId="77777777" w:rsidR="00643811" w:rsidRDefault="00643811" w:rsidP="00643811">
      <w:pPr>
        <w:spacing w:line="360" w:lineRule="auto"/>
        <w:jc w:val="both"/>
        <w:rPr>
          <w:rFonts w:ascii="Arial" w:hAnsi="Arial" w:cs="Arial"/>
        </w:rPr>
      </w:pPr>
    </w:p>
    <w:p w14:paraId="5DD45682" w14:textId="0831D058" w:rsidR="00643811" w:rsidRPr="00643811" w:rsidRDefault="00643811" w:rsidP="00643811">
      <w:pPr>
        <w:spacing w:line="360" w:lineRule="auto"/>
        <w:jc w:val="both"/>
        <w:rPr>
          <w:rFonts w:ascii="Arial" w:hAnsi="Arial" w:cs="Arial"/>
        </w:rPr>
      </w:pPr>
      <w:r w:rsidRPr="00643811">
        <w:rPr>
          <w:rFonts w:ascii="Arial" w:hAnsi="Arial" w:cs="Arial"/>
        </w:rPr>
        <w:t>Altman, E.I. (1968) 'Financial ratios, discriminant analysis and the prediction of corporate bankruptcy', </w:t>
      </w:r>
      <w:r w:rsidRPr="00643811">
        <w:rPr>
          <w:rFonts w:ascii="Arial" w:hAnsi="Arial" w:cs="Arial"/>
          <w:i/>
          <w:iCs/>
        </w:rPr>
        <w:t>The Journal of Finance</w:t>
      </w:r>
      <w:r w:rsidRPr="00643811">
        <w:rPr>
          <w:rFonts w:ascii="Arial" w:hAnsi="Arial" w:cs="Arial"/>
        </w:rPr>
        <w:t>, 23(4), pp. 589-609.</w:t>
      </w:r>
    </w:p>
    <w:p w14:paraId="17C1A82B" w14:textId="77777777" w:rsidR="00643811" w:rsidRDefault="00643811" w:rsidP="00643811">
      <w:pPr>
        <w:spacing w:line="360" w:lineRule="auto"/>
        <w:jc w:val="both"/>
        <w:rPr>
          <w:rFonts w:ascii="Arial" w:hAnsi="Arial" w:cs="Arial"/>
        </w:rPr>
      </w:pPr>
    </w:p>
    <w:p w14:paraId="36079863" w14:textId="31A1658D" w:rsidR="00643811" w:rsidRPr="00643811" w:rsidRDefault="00643811" w:rsidP="00643811">
      <w:pPr>
        <w:spacing w:line="360" w:lineRule="auto"/>
        <w:jc w:val="both"/>
        <w:rPr>
          <w:rFonts w:ascii="Arial" w:hAnsi="Arial" w:cs="Arial"/>
        </w:rPr>
      </w:pPr>
      <w:r w:rsidRPr="00643811">
        <w:rPr>
          <w:rFonts w:ascii="Arial" w:hAnsi="Arial" w:cs="Arial"/>
        </w:rPr>
        <w:t>Arnold, G. (2019) </w:t>
      </w:r>
      <w:r w:rsidRPr="00643811">
        <w:rPr>
          <w:rFonts w:ascii="Arial" w:hAnsi="Arial" w:cs="Arial"/>
          <w:i/>
          <w:iCs/>
        </w:rPr>
        <w:t>Corporate financial management</w:t>
      </w:r>
      <w:r w:rsidRPr="00643811">
        <w:rPr>
          <w:rFonts w:ascii="Arial" w:hAnsi="Arial" w:cs="Arial"/>
        </w:rPr>
        <w:t xml:space="preserve">. 6th </w:t>
      </w:r>
      <w:proofErr w:type="spellStart"/>
      <w:r w:rsidRPr="00643811">
        <w:rPr>
          <w:rFonts w:ascii="Arial" w:hAnsi="Arial" w:cs="Arial"/>
        </w:rPr>
        <w:t>edn</w:t>
      </w:r>
      <w:proofErr w:type="spellEnd"/>
      <w:r w:rsidRPr="00643811">
        <w:rPr>
          <w:rFonts w:ascii="Arial" w:hAnsi="Arial" w:cs="Arial"/>
        </w:rPr>
        <w:t>. Harlow: Pearson.</w:t>
      </w:r>
    </w:p>
    <w:p w14:paraId="428EF31F" w14:textId="77777777" w:rsidR="00643811" w:rsidRDefault="00643811" w:rsidP="00643811">
      <w:pPr>
        <w:spacing w:line="360" w:lineRule="auto"/>
        <w:jc w:val="both"/>
        <w:rPr>
          <w:rFonts w:ascii="Arial" w:hAnsi="Arial" w:cs="Arial"/>
        </w:rPr>
      </w:pPr>
    </w:p>
    <w:p w14:paraId="5C6DDBAA" w14:textId="7B5D3A35" w:rsidR="00643811" w:rsidRPr="00643811" w:rsidRDefault="00643811" w:rsidP="00643811">
      <w:pPr>
        <w:spacing w:line="360" w:lineRule="auto"/>
        <w:jc w:val="both"/>
        <w:rPr>
          <w:rFonts w:ascii="Arial" w:hAnsi="Arial" w:cs="Arial"/>
        </w:rPr>
      </w:pPr>
      <w:r w:rsidRPr="00643811">
        <w:rPr>
          <w:rFonts w:ascii="Arial" w:hAnsi="Arial" w:cs="Arial"/>
        </w:rPr>
        <w:t>Baños-Caballero, S., García-Teruel, P.J. and Martínez-Solano, P. (2014) 'Working capital management, corporate performance, and financial constraints', </w:t>
      </w:r>
      <w:r w:rsidRPr="00643811">
        <w:rPr>
          <w:rFonts w:ascii="Arial" w:hAnsi="Arial" w:cs="Arial"/>
          <w:i/>
          <w:iCs/>
        </w:rPr>
        <w:t>Journal of Business Research</w:t>
      </w:r>
      <w:r w:rsidRPr="00643811">
        <w:rPr>
          <w:rFonts w:ascii="Arial" w:hAnsi="Arial" w:cs="Arial"/>
        </w:rPr>
        <w:t>, 67(3), pp. 332-338.</w:t>
      </w:r>
    </w:p>
    <w:p w14:paraId="23035872" w14:textId="77777777" w:rsidR="00643811" w:rsidRDefault="00643811" w:rsidP="00643811">
      <w:pPr>
        <w:spacing w:line="360" w:lineRule="auto"/>
        <w:jc w:val="both"/>
        <w:rPr>
          <w:rFonts w:ascii="Arial" w:hAnsi="Arial" w:cs="Arial"/>
        </w:rPr>
      </w:pPr>
    </w:p>
    <w:p w14:paraId="7D90F075" w14:textId="0111CD73" w:rsidR="00643811" w:rsidRPr="00643811" w:rsidRDefault="00643811" w:rsidP="00643811">
      <w:pPr>
        <w:spacing w:line="360" w:lineRule="auto"/>
        <w:jc w:val="both"/>
        <w:rPr>
          <w:rFonts w:ascii="Arial" w:hAnsi="Arial" w:cs="Arial"/>
        </w:rPr>
      </w:pPr>
      <w:r w:rsidRPr="00643811">
        <w:rPr>
          <w:rFonts w:ascii="Arial" w:hAnsi="Arial" w:cs="Arial"/>
        </w:rPr>
        <w:t>Bank of England (2023) </w:t>
      </w:r>
      <w:r w:rsidRPr="00643811">
        <w:rPr>
          <w:rFonts w:ascii="Arial" w:hAnsi="Arial" w:cs="Arial"/>
          <w:i/>
          <w:iCs/>
        </w:rPr>
        <w:t>Monetary Policy Report</w:t>
      </w:r>
      <w:r w:rsidRPr="00643811">
        <w:rPr>
          <w:rFonts w:ascii="Arial" w:hAnsi="Arial" w:cs="Arial"/>
        </w:rPr>
        <w:t>. Available at: </w:t>
      </w:r>
      <w:hyperlink r:id="rId18" w:tgtFrame="_blank" w:history="1">
        <w:r w:rsidRPr="00643811">
          <w:rPr>
            <w:rStyle w:val="Hyperlink"/>
            <w:rFonts w:ascii="Arial" w:hAnsi="Arial" w:cs="Arial"/>
          </w:rPr>
          <w:t>https://www.bankofengland.co.uk/monetary-policy-report/2023</w:t>
        </w:r>
      </w:hyperlink>
      <w:r w:rsidRPr="00643811">
        <w:rPr>
          <w:rFonts w:ascii="Arial" w:hAnsi="Arial" w:cs="Arial"/>
        </w:rPr>
        <w:t> (Accessed: 15 November 2025).</w:t>
      </w:r>
    </w:p>
    <w:p w14:paraId="00EF297C" w14:textId="77777777" w:rsidR="00643811" w:rsidRDefault="00643811" w:rsidP="00643811">
      <w:pPr>
        <w:spacing w:line="360" w:lineRule="auto"/>
        <w:jc w:val="both"/>
        <w:rPr>
          <w:rFonts w:ascii="Arial" w:hAnsi="Arial" w:cs="Arial"/>
        </w:rPr>
      </w:pPr>
    </w:p>
    <w:p w14:paraId="3C65A154" w14:textId="5264D293" w:rsidR="00643811" w:rsidRPr="00643811" w:rsidRDefault="00643811" w:rsidP="00643811">
      <w:pPr>
        <w:spacing w:line="360" w:lineRule="auto"/>
        <w:jc w:val="both"/>
        <w:rPr>
          <w:rFonts w:ascii="Arial" w:hAnsi="Arial" w:cs="Arial"/>
        </w:rPr>
      </w:pPr>
      <w:r w:rsidRPr="00643811">
        <w:rPr>
          <w:rFonts w:ascii="Arial" w:hAnsi="Arial" w:cs="Arial"/>
        </w:rPr>
        <w:t>Brealey, R.A., Myers, S.C. and Allen, F. (2020) </w:t>
      </w:r>
      <w:r w:rsidRPr="00643811">
        <w:rPr>
          <w:rFonts w:ascii="Arial" w:hAnsi="Arial" w:cs="Arial"/>
          <w:i/>
          <w:iCs/>
        </w:rPr>
        <w:t>Principles of corporate finance</w:t>
      </w:r>
      <w:r w:rsidRPr="00643811">
        <w:rPr>
          <w:rFonts w:ascii="Arial" w:hAnsi="Arial" w:cs="Arial"/>
        </w:rPr>
        <w:t xml:space="preserve">. 13th </w:t>
      </w:r>
      <w:proofErr w:type="spellStart"/>
      <w:r w:rsidRPr="00643811">
        <w:rPr>
          <w:rFonts w:ascii="Arial" w:hAnsi="Arial" w:cs="Arial"/>
        </w:rPr>
        <w:t>edn</w:t>
      </w:r>
      <w:proofErr w:type="spellEnd"/>
      <w:r w:rsidRPr="00643811">
        <w:rPr>
          <w:rFonts w:ascii="Arial" w:hAnsi="Arial" w:cs="Arial"/>
        </w:rPr>
        <w:t>. New York: McGraw-Hill.</w:t>
      </w:r>
    </w:p>
    <w:p w14:paraId="7E541E2F" w14:textId="77777777" w:rsidR="00643811" w:rsidRDefault="00643811" w:rsidP="00643811">
      <w:pPr>
        <w:spacing w:line="360" w:lineRule="auto"/>
        <w:jc w:val="both"/>
        <w:rPr>
          <w:rFonts w:ascii="Arial" w:hAnsi="Arial" w:cs="Arial"/>
        </w:rPr>
      </w:pPr>
    </w:p>
    <w:p w14:paraId="21EAF1DA" w14:textId="72172E32" w:rsidR="00643811" w:rsidRPr="00643811" w:rsidRDefault="00643811" w:rsidP="00643811">
      <w:pPr>
        <w:spacing w:line="360" w:lineRule="auto"/>
        <w:jc w:val="both"/>
        <w:rPr>
          <w:rFonts w:ascii="Arial" w:hAnsi="Arial" w:cs="Arial"/>
        </w:rPr>
      </w:pPr>
      <w:r w:rsidRPr="00643811">
        <w:rPr>
          <w:rFonts w:ascii="Arial" w:hAnsi="Arial" w:cs="Arial"/>
        </w:rPr>
        <w:t>Brigham, E.F. and Houston, J.F. (2022) </w:t>
      </w:r>
      <w:r w:rsidRPr="00643811">
        <w:rPr>
          <w:rFonts w:ascii="Arial" w:hAnsi="Arial" w:cs="Arial"/>
          <w:i/>
          <w:iCs/>
        </w:rPr>
        <w:t>Fundamentals of financial management</w:t>
      </w:r>
      <w:r w:rsidRPr="00643811">
        <w:rPr>
          <w:rFonts w:ascii="Arial" w:hAnsi="Arial" w:cs="Arial"/>
        </w:rPr>
        <w:t xml:space="preserve">. 16th </w:t>
      </w:r>
      <w:proofErr w:type="spellStart"/>
      <w:proofErr w:type="gramStart"/>
      <w:r w:rsidRPr="00643811">
        <w:rPr>
          <w:rFonts w:ascii="Arial" w:hAnsi="Arial" w:cs="Arial"/>
        </w:rPr>
        <w:t>edn</w:t>
      </w:r>
      <w:proofErr w:type="spellEnd"/>
      <w:proofErr w:type="gramEnd"/>
      <w:r w:rsidRPr="00643811">
        <w:rPr>
          <w:rFonts w:ascii="Arial" w:hAnsi="Arial" w:cs="Arial"/>
        </w:rPr>
        <w:t>. Boston: Cengage Learning.</w:t>
      </w:r>
    </w:p>
    <w:p w14:paraId="19102D13" w14:textId="77777777" w:rsidR="00643811" w:rsidRDefault="00643811" w:rsidP="00643811">
      <w:pPr>
        <w:spacing w:line="360" w:lineRule="auto"/>
        <w:jc w:val="both"/>
        <w:rPr>
          <w:rFonts w:ascii="Arial" w:hAnsi="Arial" w:cs="Arial"/>
        </w:rPr>
      </w:pPr>
    </w:p>
    <w:p w14:paraId="4D4D05F8" w14:textId="7C16FDB6" w:rsidR="00643811" w:rsidRPr="00643811" w:rsidRDefault="00643811" w:rsidP="00643811">
      <w:pPr>
        <w:spacing w:line="360" w:lineRule="auto"/>
        <w:jc w:val="both"/>
        <w:rPr>
          <w:rFonts w:ascii="Arial" w:hAnsi="Arial" w:cs="Arial"/>
        </w:rPr>
      </w:pPr>
      <w:r w:rsidRPr="00643811">
        <w:rPr>
          <w:rFonts w:ascii="Arial" w:hAnsi="Arial" w:cs="Arial"/>
        </w:rPr>
        <w:t>Corporate Finance Institute (2024) </w:t>
      </w:r>
      <w:r w:rsidRPr="00643811">
        <w:rPr>
          <w:rFonts w:ascii="Arial" w:hAnsi="Arial" w:cs="Arial"/>
          <w:i/>
          <w:iCs/>
        </w:rPr>
        <w:t>What is the Altman Z-</w:t>
      </w:r>
      <w:proofErr w:type="gramStart"/>
      <w:r w:rsidRPr="00643811">
        <w:rPr>
          <w:rFonts w:ascii="Arial" w:hAnsi="Arial" w:cs="Arial"/>
          <w:i/>
          <w:iCs/>
        </w:rPr>
        <w:t>Score?</w:t>
      </w:r>
      <w:r w:rsidRPr="00643811">
        <w:rPr>
          <w:rFonts w:ascii="Arial" w:hAnsi="Arial" w:cs="Arial"/>
        </w:rPr>
        <w:t>.</w:t>
      </w:r>
      <w:proofErr w:type="gramEnd"/>
      <w:r w:rsidRPr="00643811">
        <w:rPr>
          <w:rFonts w:ascii="Arial" w:hAnsi="Arial" w:cs="Arial"/>
        </w:rPr>
        <w:t xml:space="preserve"> Available at: </w:t>
      </w:r>
      <w:hyperlink r:id="rId19" w:tgtFrame="_blank" w:history="1">
        <w:r w:rsidRPr="00643811">
          <w:rPr>
            <w:rStyle w:val="Hyperlink"/>
            <w:rFonts w:ascii="Arial" w:hAnsi="Arial" w:cs="Arial"/>
          </w:rPr>
          <w:t>https://corporatefinanceinstitute.com/resources/knowledge/finance/altman-z-score/</w:t>
        </w:r>
      </w:hyperlink>
      <w:r w:rsidRPr="00643811">
        <w:rPr>
          <w:rFonts w:ascii="Arial" w:hAnsi="Arial" w:cs="Arial"/>
        </w:rPr>
        <w:t> (Accessed: 15 November 2025).</w:t>
      </w:r>
    </w:p>
    <w:p w14:paraId="1EEAE9C4" w14:textId="77777777" w:rsidR="00643811" w:rsidRPr="00643811" w:rsidRDefault="00643811" w:rsidP="00643811">
      <w:pPr>
        <w:spacing w:line="360" w:lineRule="auto"/>
        <w:jc w:val="both"/>
        <w:rPr>
          <w:rFonts w:ascii="Arial" w:hAnsi="Arial" w:cs="Arial"/>
        </w:rPr>
      </w:pPr>
      <w:r w:rsidRPr="00643811">
        <w:rPr>
          <w:rFonts w:ascii="Arial" w:hAnsi="Arial" w:cs="Arial"/>
        </w:rPr>
        <w:lastRenderedPageBreak/>
        <w:t>Damodaran, A. (2012) </w:t>
      </w:r>
      <w:r w:rsidRPr="00643811">
        <w:rPr>
          <w:rFonts w:ascii="Arial" w:hAnsi="Arial" w:cs="Arial"/>
          <w:i/>
          <w:iCs/>
        </w:rPr>
        <w:t>Investment valuation: tools and techniques for determining the value of any asset</w:t>
      </w:r>
      <w:r w:rsidRPr="00643811">
        <w:rPr>
          <w:rFonts w:ascii="Arial" w:hAnsi="Arial" w:cs="Arial"/>
        </w:rPr>
        <w:t xml:space="preserve">. 3rd </w:t>
      </w:r>
      <w:proofErr w:type="spellStart"/>
      <w:proofErr w:type="gramStart"/>
      <w:r w:rsidRPr="00643811">
        <w:rPr>
          <w:rFonts w:ascii="Arial" w:hAnsi="Arial" w:cs="Arial"/>
        </w:rPr>
        <w:t>edn</w:t>
      </w:r>
      <w:proofErr w:type="spellEnd"/>
      <w:proofErr w:type="gramEnd"/>
      <w:r w:rsidRPr="00643811">
        <w:rPr>
          <w:rFonts w:ascii="Arial" w:hAnsi="Arial" w:cs="Arial"/>
        </w:rPr>
        <w:t>. Hoboken: John Wiley &amp; Sons.</w:t>
      </w:r>
    </w:p>
    <w:p w14:paraId="7269B568" w14:textId="77777777" w:rsidR="00643811" w:rsidRDefault="00643811" w:rsidP="00643811">
      <w:pPr>
        <w:spacing w:line="360" w:lineRule="auto"/>
        <w:jc w:val="both"/>
        <w:rPr>
          <w:rFonts w:ascii="Arial" w:hAnsi="Arial" w:cs="Arial"/>
        </w:rPr>
      </w:pPr>
    </w:p>
    <w:p w14:paraId="3516C28B" w14:textId="1C9DF26B" w:rsidR="00643811" w:rsidRPr="00643811" w:rsidRDefault="00643811" w:rsidP="00643811">
      <w:pPr>
        <w:spacing w:line="360" w:lineRule="auto"/>
        <w:jc w:val="both"/>
        <w:rPr>
          <w:rFonts w:ascii="Arial" w:hAnsi="Arial" w:cs="Arial"/>
        </w:rPr>
      </w:pPr>
      <w:r w:rsidRPr="00643811">
        <w:rPr>
          <w:rFonts w:ascii="Arial" w:hAnsi="Arial" w:cs="Arial"/>
        </w:rPr>
        <w:t>Deloitte (2022) </w:t>
      </w:r>
      <w:r w:rsidRPr="00643811">
        <w:rPr>
          <w:rFonts w:ascii="Arial" w:hAnsi="Arial" w:cs="Arial"/>
          <w:i/>
          <w:iCs/>
        </w:rPr>
        <w:t>Global consumer electronics outlook</w:t>
      </w:r>
      <w:r w:rsidRPr="00643811">
        <w:rPr>
          <w:rFonts w:ascii="Arial" w:hAnsi="Arial" w:cs="Arial"/>
        </w:rPr>
        <w:t>. Deloitte Insights.</w:t>
      </w:r>
    </w:p>
    <w:p w14:paraId="194801DB" w14:textId="77777777" w:rsidR="00643811" w:rsidRDefault="00643811" w:rsidP="00643811">
      <w:pPr>
        <w:spacing w:line="360" w:lineRule="auto"/>
        <w:jc w:val="both"/>
        <w:rPr>
          <w:rFonts w:ascii="Arial" w:hAnsi="Arial" w:cs="Arial"/>
        </w:rPr>
      </w:pPr>
    </w:p>
    <w:p w14:paraId="45322D21" w14:textId="5C613C02" w:rsidR="00643811" w:rsidRPr="00643811" w:rsidRDefault="00643811" w:rsidP="00643811">
      <w:pPr>
        <w:spacing w:line="360" w:lineRule="auto"/>
        <w:jc w:val="both"/>
        <w:rPr>
          <w:rFonts w:ascii="Arial" w:hAnsi="Arial" w:cs="Arial"/>
        </w:rPr>
      </w:pPr>
      <w:r w:rsidRPr="00643811">
        <w:rPr>
          <w:rFonts w:ascii="Arial" w:hAnsi="Arial" w:cs="Arial"/>
        </w:rPr>
        <w:t xml:space="preserve">Gill, A., </w:t>
      </w:r>
      <w:proofErr w:type="spellStart"/>
      <w:r w:rsidRPr="00643811">
        <w:rPr>
          <w:rFonts w:ascii="Arial" w:hAnsi="Arial" w:cs="Arial"/>
        </w:rPr>
        <w:t>Biger</w:t>
      </w:r>
      <w:proofErr w:type="spellEnd"/>
      <w:r w:rsidRPr="00643811">
        <w:rPr>
          <w:rFonts w:ascii="Arial" w:hAnsi="Arial" w:cs="Arial"/>
        </w:rPr>
        <w:t>, N. and Mathur, N. (2010) 'The relationship between working capital management and profitability: Evidence from the United States', </w:t>
      </w:r>
      <w:r w:rsidRPr="00643811">
        <w:rPr>
          <w:rFonts w:ascii="Arial" w:hAnsi="Arial" w:cs="Arial"/>
          <w:i/>
          <w:iCs/>
        </w:rPr>
        <w:t>Business and Economics Journal</w:t>
      </w:r>
      <w:r w:rsidRPr="00643811">
        <w:rPr>
          <w:rFonts w:ascii="Arial" w:hAnsi="Arial" w:cs="Arial"/>
        </w:rPr>
        <w:t>, 2010, pp. 1-9.</w:t>
      </w:r>
    </w:p>
    <w:p w14:paraId="7CB26F6A" w14:textId="77777777" w:rsidR="00643811" w:rsidRDefault="00643811" w:rsidP="00643811">
      <w:pPr>
        <w:spacing w:line="360" w:lineRule="auto"/>
        <w:jc w:val="both"/>
        <w:rPr>
          <w:rFonts w:ascii="Arial" w:hAnsi="Arial" w:cs="Arial"/>
        </w:rPr>
      </w:pPr>
    </w:p>
    <w:p w14:paraId="30FA34A3" w14:textId="7A7BDBF6" w:rsidR="00643811" w:rsidRPr="00643811" w:rsidRDefault="00643811" w:rsidP="00643811">
      <w:pPr>
        <w:spacing w:line="360" w:lineRule="auto"/>
        <w:jc w:val="both"/>
        <w:rPr>
          <w:rFonts w:ascii="Arial" w:hAnsi="Arial" w:cs="Arial"/>
        </w:rPr>
      </w:pPr>
      <w:r w:rsidRPr="00643811">
        <w:rPr>
          <w:rFonts w:ascii="Arial" w:hAnsi="Arial" w:cs="Arial"/>
        </w:rPr>
        <w:t>Investopedia (2024) </w:t>
      </w:r>
      <w:r w:rsidRPr="00643811">
        <w:rPr>
          <w:rFonts w:ascii="Arial" w:hAnsi="Arial" w:cs="Arial"/>
          <w:i/>
          <w:iCs/>
        </w:rPr>
        <w:t>Cash Conversion Cycle (CCC)</w:t>
      </w:r>
      <w:r w:rsidRPr="00643811">
        <w:rPr>
          <w:rFonts w:ascii="Arial" w:hAnsi="Arial" w:cs="Arial"/>
        </w:rPr>
        <w:t>. Available at: </w:t>
      </w:r>
      <w:hyperlink r:id="rId20" w:tgtFrame="_blank" w:history="1">
        <w:r w:rsidRPr="00643811">
          <w:rPr>
            <w:rStyle w:val="Hyperlink"/>
            <w:rFonts w:ascii="Arial" w:hAnsi="Arial" w:cs="Arial"/>
          </w:rPr>
          <w:t>https://www.investopedia.com/terms/c/cashconversioncycle.asp</w:t>
        </w:r>
      </w:hyperlink>
      <w:r w:rsidRPr="00643811">
        <w:rPr>
          <w:rFonts w:ascii="Arial" w:hAnsi="Arial" w:cs="Arial"/>
        </w:rPr>
        <w:t> (Accessed: 15 November 2025).</w:t>
      </w:r>
    </w:p>
    <w:p w14:paraId="31782D4C" w14:textId="77777777" w:rsidR="00643811" w:rsidRDefault="00643811" w:rsidP="00643811">
      <w:pPr>
        <w:spacing w:line="360" w:lineRule="auto"/>
        <w:jc w:val="both"/>
        <w:rPr>
          <w:rFonts w:ascii="Arial" w:hAnsi="Arial" w:cs="Arial"/>
        </w:rPr>
      </w:pPr>
    </w:p>
    <w:p w14:paraId="09C22F67" w14:textId="646929DF" w:rsidR="00643811" w:rsidRPr="00643811" w:rsidRDefault="00643811" w:rsidP="00643811">
      <w:pPr>
        <w:spacing w:line="360" w:lineRule="auto"/>
        <w:jc w:val="both"/>
        <w:rPr>
          <w:rFonts w:ascii="Arial" w:hAnsi="Arial" w:cs="Arial"/>
        </w:rPr>
      </w:pPr>
      <w:r w:rsidRPr="00643811">
        <w:rPr>
          <w:rFonts w:ascii="Arial" w:hAnsi="Arial" w:cs="Arial"/>
        </w:rPr>
        <w:t>Koller, T., Goedhart, M. and Wessels, D. (2020) </w:t>
      </w:r>
      <w:r w:rsidRPr="00643811">
        <w:rPr>
          <w:rFonts w:ascii="Arial" w:hAnsi="Arial" w:cs="Arial"/>
          <w:i/>
          <w:iCs/>
        </w:rPr>
        <w:t>Valuation: measuring and managing the value of companies</w:t>
      </w:r>
      <w:r w:rsidRPr="00643811">
        <w:rPr>
          <w:rFonts w:ascii="Arial" w:hAnsi="Arial" w:cs="Arial"/>
        </w:rPr>
        <w:t xml:space="preserve">. 7th </w:t>
      </w:r>
      <w:proofErr w:type="spellStart"/>
      <w:proofErr w:type="gramStart"/>
      <w:r w:rsidRPr="00643811">
        <w:rPr>
          <w:rFonts w:ascii="Arial" w:hAnsi="Arial" w:cs="Arial"/>
        </w:rPr>
        <w:t>edn</w:t>
      </w:r>
      <w:proofErr w:type="spellEnd"/>
      <w:proofErr w:type="gramEnd"/>
      <w:r w:rsidRPr="00643811">
        <w:rPr>
          <w:rFonts w:ascii="Arial" w:hAnsi="Arial" w:cs="Arial"/>
        </w:rPr>
        <w:t>. Hoboken: Wiley.</w:t>
      </w:r>
    </w:p>
    <w:p w14:paraId="30606202" w14:textId="77777777" w:rsidR="00643811" w:rsidRDefault="00643811" w:rsidP="00643811">
      <w:pPr>
        <w:spacing w:line="360" w:lineRule="auto"/>
        <w:jc w:val="both"/>
        <w:rPr>
          <w:rFonts w:ascii="Arial" w:hAnsi="Arial" w:cs="Arial"/>
        </w:rPr>
      </w:pPr>
    </w:p>
    <w:p w14:paraId="79A14241" w14:textId="6A6E9BEA" w:rsidR="00643811" w:rsidRPr="00643811" w:rsidRDefault="00643811" w:rsidP="00643811">
      <w:pPr>
        <w:spacing w:line="360" w:lineRule="auto"/>
        <w:jc w:val="both"/>
        <w:rPr>
          <w:rFonts w:ascii="Arial" w:hAnsi="Arial" w:cs="Arial"/>
        </w:rPr>
      </w:pPr>
      <w:r w:rsidRPr="00643811">
        <w:rPr>
          <w:rFonts w:ascii="Arial" w:hAnsi="Arial" w:cs="Arial"/>
        </w:rPr>
        <w:t>Modigliani, F. and Miller, M.H. (1958) 'The cost of capital, corporation finance and the theory of investment', </w:t>
      </w:r>
      <w:r w:rsidRPr="00643811">
        <w:rPr>
          <w:rFonts w:ascii="Arial" w:hAnsi="Arial" w:cs="Arial"/>
          <w:i/>
          <w:iCs/>
        </w:rPr>
        <w:t>The American Economic Review</w:t>
      </w:r>
      <w:r w:rsidRPr="00643811">
        <w:rPr>
          <w:rFonts w:ascii="Arial" w:hAnsi="Arial" w:cs="Arial"/>
        </w:rPr>
        <w:t>, 48(3), pp. 261-297.</w:t>
      </w:r>
    </w:p>
    <w:p w14:paraId="256BE2A6" w14:textId="77777777" w:rsidR="00643811" w:rsidRDefault="00643811" w:rsidP="00643811">
      <w:pPr>
        <w:spacing w:line="360" w:lineRule="auto"/>
        <w:jc w:val="both"/>
        <w:rPr>
          <w:rFonts w:ascii="Arial" w:hAnsi="Arial" w:cs="Arial"/>
        </w:rPr>
      </w:pPr>
    </w:p>
    <w:p w14:paraId="3A77AE86" w14:textId="7C9CC62F" w:rsidR="00643811" w:rsidRPr="00643811" w:rsidRDefault="00643811" w:rsidP="00643811">
      <w:pPr>
        <w:spacing w:line="360" w:lineRule="auto"/>
        <w:jc w:val="both"/>
        <w:rPr>
          <w:rFonts w:ascii="Arial" w:hAnsi="Arial" w:cs="Arial"/>
        </w:rPr>
      </w:pPr>
      <w:r w:rsidRPr="00643811">
        <w:rPr>
          <w:rFonts w:ascii="Arial" w:hAnsi="Arial" w:cs="Arial"/>
        </w:rPr>
        <w:t>OECD (2023) </w:t>
      </w:r>
      <w:r w:rsidRPr="00643811">
        <w:rPr>
          <w:rFonts w:ascii="Arial" w:hAnsi="Arial" w:cs="Arial"/>
          <w:i/>
          <w:iCs/>
        </w:rPr>
        <w:t>BEPS Annual Report 2023</w:t>
      </w:r>
      <w:r w:rsidRPr="00643811">
        <w:rPr>
          <w:rFonts w:ascii="Arial" w:hAnsi="Arial" w:cs="Arial"/>
        </w:rPr>
        <w:t>. Paris: OECD Publishing.</w:t>
      </w:r>
    </w:p>
    <w:p w14:paraId="368FA583" w14:textId="77777777" w:rsidR="00643811" w:rsidRDefault="00643811" w:rsidP="00643811">
      <w:pPr>
        <w:spacing w:line="360" w:lineRule="auto"/>
        <w:jc w:val="both"/>
        <w:rPr>
          <w:rFonts w:ascii="Arial" w:hAnsi="Arial" w:cs="Arial"/>
        </w:rPr>
      </w:pPr>
    </w:p>
    <w:p w14:paraId="1C6F2EB6" w14:textId="36E2D199" w:rsidR="00643811" w:rsidRPr="00643811" w:rsidRDefault="00643811" w:rsidP="00643811">
      <w:pPr>
        <w:spacing w:line="360" w:lineRule="auto"/>
        <w:jc w:val="both"/>
        <w:rPr>
          <w:rFonts w:ascii="Arial" w:hAnsi="Arial" w:cs="Arial"/>
        </w:rPr>
      </w:pPr>
      <w:r w:rsidRPr="00643811">
        <w:rPr>
          <w:rFonts w:ascii="Arial" w:hAnsi="Arial" w:cs="Arial"/>
        </w:rPr>
        <w:t>Porter, M.E. (2008) </w:t>
      </w:r>
      <w:r w:rsidRPr="00643811">
        <w:rPr>
          <w:rFonts w:ascii="Arial" w:hAnsi="Arial" w:cs="Arial"/>
          <w:i/>
          <w:iCs/>
        </w:rPr>
        <w:t>On competition</w:t>
      </w:r>
      <w:r w:rsidRPr="00643811">
        <w:rPr>
          <w:rFonts w:ascii="Arial" w:hAnsi="Arial" w:cs="Arial"/>
        </w:rPr>
        <w:t>. Boston: Harvard Business School Publishing.</w:t>
      </w:r>
    </w:p>
    <w:p w14:paraId="44B4A16E" w14:textId="77777777" w:rsidR="00643811" w:rsidRDefault="00643811" w:rsidP="00643811">
      <w:pPr>
        <w:spacing w:line="360" w:lineRule="auto"/>
        <w:jc w:val="both"/>
        <w:rPr>
          <w:rFonts w:ascii="Arial" w:hAnsi="Arial" w:cs="Arial"/>
        </w:rPr>
      </w:pPr>
    </w:p>
    <w:p w14:paraId="705FC266" w14:textId="3FCD5EA4" w:rsidR="00643811" w:rsidRPr="00643811" w:rsidRDefault="00643811" w:rsidP="00643811">
      <w:pPr>
        <w:spacing w:line="360" w:lineRule="auto"/>
        <w:jc w:val="both"/>
        <w:rPr>
          <w:rFonts w:ascii="Arial" w:hAnsi="Arial" w:cs="Arial"/>
        </w:rPr>
      </w:pPr>
      <w:r w:rsidRPr="00643811">
        <w:rPr>
          <w:rFonts w:ascii="Arial" w:hAnsi="Arial" w:cs="Arial"/>
        </w:rPr>
        <w:t>PwC (2023) </w:t>
      </w:r>
      <w:r w:rsidRPr="00643811">
        <w:rPr>
          <w:rFonts w:ascii="Arial" w:hAnsi="Arial" w:cs="Arial"/>
          <w:i/>
          <w:iCs/>
        </w:rPr>
        <w:t>Entertainment &amp; consumer electronics outlook 2023–2027</w:t>
      </w:r>
      <w:r w:rsidRPr="00643811">
        <w:rPr>
          <w:rFonts w:ascii="Arial" w:hAnsi="Arial" w:cs="Arial"/>
        </w:rPr>
        <w:t>. London: PwC.</w:t>
      </w:r>
    </w:p>
    <w:p w14:paraId="24B1AB6F" w14:textId="77777777" w:rsidR="00643811" w:rsidRPr="00643811" w:rsidRDefault="00643811" w:rsidP="00643811">
      <w:pPr>
        <w:spacing w:line="360" w:lineRule="auto"/>
        <w:jc w:val="both"/>
        <w:rPr>
          <w:rFonts w:ascii="Arial" w:hAnsi="Arial" w:cs="Arial"/>
        </w:rPr>
      </w:pPr>
      <w:r w:rsidRPr="00643811">
        <w:rPr>
          <w:rFonts w:ascii="Arial" w:hAnsi="Arial" w:cs="Arial"/>
        </w:rPr>
        <w:lastRenderedPageBreak/>
        <w:t>Subramanyam, K.R. (2014) </w:t>
      </w:r>
      <w:r w:rsidRPr="00643811">
        <w:rPr>
          <w:rFonts w:ascii="Arial" w:hAnsi="Arial" w:cs="Arial"/>
          <w:i/>
          <w:iCs/>
        </w:rPr>
        <w:t>Financial statement analysis</w:t>
      </w:r>
      <w:r w:rsidRPr="00643811">
        <w:rPr>
          <w:rFonts w:ascii="Arial" w:hAnsi="Arial" w:cs="Arial"/>
        </w:rPr>
        <w:t xml:space="preserve">. 11th </w:t>
      </w:r>
      <w:proofErr w:type="spellStart"/>
      <w:r w:rsidRPr="00643811">
        <w:rPr>
          <w:rFonts w:ascii="Arial" w:hAnsi="Arial" w:cs="Arial"/>
        </w:rPr>
        <w:t>edn</w:t>
      </w:r>
      <w:proofErr w:type="spellEnd"/>
      <w:r w:rsidRPr="00643811">
        <w:rPr>
          <w:rFonts w:ascii="Arial" w:hAnsi="Arial" w:cs="Arial"/>
        </w:rPr>
        <w:t>. New York: McGraw-Hill.</w:t>
      </w:r>
    </w:p>
    <w:p w14:paraId="6D7B6B49" w14:textId="77777777" w:rsidR="009A23E8" w:rsidRPr="00EC26B4" w:rsidRDefault="009A23E8" w:rsidP="00EC26B4">
      <w:pPr>
        <w:spacing w:line="360" w:lineRule="auto"/>
        <w:jc w:val="both"/>
        <w:rPr>
          <w:rFonts w:ascii="Arial" w:hAnsi="Arial" w:cs="Arial"/>
        </w:rPr>
      </w:pPr>
    </w:p>
    <w:p w14:paraId="1A331F9D" w14:textId="77777777" w:rsidR="0056574A" w:rsidRDefault="0056574A">
      <w:pPr>
        <w:rPr>
          <w:rFonts w:ascii="Arial" w:hAnsi="Arial" w:cs="Arial"/>
        </w:rPr>
      </w:pPr>
      <w:r>
        <w:rPr>
          <w:rFonts w:ascii="Arial" w:hAnsi="Arial" w:cs="Arial"/>
        </w:rPr>
        <w:br w:type="page"/>
      </w:r>
    </w:p>
    <w:p w14:paraId="6ABAE173" w14:textId="09364A9B" w:rsidR="00CB14BE" w:rsidRPr="00EC26B4" w:rsidRDefault="00302504" w:rsidP="00302504">
      <w:pPr>
        <w:pStyle w:val="Heading1"/>
      </w:pPr>
      <w:r>
        <w:lastRenderedPageBreak/>
        <w:t xml:space="preserve"> </w:t>
      </w:r>
      <w:bookmarkStart w:id="39" w:name="_Toc214811837"/>
      <w:r w:rsidR="00CB14BE" w:rsidRPr="00EC26B4">
        <w:t>Appendix</w:t>
      </w:r>
      <w:bookmarkEnd w:id="39"/>
    </w:p>
    <w:p w14:paraId="47A86C26" w14:textId="44AD6D7E" w:rsidR="00CB14BE" w:rsidRPr="00CD15FF" w:rsidRDefault="00CD15FF" w:rsidP="00EC26B4">
      <w:pPr>
        <w:spacing w:line="360" w:lineRule="auto"/>
        <w:jc w:val="both"/>
        <w:rPr>
          <w:rFonts w:ascii="Arial" w:hAnsi="Arial" w:cs="Arial"/>
          <w:b/>
          <w:bCs/>
        </w:rPr>
      </w:pPr>
      <w:r w:rsidRPr="00CD15FF">
        <w:rPr>
          <w:rFonts w:ascii="Arial" w:hAnsi="Arial" w:cs="Arial"/>
          <w:b/>
          <w:bCs/>
        </w:rPr>
        <w:t xml:space="preserve">Appendix </w:t>
      </w:r>
      <w:r w:rsidR="00302504" w:rsidRPr="00CD15FF">
        <w:rPr>
          <w:rFonts w:ascii="Arial" w:hAnsi="Arial" w:cs="Arial"/>
          <w:b/>
          <w:bCs/>
        </w:rPr>
        <w:t>Table 1: Summary Of All Ratios.</w:t>
      </w:r>
    </w:p>
    <w:tbl>
      <w:tblPr>
        <w:tblW w:w="967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696"/>
        <w:gridCol w:w="1202"/>
        <w:gridCol w:w="1202"/>
        <w:gridCol w:w="1186"/>
        <w:gridCol w:w="1202"/>
        <w:gridCol w:w="1186"/>
      </w:tblGrid>
      <w:tr w:rsidR="00CB14BE" w:rsidRPr="0020383B" w14:paraId="26CE0031" w14:textId="77777777" w:rsidTr="0020383B">
        <w:trPr>
          <w:trHeight w:val="473"/>
          <w:tblHeader/>
        </w:trPr>
        <w:tc>
          <w:tcPr>
            <w:tcW w:w="0" w:type="auto"/>
            <w:tcMar>
              <w:top w:w="150" w:type="dxa"/>
              <w:left w:w="0" w:type="dxa"/>
              <w:bottom w:w="150" w:type="dxa"/>
              <w:right w:w="240" w:type="dxa"/>
            </w:tcMar>
            <w:vAlign w:val="center"/>
            <w:hideMark/>
          </w:tcPr>
          <w:p w14:paraId="2349BC68" w14:textId="77777777" w:rsidR="00CB14BE" w:rsidRPr="0020383B" w:rsidRDefault="00CB14BE" w:rsidP="0020383B">
            <w:pPr>
              <w:spacing w:line="360" w:lineRule="auto"/>
              <w:jc w:val="both"/>
              <w:rPr>
                <w:rFonts w:ascii="Arial" w:hAnsi="Arial" w:cs="Arial"/>
              </w:rPr>
            </w:pPr>
            <w:r w:rsidRPr="0020383B">
              <w:rPr>
                <w:rFonts w:ascii="Arial" w:hAnsi="Arial" w:cs="Arial"/>
              </w:rPr>
              <w:t>Ratio</w:t>
            </w:r>
          </w:p>
        </w:tc>
        <w:tc>
          <w:tcPr>
            <w:tcW w:w="0" w:type="auto"/>
            <w:tcMar>
              <w:top w:w="150" w:type="dxa"/>
              <w:left w:w="240" w:type="dxa"/>
              <w:bottom w:w="150" w:type="dxa"/>
              <w:right w:w="240" w:type="dxa"/>
            </w:tcMar>
            <w:vAlign w:val="center"/>
            <w:hideMark/>
          </w:tcPr>
          <w:p w14:paraId="5ECDAA03" w14:textId="77777777" w:rsidR="00CB14BE" w:rsidRPr="0020383B" w:rsidRDefault="00CB14BE" w:rsidP="0020383B">
            <w:pPr>
              <w:spacing w:line="360" w:lineRule="auto"/>
              <w:jc w:val="both"/>
              <w:rPr>
                <w:rFonts w:ascii="Arial" w:hAnsi="Arial" w:cs="Arial"/>
              </w:rPr>
            </w:pPr>
            <w:r w:rsidRPr="0020383B">
              <w:rPr>
                <w:rFonts w:ascii="Arial" w:hAnsi="Arial" w:cs="Arial"/>
              </w:rPr>
              <w:t>2020</w:t>
            </w:r>
          </w:p>
        </w:tc>
        <w:tc>
          <w:tcPr>
            <w:tcW w:w="0" w:type="auto"/>
            <w:tcMar>
              <w:top w:w="150" w:type="dxa"/>
              <w:left w:w="240" w:type="dxa"/>
              <w:bottom w:w="150" w:type="dxa"/>
              <w:right w:w="240" w:type="dxa"/>
            </w:tcMar>
            <w:vAlign w:val="center"/>
            <w:hideMark/>
          </w:tcPr>
          <w:p w14:paraId="130012D4" w14:textId="77777777" w:rsidR="00CB14BE" w:rsidRPr="0020383B" w:rsidRDefault="00CB14BE" w:rsidP="0020383B">
            <w:pPr>
              <w:spacing w:line="360" w:lineRule="auto"/>
              <w:jc w:val="both"/>
              <w:rPr>
                <w:rFonts w:ascii="Arial" w:hAnsi="Arial" w:cs="Arial"/>
              </w:rPr>
            </w:pPr>
            <w:r w:rsidRPr="0020383B">
              <w:rPr>
                <w:rFonts w:ascii="Arial" w:hAnsi="Arial" w:cs="Arial"/>
              </w:rPr>
              <w:t>2021</w:t>
            </w:r>
          </w:p>
        </w:tc>
        <w:tc>
          <w:tcPr>
            <w:tcW w:w="0" w:type="auto"/>
            <w:tcMar>
              <w:top w:w="150" w:type="dxa"/>
              <w:left w:w="240" w:type="dxa"/>
              <w:bottom w:w="150" w:type="dxa"/>
              <w:right w:w="240" w:type="dxa"/>
            </w:tcMar>
            <w:vAlign w:val="center"/>
            <w:hideMark/>
          </w:tcPr>
          <w:p w14:paraId="04DF0B69" w14:textId="77777777" w:rsidR="00CB14BE" w:rsidRPr="0020383B" w:rsidRDefault="00CB14BE" w:rsidP="0020383B">
            <w:pPr>
              <w:spacing w:line="360" w:lineRule="auto"/>
              <w:jc w:val="both"/>
              <w:rPr>
                <w:rFonts w:ascii="Arial" w:hAnsi="Arial" w:cs="Arial"/>
              </w:rPr>
            </w:pPr>
            <w:r w:rsidRPr="0020383B">
              <w:rPr>
                <w:rFonts w:ascii="Arial" w:hAnsi="Arial" w:cs="Arial"/>
              </w:rPr>
              <w:t>2022</w:t>
            </w:r>
          </w:p>
        </w:tc>
        <w:tc>
          <w:tcPr>
            <w:tcW w:w="0" w:type="auto"/>
            <w:tcMar>
              <w:top w:w="150" w:type="dxa"/>
              <w:left w:w="240" w:type="dxa"/>
              <w:bottom w:w="150" w:type="dxa"/>
              <w:right w:w="240" w:type="dxa"/>
            </w:tcMar>
            <w:vAlign w:val="center"/>
            <w:hideMark/>
          </w:tcPr>
          <w:p w14:paraId="7BC57E0D" w14:textId="77777777" w:rsidR="00CB14BE" w:rsidRPr="0020383B" w:rsidRDefault="00CB14BE" w:rsidP="0020383B">
            <w:pPr>
              <w:spacing w:line="360" w:lineRule="auto"/>
              <w:jc w:val="both"/>
              <w:rPr>
                <w:rFonts w:ascii="Arial" w:hAnsi="Arial" w:cs="Arial"/>
              </w:rPr>
            </w:pPr>
            <w:r w:rsidRPr="0020383B">
              <w:rPr>
                <w:rFonts w:ascii="Arial" w:hAnsi="Arial" w:cs="Arial"/>
              </w:rPr>
              <w:t>2023</w:t>
            </w:r>
          </w:p>
        </w:tc>
        <w:tc>
          <w:tcPr>
            <w:tcW w:w="0" w:type="auto"/>
            <w:tcMar>
              <w:top w:w="150" w:type="dxa"/>
              <w:left w:w="240" w:type="dxa"/>
              <w:bottom w:w="150" w:type="dxa"/>
              <w:right w:w="240" w:type="dxa"/>
            </w:tcMar>
            <w:vAlign w:val="center"/>
            <w:hideMark/>
          </w:tcPr>
          <w:p w14:paraId="6281C0CA" w14:textId="77777777" w:rsidR="00CB14BE" w:rsidRPr="0020383B" w:rsidRDefault="00CB14BE" w:rsidP="0020383B">
            <w:pPr>
              <w:spacing w:line="360" w:lineRule="auto"/>
              <w:jc w:val="both"/>
              <w:rPr>
                <w:rFonts w:ascii="Arial" w:hAnsi="Arial" w:cs="Arial"/>
              </w:rPr>
            </w:pPr>
            <w:r w:rsidRPr="0020383B">
              <w:rPr>
                <w:rFonts w:ascii="Arial" w:hAnsi="Arial" w:cs="Arial"/>
              </w:rPr>
              <w:t>2024</w:t>
            </w:r>
          </w:p>
        </w:tc>
      </w:tr>
      <w:tr w:rsidR="00CB14BE" w:rsidRPr="0020383B" w14:paraId="51274A3F" w14:textId="77777777" w:rsidTr="0020383B">
        <w:trPr>
          <w:trHeight w:val="463"/>
        </w:trPr>
        <w:tc>
          <w:tcPr>
            <w:tcW w:w="0" w:type="auto"/>
            <w:tcMar>
              <w:top w:w="150" w:type="dxa"/>
              <w:left w:w="0" w:type="dxa"/>
              <w:bottom w:w="150" w:type="dxa"/>
              <w:right w:w="240" w:type="dxa"/>
            </w:tcMar>
            <w:vAlign w:val="center"/>
            <w:hideMark/>
          </w:tcPr>
          <w:p w14:paraId="47EA267A" w14:textId="77777777" w:rsidR="00CB14BE" w:rsidRPr="0020383B" w:rsidRDefault="00CB14BE" w:rsidP="0020383B">
            <w:pPr>
              <w:spacing w:line="360" w:lineRule="auto"/>
              <w:jc w:val="both"/>
              <w:rPr>
                <w:rFonts w:ascii="Arial" w:hAnsi="Arial" w:cs="Arial"/>
              </w:rPr>
            </w:pPr>
            <w:r w:rsidRPr="0020383B">
              <w:rPr>
                <w:rFonts w:ascii="Arial" w:hAnsi="Arial" w:cs="Arial"/>
              </w:rPr>
              <w:t>Gross Profit Margin (%)</w:t>
            </w:r>
          </w:p>
        </w:tc>
        <w:tc>
          <w:tcPr>
            <w:tcW w:w="0" w:type="auto"/>
            <w:tcMar>
              <w:top w:w="150" w:type="dxa"/>
              <w:left w:w="240" w:type="dxa"/>
              <w:bottom w:w="150" w:type="dxa"/>
              <w:right w:w="240" w:type="dxa"/>
            </w:tcMar>
            <w:vAlign w:val="center"/>
            <w:hideMark/>
          </w:tcPr>
          <w:p w14:paraId="7CD2E584" w14:textId="77777777" w:rsidR="00CB14BE" w:rsidRPr="0020383B" w:rsidRDefault="00CB14BE" w:rsidP="0020383B">
            <w:pPr>
              <w:spacing w:line="360" w:lineRule="auto"/>
              <w:jc w:val="both"/>
              <w:rPr>
                <w:rFonts w:ascii="Arial" w:hAnsi="Arial" w:cs="Arial"/>
              </w:rPr>
            </w:pPr>
            <w:r w:rsidRPr="0020383B">
              <w:rPr>
                <w:rFonts w:ascii="Arial" w:hAnsi="Arial" w:cs="Arial"/>
              </w:rPr>
              <w:t>28.7</w:t>
            </w:r>
          </w:p>
        </w:tc>
        <w:tc>
          <w:tcPr>
            <w:tcW w:w="0" w:type="auto"/>
            <w:tcMar>
              <w:top w:w="150" w:type="dxa"/>
              <w:left w:w="240" w:type="dxa"/>
              <w:bottom w:w="150" w:type="dxa"/>
              <w:right w:w="240" w:type="dxa"/>
            </w:tcMar>
            <w:vAlign w:val="center"/>
            <w:hideMark/>
          </w:tcPr>
          <w:p w14:paraId="41BBF8EE" w14:textId="77777777" w:rsidR="00CB14BE" w:rsidRPr="0020383B" w:rsidRDefault="00CB14BE" w:rsidP="0020383B">
            <w:pPr>
              <w:spacing w:line="360" w:lineRule="auto"/>
              <w:jc w:val="both"/>
              <w:rPr>
                <w:rFonts w:ascii="Arial" w:hAnsi="Arial" w:cs="Arial"/>
              </w:rPr>
            </w:pPr>
            <w:r w:rsidRPr="0020383B">
              <w:rPr>
                <w:rFonts w:ascii="Arial" w:hAnsi="Arial" w:cs="Arial"/>
              </w:rPr>
              <w:t>28.8</w:t>
            </w:r>
          </w:p>
        </w:tc>
        <w:tc>
          <w:tcPr>
            <w:tcW w:w="0" w:type="auto"/>
            <w:tcMar>
              <w:top w:w="150" w:type="dxa"/>
              <w:left w:w="240" w:type="dxa"/>
              <w:bottom w:w="150" w:type="dxa"/>
              <w:right w:w="240" w:type="dxa"/>
            </w:tcMar>
            <w:vAlign w:val="center"/>
            <w:hideMark/>
          </w:tcPr>
          <w:p w14:paraId="6349A597" w14:textId="77777777" w:rsidR="00CB14BE" w:rsidRPr="0020383B" w:rsidRDefault="00CB14BE" w:rsidP="0020383B">
            <w:pPr>
              <w:spacing w:line="360" w:lineRule="auto"/>
              <w:jc w:val="both"/>
              <w:rPr>
                <w:rFonts w:ascii="Arial" w:hAnsi="Arial" w:cs="Arial"/>
              </w:rPr>
            </w:pPr>
            <w:r w:rsidRPr="0020383B">
              <w:rPr>
                <w:rFonts w:ascii="Arial" w:hAnsi="Arial" w:cs="Arial"/>
              </w:rPr>
              <w:t>28.1</w:t>
            </w:r>
          </w:p>
        </w:tc>
        <w:tc>
          <w:tcPr>
            <w:tcW w:w="0" w:type="auto"/>
            <w:tcMar>
              <w:top w:w="150" w:type="dxa"/>
              <w:left w:w="240" w:type="dxa"/>
              <w:bottom w:w="150" w:type="dxa"/>
              <w:right w:w="240" w:type="dxa"/>
            </w:tcMar>
            <w:vAlign w:val="center"/>
            <w:hideMark/>
          </w:tcPr>
          <w:p w14:paraId="1B62779C" w14:textId="77777777" w:rsidR="00CB14BE" w:rsidRPr="0020383B" w:rsidRDefault="00CB14BE" w:rsidP="0020383B">
            <w:pPr>
              <w:spacing w:line="360" w:lineRule="auto"/>
              <w:jc w:val="both"/>
              <w:rPr>
                <w:rFonts w:ascii="Arial" w:hAnsi="Arial" w:cs="Arial"/>
              </w:rPr>
            </w:pPr>
            <w:r w:rsidRPr="0020383B">
              <w:rPr>
                <w:rFonts w:ascii="Arial" w:hAnsi="Arial" w:cs="Arial"/>
              </w:rPr>
              <w:t>23.2</w:t>
            </w:r>
          </w:p>
        </w:tc>
        <w:tc>
          <w:tcPr>
            <w:tcW w:w="0" w:type="auto"/>
            <w:tcMar>
              <w:top w:w="150" w:type="dxa"/>
              <w:left w:w="240" w:type="dxa"/>
              <w:bottom w:w="150" w:type="dxa"/>
              <w:right w:w="0" w:type="dxa"/>
            </w:tcMar>
            <w:vAlign w:val="center"/>
            <w:hideMark/>
          </w:tcPr>
          <w:p w14:paraId="2B9368C6" w14:textId="77777777" w:rsidR="00CB14BE" w:rsidRPr="0020383B" w:rsidRDefault="00CB14BE" w:rsidP="0020383B">
            <w:pPr>
              <w:spacing w:line="360" w:lineRule="auto"/>
              <w:jc w:val="both"/>
              <w:rPr>
                <w:rFonts w:ascii="Arial" w:hAnsi="Arial" w:cs="Arial"/>
              </w:rPr>
            </w:pPr>
            <w:r w:rsidRPr="0020383B">
              <w:rPr>
                <w:rFonts w:ascii="Arial" w:hAnsi="Arial" w:cs="Arial"/>
              </w:rPr>
              <w:t>28.9</w:t>
            </w:r>
          </w:p>
        </w:tc>
      </w:tr>
      <w:tr w:rsidR="00CB14BE" w:rsidRPr="0020383B" w14:paraId="580A48EB" w14:textId="77777777" w:rsidTr="0020383B">
        <w:trPr>
          <w:trHeight w:val="473"/>
        </w:trPr>
        <w:tc>
          <w:tcPr>
            <w:tcW w:w="0" w:type="auto"/>
            <w:tcMar>
              <w:top w:w="150" w:type="dxa"/>
              <w:left w:w="0" w:type="dxa"/>
              <w:bottom w:w="150" w:type="dxa"/>
              <w:right w:w="240" w:type="dxa"/>
            </w:tcMar>
            <w:vAlign w:val="center"/>
            <w:hideMark/>
          </w:tcPr>
          <w:p w14:paraId="6B583650" w14:textId="77777777" w:rsidR="00CB14BE" w:rsidRPr="0020383B" w:rsidRDefault="00CB14BE" w:rsidP="0020383B">
            <w:pPr>
              <w:spacing w:line="360" w:lineRule="auto"/>
              <w:jc w:val="both"/>
              <w:rPr>
                <w:rFonts w:ascii="Arial" w:hAnsi="Arial" w:cs="Arial"/>
              </w:rPr>
            </w:pPr>
            <w:r w:rsidRPr="0020383B">
              <w:rPr>
                <w:rFonts w:ascii="Arial" w:hAnsi="Arial" w:cs="Arial"/>
              </w:rPr>
              <w:t>Operating Profit Margin (%)</w:t>
            </w:r>
          </w:p>
        </w:tc>
        <w:tc>
          <w:tcPr>
            <w:tcW w:w="0" w:type="auto"/>
            <w:tcMar>
              <w:top w:w="150" w:type="dxa"/>
              <w:left w:w="240" w:type="dxa"/>
              <w:bottom w:w="150" w:type="dxa"/>
              <w:right w:w="240" w:type="dxa"/>
            </w:tcMar>
            <w:vAlign w:val="center"/>
            <w:hideMark/>
          </w:tcPr>
          <w:p w14:paraId="32289CB1" w14:textId="77777777" w:rsidR="00CB14BE" w:rsidRPr="0020383B" w:rsidRDefault="00CB14BE" w:rsidP="0020383B">
            <w:pPr>
              <w:spacing w:line="360" w:lineRule="auto"/>
              <w:jc w:val="both"/>
              <w:rPr>
                <w:rFonts w:ascii="Arial" w:hAnsi="Arial" w:cs="Arial"/>
              </w:rPr>
            </w:pPr>
            <w:r w:rsidRPr="0020383B">
              <w:rPr>
                <w:rFonts w:ascii="Arial" w:hAnsi="Arial" w:cs="Arial"/>
              </w:rPr>
              <w:t>6.1</w:t>
            </w:r>
          </w:p>
        </w:tc>
        <w:tc>
          <w:tcPr>
            <w:tcW w:w="0" w:type="auto"/>
            <w:tcMar>
              <w:top w:w="150" w:type="dxa"/>
              <w:left w:w="240" w:type="dxa"/>
              <w:bottom w:w="150" w:type="dxa"/>
              <w:right w:w="240" w:type="dxa"/>
            </w:tcMar>
            <w:vAlign w:val="center"/>
            <w:hideMark/>
          </w:tcPr>
          <w:p w14:paraId="5B0FEF11" w14:textId="77777777" w:rsidR="00CB14BE" w:rsidRPr="0020383B" w:rsidRDefault="00CB14BE" w:rsidP="0020383B">
            <w:pPr>
              <w:spacing w:line="360" w:lineRule="auto"/>
              <w:jc w:val="both"/>
              <w:rPr>
                <w:rFonts w:ascii="Arial" w:hAnsi="Arial" w:cs="Arial"/>
              </w:rPr>
            </w:pPr>
            <w:r w:rsidRPr="0020383B">
              <w:rPr>
                <w:rFonts w:ascii="Arial" w:hAnsi="Arial" w:cs="Arial"/>
              </w:rPr>
              <w:t>3.9</w:t>
            </w:r>
          </w:p>
        </w:tc>
        <w:tc>
          <w:tcPr>
            <w:tcW w:w="0" w:type="auto"/>
            <w:tcMar>
              <w:top w:w="150" w:type="dxa"/>
              <w:left w:w="240" w:type="dxa"/>
              <w:bottom w:w="150" w:type="dxa"/>
              <w:right w:w="240" w:type="dxa"/>
            </w:tcMar>
            <w:vAlign w:val="center"/>
            <w:hideMark/>
          </w:tcPr>
          <w:p w14:paraId="0D5344EF" w14:textId="77777777" w:rsidR="00CB14BE" w:rsidRPr="0020383B" w:rsidRDefault="00CB14BE" w:rsidP="0020383B">
            <w:pPr>
              <w:spacing w:line="360" w:lineRule="auto"/>
              <w:jc w:val="both"/>
              <w:rPr>
                <w:rFonts w:ascii="Arial" w:hAnsi="Arial" w:cs="Arial"/>
              </w:rPr>
            </w:pPr>
            <w:r w:rsidRPr="0020383B">
              <w:rPr>
                <w:rFonts w:ascii="Arial" w:hAnsi="Arial" w:cs="Arial"/>
              </w:rPr>
              <w:t>2.7</w:t>
            </w:r>
          </w:p>
        </w:tc>
        <w:tc>
          <w:tcPr>
            <w:tcW w:w="0" w:type="auto"/>
            <w:tcMar>
              <w:top w:w="150" w:type="dxa"/>
              <w:left w:w="240" w:type="dxa"/>
              <w:bottom w:w="150" w:type="dxa"/>
              <w:right w:w="240" w:type="dxa"/>
            </w:tcMar>
            <w:vAlign w:val="center"/>
            <w:hideMark/>
          </w:tcPr>
          <w:p w14:paraId="4E882B90" w14:textId="77777777" w:rsidR="00CB14BE" w:rsidRPr="0020383B" w:rsidRDefault="00CB14BE" w:rsidP="0020383B">
            <w:pPr>
              <w:spacing w:line="360" w:lineRule="auto"/>
              <w:jc w:val="both"/>
              <w:rPr>
                <w:rFonts w:ascii="Arial" w:hAnsi="Arial" w:cs="Arial"/>
              </w:rPr>
            </w:pPr>
            <w:r w:rsidRPr="0020383B">
              <w:rPr>
                <w:rFonts w:ascii="Arial" w:hAnsi="Arial" w:cs="Arial"/>
              </w:rPr>
              <w:t>-20.3</w:t>
            </w:r>
          </w:p>
        </w:tc>
        <w:tc>
          <w:tcPr>
            <w:tcW w:w="0" w:type="auto"/>
            <w:tcMar>
              <w:top w:w="150" w:type="dxa"/>
              <w:left w:w="240" w:type="dxa"/>
              <w:bottom w:w="150" w:type="dxa"/>
              <w:right w:w="0" w:type="dxa"/>
            </w:tcMar>
            <w:vAlign w:val="center"/>
            <w:hideMark/>
          </w:tcPr>
          <w:p w14:paraId="58FC09A1" w14:textId="77777777" w:rsidR="00CB14BE" w:rsidRPr="0020383B" w:rsidRDefault="00CB14BE" w:rsidP="0020383B">
            <w:pPr>
              <w:spacing w:line="360" w:lineRule="auto"/>
              <w:jc w:val="both"/>
              <w:rPr>
                <w:rFonts w:ascii="Arial" w:hAnsi="Arial" w:cs="Arial"/>
              </w:rPr>
            </w:pPr>
            <w:r w:rsidRPr="0020383B">
              <w:rPr>
                <w:rFonts w:ascii="Arial" w:hAnsi="Arial" w:cs="Arial"/>
              </w:rPr>
              <w:t>-3.9</w:t>
            </w:r>
          </w:p>
        </w:tc>
      </w:tr>
      <w:tr w:rsidR="00CB14BE" w:rsidRPr="0020383B" w14:paraId="6228C187" w14:textId="77777777" w:rsidTr="0020383B">
        <w:trPr>
          <w:trHeight w:val="473"/>
        </w:trPr>
        <w:tc>
          <w:tcPr>
            <w:tcW w:w="0" w:type="auto"/>
            <w:tcMar>
              <w:top w:w="150" w:type="dxa"/>
              <w:left w:w="0" w:type="dxa"/>
              <w:bottom w:w="150" w:type="dxa"/>
              <w:right w:w="240" w:type="dxa"/>
            </w:tcMar>
            <w:vAlign w:val="center"/>
            <w:hideMark/>
          </w:tcPr>
          <w:p w14:paraId="1D9C3AA3" w14:textId="77777777" w:rsidR="00CB14BE" w:rsidRPr="0020383B" w:rsidRDefault="00CB14BE" w:rsidP="0020383B">
            <w:pPr>
              <w:spacing w:line="360" w:lineRule="auto"/>
              <w:jc w:val="both"/>
              <w:rPr>
                <w:rFonts w:ascii="Arial" w:hAnsi="Arial" w:cs="Arial"/>
              </w:rPr>
            </w:pPr>
            <w:r w:rsidRPr="0020383B">
              <w:rPr>
                <w:rFonts w:ascii="Arial" w:hAnsi="Arial" w:cs="Arial"/>
              </w:rPr>
              <w:t>Net Profit Margin (%)</w:t>
            </w:r>
          </w:p>
        </w:tc>
        <w:tc>
          <w:tcPr>
            <w:tcW w:w="0" w:type="auto"/>
            <w:tcMar>
              <w:top w:w="150" w:type="dxa"/>
              <w:left w:w="240" w:type="dxa"/>
              <w:bottom w:w="150" w:type="dxa"/>
              <w:right w:w="240" w:type="dxa"/>
            </w:tcMar>
            <w:vAlign w:val="center"/>
            <w:hideMark/>
          </w:tcPr>
          <w:p w14:paraId="0D823BD6" w14:textId="77777777" w:rsidR="00CB14BE" w:rsidRPr="0020383B" w:rsidRDefault="00CB14BE" w:rsidP="0020383B">
            <w:pPr>
              <w:spacing w:line="360" w:lineRule="auto"/>
              <w:jc w:val="both"/>
              <w:rPr>
                <w:rFonts w:ascii="Arial" w:hAnsi="Arial" w:cs="Arial"/>
              </w:rPr>
            </w:pPr>
            <w:r w:rsidRPr="0020383B">
              <w:rPr>
                <w:rFonts w:ascii="Arial" w:hAnsi="Arial" w:cs="Arial"/>
              </w:rPr>
              <w:t>6.3</w:t>
            </w:r>
          </w:p>
        </w:tc>
        <w:tc>
          <w:tcPr>
            <w:tcW w:w="0" w:type="auto"/>
            <w:tcMar>
              <w:top w:w="150" w:type="dxa"/>
              <w:left w:w="240" w:type="dxa"/>
              <w:bottom w:w="150" w:type="dxa"/>
              <w:right w:w="240" w:type="dxa"/>
            </w:tcMar>
            <w:vAlign w:val="center"/>
            <w:hideMark/>
          </w:tcPr>
          <w:p w14:paraId="583E3232" w14:textId="77777777" w:rsidR="00CB14BE" w:rsidRPr="0020383B" w:rsidRDefault="00CB14BE" w:rsidP="0020383B">
            <w:pPr>
              <w:spacing w:line="360" w:lineRule="auto"/>
              <w:jc w:val="both"/>
              <w:rPr>
                <w:rFonts w:ascii="Arial" w:hAnsi="Arial" w:cs="Arial"/>
              </w:rPr>
            </w:pPr>
            <w:r w:rsidRPr="0020383B">
              <w:rPr>
                <w:rFonts w:ascii="Arial" w:hAnsi="Arial" w:cs="Arial"/>
              </w:rPr>
              <w:t>0.9</w:t>
            </w:r>
          </w:p>
        </w:tc>
        <w:tc>
          <w:tcPr>
            <w:tcW w:w="0" w:type="auto"/>
            <w:tcMar>
              <w:top w:w="150" w:type="dxa"/>
              <w:left w:w="240" w:type="dxa"/>
              <w:bottom w:w="150" w:type="dxa"/>
              <w:right w:w="240" w:type="dxa"/>
            </w:tcMar>
            <w:vAlign w:val="center"/>
            <w:hideMark/>
          </w:tcPr>
          <w:p w14:paraId="65187D81" w14:textId="77777777" w:rsidR="00CB14BE" w:rsidRPr="0020383B" w:rsidRDefault="00CB14BE" w:rsidP="0020383B">
            <w:pPr>
              <w:spacing w:line="360" w:lineRule="auto"/>
              <w:jc w:val="both"/>
              <w:rPr>
                <w:rFonts w:ascii="Arial" w:hAnsi="Arial" w:cs="Arial"/>
              </w:rPr>
            </w:pPr>
            <w:r w:rsidRPr="0020383B">
              <w:rPr>
                <w:rFonts w:ascii="Arial" w:hAnsi="Arial" w:cs="Arial"/>
              </w:rPr>
              <w:t>0.1</w:t>
            </w:r>
          </w:p>
        </w:tc>
        <w:tc>
          <w:tcPr>
            <w:tcW w:w="0" w:type="auto"/>
            <w:tcMar>
              <w:top w:w="150" w:type="dxa"/>
              <w:left w:w="240" w:type="dxa"/>
              <w:bottom w:w="150" w:type="dxa"/>
              <w:right w:w="240" w:type="dxa"/>
            </w:tcMar>
            <w:vAlign w:val="center"/>
            <w:hideMark/>
          </w:tcPr>
          <w:p w14:paraId="7793B9CB" w14:textId="77777777" w:rsidR="00CB14BE" w:rsidRPr="0020383B" w:rsidRDefault="00CB14BE" w:rsidP="0020383B">
            <w:pPr>
              <w:spacing w:line="360" w:lineRule="auto"/>
              <w:jc w:val="both"/>
              <w:rPr>
                <w:rFonts w:ascii="Arial" w:hAnsi="Arial" w:cs="Arial"/>
              </w:rPr>
            </w:pPr>
            <w:r w:rsidRPr="0020383B">
              <w:rPr>
                <w:rFonts w:ascii="Arial" w:hAnsi="Arial" w:cs="Arial"/>
              </w:rPr>
              <w:t>-23.4</w:t>
            </w:r>
          </w:p>
        </w:tc>
        <w:tc>
          <w:tcPr>
            <w:tcW w:w="0" w:type="auto"/>
            <w:tcMar>
              <w:top w:w="150" w:type="dxa"/>
              <w:left w:w="240" w:type="dxa"/>
              <w:bottom w:w="150" w:type="dxa"/>
              <w:right w:w="0" w:type="dxa"/>
            </w:tcMar>
            <w:vAlign w:val="center"/>
            <w:hideMark/>
          </w:tcPr>
          <w:p w14:paraId="794B8B37" w14:textId="77777777" w:rsidR="00CB14BE" w:rsidRPr="0020383B" w:rsidRDefault="00CB14BE" w:rsidP="0020383B">
            <w:pPr>
              <w:spacing w:line="360" w:lineRule="auto"/>
              <w:jc w:val="both"/>
              <w:rPr>
                <w:rFonts w:ascii="Arial" w:hAnsi="Arial" w:cs="Arial"/>
              </w:rPr>
            </w:pPr>
            <w:r w:rsidRPr="0020383B">
              <w:rPr>
                <w:rFonts w:ascii="Arial" w:hAnsi="Arial" w:cs="Arial"/>
              </w:rPr>
              <w:t>-6.1</w:t>
            </w:r>
          </w:p>
        </w:tc>
      </w:tr>
      <w:tr w:rsidR="00CB14BE" w:rsidRPr="0020383B" w14:paraId="14CB20F5" w14:textId="77777777" w:rsidTr="0020383B">
        <w:trPr>
          <w:trHeight w:val="463"/>
        </w:trPr>
        <w:tc>
          <w:tcPr>
            <w:tcW w:w="0" w:type="auto"/>
            <w:tcMar>
              <w:top w:w="150" w:type="dxa"/>
              <w:left w:w="0" w:type="dxa"/>
              <w:bottom w:w="150" w:type="dxa"/>
              <w:right w:w="240" w:type="dxa"/>
            </w:tcMar>
            <w:vAlign w:val="center"/>
            <w:hideMark/>
          </w:tcPr>
          <w:p w14:paraId="50953E52" w14:textId="77777777" w:rsidR="00CB14BE" w:rsidRPr="0020383B" w:rsidRDefault="00CB14BE" w:rsidP="0020383B">
            <w:pPr>
              <w:spacing w:line="360" w:lineRule="auto"/>
              <w:jc w:val="both"/>
              <w:rPr>
                <w:rFonts w:ascii="Arial" w:hAnsi="Arial" w:cs="Arial"/>
              </w:rPr>
            </w:pPr>
            <w:r w:rsidRPr="0020383B">
              <w:rPr>
                <w:rFonts w:ascii="Arial" w:hAnsi="Arial" w:cs="Arial"/>
              </w:rPr>
              <w:t>ROCE (%)</w:t>
            </w:r>
          </w:p>
        </w:tc>
        <w:tc>
          <w:tcPr>
            <w:tcW w:w="0" w:type="auto"/>
            <w:tcMar>
              <w:top w:w="150" w:type="dxa"/>
              <w:left w:w="240" w:type="dxa"/>
              <w:bottom w:w="150" w:type="dxa"/>
              <w:right w:w="240" w:type="dxa"/>
            </w:tcMar>
            <w:vAlign w:val="center"/>
            <w:hideMark/>
          </w:tcPr>
          <w:p w14:paraId="0884A74F" w14:textId="77777777" w:rsidR="00CB14BE" w:rsidRPr="0020383B" w:rsidRDefault="00CB14BE" w:rsidP="0020383B">
            <w:pPr>
              <w:spacing w:line="360" w:lineRule="auto"/>
              <w:jc w:val="both"/>
              <w:rPr>
                <w:rFonts w:ascii="Arial" w:hAnsi="Arial" w:cs="Arial"/>
              </w:rPr>
            </w:pPr>
            <w:r w:rsidRPr="0020383B">
              <w:rPr>
                <w:rFonts w:ascii="Arial" w:hAnsi="Arial" w:cs="Arial"/>
              </w:rPr>
              <w:t>11.3</w:t>
            </w:r>
          </w:p>
        </w:tc>
        <w:tc>
          <w:tcPr>
            <w:tcW w:w="0" w:type="auto"/>
            <w:tcMar>
              <w:top w:w="150" w:type="dxa"/>
              <w:left w:w="240" w:type="dxa"/>
              <w:bottom w:w="150" w:type="dxa"/>
              <w:right w:w="240" w:type="dxa"/>
            </w:tcMar>
            <w:vAlign w:val="center"/>
            <w:hideMark/>
          </w:tcPr>
          <w:p w14:paraId="64133B2B" w14:textId="77777777" w:rsidR="00CB14BE" w:rsidRPr="0020383B" w:rsidRDefault="00CB14BE" w:rsidP="0020383B">
            <w:pPr>
              <w:spacing w:line="360" w:lineRule="auto"/>
              <w:jc w:val="both"/>
              <w:rPr>
                <w:rFonts w:ascii="Arial" w:hAnsi="Arial" w:cs="Arial"/>
              </w:rPr>
            </w:pPr>
            <w:r w:rsidRPr="0020383B">
              <w:rPr>
                <w:rFonts w:ascii="Arial" w:hAnsi="Arial" w:cs="Arial"/>
              </w:rPr>
              <w:t>7.9</w:t>
            </w:r>
          </w:p>
        </w:tc>
        <w:tc>
          <w:tcPr>
            <w:tcW w:w="0" w:type="auto"/>
            <w:tcMar>
              <w:top w:w="150" w:type="dxa"/>
              <w:left w:w="240" w:type="dxa"/>
              <w:bottom w:w="150" w:type="dxa"/>
              <w:right w:w="240" w:type="dxa"/>
            </w:tcMar>
            <w:vAlign w:val="center"/>
            <w:hideMark/>
          </w:tcPr>
          <w:p w14:paraId="50D1C6AC" w14:textId="77777777" w:rsidR="00CB14BE" w:rsidRPr="0020383B" w:rsidRDefault="00CB14BE" w:rsidP="0020383B">
            <w:pPr>
              <w:spacing w:line="360" w:lineRule="auto"/>
              <w:jc w:val="both"/>
              <w:rPr>
                <w:rFonts w:ascii="Arial" w:hAnsi="Arial" w:cs="Arial"/>
              </w:rPr>
            </w:pPr>
            <w:r w:rsidRPr="0020383B">
              <w:rPr>
                <w:rFonts w:ascii="Arial" w:hAnsi="Arial" w:cs="Arial"/>
              </w:rPr>
              <w:t>5.1</w:t>
            </w:r>
          </w:p>
        </w:tc>
        <w:tc>
          <w:tcPr>
            <w:tcW w:w="0" w:type="auto"/>
            <w:tcMar>
              <w:top w:w="150" w:type="dxa"/>
              <w:left w:w="240" w:type="dxa"/>
              <w:bottom w:w="150" w:type="dxa"/>
              <w:right w:w="240" w:type="dxa"/>
            </w:tcMar>
            <w:vAlign w:val="center"/>
            <w:hideMark/>
          </w:tcPr>
          <w:p w14:paraId="1ABF9D76" w14:textId="77777777" w:rsidR="00CB14BE" w:rsidRPr="0020383B" w:rsidRDefault="00CB14BE" w:rsidP="0020383B">
            <w:pPr>
              <w:spacing w:line="360" w:lineRule="auto"/>
              <w:jc w:val="both"/>
              <w:rPr>
                <w:rFonts w:ascii="Arial" w:hAnsi="Arial" w:cs="Arial"/>
              </w:rPr>
            </w:pPr>
            <w:r w:rsidRPr="0020383B">
              <w:rPr>
                <w:rFonts w:ascii="Arial" w:hAnsi="Arial" w:cs="Arial"/>
              </w:rPr>
              <w:t>-43.8</w:t>
            </w:r>
          </w:p>
        </w:tc>
        <w:tc>
          <w:tcPr>
            <w:tcW w:w="0" w:type="auto"/>
            <w:tcMar>
              <w:top w:w="150" w:type="dxa"/>
              <w:left w:w="240" w:type="dxa"/>
              <w:bottom w:w="150" w:type="dxa"/>
              <w:right w:w="0" w:type="dxa"/>
            </w:tcMar>
            <w:vAlign w:val="center"/>
            <w:hideMark/>
          </w:tcPr>
          <w:p w14:paraId="44087DB3" w14:textId="77777777" w:rsidR="00CB14BE" w:rsidRPr="0020383B" w:rsidRDefault="00CB14BE" w:rsidP="0020383B">
            <w:pPr>
              <w:spacing w:line="360" w:lineRule="auto"/>
              <w:jc w:val="both"/>
              <w:rPr>
                <w:rFonts w:ascii="Arial" w:hAnsi="Arial" w:cs="Arial"/>
              </w:rPr>
            </w:pPr>
            <w:r w:rsidRPr="0020383B">
              <w:rPr>
                <w:rFonts w:ascii="Arial" w:hAnsi="Arial" w:cs="Arial"/>
              </w:rPr>
              <w:t>-9.3</w:t>
            </w:r>
          </w:p>
        </w:tc>
      </w:tr>
      <w:tr w:rsidR="00CB14BE" w:rsidRPr="0020383B" w14:paraId="1C68733D" w14:textId="77777777" w:rsidTr="0020383B">
        <w:trPr>
          <w:trHeight w:val="473"/>
        </w:trPr>
        <w:tc>
          <w:tcPr>
            <w:tcW w:w="0" w:type="auto"/>
            <w:tcMar>
              <w:top w:w="150" w:type="dxa"/>
              <w:left w:w="0" w:type="dxa"/>
              <w:bottom w:w="150" w:type="dxa"/>
              <w:right w:w="240" w:type="dxa"/>
            </w:tcMar>
            <w:vAlign w:val="center"/>
            <w:hideMark/>
          </w:tcPr>
          <w:p w14:paraId="4FBC242E" w14:textId="77777777" w:rsidR="00CB14BE" w:rsidRPr="0020383B" w:rsidRDefault="00CB14BE" w:rsidP="0020383B">
            <w:pPr>
              <w:spacing w:line="360" w:lineRule="auto"/>
              <w:jc w:val="both"/>
              <w:rPr>
                <w:rFonts w:ascii="Arial" w:hAnsi="Arial" w:cs="Arial"/>
              </w:rPr>
            </w:pPr>
            <w:r w:rsidRPr="0020383B">
              <w:rPr>
                <w:rFonts w:ascii="Arial" w:hAnsi="Arial" w:cs="Arial"/>
              </w:rPr>
              <w:t>ROE (%)</w:t>
            </w:r>
          </w:p>
        </w:tc>
        <w:tc>
          <w:tcPr>
            <w:tcW w:w="0" w:type="auto"/>
            <w:tcMar>
              <w:top w:w="150" w:type="dxa"/>
              <w:left w:w="240" w:type="dxa"/>
              <w:bottom w:w="150" w:type="dxa"/>
              <w:right w:w="240" w:type="dxa"/>
            </w:tcMar>
            <w:vAlign w:val="center"/>
            <w:hideMark/>
          </w:tcPr>
          <w:p w14:paraId="7FC4D5FE" w14:textId="77777777" w:rsidR="00CB14BE" w:rsidRPr="0020383B" w:rsidRDefault="00CB14BE" w:rsidP="0020383B">
            <w:pPr>
              <w:spacing w:line="360" w:lineRule="auto"/>
              <w:jc w:val="both"/>
              <w:rPr>
                <w:rFonts w:ascii="Arial" w:hAnsi="Arial" w:cs="Arial"/>
              </w:rPr>
            </w:pPr>
            <w:r w:rsidRPr="0020383B">
              <w:rPr>
                <w:rFonts w:ascii="Arial" w:hAnsi="Arial" w:cs="Arial"/>
              </w:rPr>
              <w:t>12.3</w:t>
            </w:r>
          </w:p>
        </w:tc>
        <w:tc>
          <w:tcPr>
            <w:tcW w:w="0" w:type="auto"/>
            <w:tcMar>
              <w:top w:w="150" w:type="dxa"/>
              <w:left w:w="240" w:type="dxa"/>
              <w:bottom w:w="150" w:type="dxa"/>
              <w:right w:w="240" w:type="dxa"/>
            </w:tcMar>
            <w:vAlign w:val="center"/>
            <w:hideMark/>
          </w:tcPr>
          <w:p w14:paraId="3D5276F2" w14:textId="77777777" w:rsidR="00CB14BE" w:rsidRPr="0020383B" w:rsidRDefault="00CB14BE" w:rsidP="0020383B">
            <w:pPr>
              <w:spacing w:line="360" w:lineRule="auto"/>
              <w:jc w:val="both"/>
              <w:rPr>
                <w:rFonts w:ascii="Arial" w:hAnsi="Arial" w:cs="Arial"/>
              </w:rPr>
            </w:pPr>
            <w:r w:rsidRPr="0020383B">
              <w:rPr>
                <w:rFonts w:ascii="Arial" w:hAnsi="Arial" w:cs="Arial"/>
              </w:rPr>
              <w:t>1.9</w:t>
            </w:r>
          </w:p>
        </w:tc>
        <w:tc>
          <w:tcPr>
            <w:tcW w:w="0" w:type="auto"/>
            <w:tcMar>
              <w:top w:w="150" w:type="dxa"/>
              <w:left w:w="240" w:type="dxa"/>
              <w:bottom w:w="150" w:type="dxa"/>
              <w:right w:w="240" w:type="dxa"/>
            </w:tcMar>
            <w:vAlign w:val="center"/>
            <w:hideMark/>
          </w:tcPr>
          <w:p w14:paraId="1FA9FD8E" w14:textId="77777777" w:rsidR="00CB14BE" w:rsidRPr="0020383B" w:rsidRDefault="00CB14BE" w:rsidP="0020383B">
            <w:pPr>
              <w:spacing w:line="360" w:lineRule="auto"/>
              <w:jc w:val="both"/>
              <w:rPr>
                <w:rFonts w:ascii="Arial" w:hAnsi="Arial" w:cs="Arial"/>
              </w:rPr>
            </w:pPr>
            <w:r w:rsidRPr="0020383B">
              <w:rPr>
                <w:rFonts w:ascii="Arial" w:hAnsi="Arial" w:cs="Arial"/>
              </w:rPr>
              <w:t>0.2</w:t>
            </w:r>
          </w:p>
        </w:tc>
        <w:tc>
          <w:tcPr>
            <w:tcW w:w="0" w:type="auto"/>
            <w:tcMar>
              <w:top w:w="150" w:type="dxa"/>
              <w:left w:w="240" w:type="dxa"/>
              <w:bottom w:w="150" w:type="dxa"/>
              <w:right w:w="240" w:type="dxa"/>
            </w:tcMar>
            <w:vAlign w:val="center"/>
            <w:hideMark/>
          </w:tcPr>
          <w:p w14:paraId="5770E9AE" w14:textId="77777777" w:rsidR="00CB14BE" w:rsidRPr="0020383B" w:rsidRDefault="00CB14BE" w:rsidP="0020383B">
            <w:pPr>
              <w:spacing w:line="360" w:lineRule="auto"/>
              <w:jc w:val="both"/>
              <w:rPr>
                <w:rFonts w:ascii="Arial" w:hAnsi="Arial" w:cs="Arial"/>
              </w:rPr>
            </w:pPr>
            <w:r w:rsidRPr="0020383B">
              <w:rPr>
                <w:rFonts w:ascii="Arial" w:hAnsi="Arial" w:cs="Arial"/>
              </w:rPr>
              <w:t>-54.9</w:t>
            </w:r>
          </w:p>
        </w:tc>
        <w:tc>
          <w:tcPr>
            <w:tcW w:w="0" w:type="auto"/>
            <w:tcMar>
              <w:top w:w="150" w:type="dxa"/>
              <w:left w:w="240" w:type="dxa"/>
              <w:bottom w:w="150" w:type="dxa"/>
              <w:right w:w="0" w:type="dxa"/>
            </w:tcMar>
            <w:vAlign w:val="center"/>
            <w:hideMark/>
          </w:tcPr>
          <w:p w14:paraId="21C1A1C9" w14:textId="77777777" w:rsidR="00CB14BE" w:rsidRPr="0020383B" w:rsidRDefault="00CB14BE" w:rsidP="0020383B">
            <w:pPr>
              <w:spacing w:line="360" w:lineRule="auto"/>
              <w:jc w:val="both"/>
              <w:rPr>
                <w:rFonts w:ascii="Arial" w:hAnsi="Arial" w:cs="Arial"/>
              </w:rPr>
            </w:pPr>
            <w:r w:rsidRPr="0020383B">
              <w:rPr>
                <w:rFonts w:ascii="Arial" w:hAnsi="Arial" w:cs="Arial"/>
              </w:rPr>
              <w:t>-15.7</w:t>
            </w:r>
          </w:p>
        </w:tc>
      </w:tr>
      <w:tr w:rsidR="00CB14BE" w:rsidRPr="0020383B" w14:paraId="60B59318" w14:textId="77777777" w:rsidTr="0020383B">
        <w:trPr>
          <w:trHeight w:val="473"/>
        </w:trPr>
        <w:tc>
          <w:tcPr>
            <w:tcW w:w="0" w:type="auto"/>
            <w:tcMar>
              <w:top w:w="150" w:type="dxa"/>
              <w:left w:w="0" w:type="dxa"/>
              <w:bottom w:w="150" w:type="dxa"/>
              <w:right w:w="240" w:type="dxa"/>
            </w:tcMar>
            <w:vAlign w:val="center"/>
            <w:hideMark/>
          </w:tcPr>
          <w:p w14:paraId="6E19AF1E" w14:textId="77777777" w:rsidR="00CB14BE" w:rsidRPr="0020383B" w:rsidRDefault="00CB14BE" w:rsidP="0020383B">
            <w:pPr>
              <w:spacing w:line="360" w:lineRule="auto"/>
              <w:jc w:val="both"/>
              <w:rPr>
                <w:rFonts w:ascii="Arial" w:hAnsi="Arial" w:cs="Arial"/>
              </w:rPr>
            </w:pPr>
            <w:r w:rsidRPr="0020383B">
              <w:rPr>
                <w:rFonts w:ascii="Arial" w:hAnsi="Arial" w:cs="Arial"/>
              </w:rPr>
              <w:t>Current Ratio</w:t>
            </w:r>
          </w:p>
        </w:tc>
        <w:tc>
          <w:tcPr>
            <w:tcW w:w="0" w:type="auto"/>
            <w:tcMar>
              <w:top w:w="150" w:type="dxa"/>
              <w:left w:w="240" w:type="dxa"/>
              <w:bottom w:w="150" w:type="dxa"/>
              <w:right w:w="240" w:type="dxa"/>
            </w:tcMar>
            <w:vAlign w:val="center"/>
            <w:hideMark/>
          </w:tcPr>
          <w:p w14:paraId="6A60086F" w14:textId="77777777" w:rsidR="00CB14BE" w:rsidRPr="0020383B" w:rsidRDefault="00CB14BE" w:rsidP="0020383B">
            <w:pPr>
              <w:spacing w:line="360" w:lineRule="auto"/>
              <w:jc w:val="both"/>
              <w:rPr>
                <w:rFonts w:ascii="Arial" w:hAnsi="Arial" w:cs="Arial"/>
              </w:rPr>
            </w:pPr>
            <w:r w:rsidRPr="0020383B">
              <w:rPr>
                <w:rFonts w:ascii="Arial" w:hAnsi="Arial" w:cs="Arial"/>
              </w:rPr>
              <w:t>1.82</w:t>
            </w:r>
          </w:p>
        </w:tc>
        <w:tc>
          <w:tcPr>
            <w:tcW w:w="0" w:type="auto"/>
            <w:tcMar>
              <w:top w:w="150" w:type="dxa"/>
              <w:left w:w="240" w:type="dxa"/>
              <w:bottom w:w="150" w:type="dxa"/>
              <w:right w:w="240" w:type="dxa"/>
            </w:tcMar>
            <w:vAlign w:val="center"/>
            <w:hideMark/>
          </w:tcPr>
          <w:p w14:paraId="013071F4" w14:textId="77777777" w:rsidR="00CB14BE" w:rsidRPr="0020383B" w:rsidRDefault="00CB14BE" w:rsidP="0020383B">
            <w:pPr>
              <w:spacing w:line="360" w:lineRule="auto"/>
              <w:jc w:val="both"/>
              <w:rPr>
                <w:rFonts w:ascii="Arial" w:hAnsi="Arial" w:cs="Arial"/>
              </w:rPr>
            </w:pPr>
            <w:r w:rsidRPr="0020383B">
              <w:rPr>
                <w:rFonts w:ascii="Arial" w:hAnsi="Arial" w:cs="Arial"/>
              </w:rPr>
              <w:t>1.56</w:t>
            </w:r>
          </w:p>
        </w:tc>
        <w:tc>
          <w:tcPr>
            <w:tcW w:w="0" w:type="auto"/>
            <w:tcMar>
              <w:top w:w="150" w:type="dxa"/>
              <w:left w:w="240" w:type="dxa"/>
              <w:bottom w:w="150" w:type="dxa"/>
              <w:right w:w="240" w:type="dxa"/>
            </w:tcMar>
            <w:vAlign w:val="center"/>
            <w:hideMark/>
          </w:tcPr>
          <w:p w14:paraId="3A905922" w14:textId="77777777" w:rsidR="00CB14BE" w:rsidRPr="0020383B" w:rsidRDefault="00CB14BE" w:rsidP="0020383B">
            <w:pPr>
              <w:spacing w:line="360" w:lineRule="auto"/>
              <w:jc w:val="both"/>
              <w:rPr>
                <w:rFonts w:ascii="Arial" w:hAnsi="Arial" w:cs="Arial"/>
              </w:rPr>
            </w:pPr>
            <w:r w:rsidRPr="0020383B">
              <w:rPr>
                <w:rFonts w:ascii="Arial" w:hAnsi="Arial" w:cs="Arial"/>
              </w:rPr>
              <w:t>1.56</w:t>
            </w:r>
          </w:p>
        </w:tc>
        <w:tc>
          <w:tcPr>
            <w:tcW w:w="0" w:type="auto"/>
            <w:tcMar>
              <w:top w:w="150" w:type="dxa"/>
              <w:left w:w="240" w:type="dxa"/>
              <w:bottom w:w="150" w:type="dxa"/>
              <w:right w:w="240" w:type="dxa"/>
            </w:tcMar>
            <w:vAlign w:val="center"/>
            <w:hideMark/>
          </w:tcPr>
          <w:p w14:paraId="4EB84FBC" w14:textId="77777777" w:rsidR="00CB14BE" w:rsidRPr="0020383B" w:rsidRDefault="00CB14BE" w:rsidP="0020383B">
            <w:pPr>
              <w:spacing w:line="360" w:lineRule="auto"/>
              <w:jc w:val="both"/>
              <w:rPr>
                <w:rFonts w:ascii="Arial" w:hAnsi="Arial" w:cs="Arial"/>
              </w:rPr>
            </w:pPr>
            <w:r w:rsidRPr="0020383B">
              <w:rPr>
                <w:rFonts w:ascii="Arial" w:hAnsi="Arial" w:cs="Arial"/>
              </w:rPr>
              <w:t>1.61</w:t>
            </w:r>
          </w:p>
        </w:tc>
        <w:tc>
          <w:tcPr>
            <w:tcW w:w="0" w:type="auto"/>
            <w:tcMar>
              <w:top w:w="150" w:type="dxa"/>
              <w:left w:w="240" w:type="dxa"/>
              <w:bottom w:w="150" w:type="dxa"/>
              <w:right w:w="0" w:type="dxa"/>
            </w:tcMar>
            <w:vAlign w:val="center"/>
            <w:hideMark/>
          </w:tcPr>
          <w:p w14:paraId="0FD7B132" w14:textId="77777777" w:rsidR="00CB14BE" w:rsidRPr="0020383B" w:rsidRDefault="00CB14BE" w:rsidP="0020383B">
            <w:pPr>
              <w:spacing w:line="360" w:lineRule="auto"/>
              <w:jc w:val="both"/>
              <w:rPr>
                <w:rFonts w:ascii="Arial" w:hAnsi="Arial" w:cs="Arial"/>
              </w:rPr>
            </w:pPr>
            <w:r w:rsidRPr="0020383B">
              <w:rPr>
                <w:rFonts w:ascii="Arial" w:hAnsi="Arial" w:cs="Arial"/>
              </w:rPr>
              <w:t>1.53</w:t>
            </w:r>
          </w:p>
        </w:tc>
      </w:tr>
      <w:tr w:rsidR="00CB14BE" w:rsidRPr="0020383B" w14:paraId="6C9F94DD" w14:textId="77777777" w:rsidTr="0020383B">
        <w:trPr>
          <w:trHeight w:val="463"/>
        </w:trPr>
        <w:tc>
          <w:tcPr>
            <w:tcW w:w="0" w:type="auto"/>
            <w:tcMar>
              <w:top w:w="150" w:type="dxa"/>
              <w:left w:w="0" w:type="dxa"/>
              <w:bottom w:w="150" w:type="dxa"/>
              <w:right w:w="240" w:type="dxa"/>
            </w:tcMar>
            <w:vAlign w:val="center"/>
            <w:hideMark/>
          </w:tcPr>
          <w:p w14:paraId="30D8E7F2" w14:textId="77777777" w:rsidR="00CB14BE" w:rsidRPr="0020383B" w:rsidRDefault="00CB14BE" w:rsidP="0020383B">
            <w:pPr>
              <w:spacing w:line="360" w:lineRule="auto"/>
              <w:jc w:val="both"/>
              <w:rPr>
                <w:rFonts w:ascii="Arial" w:hAnsi="Arial" w:cs="Arial"/>
              </w:rPr>
            </w:pPr>
            <w:r w:rsidRPr="0020383B">
              <w:rPr>
                <w:rFonts w:ascii="Arial" w:hAnsi="Arial" w:cs="Arial"/>
              </w:rPr>
              <w:t>Quick Ratio</w:t>
            </w:r>
          </w:p>
        </w:tc>
        <w:tc>
          <w:tcPr>
            <w:tcW w:w="0" w:type="auto"/>
            <w:tcMar>
              <w:top w:w="150" w:type="dxa"/>
              <w:left w:w="240" w:type="dxa"/>
              <w:bottom w:w="150" w:type="dxa"/>
              <w:right w:w="240" w:type="dxa"/>
            </w:tcMar>
            <w:vAlign w:val="center"/>
            <w:hideMark/>
          </w:tcPr>
          <w:p w14:paraId="0C46FBCB" w14:textId="77777777" w:rsidR="00CB14BE" w:rsidRPr="0020383B" w:rsidRDefault="00CB14BE" w:rsidP="0020383B">
            <w:pPr>
              <w:spacing w:line="360" w:lineRule="auto"/>
              <w:jc w:val="both"/>
              <w:rPr>
                <w:rFonts w:ascii="Arial" w:hAnsi="Arial" w:cs="Arial"/>
              </w:rPr>
            </w:pPr>
            <w:r w:rsidRPr="0020383B">
              <w:rPr>
                <w:rFonts w:ascii="Arial" w:hAnsi="Arial" w:cs="Arial"/>
              </w:rPr>
              <w:t>1.15</w:t>
            </w:r>
          </w:p>
        </w:tc>
        <w:tc>
          <w:tcPr>
            <w:tcW w:w="0" w:type="auto"/>
            <w:tcMar>
              <w:top w:w="150" w:type="dxa"/>
              <w:left w:w="240" w:type="dxa"/>
              <w:bottom w:w="150" w:type="dxa"/>
              <w:right w:w="240" w:type="dxa"/>
            </w:tcMar>
            <w:vAlign w:val="center"/>
            <w:hideMark/>
          </w:tcPr>
          <w:p w14:paraId="1A365C29" w14:textId="77777777" w:rsidR="00CB14BE" w:rsidRPr="0020383B" w:rsidRDefault="00CB14BE" w:rsidP="0020383B">
            <w:pPr>
              <w:spacing w:line="360" w:lineRule="auto"/>
              <w:jc w:val="both"/>
              <w:rPr>
                <w:rFonts w:ascii="Arial" w:hAnsi="Arial" w:cs="Arial"/>
              </w:rPr>
            </w:pPr>
            <w:r w:rsidRPr="0020383B">
              <w:rPr>
                <w:rFonts w:ascii="Arial" w:hAnsi="Arial" w:cs="Arial"/>
              </w:rPr>
              <w:t>0.93</w:t>
            </w:r>
          </w:p>
        </w:tc>
        <w:tc>
          <w:tcPr>
            <w:tcW w:w="0" w:type="auto"/>
            <w:tcMar>
              <w:top w:w="150" w:type="dxa"/>
              <w:left w:w="240" w:type="dxa"/>
              <w:bottom w:w="150" w:type="dxa"/>
              <w:right w:w="240" w:type="dxa"/>
            </w:tcMar>
            <w:vAlign w:val="center"/>
            <w:hideMark/>
          </w:tcPr>
          <w:p w14:paraId="327A5A53" w14:textId="77777777" w:rsidR="00CB14BE" w:rsidRPr="0020383B" w:rsidRDefault="00CB14BE" w:rsidP="0020383B">
            <w:pPr>
              <w:spacing w:line="360" w:lineRule="auto"/>
              <w:jc w:val="both"/>
              <w:rPr>
                <w:rFonts w:ascii="Arial" w:hAnsi="Arial" w:cs="Arial"/>
              </w:rPr>
            </w:pPr>
            <w:r w:rsidRPr="0020383B">
              <w:rPr>
                <w:rFonts w:ascii="Arial" w:hAnsi="Arial" w:cs="Arial"/>
              </w:rPr>
              <w:t>0.91</w:t>
            </w:r>
          </w:p>
        </w:tc>
        <w:tc>
          <w:tcPr>
            <w:tcW w:w="0" w:type="auto"/>
            <w:tcMar>
              <w:top w:w="150" w:type="dxa"/>
              <w:left w:w="240" w:type="dxa"/>
              <w:bottom w:w="150" w:type="dxa"/>
              <w:right w:w="240" w:type="dxa"/>
            </w:tcMar>
            <w:vAlign w:val="center"/>
            <w:hideMark/>
          </w:tcPr>
          <w:p w14:paraId="1AE7FC4B" w14:textId="77777777" w:rsidR="00CB14BE" w:rsidRPr="0020383B" w:rsidRDefault="00CB14BE" w:rsidP="0020383B">
            <w:pPr>
              <w:spacing w:line="360" w:lineRule="auto"/>
              <w:jc w:val="both"/>
              <w:rPr>
                <w:rFonts w:ascii="Arial" w:hAnsi="Arial" w:cs="Arial"/>
              </w:rPr>
            </w:pPr>
            <w:r w:rsidRPr="0020383B">
              <w:rPr>
                <w:rFonts w:ascii="Arial" w:hAnsi="Arial" w:cs="Arial"/>
              </w:rPr>
              <w:t>1.06</w:t>
            </w:r>
          </w:p>
        </w:tc>
        <w:tc>
          <w:tcPr>
            <w:tcW w:w="0" w:type="auto"/>
            <w:tcMar>
              <w:top w:w="150" w:type="dxa"/>
              <w:left w:w="240" w:type="dxa"/>
              <w:bottom w:w="150" w:type="dxa"/>
              <w:right w:w="0" w:type="dxa"/>
            </w:tcMar>
            <w:vAlign w:val="center"/>
            <w:hideMark/>
          </w:tcPr>
          <w:p w14:paraId="50C6906D" w14:textId="77777777" w:rsidR="00CB14BE" w:rsidRPr="0020383B" w:rsidRDefault="00CB14BE" w:rsidP="0020383B">
            <w:pPr>
              <w:spacing w:line="360" w:lineRule="auto"/>
              <w:jc w:val="both"/>
              <w:rPr>
                <w:rFonts w:ascii="Arial" w:hAnsi="Arial" w:cs="Arial"/>
              </w:rPr>
            </w:pPr>
            <w:r w:rsidRPr="0020383B">
              <w:rPr>
                <w:rFonts w:ascii="Arial" w:hAnsi="Arial" w:cs="Arial"/>
              </w:rPr>
              <w:t>1.03</w:t>
            </w:r>
          </w:p>
        </w:tc>
      </w:tr>
      <w:tr w:rsidR="00CB14BE" w:rsidRPr="0020383B" w14:paraId="7EDC61AC" w14:textId="77777777" w:rsidTr="0020383B">
        <w:trPr>
          <w:trHeight w:val="473"/>
        </w:trPr>
        <w:tc>
          <w:tcPr>
            <w:tcW w:w="0" w:type="auto"/>
            <w:tcMar>
              <w:top w:w="150" w:type="dxa"/>
              <w:left w:w="0" w:type="dxa"/>
              <w:bottom w:w="150" w:type="dxa"/>
              <w:right w:w="240" w:type="dxa"/>
            </w:tcMar>
            <w:vAlign w:val="center"/>
            <w:hideMark/>
          </w:tcPr>
          <w:p w14:paraId="411ED85F" w14:textId="77777777" w:rsidR="00CB14BE" w:rsidRPr="0020383B" w:rsidRDefault="00CB14BE" w:rsidP="0020383B">
            <w:pPr>
              <w:spacing w:line="360" w:lineRule="auto"/>
              <w:jc w:val="both"/>
              <w:rPr>
                <w:rFonts w:ascii="Arial" w:hAnsi="Arial" w:cs="Arial"/>
              </w:rPr>
            </w:pPr>
            <w:r w:rsidRPr="0020383B">
              <w:rPr>
                <w:rFonts w:ascii="Arial" w:hAnsi="Arial" w:cs="Arial"/>
              </w:rPr>
              <w:t>Cash Ratio</w:t>
            </w:r>
          </w:p>
        </w:tc>
        <w:tc>
          <w:tcPr>
            <w:tcW w:w="0" w:type="auto"/>
            <w:tcMar>
              <w:top w:w="150" w:type="dxa"/>
              <w:left w:w="240" w:type="dxa"/>
              <w:bottom w:w="150" w:type="dxa"/>
              <w:right w:w="240" w:type="dxa"/>
            </w:tcMar>
            <w:vAlign w:val="center"/>
            <w:hideMark/>
          </w:tcPr>
          <w:p w14:paraId="575F988A" w14:textId="77777777" w:rsidR="00CB14BE" w:rsidRPr="0020383B" w:rsidRDefault="00CB14BE" w:rsidP="0020383B">
            <w:pPr>
              <w:spacing w:line="360" w:lineRule="auto"/>
              <w:jc w:val="both"/>
              <w:rPr>
                <w:rFonts w:ascii="Arial" w:hAnsi="Arial" w:cs="Arial"/>
              </w:rPr>
            </w:pPr>
            <w:r w:rsidRPr="0020383B">
              <w:rPr>
                <w:rFonts w:ascii="Arial" w:hAnsi="Arial" w:cs="Arial"/>
              </w:rPr>
              <w:t>0.32</w:t>
            </w:r>
          </w:p>
        </w:tc>
        <w:tc>
          <w:tcPr>
            <w:tcW w:w="0" w:type="auto"/>
            <w:tcMar>
              <w:top w:w="150" w:type="dxa"/>
              <w:left w:w="240" w:type="dxa"/>
              <w:bottom w:w="150" w:type="dxa"/>
              <w:right w:w="240" w:type="dxa"/>
            </w:tcMar>
            <w:vAlign w:val="center"/>
            <w:hideMark/>
          </w:tcPr>
          <w:p w14:paraId="096BD2C8" w14:textId="77777777" w:rsidR="00CB14BE" w:rsidRPr="0020383B" w:rsidRDefault="00CB14BE" w:rsidP="0020383B">
            <w:pPr>
              <w:spacing w:line="360" w:lineRule="auto"/>
              <w:jc w:val="both"/>
              <w:rPr>
                <w:rFonts w:ascii="Arial" w:hAnsi="Arial" w:cs="Arial"/>
              </w:rPr>
            </w:pPr>
            <w:r w:rsidRPr="0020383B">
              <w:rPr>
                <w:rFonts w:ascii="Arial" w:hAnsi="Arial" w:cs="Arial"/>
              </w:rPr>
              <w:t>0.28</w:t>
            </w:r>
          </w:p>
        </w:tc>
        <w:tc>
          <w:tcPr>
            <w:tcW w:w="0" w:type="auto"/>
            <w:tcMar>
              <w:top w:w="150" w:type="dxa"/>
              <w:left w:w="240" w:type="dxa"/>
              <w:bottom w:w="150" w:type="dxa"/>
              <w:right w:w="240" w:type="dxa"/>
            </w:tcMar>
            <w:vAlign w:val="center"/>
            <w:hideMark/>
          </w:tcPr>
          <w:p w14:paraId="088204AC" w14:textId="77777777" w:rsidR="00CB14BE" w:rsidRPr="0020383B" w:rsidRDefault="00CB14BE" w:rsidP="0020383B">
            <w:pPr>
              <w:spacing w:line="360" w:lineRule="auto"/>
              <w:jc w:val="both"/>
              <w:rPr>
                <w:rFonts w:ascii="Arial" w:hAnsi="Arial" w:cs="Arial"/>
              </w:rPr>
            </w:pPr>
            <w:r w:rsidRPr="0020383B">
              <w:rPr>
                <w:rFonts w:ascii="Arial" w:hAnsi="Arial" w:cs="Arial"/>
              </w:rPr>
              <w:t>0.31</w:t>
            </w:r>
          </w:p>
        </w:tc>
        <w:tc>
          <w:tcPr>
            <w:tcW w:w="0" w:type="auto"/>
            <w:tcMar>
              <w:top w:w="150" w:type="dxa"/>
              <w:left w:w="240" w:type="dxa"/>
              <w:bottom w:w="150" w:type="dxa"/>
              <w:right w:w="240" w:type="dxa"/>
            </w:tcMar>
            <w:vAlign w:val="center"/>
            <w:hideMark/>
          </w:tcPr>
          <w:p w14:paraId="7EF9EEEE" w14:textId="77777777" w:rsidR="00CB14BE" w:rsidRPr="0020383B" w:rsidRDefault="00CB14BE" w:rsidP="0020383B">
            <w:pPr>
              <w:spacing w:line="360" w:lineRule="auto"/>
              <w:jc w:val="both"/>
              <w:rPr>
                <w:rFonts w:ascii="Arial" w:hAnsi="Arial" w:cs="Arial"/>
              </w:rPr>
            </w:pPr>
            <w:r w:rsidRPr="0020383B">
              <w:rPr>
                <w:rFonts w:ascii="Arial" w:hAnsi="Arial" w:cs="Arial"/>
              </w:rPr>
              <w:t>0.27</w:t>
            </w:r>
          </w:p>
        </w:tc>
        <w:tc>
          <w:tcPr>
            <w:tcW w:w="0" w:type="auto"/>
            <w:tcMar>
              <w:top w:w="150" w:type="dxa"/>
              <w:left w:w="240" w:type="dxa"/>
              <w:bottom w:w="150" w:type="dxa"/>
              <w:right w:w="0" w:type="dxa"/>
            </w:tcMar>
            <w:vAlign w:val="center"/>
            <w:hideMark/>
          </w:tcPr>
          <w:p w14:paraId="5550265B" w14:textId="77777777" w:rsidR="00CB14BE" w:rsidRPr="0020383B" w:rsidRDefault="00CB14BE" w:rsidP="0020383B">
            <w:pPr>
              <w:spacing w:line="360" w:lineRule="auto"/>
              <w:jc w:val="both"/>
              <w:rPr>
                <w:rFonts w:ascii="Arial" w:hAnsi="Arial" w:cs="Arial"/>
              </w:rPr>
            </w:pPr>
            <w:r w:rsidRPr="0020383B">
              <w:rPr>
                <w:rFonts w:ascii="Arial" w:hAnsi="Arial" w:cs="Arial"/>
              </w:rPr>
              <w:t>0.17</w:t>
            </w:r>
          </w:p>
        </w:tc>
      </w:tr>
      <w:tr w:rsidR="00CB14BE" w:rsidRPr="0020383B" w14:paraId="39892AB6" w14:textId="77777777" w:rsidTr="0020383B">
        <w:trPr>
          <w:trHeight w:val="473"/>
        </w:trPr>
        <w:tc>
          <w:tcPr>
            <w:tcW w:w="0" w:type="auto"/>
            <w:tcMar>
              <w:top w:w="150" w:type="dxa"/>
              <w:left w:w="0" w:type="dxa"/>
              <w:bottom w:w="150" w:type="dxa"/>
              <w:right w:w="240" w:type="dxa"/>
            </w:tcMar>
            <w:vAlign w:val="center"/>
            <w:hideMark/>
          </w:tcPr>
          <w:p w14:paraId="679C03E9" w14:textId="77777777" w:rsidR="00CB14BE" w:rsidRPr="0020383B" w:rsidRDefault="00CB14BE" w:rsidP="0020383B">
            <w:pPr>
              <w:spacing w:line="360" w:lineRule="auto"/>
              <w:jc w:val="both"/>
              <w:rPr>
                <w:rFonts w:ascii="Arial" w:hAnsi="Arial" w:cs="Arial"/>
              </w:rPr>
            </w:pPr>
            <w:r w:rsidRPr="0020383B">
              <w:rPr>
                <w:rFonts w:ascii="Arial" w:hAnsi="Arial" w:cs="Arial"/>
              </w:rPr>
              <w:t>Inventory Days</w:t>
            </w:r>
          </w:p>
        </w:tc>
        <w:tc>
          <w:tcPr>
            <w:tcW w:w="0" w:type="auto"/>
            <w:tcMar>
              <w:top w:w="150" w:type="dxa"/>
              <w:left w:w="240" w:type="dxa"/>
              <w:bottom w:w="150" w:type="dxa"/>
              <w:right w:w="240" w:type="dxa"/>
            </w:tcMar>
            <w:vAlign w:val="center"/>
            <w:hideMark/>
          </w:tcPr>
          <w:p w14:paraId="674EE85F" w14:textId="77777777" w:rsidR="00CB14BE" w:rsidRPr="0020383B" w:rsidRDefault="00CB14BE" w:rsidP="0020383B">
            <w:pPr>
              <w:spacing w:line="360" w:lineRule="auto"/>
              <w:jc w:val="both"/>
              <w:rPr>
                <w:rFonts w:ascii="Arial" w:hAnsi="Arial" w:cs="Arial"/>
              </w:rPr>
            </w:pPr>
            <w:r w:rsidRPr="0020383B">
              <w:rPr>
                <w:rFonts w:ascii="Arial" w:hAnsi="Arial" w:cs="Arial"/>
              </w:rPr>
              <w:t>100</w:t>
            </w:r>
          </w:p>
        </w:tc>
        <w:tc>
          <w:tcPr>
            <w:tcW w:w="0" w:type="auto"/>
            <w:tcMar>
              <w:top w:w="150" w:type="dxa"/>
              <w:left w:w="240" w:type="dxa"/>
              <w:bottom w:w="150" w:type="dxa"/>
              <w:right w:w="240" w:type="dxa"/>
            </w:tcMar>
            <w:vAlign w:val="center"/>
            <w:hideMark/>
          </w:tcPr>
          <w:p w14:paraId="59355F79" w14:textId="77777777" w:rsidR="00CB14BE" w:rsidRPr="0020383B" w:rsidRDefault="00CB14BE" w:rsidP="0020383B">
            <w:pPr>
              <w:spacing w:line="360" w:lineRule="auto"/>
              <w:jc w:val="both"/>
              <w:rPr>
                <w:rFonts w:ascii="Arial" w:hAnsi="Arial" w:cs="Arial"/>
              </w:rPr>
            </w:pPr>
            <w:r w:rsidRPr="0020383B">
              <w:rPr>
                <w:rFonts w:ascii="Arial" w:hAnsi="Arial" w:cs="Arial"/>
              </w:rPr>
              <w:t>114</w:t>
            </w:r>
          </w:p>
        </w:tc>
        <w:tc>
          <w:tcPr>
            <w:tcW w:w="0" w:type="auto"/>
            <w:tcMar>
              <w:top w:w="150" w:type="dxa"/>
              <w:left w:w="240" w:type="dxa"/>
              <w:bottom w:w="150" w:type="dxa"/>
              <w:right w:w="240" w:type="dxa"/>
            </w:tcMar>
            <w:vAlign w:val="center"/>
            <w:hideMark/>
          </w:tcPr>
          <w:p w14:paraId="6F9C926D" w14:textId="77777777" w:rsidR="00CB14BE" w:rsidRPr="0020383B" w:rsidRDefault="00CB14BE" w:rsidP="0020383B">
            <w:pPr>
              <w:spacing w:line="360" w:lineRule="auto"/>
              <w:jc w:val="both"/>
              <w:rPr>
                <w:rFonts w:ascii="Arial" w:hAnsi="Arial" w:cs="Arial"/>
              </w:rPr>
            </w:pPr>
            <w:r w:rsidRPr="0020383B">
              <w:rPr>
                <w:rFonts w:ascii="Arial" w:hAnsi="Arial" w:cs="Arial"/>
              </w:rPr>
              <w:t>131</w:t>
            </w:r>
          </w:p>
        </w:tc>
        <w:tc>
          <w:tcPr>
            <w:tcW w:w="0" w:type="auto"/>
            <w:tcMar>
              <w:top w:w="150" w:type="dxa"/>
              <w:left w:w="240" w:type="dxa"/>
              <w:bottom w:w="150" w:type="dxa"/>
              <w:right w:w="240" w:type="dxa"/>
            </w:tcMar>
            <w:vAlign w:val="center"/>
            <w:hideMark/>
          </w:tcPr>
          <w:p w14:paraId="64AA47E5" w14:textId="77777777" w:rsidR="00CB14BE" w:rsidRPr="0020383B" w:rsidRDefault="00CB14BE" w:rsidP="0020383B">
            <w:pPr>
              <w:spacing w:line="360" w:lineRule="auto"/>
              <w:jc w:val="both"/>
              <w:rPr>
                <w:rFonts w:ascii="Arial" w:hAnsi="Arial" w:cs="Arial"/>
              </w:rPr>
            </w:pPr>
            <w:r w:rsidRPr="0020383B">
              <w:rPr>
                <w:rFonts w:ascii="Arial" w:hAnsi="Arial" w:cs="Arial"/>
              </w:rPr>
              <w:t>100</w:t>
            </w:r>
          </w:p>
        </w:tc>
        <w:tc>
          <w:tcPr>
            <w:tcW w:w="0" w:type="auto"/>
            <w:tcMar>
              <w:top w:w="150" w:type="dxa"/>
              <w:left w:w="240" w:type="dxa"/>
              <w:bottom w:w="150" w:type="dxa"/>
              <w:right w:w="0" w:type="dxa"/>
            </w:tcMar>
            <w:vAlign w:val="center"/>
            <w:hideMark/>
          </w:tcPr>
          <w:p w14:paraId="73951666" w14:textId="77777777" w:rsidR="00CB14BE" w:rsidRPr="0020383B" w:rsidRDefault="00CB14BE" w:rsidP="0020383B">
            <w:pPr>
              <w:spacing w:line="360" w:lineRule="auto"/>
              <w:jc w:val="both"/>
              <w:rPr>
                <w:rFonts w:ascii="Arial" w:hAnsi="Arial" w:cs="Arial"/>
              </w:rPr>
            </w:pPr>
            <w:r w:rsidRPr="0020383B">
              <w:rPr>
                <w:rFonts w:ascii="Arial" w:hAnsi="Arial" w:cs="Arial"/>
              </w:rPr>
              <w:t>103</w:t>
            </w:r>
          </w:p>
        </w:tc>
      </w:tr>
      <w:tr w:rsidR="00CB14BE" w:rsidRPr="0020383B" w14:paraId="62058893" w14:textId="77777777" w:rsidTr="0020383B">
        <w:trPr>
          <w:trHeight w:val="463"/>
        </w:trPr>
        <w:tc>
          <w:tcPr>
            <w:tcW w:w="0" w:type="auto"/>
            <w:tcMar>
              <w:top w:w="150" w:type="dxa"/>
              <w:left w:w="0" w:type="dxa"/>
              <w:bottom w:w="150" w:type="dxa"/>
              <w:right w:w="240" w:type="dxa"/>
            </w:tcMar>
            <w:vAlign w:val="center"/>
            <w:hideMark/>
          </w:tcPr>
          <w:p w14:paraId="5E385212" w14:textId="77777777" w:rsidR="00CB14BE" w:rsidRPr="0020383B" w:rsidRDefault="00CB14BE" w:rsidP="0020383B">
            <w:pPr>
              <w:spacing w:line="360" w:lineRule="auto"/>
              <w:jc w:val="both"/>
              <w:rPr>
                <w:rFonts w:ascii="Arial" w:hAnsi="Arial" w:cs="Arial"/>
              </w:rPr>
            </w:pPr>
            <w:r w:rsidRPr="0020383B">
              <w:rPr>
                <w:rFonts w:ascii="Arial" w:hAnsi="Arial" w:cs="Arial"/>
              </w:rPr>
              <w:t>Receivables Days</w:t>
            </w:r>
          </w:p>
        </w:tc>
        <w:tc>
          <w:tcPr>
            <w:tcW w:w="0" w:type="auto"/>
            <w:tcMar>
              <w:top w:w="150" w:type="dxa"/>
              <w:left w:w="240" w:type="dxa"/>
              <w:bottom w:w="150" w:type="dxa"/>
              <w:right w:w="240" w:type="dxa"/>
            </w:tcMar>
            <w:vAlign w:val="center"/>
            <w:hideMark/>
          </w:tcPr>
          <w:p w14:paraId="31B16118" w14:textId="3DAEFEA4" w:rsidR="00CB14BE" w:rsidRPr="0020383B" w:rsidRDefault="00053AA7" w:rsidP="0020383B">
            <w:pPr>
              <w:spacing w:line="360" w:lineRule="auto"/>
              <w:jc w:val="both"/>
              <w:rPr>
                <w:rFonts w:ascii="Arial" w:hAnsi="Arial" w:cs="Arial"/>
              </w:rPr>
            </w:pPr>
            <w:r>
              <w:rPr>
                <w:rFonts w:ascii="Arial" w:hAnsi="Arial" w:cs="Arial"/>
              </w:rPr>
              <w:t>83</w:t>
            </w:r>
          </w:p>
        </w:tc>
        <w:tc>
          <w:tcPr>
            <w:tcW w:w="0" w:type="auto"/>
            <w:tcMar>
              <w:top w:w="150" w:type="dxa"/>
              <w:left w:w="240" w:type="dxa"/>
              <w:bottom w:w="150" w:type="dxa"/>
              <w:right w:w="240" w:type="dxa"/>
            </w:tcMar>
            <w:vAlign w:val="center"/>
            <w:hideMark/>
          </w:tcPr>
          <w:p w14:paraId="7CE6A66A" w14:textId="44639C78" w:rsidR="00CB14BE" w:rsidRPr="0020383B" w:rsidRDefault="00053AA7" w:rsidP="0020383B">
            <w:pPr>
              <w:spacing w:line="360" w:lineRule="auto"/>
              <w:jc w:val="both"/>
              <w:rPr>
                <w:rFonts w:ascii="Arial" w:hAnsi="Arial" w:cs="Arial"/>
              </w:rPr>
            </w:pPr>
            <w:r>
              <w:rPr>
                <w:rFonts w:ascii="Arial" w:hAnsi="Arial" w:cs="Arial"/>
              </w:rPr>
              <w:t>81</w:t>
            </w:r>
          </w:p>
        </w:tc>
        <w:tc>
          <w:tcPr>
            <w:tcW w:w="0" w:type="auto"/>
            <w:tcMar>
              <w:top w:w="150" w:type="dxa"/>
              <w:left w:w="240" w:type="dxa"/>
              <w:bottom w:w="150" w:type="dxa"/>
              <w:right w:w="240" w:type="dxa"/>
            </w:tcMar>
            <w:vAlign w:val="center"/>
            <w:hideMark/>
          </w:tcPr>
          <w:p w14:paraId="378B2266" w14:textId="0A16905F" w:rsidR="00CB14BE" w:rsidRPr="0020383B" w:rsidRDefault="00053AA7" w:rsidP="0020383B">
            <w:pPr>
              <w:spacing w:line="360" w:lineRule="auto"/>
              <w:jc w:val="both"/>
              <w:rPr>
                <w:rFonts w:ascii="Arial" w:hAnsi="Arial" w:cs="Arial"/>
              </w:rPr>
            </w:pPr>
            <w:r>
              <w:rPr>
                <w:rFonts w:ascii="Arial" w:hAnsi="Arial" w:cs="Arial"/>
              </w:rPr>
              <w:t>81</w:t>
            </w:r>
          </w:p>
        </w:tc>
        <w:tc>
          <w:tcPr>
            <w:tcW w:w="0" w:type="auto"/>
            <w:tcMar>
              <w:top w:w="150" w:type="dxa"/>
              <w:left w:w="240" w:type="dxa"/>
              <w:bottom w:w="150" w:type="dxa"/>
              <w:right w:w="240" w:type="dxa"/>
            </w:tcMar>
            <w:vAlign w:val="center"/>
            <w:hideMark/>
          </w:tcPr>
          <w:p w14:paraId="6FB3807D" w14:textId="7A10F5DB" w:rsidR="00CB14BE" w:rsidRPr="0020383B" w:rsidRDefault="00053AA7" w:rsidP="0020383B">
            <w:pPr>
              <w:spacing w:line="360" w:lineRule="auto"/>
              <w:jc w:val="both"/>
              <w:rPr>
                <w:rFonts w:ascii="Arial" w:hAnsi="Arial" w:cs="Arial"/>
              </w:rPr>
            </w:pPr>
            <w:r>
              <w:rPr>
                <w:rFonts w:ascii="Arial" w:hAnsi="Arial" w:cs="Arial"/>
              </w:rPr>
              <w:t>101</w:t>
            </w:r>
          </w:p>
        </w:tc>
        <w:tc>
          <w:tcPr>
            <w:tcW w:w="0" w:type="auto"/>
            <w:tcMar>
              <w:top w:w="150" w:type="dxa"/>
              <w:left w:w="240" w:type="dxa"/>
              <w:bottom w:w="150" w:type="dxa"/>
              <w:right w:w="0" w:type="dxa"/>
            </w:tcMar>
            <w:vAlign w:val="center"/>
            <w:hideMark/>
          </w:tcPr>
          <w:p w14:paraId="545528A8" w14:textId="4FDF350F" w:rsidR="00CB14BE" w:rsidRPr="0020383B" w:rsidRDefault="00CB14BE" w:rsidP="0020383B">
            <w:pPr>
              <w:spacing w:line="360" w:lineRule="auto"/>
              <w:jc w:val="both"/>
              <w:rPr>
                <w:rFonts w:ascii="Arial" w:hAnsi="Arial" w:cs="Arial"/>
              </w:rPr>
            </w:pPr>
            <w:r w:rsidRPr="0020383B">
              <w:rPr>
                <w:rFonts w:ascii="Arial" w:hAnsi="Arial" w:cs="Arial"/>
              </w:rPr>
              <w:t>1</w:t>
            </w:r>
            <w:r w:rsidR="00053AA7">
              <w:rPr>
                <w:rFonts w:ascii="Arial" w:hAnsi="Arial" w:cs="Arial"/>
              </w:rPr>
              <w:t>15</w:t>
            </w:r>
          </w:p>
        </w:tc>
      </w:tr>
      <w:tr w:rsidR="00CB14BE" w:rsidRPr="0020383B" w14:paraId="20D6F929" w14:textId="77777777" w:rsidTr="0020383B">
        <w:trPr>
          <w:trHeight w:val="473"/>
        </w:trPr>
        <w:tc>
          <w:tcPr>
            <w:tcW w:w="0" w:type="auto"/>
            <w:tcMar>
              <w:top w:w="150" w:type="dxa"/>
              <w:left w:w="0" w:type="dxa"/>
              <w:bottom w:w="150" w:type="dxa"/>
              <w:right w:w="240" w:type="dxa"/>
            </w:tcMar>
            <w:vAlign w:val="center"/>
            <w:hideMark/>
          </w:tcPr>
          <w:p w14:paraId="09555D8D" w14:textId="77777777" w:rsidR="00CB14BE" w:rsidRPr="0020383B" w:rsidRDefault="00CB14BE" w:rsidP="0020383B">
            <w:pPr>
              <w:spacing w:line="360" w:lineRule="auto"/>
              <w:jc w:val="both"/>
              <w:rPr>
                <w:rFonts w:ascii="Arial" w:hAnsi="Arial" w:cs="Arial"/>
              </w:rPr>
            </w:pPr>
            <w:r w:rsidRPr="0020383B">
              <w:rPr>
                <w:rFonts w:ascii="Arial" w:hAnsi="Arial" w:cs="Arial"/>
              </w:rPr>
              <w:t>Payables Days</w:t>
            </w:r>
          </w:p>
        </w:tc>
        <w:tc>
          <w:tcPr>
            <w:tcW w:w="0" w:type="auto"/>
            <w:tcMar>
              <w:top w:w="150" w:type="dxa"/>
              <w:left w:w="240" w:type="dxa"/>
              <w:bottom w:w="150" w:type="dxa"/>
              <w:right w:w="240" w:type="dxa"/>
            </w:tcMar>
            <w:vAlign w:val="center"/>
            <w:hideMark/>
          </w:tcPr>
          <w:p w14:paraId="2AF29E26" w14:textId="77777777" w:rsidR="00CB14BE" w:rsidRPr="0020383B" w:rsidRDefault="00CB14BE" w:rsidP="0020383B">
            <w:pPr>
              <w:spacing w:line="360" w:lineRule="auto"/>
              <w:jc w:val="both"/>
              <w:rPr>
                <w:rFonts w:ascii="Arial" w:hAnsi="Arial" w:cs="Arial"/>
              </w:rPr>
            </w:pPr>
            <w:r w:rsidRPr="0020383B">
              <w:rPr>
                <w:rFonts w:ascii="Arial" w:hAnsi="Arial" w:cs="Arial"/>
              </w:rPr>
              <w:t>69</w:t>
            </w:r>
          </w:p>
        </w:tc>
        <w:tc>
          <w:tcPr>
            <w:tcW w:w="0" w:type="auto"/>
            <w:tcMar>
              <w:top w:w="150" w:type="dxa"/>
              <w:left w:w="240" w:type="dxa"/>
              <w:bottom w:w="150" w:type="dxa"/>
              <w:right w:w="240" w:type="dxa"/>
            </w:tcMar>
            <w:vAlign w:val="center"/>
            <w:hideMark/>
          </w:tcPr>
          <w:p w14:paraId="38A9ECED" w14:textId="77777777" w:rsidR="00CB14BE" w:rsidRPr="0020383B" w:rsidRDefault="00CB14BE" w:rsidP="0020383B">
            <w:pPr>
              <w:spacing w:line="360" w:lineRule="auto"/>
              <w:jc w:val="both"/>
              <w:rPr>
                <w:rFonts w:ascii="Arial" w:hAnsi="Arial" w:cs="Arial"/>
              </w:rPr>
            </w:pPr>
            <w:r w:rsidRPr="0020383B">
              <w:rPr>
                <w:rFonts w:ascii="Arial" w:hAnsi="Arial" w:cs="Arial"/>
              </w:rPr>
              <w:t>79</w:t>
            </w:r>
          </w:p>
        </w:tc>
        <w:tc>
          <w:tcPr>
            <w:tcW w:w="0" w:type="auto"/>
            <w:tcMar>
              <w:top w:w="150" w:type="dxa"/>
              <w:left w:w="240" w:type="dxa"/>
              <w:bottom w:w="150" w:type="dxa"/>
              <w:right w:w="240" w:type="dxa"/>
            </w:tcMar>
            <w:vAlign w:val="center"/>
            <w:hideMark/>
          </w:tcPr>
          <w:p w14:paraId="69F300C2" w14:textId="77777777" w:rsidR="00CB14BE" w:rsidRPr="0020383B" w:rsidRDefault="00CB14BE" w:rsidP="0020383B">
            <w:pPr>
              <w:spacing w:line="360" w:lineRule="auto"/>
              <w:jc w:val="both"/>
              <w:rPr>
                <w:rFonts w:ascii="Arial" w:hAnsi="Arial" w:cs="Arial"/>
              </w:rPr>
            </w:pPr>
            <w:r w:rsidRPr="0020383B">
              <w:rPr>
                <w:rFonts w:ascii="Arial" w:hAnsi="Arial" w:cs="Arial"/>
              </w:rPr>
              <w:t>67</w:t>
            </w:r>
          </w:p>
        </w:tc>
        <w:tc>
          <w:tcPr>
            <w:tcW w:w="0" w:type="auto"/>
            <w:tcMar>
              <w:top w:w="150" w:type="dxa"/>
              <w:left w:w="240" w:type="dxa"/>
              <w:bottom w:w="150" w:type="dxa"/>
              <w:right w:w="240" w:type="dxa"/>
            </w:tcMar>
            <w:vAlign w:val="center"/>
            <w:hideMark/>
          </w:tcPr>
          <w:p w14:paraId="2A710951" w14:textId="77777777" w:rsidR="00CB14BE" w:rsidRPr="0020383B" w:rsidRDefault="00CB14BE" w:rsidP="0020383B">
            <w:pPr>
              <w:spacing w:line="360" w:lineRule="auto"/>
              <w:jc w:val="both"/>
              <w:rPr>
                <w:rFonts w:ascii="Arial" w:hAnsi="Arial" w:cs="Arial"/>
              </w:rPr>
            </w:pPr>
            <w:r w:rsidRPr="0020383B">
              <w:rPr>
                <w:rFonts w:ascii="Arial" w:hAnsi="Arial" w:cs="Arial"/>
              </w:rPr>
              <w:t>65</w:t>
            </w:r>
          </w:p>
        </w:tc>
        <w:tc>
          <w:tcPr>
            <w:tcW w:w="0" w:type="auto"/>
            <w:tcMar>
              <w:top w:w="150" w:type="dxa"/>
              <w:left w:w="240" w:type="dxa"/>
              <w:bottom w:w="150" w:type="dxa"/>
              <w:right w:w="0" w:type="dxa"/>
            </w:tcMar>
            <w:vAlign w:val="center"/>
            <w:hideMark/>
          </w:tcPr>
          <w:p w14:paraId="4D7F1F0C" w14:textId="77777777" w:rsidR="00CB14BE" w:rsidRPr="0020383B" w:rsidRDefault="00CB14BE" w:rsidP="0020383B">
            <w:pPr>
              <w:spacing w:line="360" w:lineRule="auto"/>
              <w:jc w:val="both"/>
              <w:rPr>
                <w:rFonts w:ascii="Arial" w:hAnsi="Arial" w:cs="Arial"/>
              </w:rPr>
            </w:pPr>
            <w:r w:rsidRPr="0020383B">
              <w:rPr>
                <w:rFonts w:ascii="Arial" w:hAnsi="Arial" w:cs="Arial"/>
              </w:rPr>
              <w:t>94</w:t>
            </w:r>
          </w:p>
        </w:tc>
      </w:tr>
      <w:tr w:rsidR="00CB14BE" w:rsidRPr="0020383B" w14:paraId="23577AD2" w14:textId="77777777" w:rsidTr="0020383B">
        <w:trPr>
          <w:trHeight w:val="473"/>
        </w:trPr>
        <w:tc>
          <w:tcPr>
            <w:tcW w:w="0" w:type="auto"/>
            <w:tcMar>
              <w:top w:w="150" w:type="dxa"/>
              <w:left w:w="0" w:type="dxa"/>
              <w:bottom w:w="150" w:type="dxa"/>
              <w:right w:w="240" w:type="dxa"/>
            </w:tcMar>
            <w:vAlign w:val="center"/>
            <w:hideMark/>
          </w:tcPr>
          <w:p w14:paraId="72215FA6" w14:textId="77777777" w:rsidR="00CB14BE" w:rsidRPr="0020383B" w:rsidRDefault="00CB14BE" w:rsidP="0020383B">
            <w:pPr>
              <w:spacing w:line="360" w:lineRule="auto"/>
              <w:jc w:val="both"/>
              <w:rPr>
                <w:rFonts w:ascii="Arial" w:hAnsi="Arial" w:cs="Arial"/>
              </w:rPr>
            </w:pPr>
            <w:r w:rsidRPr="0020383B">
              <w:rPr>
                <w:rFonts w:ascii="Arial" w:hAnsi="Arial" w:cs="Arial"/>
              </w:rPr>
              <w:t>Cash Conversion Cycle</w:t>
            </w:r>
          </w:p>
        </w:tc>
        <w:tc>
          <w:tcPr>
            <w:tcW w:w="0" w:type="auto"/>
            <w:tcMar>
              <w:top w:w="150" w:type="dxa"/>
              <w:left w:w="240" w:type="dxa"/>
              <w:bottom w:w="150" w:type="dxa"/>
              <w:right w:w="240" w:type="dxa"/>
            </w:tcMar>
            <w:vAlign w:val="center"/>
            <w:hideMark/>
          </w:tcPr>
          <w:p w14:paraId="055F67A2" w14:textId="5D430C9D" w:rsidR="00CB14BE" w:rsidRPr="0020383B" w:rsidRDefault="00CB14BE" w:rsidP="0020383B">
            <w:pPr>
              <w:spacing w:line="360" w:lineRule="auto"/>
              <w:jc w:val="both"/>
              <w:rPr>
                <w:rFonts w:ascii="Arial" w:hAnsi="Arial" w:cs="Arial"/>
              </w:rPr>
            </w:pPr>
            <w:r w:rsidRPr="0020383B">
              <w:rPr>
                <w:rFonts w:ascii="Arial" w:hAnsi="Arial" w:cs="Arial"/>
              </w:rPr>
              <w:t>1</w:t>
            </w:r>
            <w:r w:rsidR="00053AA7">
              <w:rPr>
                <w:rFonts w:ascii="Arial" w:hAnsi="Arial" w:cs="Arial"/>
              </w:rPr>
              <w:t>14</w:t>
            </w:r>
          </w:p>
        </w:tc>
        <w:tc>
          <w:tcPr>
            <w:tcW w:w="0" w:type="auto"/>
            <w:tcMar>
              <w:top w:w="150" w:type="dxa"/>
              <w:left w:w="240" w:type="dxa"/>
              <w:bottom w:w="150" w:type="dxa"/>
              <w:right w:w="240" w:type="dxa"/>
            </w:tcMar>
            <w:vAlign w:val="center"/>
            <w:hideMark/>
          </w:tcPr>
          <w:p w14:paraId="38175CF0" w14:textId="130E3440" w:rsidR="00CB14BE" w:rsidRPr="0020383B" w:rsidRDefault="00CB14BE" w:rsidP="0020383B">
            <w:pPr>
              <w:spacing w:line="360" w:lineRule="auto"/>
              <w:jc w:val="both"/>
              <w:rPr>
                <w:rFonts w:ascii="Arial" w:hAnsi="Arial" w:cs="Arial"/>
              </w:rPr>
            </w:pPr>
            <w:r w:rsidRPr="0020383B">
              <w:rPr>
                <w:rFonts w:ascii="Arial" w:hAnsi="Arial" w:cs="Arial"/>
              </w:rPr>
              <w:t>11</w:t>
            </w:r>
            <w:r w:rsidR="00053AA7">
              <w:rPr>
                <w:rFonts w:ascii="Arial" w:hAnsi="Arial" w:cs="Arial"/>
              </w:rPr>
              <w:t>6</w:t>
            </w:r>
          </w:p>
        </w:tc>
        <w:tc>
          <w:tcPr>
            <w:tcW w:w="0" w:type="auto"/>
            <w:tcMar>
              <w:top w:w="150" w:type="dxa"/>
              <w:left w:w="240" w:type="dxa"/>
              <w:bottom w:w="150" w:type="dxa"/>
              <w:right w:w="240" w:type="dxa"/>
            </w:tcMar>
            <w:vAlign w:val="center"/>
            <w:hideMark/>
          </w:tcPr>
          <w:p w14:paraId="735527AB" w14:textId="08A3B3E3" w:rsidR="00CB14BE" w:rsidRPr="0020383B" w:rsidRDefault="00CB14BE" w:rsidP="0020383B">
            <w:pPr>
              <w:spacing w:line="360" w:lineRule="auto"/>
              <w:jc w:val="both"/>
              <w:rPr>
                <w:rFonts w:ascii="Arial" w:hAnsi="Arial" w:cs="Arial"/>
              </w:rPr>
            </w:pPr>
            <w:r w:rsidRPr="0020383B">
              <w:rPr>
                <w:rFonts w:ascii="Arial" w:hAnsi="Arial" w:cs="Arial"/>
              </w:rPr>
              <w:t>14</w:t>
            </w:r>
            <w:r w:rsidR="00053AA7">
              <w:rPr>
                <w:rFonts w:ascii="Arial" w:hAnsi="Arial" w:cs="Arial"/>
              </w:rPr>
              <w:t>5</w:t>
            </w:r>
          </w:p>
        </w:tc>
        <w:tc>
          <w:tcPr>
            <w:tcW w:w="0" w:type="auto"/>
            <w:tcMar>
              <w:top w:w="150" w:type="dxa"/>
              <w:left w:w="240" w:type="dxa"/>
              <w:bottom w:w="150" w:type="dxa"/>
              <w:right w:w="240" w:type="dxa"/>
            </w:tcMar>
            <w:vAlign w:val="center"/>
            <w:hideMark/>
          </w:tcPr>
          <w:p w14:paraId="24DFCC13" w14:textId="708CFE99" w:rsidR="00CB14BE" w:rsidRPr="0020383B" w:rsidRDefault="00CB14BE" w:rsidP="0020383B">
            <w:pPr>
              <w:spacing w:line="360" w:lineRule="auto"/>
              <w:jc w:val="both"/>
              <w:rPr>
                <w:rFonts w:ascii="Arial" w:hAnsi="Arial" w:cs="Arial"/>
              </w:rPr>
            </w:pPr>
            <w:r w:rsidRPr="0020383B">
              <w:rPr>
                <w:rFonts w:ascii="Arial" w:hAnsi="Arial" w:cs="Arial"/>
              </w:rPr>
              <w:t>13</w:t>
            </w:r>
            <w:r w:rsidR="00053AA7">
              <w:rPr>
                <w:rFonts w:ascii="Arial" w:hAnsi="Arial" w:cs="Arial"/>
              </w:rPr>
              <w:t>6</w:t>
            </w:r>
          </w:p>
        </w:tc>
        <w:tc>
          <w:tcPr>
            <w:tcW w:w="0" w:type="auto"/>
            <w:tcMar>
              <w:top w:w="150" w:type="dxa"/>
              <w:left w:w="240" w:type="dxa"/>
              <w:bottom w:w="150" w:type="dxa"/>
              <w:right w:w="0" w:type="dxa"/>
            </w:tcMar>
            <w:vAlign w:val="center"/>
            <w:hideMark/>
          </w:tcPr>
          <w:p w14:paraId="38A4BF9B" w14:textId="2189A107" w:rsidR="00CB14BE" w:rsidRPr="0020383B" w:rsidRDefault="00CB14BE" w:rsidP="0020383B">
            <w:pPr>
              <w:spacing w:line="360" w:lineRule="auto"/>
              <w:jc w:val="both"/>
              <w:rPr>
                <w:rFonts w:ascii="Arial" w:hAnsi="Arial" w:cs="Arial"/>
              </w:rPr>
            </w:pPr>
            <w:r w:rsidRPr="0020383B">
              <w:rPr>
                <w:rFonts w:ascii="Arial" w:hAnsi="Arial" w:cs="Arial"/>
              </w:rPr>
              <w:t>1</w:t>
            </w:r>
            <w:r w:rsidR="00053AA7">
              <w:rPr>
                <w:rFonts w:ascii="Arial" w:hAnsi="Arial" w:cs="Arial"/>
              </w:rPr>
              <w:t>24</w:t>
            </w:r>
          </w:p>
        </w:tc>
      </w:tr>
      <w:tr w:rsidR="00CB14BE" w:rsidRPr="0020383B" w14:paraId="2EB32925" w14:textId="77777777" w:rsidTr="0020383B">
        <w:trPr>
          <w:trHeight w:val="473"/>
        </w:trPr>
        <w:tc>
          <w:tcPr>
            <w:tcW w:w="0" w:type="auto"/>
            <w:tcMar>
              <w:top w:w="150" w:type="dxa"/>
              <w:left w:w="0" w:type="dxa"/>
              <w:bottom w:w="150" w:type="dxa"/>
              <w:right w:w="240" w:type="dxa"/>
            </w:tcMar>
            <w:vAlign w:val="center"/>
            <w:hideMark/>
          </w:tcPr>
          <w:p w14:paraId="6E0F9823" w14:textId="77777777" w:rsidR="00CB14BE" w:rsidRPr="0020383B" w:rsidRDefault="00CB14BE" w:rsidP="0020383B">
            <w:pPr>
              <w:spacing w:line="360" w:lineRule="auto"/>
              <w:jc w:val="both"/>
              <w:rPr>
                <w:rFonts w:ascii="Arial" w:hAnsi="Arial" w:cs="Arial"/>
              </w:rPr>
            </w:pPr>
            <w:r w:rsidRPr="0020383B">
              <w:rPr>
                <w:rFonts w:ascii="Arial" w:hAnsi="Arial" w:cs="Arial"/>
              </w:rPr>
              <w:lastRenderedPageBreak/>
              <w:t>Debt to Equity (%)</w:t>
            </w:r>
          </w:p>
        </w:tc>
        <w:tc>
          <w:tcPr>
            <w:tcW w:w="0" w:type="auto"/>
            <w:tcMar>
              <w:top w:w="150" w:type="dxa"/>
              <w:left w:w="240" w:type="dxa"/>
              <w:bottom w:w="150" w:type="dxa"/>
              <w:right w:w="240" w:type="dxa"/>
            </w:tcMar>
            <w:vAlign w:val="center"/>
            <w:hideMark/>
          </w:tcPr>
          <w:p w14:paraId="674C6C5A" w14:textId="77777777" w:rsidR="00CB14BE" w:rsidRPr="0020383B" w:rsidRDefault="00CB14BE" w:rsidP="0020383B">
            <w:pPr>
              <w:spacing w:line="360" w:lineRule="auto"/>
              <w:jc w:val="both"/>
              <w:rPr>
                <w:rFonts w:ascii="Arial" w:hAnsi="Arial" w:cs="Arial"/>
              </w:rPr>
            </w:pPr>
            <w:r w:rsidRPr="0020383B">
              <w:rPr>
                <w:rFonts w:ascii="Arial" w:hAnsi="Arial" w:cs="Arial"/>
              </w:rPr>
              <w:t>62.9</w:t>
            </w:r>
          </w:p>
        </w:tc>
        <w:tc>
          <w:tcPr>
            <w:tcW w:w="0" w:type="auto"/>
            <w:tcMar>
              <w:top w:w="150" w:type="dxa"/>
              <w:left w:w="240" w:type="dxa"/>
              <w:bottom w:w="150" w:type="dxa"/>
              <w:right w:w="240" w:type="dxa"/>
            </w:tcMar>
            <w:vAlign w:val="center"/>
            <w:hideMark/>
          </w:tcPr>
          <w:p w14:paraId="79E5996D" w14:textId="77777777" w:rsidR="00CB14BE" w:rsidRPr="0020383B" w:rsidRDefault="00CB14BE" w:rsidP="0020383B">
            <w:pPr>
              <w:spacing w:line="360" w:lineRule="auto"/>
              <w:jc w:val="both"/>
              <w:rPr>
                <w:rFonts w:ascii="Arial" w:hAnsi="Arial" w:cs="Arial"/>
              </w:rPr>
            </w:pPr>
            <w:r w:rsidRPr="0020383B">
              <w:rPr>
                <w:rFonts w:ascii="Arial" w:hAnsi="Arial" w:cs="Arial"/>
              </w:rPr>
              <w:t>85.0</w:t>
            </w:r>
          </w:p>
        </w:tc>
        <w:tc>
          <w:tcPr>
            <w:tcW w:w="0" w:type="auto"/>
            <w:tcMar>
              <w:top w:w="150" w:type="dxa"/>
              <w:left w:w="240" w:type="dxa"/>
              <w:bottom w:w="150" w:type="dxa"/>
              <w:right w:w="240" w:type="dxa"/>
            </w:tcMar>
            <w:vAlign w:val="center"/>
            <w:hideMark/>
          </w:tcPr>
          <w:p w14:paraId="783BD78A" w14:textId="77777777" w:rsidR="00CB14BE" w:rsidRPr="0020383B" w:rsidRDefault="00CB14BE" w:rsidP="0020383B">
            <w:pPr>
              <w:spacing w:line="360" w:lineRule="auto"/>
              <w:jc w:val="both"/>
              <w:rPr>
                <w:rFonts w:ascii="Arial" w:hAnsi="Arial" w:cs="Arial"/>
              </w:rPr>
            </w:pPr>
            <w:r w:rsidRPr="0020383B">
              <w:rPr>
                <w:rFonts w:ascii="Arial" w:hAnsi="Arial" w:cs="Arial"/>
              </w:rPr>
              <w:t>87.8</w:t>
            </w:r>
          </w:p>
        </w:tc>
        <w:tc>
          <w:tcPr>
            <w:tcW w:w="0" w:type="auto"/>
            <w:tcMar>
              <w:top w:w="150" w:type="dxa"/>
              <w:left w:w="240" w:type="dxa"/>
              <w:bottom w:w="150" w:type="dxa"/>
              <w:right w:w="240" w:type="dxa"/>
            </w:tcMar>
            <w:vAlign w:val="center"/>
            <w:hideMark/>
          </w:tcPr>
          <w:p w14:paraId="2AC8CD88" w14:textId="77777777" w:rsidR="00CB14BE" w:rsidRPr="0020383B" w:rsidRDefault="00CB14BE" w:rsidP="0020383B">
            <w:pPr>
              <w:spacing w:line="360" w:lineRule="auto"/>
              <w:jc w:val="both"/>
              <w:rPr>
                <w:rFonts w:ascii="Arial" w:hAnsi="Arial" w:cs="Arial"/>
              </w:rPr>
            </w:pPr>
            <w:r w:rsidRPr="0020383B">
              <w:rPr>
                <w:rFonts w:ascii="Arial" w:hAnsi="Arial" w:cs="Arial"/>
              </w:rPr>
              <w:t>98.9</w:t>
            </w:r>
          </w:p>
        </w:tc>
        <w:tc>
          <w:tcPr>
            <w:tcW w:w="0" w:type="auto"/>
            <w:tcMar>
              <w:top w:w="150" w:type="dxa"/>
              <w:left w:w="240" w:type="dxa"/>
              <w:bottom w:w="150" w:type="dxa"/>
              <w:right w:w="0" w:type="dxa"/>
            </w:tcMar>
            <w:vAlign w:val="center"/>
            <w:hideMark/>
          </w:tcPr>
          <w:p w14:paraId="7481B2BE" w14:textId="77777777" w:rsidR="00CB14BE" w:rsidRPr="0020383B" w:rsidRDefault="00CB14BE" w:rsidP="0020383B">
            <w:pPr>
              <w:spacing w:line="360" w:lineRule="auto"/>
              <w:jc w:val="both"/>
              <w:rPr>
                <w:rFonts w:ascii="Arial" w:hAnsi="Arial" w:cs="Arial"/>
              </w:rPr>
            </w:pPr>
            <w:r w:rsidRPr="0020383B">
              <w:rPr>
                <w:rFonts w:ascii="Arial" w:hAnsi="Arial" w:cs="Arial"/>
              </w:rPr>
              <w:t>111.2</w:t>
            </w:r>
          </w:p>
        </w:tc>
      </w:tr>
      <w:tr w:rsidR="00CB14BE" w:rsidRPr="0020383B" w14:paraId="7D80D465" w14:textId="77777777" w:rsidTr="0020383B">
        <w:trPr>
          <w:trHeight w:val="463"/>
        </w:trPr>
        <w:tc>
          <w:tcPr>
            <w:tcW w:w="0" w:type="auto"/>
            <w:tcMar>
              <w:top w:w="150" w:type="dxa"/>
              <w:left w:w="0" w:type="dxa"/>
              <w:bottom w:w="150" w:type="dxa"/>
              <w:right w:w="240" w:type="dxa"/>
            </w:tcMar>
            <w:vAlign w:val="center"/>
            <w:hideMark/>
          </w:tcPr>
          <w:p w14:paraId="2A3E4FAD" w14:textId="77777777" w:rsidR="00CB14BE" w:rsidRPr="0020383B" w:rsidRDefault="00CB14BE" w:rsidP="0020383B">
            <w:pPr>
              <w:spacing w:line="360" w:lineRule="auto"/>
              <w:jc w:val="both"/>
              <w:rPr>
                <w:rFonts w:ascii="Arial" w:hAnsi="Arial" w:cs="Arial"/>
              </w:rPr>
            </w:pPr>
            <w:r w:rsidRPr="0020383B">
              <w:rPr>
                <w:rFonts w:ascii="Arial" w:hAnsi="Arial" w:cs="Arial"/>
              </w:rPr>
              <w:t>Debt to Capital (%)</w:t>
            </w:r>
          </w:p>
        </w:tc>
        <w:tc>
          <w:tcPr>
            <w:tcW w:w="0" w:type="auto"/>
            <w:tcMar>
              <w:top w:w="150" w:type="dxa"/>
              <w:left w:w="240" w:type="dxa"/>
              <w:bottom w:w="150" w:type="dxa"/>
              <w:right w:w="240" w:type="dxa"/>
            </w:tcMar>
            <w:vAlign w:val="center"/>
            <w:hideMark/>
          </w:tcPr>
          <w:p w14:paraId="33837485" w14:textId="77777777" w:rsidR="00CB14BE" w:rsidRPr="0020383B" w:rsidRDefault="00CB14BE" w:rsidP="0020383B">
            <w:pPr>
              <w:spacing w:line="360" w:lineRule="auto"/>
              <w:jc w:val="both"/>
              <w:rPr>
                <w:rFonts w:ascii="Arial" w:hAnsi="Arial" w:cs="Arial"/>
              </w:rPr>
            </w:pPr>
            <w:r w:rsidRPr="0020383B">
              <w:rPr>
                <w:rFonts w:ascii="Arial" w:hAnsi="Arial" w:cs="Arial"/>
              </w:rPr>
              <w:t>38.6</w:t>
            </w:r>
          </w:p>
        </w:tc>
        <w:tc>
          <w:tcPr>
            <w:tcW w:w="0" w:type="auto"/>
            <w:tcMar>
              <w:top w:w="150" w:type="dxa"/>
              <w:left w:w="240" w:type="dxa"/>
              <w:bottom w:w="150" w:type="dxa"/>
              <w:right w:w="240" w:type="dxa"/>
            </w:tcMar>
            <w:vAlign w:val="center"/>
            <w:hideMark/>
          </w:tcPr>
          <w:p w14:paraId="5519CF88" w14:textId="77777777" w:rsidR="00CB14BE" w:rsidRPr="0020383B" w:rsidRDefault="00CB14BE" w:rsidP="0020383B">
            <w:pPr>
              <w:spacing w:line="360" w:lineRule="auto"/>
              <w:jc w:val="both"/>
              <w:rPr>
                <w:rFonts w:ascii="Arial" w:hAnsi="Arial" w:cs="Arial"/>
              </w:rPr>
            </w:pPr>
            <w:r w:rsidRPr="0020383B">
              <w:rPr>
                <w:rFonts w:ascii="Arial" w:hAnsi="Arial" w:cs="Arial"/>
              </w:rPr>
              <w:t>45.9</w:t>
            </w:r>
          </w:p>
        </w:tc>
        <w:tc>
          <w:tcPr>
            <w:tcW w:w="0" w:type="auto"/>
            <w:tcMar>
              <w:top w:w="150" w:type="dxa"/>
              <w:left w:w="240" w:type="dxa"/>
              <w:bottom w:w="150" w:type="dxa"/>
              <w:right w:w="240" w:type="dxa"/>
            </w:tcMar>
            <w:vAlign w:val="center"/>
            <w:hideMark/>
          </w:tcPr>
          <w:p w14:paraId="5A3B7D9B" w14:textId="77777777" w:rsidR="00CB14BE" w:rsidRPr="0020383B" w:rsidRDefault="00CB14BE" w:rsidP="0020383B">
            <w:pPr>
              <w:spacing w:line="360" w:lineRule="auto"/>
              <w:jc w:val="both"/>
              <w:rPr>
                <w:rFonts w:ascii="Arial" w:hAnsi="Arial" w:cs="Arial"/>
              </w:rPr>
            </w:pPr>
            <w:r w:rsidRPr="0020383B">
              <w:rPr>
                <w:rFonts w:ascii="Arial" w:hAnsi="Arial" w:cs="Arial"/>
              </w:rPr>
              <w:t>46.8</w:t>
            </w:r>
          </w:p>
        </w:tc>
        <w:tc>
          <w:tcPr>
            <w:tcW w:w="0" w:type="auto"/>
            <w:tcMar>
              <w:top w:w="150" w:type="dxa"/>
              <w:left w:w="240" w:type="dxa"/>
              <w:bottom w:w="150" w:type="dxa"/>
              <w:right w:w="240" w:type="dxa"/>
            </w:tcMar>
            <w:vAlign w:val="center"/>
            <w:hideMark/>
          </w:tcPr>
          <w:p w14:paraId="374E7E0C" w14:textId="77777777" w:rsidR="00CB14BE" w:rsidRPr="0020383B" w:rsidRDefault="00CB14BE" w:rsidP="0020383B">
            <w:pPr>
              <w:spacing w:line="360" w:lineRule="auto"/>
              <w:jc w:val="both"/>
              <w:rPr>
                <w:rFonts w:ascii="Arial" w:hAnsi="Arial" w:cs="Arial"/>
              </w:rPr>
            </w:pPr>
            <w:r w:rsidRPr="0020383B">
              <w:rPr>
                <w:rFonts w:ascii="Arial" w:hAnsi="Arial" w:cs="Arial"/>
              </w:rPr>
              <w:t>49.7</w:t>
            </w:r>
          </w:p>
        </w:tc>
        <w:tc>
          <w:tcPr>
            <w:tcW w:w="0" w:type="auto"/>
            <w:tcMar>
              <w:top w:w="150" w:type="dxa"/>
              <w:left w:w="240" w:type="dxa"/>
              <w:bottom w:w="150" w:type="dxa"/>
              <w:right w:w="0" w:type="dxa"/>
            </w:tcMar>
            <w:vAlign w:val="center"/>
            <w:hideMark/>
          </w:tcPr>
          <w:p w14:paraId="59466AEC" w14:textId="77777777" w:rsidR="00CB14BE" w:rsidRPr="0020383B" w:rsidRDefault="00CB14BE" w:rsidP="0020383B">
            <w:pPr>
              <w:spacing w:line="360" w:lineRule="auto"/>
              <w:jc w:val="both"/>
              <w:rPr>
                <w:rFonts w:ascii="Arial" w:hAnsi="Arial" w:cs="Arial"/>
              </w:rPr>
            </w:pPr>
            <w:r w:rsidRPr="0020383B">
              <w:rPr>
                <w:rFonts w:ascii="Arial" w:hAnsi="Arial" w:cs="Arial"/>
              </w:rPr>
              <w:t>52.7</w:t>
            </w:r>
          </w:p>
        </w:tc>
      </w:tr>
      <w:tr w:rsidR="00CB14BE" w:rsidRPr="0020383B" w14:paraId="31C83658" w14:textId="77777777" w:rsidTr="0020383B">
        <w:trPr>
          <w:trHeight w:val="483"/>
        </w:trPr>
        <w:tc>
          <w:tcPr>
            <w:tcW w:w="0" w:type="auto"/>
            <w:tcMar>
              <w:top w:w="150" w:type="dxa"/>
              <w:left w:w="0" w:type="dxa"/>
              <w:bottom w:w="150" w:type="dxa"/>
              <w:right w:w="240" w:type="dxa"/>
            </w:tcMar>
            <w:vAlign w:val="center"/>
            <w:hideMark/>
          </w:tcPr>
          <w:p w14:paraId="52611FC6" w14:textId="77777777" w:rsidR="00CB14BE" w:rsidRPr="0020383B" w:rsidRDefault="00CB14BE" w:rsidP="0020383B">
            <w:pPr>
              <w:spacing w:line="360" w:lineRule="auto"/>
              <w:jc w:val="both"/>
              <w:rPr>
                <w:rFonts w:ascii="Arial" w:hAnsi="Arial" w:cs="Arial"/>
              </w:rPr>
            </w:pPr>
            <w:r w:rsidRPr="0020383B">
              <w:rPr>
                <w:rFonts w:ascii="Arial" w:hAnsi="Arial" w:cs="Arial"/>
              </w:rPr>
              <w:t>Interest Cover (times)</w:t>
            </w:r>
          </w:p>
        </w:tc>
        <w:tc>
          <w:tcPr>
            <w:tcW w:w="0" w:type="auto"/>
            <w:tcMar>
              <w:top w:w="150" w:type="dxa"/>
              <w:left w:w="240" w:type="dxa"/>
              <w:bottom w:w="150" w:type="dxa"/>
              <w:right w:w="240" w:type="dxa"/>
            </w:tcMar>
            <w:vAlign w:val="center"/>
            <w:hideMark/>
          </w:tcPr>
          <w:p w14:paraId="730CDD25" w14:textId="77777777" w:rsidR="00CB14BE" w:rsidRPr="0020383B" w:rsidRDefault="00CB14BE" w:rsidP="0020383B">
            <w:pPr>
              <w:spacing w:line="360" w:lineRule="auto"/>
              <w:jc w:val="both"/>
              <w:rPr>
                <w:rFonts w:ascii="Arial" w:hAnsi="Arial" w:cs="Arial"/>
              </w:rPr>
            </w:pPr>
            <w:r w:rsidRPr="0020383B">
              <w:rPr>
                <w:rFonts w:ascii="Arial" w:hAnsi="Arial" w:cs="Arial"/>
              </w:rPr>
              <w:t>-26.2</w:t>
            </w:r>
          </w:p>
        </w:tc>
        <w:tc>
          <w:tcPr>
            <w:tcW w:w="0" w:type="auto"/>
            <w:tcMar>
              <w:top w:w="150" w:type="dxa"/>
              <w:left w:w="240" w:type="dxa"/>
              <w:bottom w:w="150" w:type="dxa"/>
              <w:right w:w="240" w:type="dxa"/>
            </w:tcMar>
            <w:vAlign w:val="center"/>
            <w:hideMark/>
          </w:tcPr>
          <w:p w14:paraId="4F8CDC10" w14:textId="77777777" w:rsidR="00CB14BE" w:rsidRPr="0020383B" w:rsidRDefault="00CB14BE" w:rsidP="0020383B">
            <w:pPr>
              <w:spacing w:line="360" w:lineRule="auto"/>
              <w:jc w:val="both"/>
              <w:rPr>
                <w:rFonts w:ascii="Arial" w:hAnsi="Arial" w:cs="Arial"/>
              </w:rPr>
            </w:pPr>
            <w:r w:rsidRPr="0020383B">
              <w:rPr>
                <w:rFonts w:ascii="Arial" w:hAnsi="Arial" w:cs="Arial"/>
              </w:rPr>
              <w:t>-41.1</w:t>
            </w:r>
          </w:p>
        </w:tc>
        <w:tc>
          <w:tcPr>
            <w:tcW w:w="0" w:type="auto"/>
            <w:tcMar>
              <w:top w:w="150" w:type="dxa"/>
              <w:left w:w="240" w:type="dxa"/>
              <w:bottom w:w="150" w:type="dxa"/>
              <w:right w:w="240" w:type="dxa"/>
            </w:tcMar>
            <w:vAlign w:val="center"/>
            <w:hideMark/>
          </w:tcPr>
          <w:p w14:paraId="69E322F5" w14:textId="77777777" w:rsidR="00CB14BE" w:rsidRPr="0020383B" w:rsidRDefault="00CB14BE" w:rsidP="0020383B">
            <w:pPr>
              <w:spacing w:line="360" w:lineRule="auto"/>
              <w:jc w:val="both"/>
              <w:rPr>
                <w:rFonts w:ascii="Arial" w:hAnsi="Arial" w:cs="Arial"/>
              </w:rPr>
            </w:pPr>
            <w:r w:rsidRPr="0020383B">
              <w:rPr>
                <w:rFonts w:ascii="Arial" w:hAnsi="Arial" w:cs="Arial"/>
              </w:rPr>
              <w:t>-6.6</w:t>
            </w:r>
          </w:p>
        </w:tc>
        <w:tc>
          <w:tcPr>
            <w:tcW w:w="0" w:type="auto"/>
            <w:tcMar>
              <w:top w:w="150" w:type="dxa"/>
              <w:left w:w="240" w:type="dxa"/>
              <w:bottom w:w="150" w:type="dxa"/>
              <w:right w:w="240" w:type="dxa"/>
            </w:tcMar>
            <w:vAlign w:val="center"/>
            <w:hideMark/>
          </w:tcPr>
          <w:p w14:paraId="49C10657" w14:textId="77777777" w:rsidR="00CB14BE" w:rsidRPr="0020383B" w:rsidRDefault="00CB14BE" w:rsidP="0020383B">
            <w:pPr>
              <w:spacing w:line="360" w:lineRule="auto"/>
              <w:jc w:val="both"/>
              <w:rPr>
                <w:rFonts w:ascii="Arial" w:hAnsi="Arial" w:cs="Arial"/>
              </w:rPr>
            </w:pPr>
            <w:r w:rsidRPr="0020383B">
              <w:rPr>
                <w:rFonts w:ascii="Arial" w:hAnsi="Arial" w:cs="Arial"/>
              </w:rPr>
              <w:t>-19.7</w:t>
            </w:r>
          </w:p>
        </w:tc>
        <w:tc>
          <w:tcPr>
            <w:tcW w:w="0" w:type="auto"/>
            <w:tcMar>
              <w:top w:w="150" w:type="dxa"/>
              <w:left w:w="240" w:type="dxa"/>
              <w:bottom w:w="150" w:type="dxa"/>
              <w:right w:w="0" w:type="dxa"/>
            </w:tcMar>
            <w:vAlign w:val="center"/>
            <w:hideMark/>
          </w:tcPr>
          <w:p w14:paraId="0D1D22AE" w14:textId="77777777" w:rsidR="00CB14BE" w:rsidRPr="0020383B" w:rsidRDefault="00CB14BE" w:rsidP="0020383B">
            <w:pPr>
              <w:spacing w:line="360" w:lineRule="auto"/>
              <w:jc w:val="both"/>
              <w:rPr>
                <w:rFonts w:ascii="Arial" w:hAnsi="Arial" w:cs="Arial"/>
              </w:rPr>
            </w:pPr>
            <w:r w:rsidRPr="0020383B">
              <w:rPr>
                <w:rFonts w:ascii="Arial" w:hAnsi="Arial" w:cs="Arial"/>
              </w:rPr>
              <w:t>-4.6</w:t>
            </w:r>
          </w:p>
        </w:tc>
      </w:tr>
    </w:tbl>
    <w:p w14:paraId="68D98C3B" w14:textId="0A213A18" w:rsidR="00302504" w:rsidRDefault="00CB14BE" w:rsidP="00EC26B4">
      <w:pPr>
        <w:spacing w:line="360" w:lineRule="auto"/>
        <w:jc w:val="both"/>
        <w:rPr>
          <w:rFonts w:ascii="Arial" w:hAnsi="Arial" w:cs="Arial"/>
        </w:rPr>
      </w:pPr>
      <w:r w:rsidRPr="00CB14BE">
        <w:rPr>
          <w:rFonts w:ascii="Arial" w:hAnsi="Arial" w:cs="Arial"/>
        </w:rPr>
        <w:t>This comprehensive analysis shows the dramatic financial decline of General Electronics from a profitable company in 2020 to one in severe distress by 2024, with negative profitability, deteriorating liquidity, and dangerously high leverage.</w:t>
      </w:r>
    </w:p>
    <w:p w14:paraId="7A7229CF" w14:textId="7410132E" w:rsidR="00523A5C" w:rsidRPr="00523A5C" w:rsidRDefault="00523A5C" w:rsidP="00523A5C">
      <w:pPr>
        <w:spacing w:line="360" w:lineRule="auto"/>
        <w:jc w:val="both"/>
        <w:rPr>
          <w:rFonts w:ascii="Arial" w:hAnsi="Arial" w:cs="Arial"/>
          <w:b/>
          <w:bCs/>
        </w:rPr>
      </w:pPr>
      <w:r w:rsidRPr="00CD15FF">
        <w:rPr>
          <w:rFonts w:ascii="Arial" w:hAnsi="Arial" w:cs="Arial"/>
          <w:b/>
          <w:bCs/>
        </w:rPr>
        <w:t>Appendix Table 1</w:t>
      </w:r>
      <w:r>
        <w:rPr>
          <w:rFonts w:ascii="Arial" w:hAnsi="Arial" w:cs="Arial"/>
          <w:b/>
          <w:bCs/>
        </w:rPr>
        <w:t xml:space="preserve">.1: </w:t>
      </w:r>
      <w:r w:rsidRPr="00523A5C">
        <w:rPr>
          <w:rFonts w:ascii="Arial" w:hAnsi="Arial" w:cs="Arial"/>
          <w:b/>
          <w:bCs/>
        </w:rPr>
        <w:t>Detailed Ratio Analysis</w:t>
      </w:r>
      <w:r>
        <w:rPr>
          <w:rFonts w:ascii="Arial" w:hAnsi="Arial" w:cs="Arial"/>
          <w:b/>
          <w:bCs/>
        </w:rPr>
        <w:t xml:space="preserve"> Percentages Changes For</w:t>
      </w:r>
      <w:r w:rsidRPr="00523A5C">
        <w:rPr>
          <w:rFonts w:ascii="Arial" w:hAnsi="Arial" w:cs="Arial"/>
          <w:b/>
          <w:bCs/>
        </w:rPr>
        <w:t xml:space="preserve"> (2020-2024)</w:t>
      </w:r>
    </w:p>
    <w:p w14:paraId="13CF8868" w14:textId="5EF320DA" w:rsidR="000E7C99" w:rsidRDefault="00523A5C" w:rsidP="00EC26B4">
      <w:pPr>
        <w:spacing w:line="360" w:lineRule="auto"/>
        <w:jc w:val="both"/>
        <w:rPr>
          <w:rFonts w:ascii="Arial" w:hAnsi="Arial" w:cs="Arial"/>
        </w:rPr>
      </w:pPr>
      <w:r>
        <w:rPr>
          <w:rFonts w:ascii="Arial" w:hAnsi="Arial" w:cs="Arial"/>
          <w:noProof/>
        </w:rPr>
        <w:drawing>
          <wp:inline distT="0" distB="0" distL="0" distR="0" wp14:anchorId="30404508" wp14:editId="61465C5D">
            <wp:extent cx="6690360" cy="3553896"/>
            <wp:effectExtent l="0" t="0" r="0" b="8890"/>
            <wp:docPr id="8684766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476660" name="Picture 1" descr="A screenshot of a compute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705258" cy="3561810"/>
                    </a:xfrm>
                    <a:prstGeom prst="rect">
                      <a:avLst/>
                    </a:prstGeom>
                  </pic:spPr>
                </pic:pic>
              </a:graphicData>
            </a:graphic>
          </wp:inline>
        </w:drawing>
      </w:r>
    </w:p>
    <w:p w14:paraId="1DFB3BBA" w14:textId="7F026C3E" w:rsidR="00523A5C" w:rsidRPr="00523A5C" w:rsidRDefault="00523A5C" w:rsidP="00523A5C">
      <w:pPr>
        <w:spacing w:line="360" w:lineRule="auto"/>
        <w:rPr>
          <w:rFonts w:ascii="Arial" w:hAnsi="Arial" w:cs="Arial"/>
        </w:rPr>
      </w:pPr>
      <w:r w:rsidRPr="00523A5C">
        <w:rPr>
          <w:rFonts w:ascii="Arial" w:hAnsi="Arial" w:cs="Arial"/>
        </w:rPr>
        <w:t>Notes:</w:t>
      </w:r>
      <w:r>
        <w:rPr>
          <w:rFonts w:ascii="Arial" w:hAnsi="Arial" w:cs="Arial"/>
        </w:rPr>
        <w:t xml:space="preserve"> (</w:t>
      </w:r>
      <w:r w:rsidRPr="00523A5C">
        <w:rPr>
          <w:rFonts w:ascii="Arial" w:hAnsi="Arial" w:cs="Arial"/>
        </w:rPr>
        <w:t>N/M = Not Meaningful ratio cannot be logically interpreted</w:t>
      </w:r>
      <w:r>
        <w:rPr>
          <w:rFonts w:ascii="Arial" w:hAnsi="Arial" w:cs="Arial"/>
        </w:rPr>
        <w:t xml:space="preserve">, </w:t>
      </w:r>
      <w:r w:rsidRPr="00523A5C">
        <w:rPr>
          <w:rFonts w:ascii="Arial" w:hAnsi="Arial" w:cs="Arial"/>
        </w:rPr>
        <w:t>N/A = Not Applicable (percentage change cannot be calculated</w:t>
      </w:r>
      <w:r>
        <w:rPr>
          <w:rFonts w:ascii="Arial" w:hAnsi="Arial" w:cs="Arial"/>
        </w:rPr>
        <w:t xml:space="preserve">, </w:t>
      </w:r>
      <w:r w:rsidRPr="00523A5C">
        <w:rPr>
          <w:rFonts w:ascii="Arial" w:hAnsi="Arial" w:cs="Arial"/>
        </w:rPr>
        <w:t xml:space="preserve">Percentage changes calculated as: </w:t>
      </w:r>
      <w:r w:rsidRPr="00523A5C">
        <w:rPr>
          <w:rFonts w:ascii="Arial" w:hAnsi="Arial" w:cs="Arial"/>
          <w:b/>
          <w:bCs/>
        </w:rPr>
        <w:t>[(Current Year - Previous Year) / Previous Year] × 100).</w:t>
      </w:r>
    </w:p>
    <w:p w14:paraId="03BE3B32" w14:textId="77777777" w:rsidR="00523A5C" w:rsidRDefault="00523A5C" w:rsidP="0092094B">
      <w:pPr>
        <w:rPr>
          <w:rFonts w:ascii="Arial" w:hAnsi="Arial" w:cs="Arial"/>
          <w:b/>
          <w:bCs/>
        </w:rPr>
      </w:pPr>
    </w:p>
    <w:p w14:paraId="6924D5BB" w14:textId="0723CEB9" w:rsidR="008A2694" w:rsidRPr="00CD15FF" w:rsidRDefault="00CD15FF" w:rsidP="0092094B">
      <w:pPr>
        <w:rPr>
          <w:rFonts w:ascii="Arial" w:hAnsi="Arial" w:cs="Arial"/>
          <w:b/>
          <w:bCs/>
        </w:rPr>
      </w:pPr>
      <w:r>
        <w:rPr>
          <w:rFonts w:ascii="Arial" w:hAnsi="Arial" w:cs="Arial"/>
          <w:b/>
          <w:bCs/>
        </w:rPr>
        <w:t xml:space="preserve">Appendix </w:t>
      </w:r>
      <w:r w:rsidR="00302504" w:rsidRPr="00CD15FF">
        <w:rPr>
          <w:rFonts w:ascii="Arial" w:hAnsi="Arial" w:cs="Arial"/>
          <w:b/>
          <w:bCs/>
        </w:rPr>
        <w:t>Table</w:t>
      </w:r>
      <w:r w:rsidR="008A2694" w:rsidRPr="00CD15FF">
        <w:rPr>
          <w:rFonts w:ascii="Arial" w:hAnsi="Arial" w:cs="Arial"/>
          <w:b/>
          <w:bCs/>
        </w:rPr>
        <w:t xml:space="preserve"> 2</w:t>
      </w:r>
      <w:r w:rsidR="00302504" w:rsidRPr="00CD15FF">
        <w:rPr>
          <w:rFonts w:ascii="Arial" w:hAnsi="Arial" w:cs="Arial"/>
          <w:b/>
          <w:bCs/>
        </w:rPr>
        <w:t>:</w:t>
      </w:r>
      <w:r w:rsidR="008A2694" w:rsidRPr="00CD15FF">
        <w:rPr>
          <w:rFonts w:ascii="Arial" w:hAnsi="Arial" w:cs="Arial"/>
          <w:b/>
          <w:bCs/>
        </w:rPr>
        <w:t xml:space="preserve"> Summary of Appraisal Results</w:t>
      </w:r>
      <w:r w:rsidR="00302504" w:rsidRPr="00CD15FF">
        <w:rPr>
          <w:rFonts w:ascii="Arial" w:hAnsi="Arial" w:cs="Arial"/>
          <w:b/>
          <w:bCs/>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753"/>
        <w:gridCol w:w="1441"/>
        <w:gridCol w:w="1454"/>
        <w:gridCol w:w="1467"/>
      </w:tblGrid>
      <w:tr w:rsidR="008A2694" w:rsidRPr="0020383B" w14:paraId="1C2C79A0" w14:textId="77777777" w:rsidTr="0020383B">
        <w:trPr>
          <w:tblHeader/>
        </w:trPr>
        <w:tc>
          <w:tcPr>
            <w:tcW w:w="0" w:type="auto"/>
            <w:tcMar>
              <w:top w:w="150" w:type="dxa"/>
              <w:left w:w="0" w:type="dxa"/>
              <w:bottom w:w="150" w:type="dxa"/>
              <w:right w:w="240" w:type="dxa"/>
            </w:tcMar>
            <w:vAlign w:val="center"/>
            <w:hideMark/>
          </w:tcPr>
          <w:p w14:paraId="4528500F" w14:textId="77777777" w:rsidR="008A2694" w:rsidRPr="0020383B" w:rsidRDefault="008A2694" w:rsidP="008A2694">
            <w:pPr>
              <w:spacing w:line="360" w:lineRule="auto"/>
              <w:jc w:val="both"/>
              <w:rPr>
                <w:rFonts w:ascii="Arial" w:hAnsi="Arial" w:cs="Arial"/>
              </w:rPr>
            </w:pPr>
            <w:r w:rsidRPr="0020383B">
              <w:rPr>
                <w:rFonts w:ascii="Arial" w:hAnsi="Arial" w:cs="Arial"/>
              </w:rPr>
              <w:t>Metric</w:t>
            </w:r>
          </w:p>
        </w:tc>
        <w:tc>
          <w:tcPr>
            <w:tcW w:w="0" w:type="auto"/>
            <w:tcMar>
              <w:top w:w="150" w:type="dxa"/>
              <w:left w:w="240" w:type="dxa"/>
              <w:bottom w:w="150" w:type="dxa"/>
              <w:right w:w="240" w:type="dxa"/>
            </w:tcMar>
            <w:vAlign w:val="center"/>
            <w:hideMark/>
          </w:tcPr>
          <w:p w14:paraId="36942338" w14:textId="77777777" w:rsidR="008A2694" w:rsidRPr="0020383B" w:rsidRDefault="008A2694" w:rsidP="008A2694">
            <w:pPr>
              <w:spacing w:line="360" w:lineRule="auto"/>
              <w:jc w:val="both"/>
              <w:rPr>
                <w:rFonts w:ascii="Arial" w:hAnsi="Arial" w:cs="Arial"/>
              </w:rPr>
            </w:pPr>
            <w:r w:rsidRPr="0020383B">
              <w:rPr>
                <w:rFonts w:ascii="Arial" w:hAnsi="Arial" w:cs="Arial"/>
              </w:rPr>
              <w:t>Project A</w:t>
            </w:r>
          </w:p>
        </w:tc>
        <w:tc>
          <w:tcPr>
            <w:tcW w:w="0" w:type="auto"/>
            <w:tcMar>
              <w:top w:w="150" w:type="dxa"/>
              <w:left w:w="240" w:type="dxa"/>
              <w:bottom w:w="150" w:type="dxa"/>
              <w:right w:w="240" w:type="dxa"/>
            </w:tcMar>
            <w:vAlign w:val="center"/>
            <w:hideMark/>
          </w:tcPr>
          <w:p w14:paraId="6C17F807" w14:textId="77777777" w:rsidR="008A2694" w:rsidRPr="0020383B" w:rsidRDefault="008A2694" w:rsidP="008A2694">
            <w:pPr>
              <w:spacing w:line="360" w:lineRule="auto"/>
              <w:jc w:val="both"/>
              <w:rPr>
                <w:rFonts w:ascii="Arial" w:hAnsi="Arial" w:cs="Arial"/>
              </w:rPr>
            </w:pPr>
            <w:r w:rsidRPr="0020383B">
              <w:rPr>
                <w:rFonts w:ascii="Arial" w:hAnsi="Arial" w:cs="Arial"/>
              </w:rPr>
              <w:t>Project B</w:t>
            </w:r>
          </w:p>
        </w:tc>
        <w:tc>
          <w:tcPr>
            <w:tcW w:w="0" w:type="auto"/>
            <w:tcMar>
              <w:top w:w="150" w:type="dxa"/>
              <w:left w:w="240" w:type="dxa"/>
              <w:bottom w:w="150" w:type="dxa"/>
              <w:right w:w="240" w:type="dxa"/>
            </w:tcMar>
            <w:vAlign w:val="center"/>
            <w:hideMark/>
          </w:tcPr>
          <w:p w14:paraId="6E9318D4" w14:textId="77777777" w:rsidR="008A2694" w:rsidRPr="0020383B" w:rsidRDefault="008A2694" w:rsidP="008A2694">
            <w:pPr>
              <w:spacing w:line="360" w:lineRule="auto"/>
              <w:jc w:val="both"/>
              <w:rPr>
                <w:rFonts w:ascii="Arial" w:hAnsi="Arial" w:cs="Arial"/>
              </w:rPr>
            </w:pPr>
            <w:r w:rsidRPr="0020383B">
              <w:rPr>
                <w:rFonts w:ascii="Arial" w:hAnsi="Arial" w:cs="Arial"/>
              </w:rPr>
              <w:t>Project C</w:t>
            </w:r>
          </w:p>
        </w:tc>
      </w:tr>
      <w:tr w:rsidR="008A2694" w:rsidRPr="0020383B" w14:paraId="4292217D" w14:textId="77777777" w:rsidTr="0020383B">
        <w:tc>
          <w:tcPr>
            <w:tcW w:w="0" w:type="auto"/>
            <w:tcMar>
              <w:top w:w="150" w:type="dxa"/>
              <w:left w:w="0" w:type="dxa"/>
              <w:bottom w:w="150" w:type="dxa"/>
              <w:right w:w="240" w:type="dxa"/>
            </w:tcMar>
            <w:vAlign w:val="center"/>
            <w:hideMark/>
          </w:tcPr>
          <w:p w14:paraId="7142A54C" w14:textId="77777777" w:rsidR="008A2694" w:rsidRPr="0020383B" w:rsidRDefault="008A2694" w:rsidP="008A2694">
            <w:pPr>
              <w:spacing w:line="360" w:lineRule="auto"/>
              <w:jc w:val="both"/>
              <w:rPr>
                <w:rFonts w:ascii="Arial" w:hAnsi="Arial" w:cs="Arial"/>
              </w:rPr>
            </w:pPr>
            <w:r w:rsidRPr="0020383B">
              <w:rPr>
                <w:rFonts w:ascii="Arial" w:hAnsi="Arial" w:cs="Arial"/>
              </w:rPr>
              <w:t>Payback Period (Years)</w:t>
            </w:r>
          </w:p>
        </w:tc>
        <w:tc>
          <w:tcPr>
            <w:tcW w:w="0" w:type="auto"/>
            <w:tcMar>
              <w:top w:w="150" w:type="dxa"/>
              <w:left w:w="240" w:type="dxa"/>
              <w:bottom w:w="150" w:type="dxa"/>
              <w:right w:w="240" w:type="dxa"/>
            </w:tcMar>
            <w:vAlign w:val="center"/>
            <w:hideMark/>
          </w:tcPr>
          <w:p w14:paraId="24CC3AF7" w14:textId="77777777" w:rsidR="008A2694" w:rsidRPr="0020383B" w:rsidRDefault="008A2694" w:rsidP="008A2694">
            <w:pPr>
              <w:spacing w:line="360" w:lineRule="auto"/>
              <w:jc w:val="both"/>
              <w:rPr>
                <w:rFonts w:ascii="Arial" w:hAnsi="Arial" w:cs="Arial"/>
              </w:rPr>
            </w:pPr>
            <w:r w:rsidRPr="0020383B">
              <w:rPr>
                <w:rFonts w:ascii="Arial" w:hAnsi="Arial" w:cs="Arial"/>
              </w:rPr>
              <w:t>3.4</w:t>
            </w:r>
          </w:p>
        </w:tc>
        <w:tc>
          <w:tcPr>
            <w:tcW w:w="0" w:type="auto"/>
            <w:tcMar>
              <w:top w:w="150" w:type="dxa"/>
              <w:left w:w="240" w:type="dxa"/>
              <w:bottom w:w="150" w:type="dxa"/>
              <w:right w:w="240" w:type="dxa"/>
            </w:tcMar>
            <w:vAlign w:val="center"/>
            <w:hideMark/>
          </w:tcPr>
          <w:p w14:paraId="49FECE00" w14:textId="77777777" w:rsidR="008A2694" w:rsidRPr="0020383B" w:rsidRDefault="008A2694" w:rsidP="008A2694">
            <w:pPr>
              <w:spacing w:line="360" w:lineRule="auto"/>
              <w:jc w:val="both"/>
              <w:rPr>
                <w:rFonts w:ascii="Arial" w:hAnsi="Arial" w:cs="Arial"/>
              </w:rPr>
            </w:pPr>
            <w:r w:rsidRPr="0020383B">
              <w:rPr>
                <w:rFonts w:ascii="Arial" w:hAnsi="Arial" w:cs="Arial"/>
              </w:rPr>
              <w:t>5.0</w:t>
            </w:r>
          </w:p>
        </w:tc>
        <w:tc>
          <w:tcPr>
            <w:tcW w:w="0" w:type="auto"/>
            <w:tcMar>
              <w:top w:w="150" w:type="dxa"/>
              <w:left w:w="240" w:type="dxa"/>
              <w:bottom w:w="150" w:type="dxa"/>
              <w:right w:w="0" w:type="dxa"/>
            </w:tcMar>
            <w:vAlign w:val="center"/>
            <w:hideMark/>
          </w:tcPr>
          <w:p w14:paraId="4F31BFA6" w14:textId="77777777" w:rsidR="008A2694" w:rsidRPr="0020383B" w:rsidRDefault="008A2694" w:rsidP="008A2694">
            <w:pPr>
              <w:spacing w:line="360" w:lineRule="auto"/>
              <w:jc w:val="both"/>
              <w:rPr>
                <w:rFonts w:ascii="Arial" w:hAnsi="Arial" w:cs="Arial"/>
              </w:rPr>
            </w:pPr>
            <w:r w:rsidRPr="0020383B">
              <w:rPr>
                <w:rFonts w:ascii="Arial" w:hAnsi="Arial" w:cs="Arial"/>
              </w:rPr>
              <w:t>3.6</w:t>
            </w:r>
          </w:p>
        </w:tc>
      </w:tr>
      <w:tr w:rsidR="008A2694" w:rsidRPr="0020383B" w14:paraId="55A28E98" w14:textId="77777777" w:rsidTr="0020383B">
        <w:tc>
          <w:tcPr>
            <w:tcW w:w="0" w:type="auto"/>
            <w:tcMar>
              <w:top w:w="150" w:type="dxa"/>
              <w:left w:w="0" w:type="dxa"/>
              <w:bottom w:w="150" w:type="dxa"/>
              <w:right w:w="240" w:type="dxa"/>
            </w:tcMar>
            <w:vAlign w:val="center"/>
            <w:hideMark/>
          </w:tcPr>
          <w:p w14:paraId="7B1B9E9C" w14:textId="77777777" w:rsidR="008A2694" w:rsidRPr="0020383B" w:rsidRDefault="008A2694" w:rsidP="008A2694">
            <w:pPr>
              <w:spacing w:line="360" w:lineRule="auto"/>
              <w:jc w:val="both"/>
              <w:rPr>
                <w:rFonts w:ascii="Arial" w:hAnsi="Arial" w:cs="Arial"/>
              </w:rPr>
            </w:pPr>
            <w:r w:rsidRPr="0020383B">
              <w:rPr>
                <w:rFonts w:ascii="Arial" w:hAnsi="Arial" w:cs="Arial"/>
              </w:rPr>
              <w:t>ARR</w:t>
            </w:r>
          </w:p>
        </w:tc>
        <w:tc>
          <w:tcPr>
            <w:tcW w:w="0" w:type="auto"/>
            <w:tcMar>
              <w:top w:w="150" w:type="dxa"/>
              <w:left w:w="240" w:type="dxa"/>
              <w:bottom w:w="150" w:type="dxa"/>
              <w:right w:w="240" w:type="dxa"/>
            </w:tcMar>
            <w:vAlign w:val="center"/>
            <w:hideMark/>
          </w:tcPr>
          <w:p w14:paraId="6DA0BD95" w14:textId="77777777" w:rsidR="008A2694" w:rsidRPr="0020383B" w:rsidRDefault="008A2694" w:rsidP="008A2694">
            <w:pPr>
              <w:spacing w:line="360" w:lineRule="auto"/>
              <w:jc w:val="both"/>
              <w:rPr>
                <w:rFonts w:ascii="Arial" w:hAnsi="Arial" w:cs="Arial"/>
              </w:rPr>
            </w:pPr>
            <w:r w:rsidRPr="0020383B">
              <w:rPr>
                <w:rFonts w:ascii="Arial" w:hAnsi="Arial" w:cs="Arial"/>
              </w:rPr>
              <w:t>14.0%</w:t>
            </w:r>
          </w:p>
        </w:tc>
        <w:tc>
          <w:tcPr>
            <w:tcW w:w="0" w:type="auto"/>
            <w:tcMar>
              <w:top w:w="150" w:type="dxa"/>
              <w:left w:w="240" w:type="dxa"/>
              <w:bottom w:w="150" w:type="dxa"/>
              <w:right w:w="240" w:type="dxa"/>
            </w:tcMar>
            <w:vAlign w:val="center"/>
            <w:hideMark/>
          </w:tcPr>
          <w:p w14:paraId="4A95E128" w14:textId="77777777" w:rsidR="008A2694" w:rsidRPr="0020383B" w:rsidRDefault="008A2694" w:rsidP="008A2694">
            <w:pPr>
              <w:spacing w:line="360" w:lineRule="auto"/>
              <w:jc w:val="both"/>
              <w:rPr>
                <w:rFonts w:ascii="Arial" w:hAnsi="Arial" w:cs="Arial"/>
              </w:rPr>
            </w:pPr>
            <w:r w:rsidRPr="0020383B">
              <w:rPr>
                <w:rFonts w:ascii="Arial" w:hAnsi="Arial" w:cs="Arial"/>
              </w:rPr>
              <w:t>0.0%</w:t>
            </w:r>
          </w:p>
        </w:tc>
        <w:tc>
          <w:tcPr>
            <w:tcW w:w="0" w:type="auto"/>
            <w:tcMar>
              <w:top w:w="150" w:type="dxa"/>
              <w:left w:w="240" w:type="dxa"/>
              <w:bottom w:w="150" w:type="dxa"/>
              <w:right w:w="0" w:type="dxa"/>
            </w:tcMar>
            <w:vAlign w:val="center"/>
            <w:hideMark/>
          </w:tcPr>
          <w:p w14:paraId="72EBA840" w14:textId="77777777" w:rsidR="008A2694" w:rsidRPr="0020383B" w:rsidRDefault="008A2694" w:rsidP="008A2694">
            <w:pPr>
              <w:spacing w:line="360" w:lineRule="auto"/>
              <w:jc w:val="both"/>
              <w:rPr>
                <w:rFonts w:ascii="Arial" w:hAnsi="Arial" w:cs="Arial"/>
              </w:rPr>
            </w:pPr>
            <w:r w:rsidRPr="0020383B">
              <w:rPr>
                <w:rFonts w:ascii="Arial" w:hAnsi="Arial" w:cs="Arial"/>
              </w:rPr>
              <w:t>20.0%</w:t>
            </w:r>
          </w:p>
        </w:tc>
      </w:tr>
      <w:tr w:rsidR="008A2694" w:rsidRPr="0020383B" w14:paraId="523E840E" w14:textId="77777777" w:rsidTr="0020383B">
        <w:tc>
          <w:tcPr>
            <w:tcW w:w="0" w:type="auto"/>
            <w:tcMar>
              <w:top w:w="150" w:type="dxa"/>
              <w:left w:w="0" w:type="dxa"/>
              <w:bottom w:w="150" w:type="dxa"/>
              <w:right w:w="240" w:type="dxa"/>
            </w:tcMar>
            <w:vAlign w:val="center"/>
            <w:hideMark/>
          </w:tcPr>
          <w:p w14:paraId="5845340F" w14:textId="7E040D44" w:rsidR="008A2694" w:rsidRPr="0020383B" w:rsidRDefault="008A2694" w:rsidP="008A2694">
            <w:pPr>
              <w:spacing w:line="360" w:lineRule="auto"/>
              <w:jc w:val="both"/>
              <w:rPr>
                <w:rFonts w:ascii="Arial" w:hAnsi="Arial" w:cs="Arial"/>
              </w:rPr>
            </w:pPr>
            <w:r w:rsidRPr="0020383B">
              <w:rPr>
                <w:rFonts w:ascii="Arial" w:hAnsi="Arial" w:cs="Arial"/>
              </w:rPr>
              <w:t xml:space="preserve">NPV </w:t>
            </w:r>
            <w:r w:rsidR="0019427D" w:rsidRPr="0020383B">
              <w:rPr>
                <w:rFonts w:ascii="Arial" w:hAnsi="Arial" w:cs="Arial"/>
              </w:rPr>
              <w:t xml:space="preserve"> </w:t>
            </w:r>
            <w:r w:rsidRPr="0020383B">
              <w:rPr>
                <w:rFonts w:ascii="Arial" w:hAnsi="Arial" w:cs="Arial"/>
              </w:rPr>
              <w:t>10% (£m)</w:t>
            </w:r>
          </w:p>
        </w:tc>
        <w:tc>
          <w:tcPr>
            <w:tcW w:w="0" w:type="auto"/>
            <w:tcMar>
              <w:top w:w="150" w:type="dxa"/>
              <w:left w:w="240" w:type="dxa"/>
              <w:bottom w:w="150" w:type="dxa"/>
              <w:right w:w="240" w:type="dxa"/>
            </w:tcMar>
            <w:vAlign w:val="center"/>
            <w:hideMark/>
          </w:tcPr>
          <w:p w14:paraId="71EB114B" w14:textId="77777777" w:rsidR="008A2694" w:rsidRPr="0020383B" w:rsidRDefault="008A2694" w:rsidP="008A2694">
            <w:pPr>
              <w:spacing w:line="360" w:lineRule="auto"/>
              <w:jc w:val="both"/>
              <w:rPr>
                <w:rFonts w:ascii="Arial" w:hAnsi="Arial" w:cs="Arial"/>
              </w:rPr>
            </w:pPr>
            <w:r w:rsidRPr="0020383B">
              <w:rPr>
                <w:rFonts w:ascii="Arial" w:hAnsi="Arial" w:cs="Arial"/>
              </w:rPr>
              <w:t>1.31</w:t>
            </w:r>
          </w:p>
        </w:tc>
        <w:tc>
          <w:tcPr>
            <w:tcW w:w="0" w:type="auto"/>
            <w:tcMar>
              <w:top w:w="150" w:type="dxa"/>
              <w:left w:w="240" w:type="dxa"/>
              <w:bottom w:w="150" w:type="dxa"/>
              <w:right w:w="240" w:type="dxa"/>
            </w:tcMar>
            <w:vAlign w:val="center"/>
            <w:hideMark/>
          </w:tcPr>
          <w:p w14:paraId="62034F06" w14:textId="77777777" w:rsidR="008A2694" w:rsidRPr="0020383B" w:rsidRDefault="008A2694" w:rsidP="008A2694">
            <w:pPr>
              <w:spacing w:line="360" w:lineRule="auto"/>
              <w:jc w:val="both"/>
              <w:rPr>
                <w:rFonts w:ascii="Arial" w:hAnsi="Arial" w:cs="Arial"/>
              </w:rPr>
            </w:pPr>
            <w:r w:rsidRPr="0020383B">
              <w:rPr>
                <w:rFonts w:ascii="Arial" w:hAnsi="Arial" w:cs="Arial"/>
              </w:rPr>
              <w:t>(7.26)</w:t>
            </w:r>
          </w:p>
        </w:tc>
        <w:tc>
          <w:tcPr>
            <w:tcW w:w="0" w:type="auto"/>
            <w:tcMar>
              <w:top w:w="150" w:type="dxa"/>
              <w:left w:w="240" w:type="dxa"/>
              <w:bottom w:w="150" w:type="dxa"/>
              <w:right w:w="0" w:type="dxa"/>
            </w:tcMar>
            <w:vAlign w:val="center"/>
            <w:hideMark/>
          </w:tcPr>
          <w:p w14:paraId="33FB7EDC" w14:textId="77777777" w:rsidR="008A2694" w:rsidRPr="0020383B" w:rsidRDefault="008A2694" w:rsidP="008A2694">
            <w:pPr>
              <w:spacing w:line="360" w:lineRule="auto"/>
              <w:jc w:val="both"/>
              <w:rPr>
                <w:rFonts w:ascii="Arial" w:hAnsi="Arial" w:cs="Arial"/>
              </w:rPr>
            </w:pPr>
            <w:r w:rsidRPr="0020383B">
              <w:rPr>
                <w:rFonts w:ascii="Arial" w:hAnsi="Arial" w:cs="Arial"/>
              </w:rPr>
              <w:t>4.22</w:t>
            </w:r>
          </w:p>
        </w:tc>
      </w:tr>
      <w:tr w:rsidR="008A2694" w:rsidRPr="0020383B" w14:paraId="413CEC23" w14:textId="77777777" w:rsidTr="0020383B">
        <w:tc>
          <w:tcPr>
            <w:tcW w:w="0" w:type="auto"/>
            <w:tcMar>
              <w:top w:w="150" w:type="dxa"/>
              <w:left w:w="0" w:type="dxa"/>
              <w:bottom w:w="150" w:type="dxa"/>
              <w:right w:w="240" w:type="dxa"/>
            </w:tcMar>
            <w:vAlign w:val="center"/>
            <w:hideMark/>
          </w:tcPr>
          <w:p w14:paraId="435CE786" w14:textId="0210C2A9" w:rsidR="008A2694" w:rsidRPr="0020383B" w:rsidRDefault="008A2694" w:rsidP="008A2694">
            <w:pPr>
              <w:spacing w:line="360" w:lineRule="auto"/>
              <w:jc w:val="both"/>
              <w:rPr>
                <w:rFonts w:ascii="Arial" w:hAnsi="Arial" w:cs="Arial"/>
              </w:rPr>
            </w:pPr>
            <w:r w:rsidRPr="0020383B">
              <w:rPr>
                <w:rFonts w:ascii="Arial" w:hAnsi="Arial" w:cs="Arial"/>
              </w:rPr>
              <w:t xml:space="preserve">NPV </w:t>
            </w:r>
            <w:r w:rsidR="0019427D" w:rsidRPr="0020383B">
              <w:rPr>
                <w:rFonts w:ascii="Arial" w:hAnsi="Arial" w:cs="Arial"/>
              </w:rPr>
              <w:t xml:space="preserve"> </w:t>
            </w:r>
            <w:r w:rsidRPr="0020383B">
              <w:rPr>
                <w:rFonts w:ascii="Arial" w:hAnsi="Arial" w:cs="Arial"/>
              </w:rPr>
              <w:t>12% (£m)</w:t>
            </w:r>
          </w:p>
        </w:tc>
        <w:tc>
          <w:tcPr>
            <w:tcW w:w="0" w:type="auto"/>
            <w:tcMar>
              <w:top w:w="150" w:type="dxa"/>
              <w:left w:w="240" w:type="dxa"/>
              <w:bottom w:w="150" w:type="dxa"/>
              <w:right w:w="240" w:type="dxa"/>
            </w:tcMar>
            <w:vAlign w:val="center"/>
            <w:hideMark/>
          </w:tcPr>
          <w:p w14:paraId="5E2AE2BC" w14:textId="77777777" w:rsidR="008A2694" w:rsidRPr="0020383B" w:rsidRDefault="008A2694" w:rsidP="008A2694">
            <w:pPr>
              <w:spacing w:line="360" w:lineRule="auto"/>
              <w:jc w:val="both"/>
              <w:rPr>
                <w:rFonts w:ascii="Arial" w:hAnsi="Arial" w:cs="Arial"/>
              </w:rPr>
            </w:pPr>
            <w:r w:rsidRPr="0020383B">
              <w:rPr>
                <w:rFonts w:ascii="Arial" w:hAnsi="Arial" w:cs="Arial"/>
              </w:rPr>
              <w:t>(0.64)</w:t>
            </w:r>
          </w:p>
        </w:tc>
        <w:tc>
          <w:tcPr>
            <w:tcW w:w="0" w:type="auto"/>
            <w:tcMar>
              <w:top w:w="150" w:type="dxa"/>
              <w:left w:w="240" w:type="dxa"/>
              <w:bottom w:w="150" w:type="dxa"/>
              <w:right w:w="240" w:type="dxa"/>
            </w:tcMar>
            <w:vAlign w:val="center"/>
            <w:hideMark/>
          </w:tcPr>
          <w:p w14:paraId="2E492515" w14:textId="77777777" w:rsidR="008A2694" w:rsidRPr="0020383B" w:rsidRDefault="008A2694" w:rsidP="008A2694">
            <w:pPr>
              <w:spacing w:line="360" w:lineRule="auto"/>
              <w:jc w:val="both"/>
              <w:rPr>
                <w:rFonts w:ascii="Arial" w:hAnsi="Arial" w:cs="Arial"/>
              </w:rPr>
            </w:pPr>
            <w:r w:rsidRPr="0020383B">
              <w:rPr>
                <w:rFonts w:ascii="Arial" w:hAnsi="Arial" w:cs="Arial"/>
              </w:rPr>
              <w:t>(8.37)</w:t>
            </w:r>
          </w:p>
        </w:tc>
        <w:tc>
          <w:tcPr>
            <w:tcW w:w="0" w:type="auto"/>
            <w:tcMar>
              <w:top w:w="150" w:type="dxa"/>
              <w:left w:w="240" w:type="dxa"/>
              <w:bottom w:w="150" w:type="dxa"/>
              <w:right w:w="0" w:type="dxa"/>
            </w:tcMar>
            <w:vAlign w:val="center"/>
            <w:hideMark/>
          </w:tcPr>
          <w:p w14:paraId="472067DA" w14:textId="77777777" w:rsidR="008A2694" w:rsidRPr="0020383B" w:rsidRDefault="008A2694" w:rsidP="008A2694">
            <w:pPr>
              <w:spacing w:line="360" w:lineRule="auto"/>
              <w:jc w:val="both"/>
              <w:rPr>
                <w:rFonts w:ascii="Arial" w:hAnsi="Arial" w:cs="Arial"/>
              </w:rPr>
            </w:pPr>
            <w:r w:rsidRPr="0020383B">
              <w:rPr>
                <w:rFonts w:ascii="Arial" w:hAnsi="Arial" w:cs="Arial"/>
              </w:rPr>
              <w:t>1.08</w:t>
            </w:r>
          </w:p>
        </w:tc>
      </w:tr>
      <w:tr w:rsidR="008A2694" w:rsidRPr="0020383B" w14:paraId="3D653234" w14:textId="77777777" w:rsidTr="0020383B">
        <w:tc>
          <w:tcPr>
            <w:tcW w:w="0" w:type="auto"/>
            <w:tcMar>
              <w:top w:w="150" w:type="dxa"/>
              <w:left w:w="0" w:type="dxa"/>
              <w:bottom w:w="150" w:type="dxa"/>
              <w:right w:w="240" w:type="dxa"/>
            </w:tcMar>
            <w:vAlign w:val="center"/>
            <w:hideMark/>
          </w:tcPr>
          <w:p w14:paraId="593BE1AA" w14:textId="5916BEC1" w:rsidR="008A2694" w:rsidRPr="0020383B" w:rsidRDefault="008A2694" w:rsidP="008A2694">
            <w:pPr>
              <w:spacing w:line="360" w:lineRule="auto"/>
              <w:jc w:val="both"/>
              <w:rPr>
                <w:rFonts w:ascii="Arial" w:hAnsi="Arial" w:cs="Arial"/>
              </w:rPr>
            </w:pPr>
            <w:r w:rsidRPr="0020383B">
              <w:rPr>
                <w:rFonts w:ascii="Arial" w:hAnsi="Arial" w:cs="Arial"/>
              </w:rPr>
              <w:t xml:space="preserve">PI </w:t>
            </w:r>
            <w:r w:rsidR="0019427D" w:rsidRPr="0020383B">
              <w:rPr>
                <w:rFonts w:ascii="Arial" w:hAnsi="Arial" w:cs="Arial"/>
              </w:rPr>
              <w:t xml:space="preserve"> </w:t>
            </w:r>
            <w:r w:rsidRPr="0020383B">
              <w:rPr>
                <w:rFonts w:ascii="Arial" w:hAnsi="Arial" w:cs="Arial"/>
              </w:rPr>
              <w:t>10%</w:t>
            </w:r>
          </w:p>
        </w:tc>
        <w:tc>
          <w:tcPr>
            <w:tcW w:w="0" w:type="auto"/>
            <w:tcMar>
              <w:top w:w="150" w:type="dxa"/>
              <w:left w:w="240" w:type="dxa"/>
              <w:bottom w:w="150" w:type="dxa"/>
              <w:right w:w="240" w:type="dxa"/>
            </w:tcMar>
            <w:vAlign w:val="center"/>
            <w:hideMark/>
          </w:tcPr>
          <w:p w14:paraId="694D26A0" w14:textId="77777777" w:rsidR="008A2694" w:rsidRPr="0020383B" w:rsidRDefault="008A2694" w:rsidP="008A2694">
            <w:pPr>
              <w:spacing w:line="360" w:lineRule="auto"/>
              <w:jc w:val="both"/>
              <w:rPr>
                <w:rFonts w:ascii="Arial" w:hAnsi="Arial" w:cs="Arial"/>
              </w:rPr>
            </w:pPr>
            <w:r w:rsidRPr="0020383B">
              <w:rPr>
                <w:rFonts w:ascii="Arial" w:hAnsi="Arial" w:cs="Arial"/>
              </w:rPr>
              <w:t>1.03</w:t>
            </w:r>
          </w:p>
        </w:tc>
        <w:tc>
          <w:tcPr>
            <w:tcW w:w="0" w:type="auto"/>
            <w:tcMar>
              <w:top w:w="150" w:type="dxa"/>
              <w:left w:w="240" w:type="dxa"/>
              <w:bottom w:w="150" w:type="dxa"/>
              <w:right w:w="240" w:type="dxa"/>
            </w:tcMar>
            <w:vAlign w:val="center"/>
            <w:hideMark/>
          </w:tcPr>
          <w:p w14:paraId="4FCFA93B" w14:textId="77777777" w:rsidR="008A2694" w:rsidRPr="0020383B" w:rsidRDefault="008A2694" w:rsidP="008A2694">
            <w:pPr>
              <w:spacing w:line="360" w:lineRule="auto"/>
              <w:jc w:val="both"/>
              <w:rPr>
                <w:rFonts w:ascii="Arial" w:hAnsi="Arial" w:cs="Arial"/>
              </w:rPr>
            </w:pPr>
            <w:r w:rsidRPr="0020383B">
              <w:rPr>
                <w:rFonts w:ascii="Arial" w:hAnsi="Arial" w:cs="Arial"/>
              </w:rPr>
              <w:t>0.76</w:t>
            </w:r>
          </w:p>
        </w:tc>
        <w:tc>
          <w:tcPr>
            <w:tcW w:w="0" w:type="auto"/>
            <w:tcMar>
              <w:top w:w="150" w:type="dxa"/>
              <w:left w:w="240" w:type="dxa"/>
              <w:bottom w:w="150" w:type="dxa"/>
              <w:right w:w="0" w:type="dxa"/>
            </w:tcMar>
            <w:vAlign w:val="center"/>
            <w:hideMark/>
          </w:tcPr>
          <w:p w14:paraId="6C9C25DB" w14:textId="77777777" w:rsidR="008A2694" w:rsidRPr="0020383B" w:rsidRDefault="008A2694" w:rsidP="008A2694">
            <w:pPr>
              <w:spacing w:line="360" w:lineRule="auto"/>
              <w:jc w:val="both"/>
              <w:rPr>
                <w:rFonts w:ascii="Arial" w:hAnsi="Arial" w:cs="Arial"/>
              </w:rPr>
            </w:pPr>
            <w:r w:rsidRPr="0020383B">
              <w:rPr>
                <w:rFonts w:ascii="Arial" w:hAnsi="Arial" w:cs="Arial"/>
              </w:rPr>
              <w:t>1.08</w:t>
            </w:r>
          </w:p>
        </w:tc>
      </w:tr>
      <w:tr w:rsidR="008A2694" w:rsidRPr="0020383B" w14:paraId="5E32B7BA" w14:textId="77777777" w:rsidTr="0020383B">
        <w:tc>
          <w:tcPr>
            <w:tcW w:w="0" w:type="auto"/>
            <w:tcMar>
              <w:top w:w="150" w:type="dxa"/>
              <w:left w:w="0" w:type="dxa"/>
              <w:bottom w:w="150" w:type="dxa"/>
              <w:right w:w="240" w:type="dxa"/>
            </w:tcMar>
            <w:vAlign w:val="center"/>
            <w:hideMark/>
          </w:tcPr>
          <w:p w14:paraId="6E43C13D" w14:textId="2D806D02" w:rsidR="008A2694" w:rsidRPr="0020383B" w:rsidRDefault="008A2694" w:rsidP="008A2694">
            <w:pPr>
              <w:spacing w:line="360" w:lineRule="auto"/>
              <w:jc w:val="both"/>
              <w:rPr>
                <w:rFonts w:ascii="Arial" w:hAnsi="Arial" w:cs="Arial"/>
              </w:rPr>
            </w:pPr>
            <w:r w:rsidRPr="0020383B">
              <w:rPr>
                <w:rFonts w:ascii="Arial" w:hAnsi="Arial" w:cs="Arial"/>
              </w:rPr>
              <w:t xml:space="preserve">PI </w:t>
            </w:r>
            <w:r w:rsidR="0019427D" w:rsidRPr="0020383B">
              <w:rPr>
                <w:rFonts w:ascii="Arial" w:hAnsi="Arial" w:cs="Arial"/>
              </w:rPr>
              <w:t xml:space="preserve"> </w:t>
            </w:r>
            <w:r w:rsidRPr="0020383B">
              <w:rPr>
                <w:rFonts w:ascii="Arial" w:hAnsi="Arial" w:cs="Arial"/>
              </w:rPr>
              <w:t>12%</w:t>
            </w:r>
          </w:p>
        </w:tc>
        <w:tc>
          <w:tcPr>
            <w:tcW w:w="0" w:type="auto"/>
            <w:tcMar>
              <w:top w:w="150" w:type="dxa"/>
              <w:left w:w="240" w:type="dxa"/>
              <w:bottom w:w="150" w:type="dxa"/>
              <w:right w:w="240" w:type="dxa"/>
            </w:tcMar>
            <w:vAlign w:val="center"/>
            <w:hideMark/>
          </w:tcPr>
          <w:p w14:paraId="385944E3" w14:textId="77777777" w:rsidR="008A2694" w:rsidRPr="0020383B" w:rsidRDefault="008A2694" w:rsidP="008A2694">
            <w:pPr>
              <w:spacing w:line="360" w:lineRule="auto"/>
              <w:jc w:val="both"/>
              <w:rPr>
                <w:rFonts w:ascii="Arial" w:hAnsi="Arial" w:cs="Arial"/>
              </w:rPr>
            </w:pPr>
            <w:r w:rsidRPr="0020383B">
              <w:rPr>
                <w:rFonts w:ascii="Arial" w:hAnsi="Arial" w:cs="Arial"/>
              </w:rPr>
              <w:t>0.98</w:t>
            </w:r>
          </w:p>
        </w:tc>
        <w:tc>
          <w:tcPr>
            <w:tcW w:w="0" w:type="auto"/>
            <w:tcMar>
              <w:top w:w="150" w:type="dxa"/>
              <w:left w:w="240" w:type="dxa"/>
              <w:bottom w:w="150" w:type="dxa"/>
              <w:right w:w="240" w:type="dxa"/>
            </w:tcMar>
            <w:vAlign w:val="center"/>
            <w:hideMark/>
          </w:tcPr>
          <w:p w14:paraId="53B47887" w14:textId="77777777" w:rsidR="008A2694" w:rsidRPr="0020383B" w:rsidRDefault="008A2694" w:rsidP="008A2694">
            <w:pPr>
              <w:spacing w:line="360" w:lineRule="auto"/>
              <w:jc w:val="both"/>
              <w:rPr>
                <w:rFonts w:ascii="Arial" w:hAnsi="Arial" w:cs="Arial"/>
              </w:rPr>
            </w:pPr>
            <w:r w:rsidRPr="0020383B">
              <w:rPr>
                <w:rFonts w:ascii="Arial" w:hAnsi="Arial" w:cs="Arial"/>
              </w:rPr>
              <w:t>0.72</w:t>
            </w:r>
          </w:p>
        </w:tc>
        <w:tc>
          <w:tcPr>
            <w:tcW w:w="0" w:type="auto"/>
            <w:tcMar>
              <w:top w:w="150" w:type="dxa"/>
              <w:left w:w="240" w:type="dxa"/>
              <w:bottom w:w="150" w:type="dxa"/>
              <w:right w:w="0" w:type="dxa"/>
            </w:tcMar>
            <w:vAlign w:val="center"/>
            <w:hideMark/>
          </w:tcPr>
          <w:p w14:paraId="4D80B87F" w14:textId="77777777" w:rsidR="008A2694" w:rsidRPr="0020383B" w:rsidRDefault="008A2694" w:rsidP="008A2694">
            <w:pPr>
              <w:spacing w:line="360" w:lineRule="auto"/>
              <w:jc w:val="both"/>
              <w:rPr>
                <w:rFonts w:ascii="Arial" w:hAnsi="Arial" w:cs="Arial"/>
              </w:rPr>
            </w:pPr>
            <w:r w:rsidRPr="0020383B">
              <w:rPr>
                <w:rFonts w:ascii="Arial" w:hAnsi="Arial" w:cs="Arial"/>
              </w:rPr>
              <w:t>1.02</w:t>
            </w:r>
          </w:p>
        </w:tc>
      </w:tr>
      <w:tr w:rsidR="008A2694" w:rsidRPr="0020383B" w14:paraId="38DBA213" w14:textId="77777777" w:rsidTr="0020383B">
        <w:tc>
          <w:tcPr>
            <w:tcW w:w="0" w:type="auto"/>
            <w:tcMar>
              <w:top w:w="150" w:type="dxa"/>
              <w:left w:w="0" w:type="dxa"/>
              <w:bottom w:w="150" w:type="dxa"/>
              <w:right w:w="240" w:type="dxa"/>
            </w:tcMar>
            <w:vAlign w:val="center"/>
            <w:hideMark/>
          </w:tcPr>
          <w:p w14:paraId="5ABF415F" w14:textId="77777777" w:rsidR="008A2694" w:rsidRPr="0020383B" w:rsidRDefault="008A2694" w:rsidP="008A2694">
            <w:pPr>
              <w:spacing w:line="360" w:lineRule="auto"/>
              <w:jc w:val="both"/>
              <w:rPr>
                <w:rFonts w:ascii="Arial" w:hAnsi="Arial" w:cs="Arial"/>
              </w:rPr>
            </w:pPr>
            <w:r w:rsidRPr="0020383B">
              <w:rPr>
                <w:rFonts w:ascii="Arial" w:hAnsi="Arial" w:cs="Arial"/>
              </w:rPr>
              <w:t>IRR</w:t>
            </w:r>
          </w:p>
        </w:tc>
        <w:tc>
          <w:tcPr>
            <w:tcW w:w="0" w:type="auto"/>
            <w:tcMar>
              <w:top w:w="150" w:type="dxa"/>
              <w:left w:w="240" w:type="dxa"/>
              <w:bottom w:w="150" w:type="dxa"/>
              <w:right w:w="240" w:type="dxa"/>
            </w:tcMar>
            <w:vAlign w:val="center"/>
            <w:hideMark/>
          </w:tcPr>
          <w:p w14:paraId="763BBB71" w14:textId="77777777" w:rsidR="008A2694" w:rsidRPr="0020383B" w:rsidRDefault="008A2694" w:rsidP="008A2694">
            <w:pPr>
              <w:spacing w:line="360" w:lineRule="auto"/>
              <w:jc w:val="both"/>
              <w:rPr>
                <w:rFonts w:ascii="Arial" w:hAnsi="Arial" w:cs="Arial"/>
              </w:rPr>
            </w:pPr>
            <w:r w:rsidRPr="0020383B">
              <w:rPr>
                <w:rFonts w:ascii="Arial" w:hAnsi="Arial" w:cs="Arial"/>
              </w:rPr>
              <w:t>11.3%</w:t>
            </w:r>
          </w:p>
        </w:tc>
        <w:tc>
          <w:tcPr>
            <w:tcW w:w="0" w:type="auto"/>
            <w:tcMar>
              <w:top w:w="150" w:type="dxa"/>
              <w:left w:w="240" w:type="dxa"/>
              <w:bottom w:w="150" w:type="dxa"/>
              <w:right w:w="240" w:type="dxa"/>
            </w:tcMar>
            <w:vAlign w:val="center"/>
            <w:hideMark/>
          </w:tcPr>
          <w:p w14:paraId="6C92C766" w14:textId="77777777" w:rsidR="008A2694" w:rsidRPr="0020383B" w:rsidRDefault="008A2694" w:rsidP="008A2694">
            <w:pPr>
              <w:spacing w:line="360" w:lineRule="auto"/>
              <w:jc w:val="both"/>
              <w:rPr>
                <w:rFonts w:ascii="Arial" w:hAnsi="Arial" w:cs="Arial"/>
              </w:rPr>
            </w:pPr>
            <w:r w:rsidRPr="0020383B">
              <w:rPr>
                <w:rFonts w:ascii="Arial" w:hAnsi="Arial" w:cs="Arial"/>
              </w:rPr>
              <w:t>0.0%</w:t>
            </w:r>
          </w:p>
        </w:tc>
        <w:tc>
          <w:tcPr>
            <w:tcW w:w="0" w:type="auto"/>
            <w:tcMar>
              <w:top w:w="150" w:type="dxa"/>
              <w:left w:w="240" w:type="dxa"/>
              <w:bottom w:w="150" w:type="dxa"/>
              <w:right w:w="0" w:type="dxa"/>
            </w:tcMar>
            <w:vAlign w:val="center"/>
            <w:hideMark/>
          </w:tcPr>
          <w:p w14:paraId="55F87CE1" w14:textId="77777777" w:rsidR="008A2694" w:rsidRPr="0020383B" w:rsidRDefault="008A2694" w:rsidP="008A2694">
            <w:pPr>
              <w:spacing w:line="360" w:lineRule="auto"/>
              <w:jc w:val="both"/>
              <w:rPr>
                <w:rFonts w:ascii="Arial" w:hAnsi="Arial" w:cs="Arial"/>
              </w:rPr>
            </w:pPr>
            <w:r w:rsidRPr="0020383B">
              <w:rPr>
                <w:rFonts w:ascii="Arial" w:hAnsi="Arial" w:cs="Arial"/>
              </w:rPr>
              <w:t>13.7%</w:t>
            </w:r>
          </w:p>
        </w:tc>
      </w:tr>
    </w:tbl>
    <w:p w14:paraId="09F0ED91" w14:textId="590BC917" w:rsidR="0096082A" w:rsidRDefault="0096082A" w:rsidP="00EC26B4">
      <w:pPr>
        <w:spacing w:line="360" w:lineRule="auto"/>
        <w:jc w:val="both"/>
        <w:rPr>
          <w:rFonts w:ascii="Arial" w:hAnsi="Arial" w:cs="Arial"/>
        </w:rPr>
      </w:pPr>
    </w:p>
    <w:p w14:paraId="6AFBCD9C" w14:textId="2B3AEFB1" w:rsidR="00CB14BE" w:rsidRPr="00CD15FF" w:rsidRDefault="0096082A" w:rsidP="0092094B">
      <w:pPr>
        <w:rPr>
          <w:rFonts w:ascii="Arial" w:hAnsi="Arial" w:cs="Arial"/>
          <w:b/>
          <w:bCs/>
        </w:rPr>
      </w:pPr>
      <w:r>
        <w:rPr>
          <w:rFonts w:ascii="Arial" w:hAnsi="Arial" w:cs="Arial"/>
        </w:rPr>
        <w:br w:type="page"/>
      </w:r>
      <w:r w:rsidR="00CD15FF" w:rsidRPr="00CD15FF">
        <w:rPr>
          <w:rFonts w:ascii="Arial" w:hAnsi="Arial" w:cs="Arial"/>
          <w:b/>
          <w:bCs/>
        </w:rPr>
        <w:lastRenderedPageBreak/>
        <w:t xml:space="preserve">Appendix </w:t>
      </w:r>
      <w:r w:rsidRPr="00CD15FF">
        <w:rPr>
          <w:rFonts w:ascii="Arial" w:hAnsi="Arial" w:cs="Arial"/>
          <w:b/>
          <w:bCs/>
        </w:rPr>
        <w:t xml:space="preserve">Table 3: </w:t>
      </w:r>
      <w:r w:rsidR="000557B8" w:rsidRPr="00CD15FF">
        <w:rPr>
          <w:rFonts w:ascii="Arial" w:hAnsi="Arial" w:cs="Arial"/>
          <w:b/>
          <w:bCs/>
        </w:rPr>
        <w:t>Full Z-Score Calculation Table (£m).</w:t>
      </w:r>
    </w:p>
    <w:tbl>
      <w:tblPr>
        <w:tblW w:w="100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1590"/>
        <w:gridCol w:w="2361"/>
        <w:gridCol w:w="1177"/>
        <w:gridCol w:w="1177"/>
        <w:gridCol w:w="1177"/>
        <w:gridCol w:w="1466"/>
        <w:gridCol w:w="1104"/>
      </w:tblGrid>
      <w:tr w:rsidR="0096082A" w:rsidRPr="0096082A" w14:paraId="24160BE5" w14:textId="77777777" w:rsidTr="0096082A">
        <w:trPr>
          <w:trHeight w:val="1001"/>
          <w:tblHeader/>
        </w:trPr>
        <w:tc>
          <w:tcPr>
            <w:tcW w:w="1590" w:type="dxa"/>
            <w:shd w:val="clear" w:color="auto" w:fill="FFFFFF"/>
            <w:tcMar>
              <w:top w:w="150" w:type="dxa"/>
              <w:left w:w="0" w:type="dxa"/>
              <w:bottom w:w="150" w:type="dxa"/>
              <w:right w:w="240" w:type="dxa"/>
            </w:tcMar>
            <w:vAlign w:val="center"/>
            <w:hideMark/>
          </w:tcPr>
          <w:p w14:paraId="03F17EBE" w14:textId="77777777" w:rsidR="0096082A" w:rsidRPr="0096082A" w:rsidRDefault="0096082A" w:rsidP="0096082A">
            <w:pPr>
              <w:spacing w:line="360" w:lineRule="auto"/>
              <w:jc w:val="center"/>
              <w:rPr>
                <w:rFonts w:ascii="Arial" w:hAnsi="Arial" w:cs="Arial"/>
              </w:rPr>
            </w:pPr>
            <w:r w:rsidRPr="0096082A">
              <w:rPr>
                <w:rFonts w:ascii="Arial" w:hAnsi="Arial" w:cs="Arial"/>
              </w:rPr>
              <w:t>Component</w:t>
            </w:r>
          </w:p>
        </w:tc>
        <w:tc>
          <w:tcPr>
            <w:tcW w:w="2361" w:type="dxa"/>
            <w:shd w:val="clear" w:color="auto" w:fill="FFFFFF"/>
            <w:tcMar>
              <w:top w:w="150" w:type="dxa"/>
              <w:left w:w="240" w:type="dxa"/>
              <w:bottom w:w="150" w:type="dxa"/>
              <w:right w:w="240" w:type="dxa"/>
            </w:tcMar>
            <w:vAlign w:val="center"/>
            <w:hideMark/>
          </w:tcPr>
          <w:p w14:paraId="6297F4E5" w14:textId="77777777" w:rsidR="0096082A" w:rsidRPr="0096082A" w:rsidRDefault="0096082A" w:rsidP="0096082A">
            <w:pPr>
              <w:spacing w:line="360" w:lineRule="auto"/>
              <w:jc w:val="center"/>
              <w:rPr>
                <w:rFonts w:ascii="Arial" w:hAnsi="Arial" w:cs="Arial"/>
              </w:rPr>
            </w:pPr>
            <w:r w:rsidRPr="0096082A">
              <w:rPr>
                <w:rFonts w:ascii="Arial" w:hAnsi="Arial" w:cs="Arial"/>
              </w:rPr>
              <w:t>Formula</w:t>
            </w:r>
          </w:p>
        </w:tc>
        <w:tc>
          <w:tcPr>
            <w:tcW w:w="0" w:type="auto"/>
            <w:shd w:val="clear" w:color="auto" w:fill="FFFFFF"/>
            <w:tcMar>
              <w:top w:w="150" w:type="dxa"/>
              <w:left w:w="240" w:type="dxa"/>
              <w:bottom w:w="150" w:type="dxa"/>
              <w:right w:w="240" w:type="dxa"/>
            </w:tcMar>
            <w:vAlign w:val="center"/>
            <w:hideMark/>
          </w:tcPr>
          <w:p w14:paraId="7A9AE608" w14:textId="77777777" w:rsidR="0096082A" w:rsidRPr="0096082A" w:rsidRDefault="0096082A" w:rsidP="0096082A">
            <w:pPr>
              <w:spacing w:line="360" w:lineRule="auto"/>
              <w:jc w:val="center"/>
              <w:rPr>
                <w:rFonts w:ascii="Arial" w:hAnsi="Arial" w:cs="Arial"/>
              </w:rPr>
            </w:pPr>
            <w:r w:rsidRPr="0096082A">
              <w:rPr>
                <w:rFonts w:ascii="Arial" w:hAnsi="Arial" w:cs="Arial"/>
              </w:rPr>
              <w:t>2020</w:t>
            </w:r>
          </w:p>
        </w:tc>
        <w:tc>
          <w:tcPr>
            <w:tcW w:w="0" w:type="auto"/>
            <w:shd w:val="clear" w:color="auto" w:fill="FFFFFF"/>
            <w:tcMar>
              <w:top w:w="150" w:type="dxa"/>
              <w:left w:w="240" w:type="dxa"/>
              <w:bottom w:w="150" w:type="dxa"/>
              <w:right w:w="240" w:type="dxa"/>
            </w:tcMar>
            <w:vAlign w:val="center"/>
            <w:hideMark/>
          </w:tcPr>
          <w:p w14:paraId="2377AFE1" w14:textId="77777777" w:rsidR="0096082A" w:rsidRPr="0096082A" w:rsidRDefault="0096082A" w:rsidP="0096082A">
            <w:pPr>
              <w:spacing w:line="360" w:lineRule="auto"/>
              <w:jc w:val="center"/>
              <w:rPr>
                <w:rFonts w:ascii="Arial" w:hAnsi="Arial" w:cs="Arial"/>
              </w:rPr>
            </w:pPr>
            <w:r w:rsidRPr="0096082A">
              <w:rPr>
                <w:rFonts w:ascii="Arial" w:hAnsi="Arial" w:cs="Arial"/>
              </w:rPr>
              <w:t>2021</w:t>
            </w:r>
          </w:p>
        </w:tc>
        <w:tc>
          <w:tcPr>
            <w:tcW w:w="0" w:type="auto"/>
            <w:shd w:val="clear" w:color="auto" w:fill="FFFFFF"/>
            <w:tcMar>
              <w:top w:w="150" w:type="dxa"/>
              <w:left w:w="240" w:type="dxa"/>
              <w:bottom w:w="150" w:type="dxa"/>
              <w:right w:w="240" w:type="dxa"/>
            </w:tcMar>
            <w:vAlign w:val="center"/>
            <w:hideMark/>
          </w:tcPr>
          <w:p w14:paraId="41A2FEAA" w14:textId="77777777" w:rsidR="0096082A" w:rsidRPr="0096082A" w:rsidRDefault="0096082A" w:rsidP="0096082A">
            <w:pPr>
              <w:spacing w:line="360" w:lineRule="auto"/>
              <w:jc w:val="center"/>
              <w:rPr>
                <w:rFonts w:ascii="Arial" w:hAnsi="Arial" w:cs="Arial"/>
              </w:rPr>
            </w:pPr>
            <w:r w:rsidRPr="0096082A">
              <w:rPr>
                <w:rFonts w:ascii="Arial" w:hAnsi="Arial" w:cs="Arial"/>
              </w:rPr>
              <w:t>2022</w:t>
            </w:r>
          </w:p>
        </w:tc>
        <w:tc>
          <w:tcPr>
            <w:tcW w:w="0" w:type="auto"/>
            <w:shd w:val="clear" w:color="auto" w:fill="FFFFFF"/>
            <w:tcMar>
              <w:top w:w="150" w:type="dxa"/>
              <w:left w:w="240" w:type="dxa"/>
              <w:bottom w:w="150" w:type="dxa"/>
              <w:right w:w="240" w:type="dxa"/>
            </w:tcMar>
            <w:vAlign w:val="center"/>
            <w:hideMark/>
          </w:tcPr>
          <w:p w14:paraId="251094E1" w14:textId="77777777" w:rsidR="0096082A" w:rsidRPr="0096082A" w:rsidRDefault="0096082A" w:rsidP="0096082A">
            <w:pPr>
              <w:spacing w:line="360" w:lineRule="auto"/>
              <w:jc w:val="center"/>
              <w:rPr>
                <w:rFonts w:ascii="Arial" w:hAnsi="Arial" w:cs="Arial"/>
              </w:rPr>
            </w:pPr>
            <w:r w:rsidRPr="0096082A">
              <w:rPr>
                <w:rFonts w:ascii="Arial" w:hAnsi="Arial" w:cs="Arial"/>
              </w:rPr>
              <w:t>2023</w:t>
            </w:r>
          </w:p>
        </w:tc>
        <w:tc>
          <w:tcPr>
            <w:tcW w:w="0" w:type="auto"/>
            <w:shd w:val="clear" w:color="auto" w:fill="FFFFFF"/>
            <w:tcMar>
              <w:top w:w="150" w:type="dxa"/>
              <w:left w:w="240" w:type="dxa"/>
              <w:bottom w:w="150" w:type="dxa"/>
              <w:right w:w="240" w:type="dxa"/>
            </w:tcMar>
            <w:vAlign w:val="center"/>
            <w:hideMark/>
          </w:tcPr>
          <w:p w14:paraId="082C3C68" w14:textId="77777777" w:rsidR="0096082A" w:rsidRPr="0096082A" w:rsidRDefault="0096082A" w:rsidP="0096082A">
            <w:pPr>
              <w:spacing w:line="360" w:lineRule="auto"/>
              <w:jc w:val="center"/>
              <w:rPr>
                <w:rFonts w:ascii="Arial" w:hAnsi="Arial" w:cs="Arial"/>
              </w:rPr>
            </w:pPr>
            <w:r w:rsidRPr="0096082A">
              <w:rPr>
                <w:rFonts w:ascii="Arial" w:hAnsi="Arial" w:cs="Arial"/>
              </w:rPr>
              <w:t>2024</w:t>
            </w:r>
          </w:p>
        </w:tc>
      </w:tr>
      <w:tr w:rsidR="0096082A" w:rsidRPr="0096082A" w14:paraId="3E739E34" w14:textId="77777777" w:rsidTr="0096082A">
        <w:trPr>
          <w:trHeight w:val="1014"/>
        </w:trPr>
        <w:tc>
          <w:tcPr>
            <w:tcW w:w="1590" w:type="dxa"/>
            <w:shd w:val="clear" w:color="auto" w:fill="FFFFFF"/>
            <w:tcMar>
              <w:top w:w="150" w:type="dxa"/>
              <w:left w:w="0" w:type="dxa"/>
              <w:bottom w:w="150" w:type="dxa"/>
              <w:right w:w="240" w:type="dxa"/>
            </w:tcMar>
            <w:vAlign w:val="center"/>
            <w:hideMark/>
          </w:tcPr>
          <w:p w14:paraId="7CD306D0" w14:textId="77777777" w:rsidR="0096082A" w:rsidRPr="0096082A" w:rsidRDefault="0096082A" w:rsidP="0096082A">
            <w:pPr>
              <w:spacing w:line="360" w:lineRule="auto"/>
              <w:jc w:val="center"/>
              <w:rPr>
                <w:rFonts w:ascii="Arial" w:hAnsi="Arial" w:cs="Arial"/>
              </w:rPr>
            </w:pPr>
            <w:r w:rsidRPr="0096082A">
              <w:rPr>
                <w:rFonts w:ascii="Arial" w:hAnsi="Arial" w:cs="Arial"/>
              </w:rPr>
              <w:t>A</w:t>
            </w:r>
          </w:p>
        </w:tc>
        <w:tc>
          <w:tcPr>
            <w:tcW w:w="2361" w:type="dxa"/>
            <w:shd w:val="clear" w:color="auto" w:fill="FFFFFF"/>
            <w:tcMar>
              <w:top w:w="150" w:type="dxa"/>
              <w:left w:w="240" w:type="dxa"/>
              <w:bottom w:w="150" w:type="dxa"/>
              <w:right w:w="240" w:type="dxa"/>
            </w:tcMar>
            <w:vAlign w:val="center"/>
            <w:hideMark/>
          </w:tcPr>
          <w:p w14:paraId="46B9435C" w14:textId="77777777" w:rsidR="0096082A" w:rsidRPr="0096082A" w:rsidRDefault="0096082A" w:rsidP="0096082A">
            <w:pPr>
              <w:spacing w:line="360" w:lineRule="auto"/>
              <w:jc w:val="center"/>
              <w:rPr>
                <w:rFonts w:ascii="Arial" w:hAnsi="Arial" w:cs="Arial"/>
              </w:rPr>
            </w:pPr>
            <w:r w:rsidRPr="0096082A">
              <w:rPr>
                <w:rFonts w:ascii="Arial" w:hAnsi="Arial" w:cs="Arial"/>
              </w:rPr>
              <w:t>WC/Total Assets</w:t>
            </w:r>
          </w:p>
        </w:tc>
        <w:tc>
          <w:tcPr>
            <w:tcW w:w="0" w:type="auto"/>
            <w:shd w:val="clear" w:color="auto" w:fill="FFFFFF"/>
            <w:tcMar>
              <w:top w:w="150" w:type="dxa"/>
              <w:left w:w="240" w:type="dxa"/>
              <w:bottom w:w="150" w:type="dxa"/>
              <w:right w:w="240" w:type="dxa"/>
            </w:tcMar>
            <w:vAlign w:val="center"/>
            <w:hideMark/>
          </w:tcPr>
          <w:p w14:paraId="4C5A0C8B" w14:textId="77777777" w:rsidR="0096082A" w:rsidRPr="0096082A" w:rsidRDefault="0096082A" w:rsidP="0096082A">
            <w:pPr>
              <w:spacing w:line="360" w:lineRule="auto"/>
              <w:jc w:val="center"/>
              <w:rPr>
                <w:rFonts w:ascii="Arial" w:hAnsi="Arial" w:cs="Arial"/>
              </w:rPr>
            </w:pPr>
            <w:r w:rsidRPr="0096082A">
              <w:rPr>
                <w:rFonts w:ascii="Arial" w:hAnsi="Arial" w:cs="Arial"/>
              </w:rPr>
              <w:t>0.289</w:t>
            </w:r>
          </w:p>
        </w:tc>
        <w:tc>
          <w:tcPr>
            <w:tcW w:w="0" w:type="auto"/>
            <w:shd w:val="clear" w:color="auto" w:fill="FFFFFF"/>
            <w:tcMar>
              <w:top w:w="150" w:type="dxa"/>
              <w:left w:w="240" w:type="dxa"/>
              <w:bottom w:w="150" w:type="dxa"/>
              <w:right w:w="240" w:type="dxa"/>
            </w:tcMar>
            <w:vAlign w:val="center"/>
            <w:hideMark/>
          </w:tcPr>
          <w:p w14:paraId="35A00E75" w14:textId="77777777" w:rsidR="0096082A" w:rsidRPr="0096082A" w:rsidRDefault="0096082A" w:rsidP="0096082A">
            <w:pPr>
              <w:spacing w:line="360" w:lineRule="auto"/>
              <w:jc w:val="center"/>
              <w:rPr>
                <w:rFonts w:ascii="Arial" w:hAnsi="Arial" w:cs="Arial"/>
              </w:rPr>
            </w:pPr>
            <w:r w:rsidRPr="0096082A">
              <w:rPr>
                <w:rFonts w:ascii="Arial" w:hAnsi="Arial" w:cs="Arial"/>
              </w:rPr>
              <w:t>0.236</w:t>
            </w:r>
          </w:p>
        </w:tc>
        <w:tc>
          <w:tcPr>
            <w:tcW w:w="0" w:type="auto"/>
            <w:shd w:val="clear" w:color="auto" w:fill="FFFFFF"/>
            <w:tcMar>
              <w:top w:w="150" w:type="dxa"/>
              <w:left w:w="240" w:type="dxa"/>
              <w:bottom w:w="150" w:type="dxa"/>
              <w:right w:w="240" w:type="dxa"/>
            </w:tcMar>
            <w:vAlign w:val="center"/>
            <w:hideMark/>
          </w:tcPr>
          <w:p w14:paraId="58576FCD" w14:textId="77777777" w:rsidR="0096082A" w:rsidRPr="0096082A" w:rsidRDefault="0096082A" w:rsidP="0096082A">
            <w:pPr>
              <w:spacing w:line="360" w:lineRule="auto"/>
              <w:jc w:val="center"/>
              <w:rPr>
                <w:rFonts w:ascii="Arial" w:hAnsi="Arial" w:cs="Arial"/>
              </w:rPr>
            </w:pPr>
            <w:r w:rsidRPr="0096082A">
              <w:rPr>
                <w:rFonts w:ascii="Arial" w:hAnsi="Arial" w:cs="Arial"/>
              </w:rPr>
              <w:t>0.241</w:t>
            </w:r>
          </w:p>
        </w:tc>
        <w:tc>
          <w:tcPr>
            <w:tcW w:w="0" w:type="auto"/>
            <w:shd w:val="clear" w:color="auto" w:fill="FFFFFF"/>
            <w:tcMar>
              <w:top w:w="150" w:type="dxa"/>
              <w:left w:w="240" w:type="dxa"/>
              <w:bottom w:w="150" w:type="dxa"/>
              <w:right w:w="240" w:type="dxa"/>
            </w:tcMar>
            <w:vAlign w:val="center"/>
            <w:hideMark/>
          </w:tcPr>
          <w:p w14:paraId="2D68E863" w14:textId="77777777" w:rsidR="0096082A" w:rsidRPr="0096082A" w:rsidRDefault="0096082A" w:rsidP="0096082A">
            <w:pPr>
              <w:spacing w:line="360" w:lineRule="auto"/>
              <w:jc w:val="center"/>
              <w:rPr>
                <w:rFonts w:ascii="Arial" w:hAnsi="Arial" w:cs="Arial"/>
              </w:rPr>
            </w:pPr>
            <w:r w:rsidRPr="0096082A">
              <w:rPr>
                <w:rFonts w:ascii="Arial" w:hAnsi="Arial" w:cs="Arial"/>
              </w:rPr>
              <w:t>0.275</w:t>
            </w:r>
          </w:p>
        </w:tc>
        <w:tc>
          <w:tcPr>
            <w:tcW w:w="0" w:type="auto"/>
            <w:shd w:val="clear" w:color="auto" w:fill="FFFFFF"/>
            <w:tcMar>
              <w:top w:w="150" w:type="dxa"/>
              <w:left w:w="240" w:type="dxa"/>
              <w:bottom w:w="150" w:type="dxa"/>
              <w:right w:w="0" w:type="dxa"/>
            </w:tcMar>
            <w:vAlign w:val="center"/>
            <w:hideMark/>
          </w:tcPr>
          <w:p w14:paraId="2CA7DA6F" w14:textId="77777777" w:rsidR="0096082A" w:rsidRPr="0096082A" w:rsidRDefault="0096082A" w:rsidP="0096082A">
            <w:pPr>
              <w:spacing w:line="360" w:lineRule="auto"/>
              <w:jc w:val="center"/>
              <w:rPr>
                <w:rFonts w:ascii="Arial" w:hAnsi="Arial" w:cs="Arial"/>
              </w:rPr>
            </w:pPr>
            <w:r w:rsidRPr="0096082A">
              <w:rPr>
                <w:rFonts w:ascii="Arial" w:hAnsi="Arial" w:cs="Arial"/>
              </w:rPr>
              <w:t>0.260</w:t>
            </w:r>
          </w:p>
        </w:tc>
      </w:tr>
      <w:tr w:rsidR="0096082A" w:rsidRPr="0096082A" w14:paraId="1B56D3AA" w14:textId="77777777" w:rsidTr="0096082A">
        <w:trPr>
          <w:trHeight w:val="1001"/>
        </w:trPr>
        <w:tc>
          <w:tcPr>
            <w:tcW w:w="1590" w:type="dxa"/>
            <w:shd w:val="clear" w:color="auto" w:fill="FFFFFF"/>
            <w:tcMar>
              <w:top w:w="150" w:type="dxa"/>
              <w:left w:w="0" w:type="dxa"/>
              <w:bottom w:w="150" w:type="dxa"/>
              <w:right w:w="240" w:type="dxa"/>
            </w:tcMar>
            <w:vAlign w:val="center"/>
            <w:hideMark/>
          </w:tcPr>
          <w:p w14:paraId="74890E79" w14:textId="77777777" w:rsidR="0096082A" w:rsidRPr="0096082A" w:rsidRDefault="0096082A" w:rsidP="0096082A">
            <w:pPr>
              <w:spacing w:line="360" w:lineRule="auto"/>
              <w:jc w:val="center"/>
              <w:rPr>
                <w:rFonts w:ascii="Arial" w:hAnsi="Arial" w:cs="Arial"/>
              </w:rPr>
            </w:pPr>
            <w:r w:rsidRPr="0096082A">
              <w:rPr>
                <w:rFonts w:ascii="Arial" w:hAnsi="Arial" w:cs="Arial"/>
              </w:rPr>
              <w:t>B</w:t>
            </w:r>
          </w:p>
        </w:tc>
        <w:tc>
          <w:tcPr>
            <w:tcW w:w="2361" w:type="dxa"/>
            <w:shd w:val="clear" w:color="auto" w:fill="FFFFFF"/>
            <w:tcMar>
              <w:top w:w="150" w:type="dxa"/>
              <w:left w:w="240" w:type="dxa"/>
              <w:bottom w:w="150" w:type="dxa"/>
              <w:right w:w="240" w:type="dxa"/>
            </w:tcMar>
            <w:vAlign w:val="center"/>
            <w:hideMark/>
          </w:tcPr>
          <w:p w14:paraId="48FD3324" w14:textId="77777777" w:rsidR="0096082A" w:rsidRPr="0096082A" w:rsidRDefault="0096082A" w:rsidP="0096082A">
            <w:pPr>
              <w:spacing w:line="360" w:lineRule="auto"/>
              <w:jc w:val="center"/>
              <w:rPr>
                <w:rFonts w:ascii="Arial" w:hAnsi="Arial" w:cs="Arial"/>
              </w:rPr>
            </w:pPr>
            <w:r w:rsidRPr="0096082A">
              <w:rPr>
                <w:rFonts w:ascii="Arial" w:hAnsi="Arial" w:cs="Arial"/>
              </w:rPr>
              <w:t>RE/Total Assets</w:t>
            </w:r>
          </w:p>
        </w:tc>
        <w:tc>
          <w:tcPr>
            <w:tcW w:w="0" w:type="auto"/>
            <w:shd w:val="clear" w:color="auto" w:fill="FFFFFF"/>
            <w:tcMar>
              <w:top w:w="150" w:type="dxa"/>
              <w:left w:w="240" w:type="dxa"/>
              <w:bottom w:w="150" w:type="dxa"/>
              <w:right w:w="240" w:type="dxa"/>
            </w:tcMar>
            <w:vAlign w:val="center"/>
            <w:hideMark/>
          </w:tcPr>
          <w:p w14:paraId="349FB73B" w14:textId="77777777" w:rsidR="0096082A" w:rsidRPr="0096082A" w:rsidRDefault="0096082A" w:rsidP="0096082A">
            <w:pPr>
              <w:spacing w:line="360" w:lineRule="auto"/>
              <w:jc w:val="center"/>
              <w:rPr>
                <w:rFonts w:ascii="Arial" w:hAnsi="Arial" w:cs="Arial"/>
              </w:rPr>
            </w:pPr>
            <w:r w:rsidRPr="0096082A">
              <w:rPr>
                <w:rFonts w:ascii="Arial" w:hAnsi="Arial" w:cs="Arial"/>
              </w:rPr>
              <w:t>0.637</w:t>
            </w:r>
          </w:p>
        </w:tc>
        <w:tc>
          <w:tcPr>
            <w:tcW w:w="0" w:type="auto"/>
            <w:shd w:val="clear" w:color="auto" w:fill="FFFFFF"/>
            <w:tcMar>
              <w:top w:w="150" w:type="dxa"/>
              <w:left w:w="240" w:type="dxa"/>
              <w:bottom w:w="150" w:type="dxa"/>
              <w:right w:w="240" w:type="dxa"/>
            </w:tcMar>
            <w:vAlign w:val="center"/>
            <w:hideMark/>
          </w:tcPr>
          <w:p w14:paraId="6E453363" w14:textId="77777777" w:rsidR="0096082A" w:rsidRPr="0096082A" w:rsidRDefault="0096082A" w:rsidP="0096082A">
            <w:pPr>
              <w:spacing w:line="360" w:lineRule="auto"/>
              <w:jc w:val="center"/>
              <w:rPr>
                <w:rFonts w:ascii="Arial" w:hAnsi="Arial" w:cs="Arial"/>
              </w:rPr>
            </w:pPr>
            <w:r w:rsidRPr="0096082A">
              <w:rPr>
                <w:rFonts w:ascii="Arial" w:hAnsi="Arial" w:cs="Arial"/>
              </w:rPr>
              <w:t>0.647</w:t>
            </w:r>
          </w:p>
        </w:tc>
        <w:tc>
          <w:tcPr>
            <w:tcW w:w="0" w:type="auto"/>
            <w:shd w:val="clear" w:color="auto" w:fill="FFFFFF"/>
            <w:tcMar>
              <w:top w:w="150" w:type="dxa"/>
              <w:left w:w="240" w:type="dxa"/>
              <w:bottom w:w="150" w:type="dxa"/>
              <w:right w:w="240" w:type="dxa"/>
            </w:tcMar>
            <w:vAlign w:val="center"/>
            <w:hideMark/>
          </w:tcPr>
          <w:p w14:paraId="6FD15ED0" w14:textId="77777777" w:rsidR="0096082A" w:rsidRPr="0096082A" w:rsidRDefault="0096082A" w:rsidP="0096082A">
            <w:pPr>
              <w:spacing w:line="360" w:lineRule="auto"/>
              <w:jc w:val="center"/>
              <w:rPr>
                <w:rFonts w:ascii="Arial" w:hAnsi="Arial" w:cs="Arial"/>
              </w:rPr>
            </w:pPr>
            <w:r w:rsidRPr="0096082A">
              <w:rPr>
                <w:rFonts w:ascii="Arial" w:hAnsi="Arial" w:cs="Arial"/>
              </w:rPr>
              <w:t>0.656</w:t>
            </w:r>
          </w:p>
        </w:tc>
        <w:tc>
          <w:tcPr>
            <w:tcW w:w="0" w:type="auto"/>
            <w:shd w:val="clear" w:color="auto" w:fill="FFFFFF"/>
            <w:tcMar>
              <w:top w:w="150" w:type="dxa"/>
              <w:left w:w="240" w:type="dxa"/>
              <w:bottom w:w="150" w:type="dxa"/>
              <w:right w:w="240" w:type="dxa"/>
            </w:tcMar>
            <w:vAlign w:val="center"/>
            <w:hideMark/>
          </w:tcPr>
          <w:p w14:paraId="4E2F4986" w14:textId="77777777" w:rsidR="0096082A" w:rsidRPr="0096082A" w:rsidRDefault="0096082A" w:rsidP="0096082A">
            <w:pPr>
              <w:spacing w:line="360" w:lineRule="auto"/>
              <w:jc w:val="center"/>
              <w:rPr>
                <w:rFonts w:ascii="Arial" w:hAnsi="Arial" w:cs="Arial"/>
              </w:rPr>
            </w:pPr>
            <w:r w:rsidRPr="0096082A">
              <w:rPr>
                <w:rFonts w:ascii="Arial" w:hAnsi="Arial" w:cs="Arial"/>
              </w:rPr>
              <w:t>0.653</w:t>
            </w:r>
          </w:p>
        </w:tc>
        <w:tc>
          <w:tcPr>
            <w:tcW w:w="0" w:type="auto"/>
            <w:shd w:val="clear" w:color="auto" w:fill="FFFFFF"/>
            <w:tcMar>
              <w:top w:w="150" w:type="dxa"/>
              <w:left w:w="240" w:type="dxa"/>
              <w:bottom w:w="150" w:type="dxa"/>
              <w:right w:w="0" w:type="dxa"/>
            </w:tcMar>
            <w:vAlign w:val="center"/>
            <w:hideMark/>
          </w:tcPr>
          <w:p w14:paraId="07246C2E" w14:textId="77777777" w:rsidR="0096082A" w:rsidRPr="0096082A" w:rsidRDefault="0096082A" w:rsidP="0096082A">
            <w:pPr>
              <w:spacing w:line="360" w:lineRule="auto"/>
              <w:jc w:val="center"/>
              <w:rPr>
                <w:rFonts w:ascii="Arial" w:hAnsi="Arial" w:cs="Arial"/>
              </w:rPr>
            </w:pPr>
            <w:r w:rsidRPr="0096082A">
              <w:rPr>
                <w:rFonts w:ascii="Arial" w:hAnsi="Arial" w:cs="Arial"/>
              </w:rPr>
              <w:t>0.645</w:t>
            </w:r>
          </w:p>
        </w:tc>
      </w:tr>
      <w:tr w:rsidR="0096082A" w:rsidRPr="0096082A" w14:paraId="5DA0F3D7" w14:textId="77777777" w:rsidTr="0096082A">
        <w:trPr>
          <w:trHeight w:val="1001"/>
        </w:trPr>
        <w:tc>
          <w:tcPr>
            <w:tcW w:w="1590" w:type="dxa"/>
            <w:shd w:val="clear" w:color="auto" w:fill="FFFFFF"/>
            <w:tcMar>
              <w:top w:w="150" w:type="dxa"/>
              <w:left w:w="0" w:type="dxa"/>
              <w:bottom w:w="150" w:type="dxa"/>
              <w:right w:w="240" w:type="dxa"/>
            </w:tcMar>
            <w:vAlign w:val="center"/>
            <w:hideMark/>
          </w:tcPr>
          <w:p w14:paraId="6D02E803" w14:textId="77777777" w:rsidR="0096082A" w:rsidRPr="0096082A" w:rsidRDefault="0096082A" w:rsidP="0096082A">
            <w:pPr>
              <w:spacing w:line="360" w:lineRule="auto"/>
              <w:jc w:val="center"/>
              <w:rPr>
                <w:rFonts w:ascii="Arial" w:hAnsi="Arial" w:cs="Arial"/>
              </w:rPr>
            </w:pPr>
            <w:r w:rsidRPr="0096082A">
              <w:rPr>
                <w:rFonts w:ascii="Arial" w:hAnsi="Arial" w:cs="Arial"/>
              </w:rPr>
              <w:t>C</w:t>
            </w:r>
          </w:p>
        </w:tc>
        <w:tc>
          <w:tcPr>
            <w:tcW w:w="2361" w:type="dxa"/>
            <w:shd w:val="clear" w:color="auto" w:fill="FFFFFF"/>
            <w:tcMar>
              <w:top w:w="150" w:type="dxa"/>
              <w:left w:w="240" w:type="dxa"/>
              <w:bottom w:w="150" w:type="dxa"/>
              <w:right w:w="240" w:type="dxa"/>
            </w:tcMar>
            <w:vAlign w:val="center"/>
            <w:hideMark/>
          </w:tcPr>
          <w:p w14:paraId="238BB154" w14:textId="77777777" w:rsidR="0096082A" w:rsidRPr="0096082A" w:rsidRDefault="0096082A" w:rsidP="0096082A">
            <w:pPr>
              <w:spacing w:line="360" w:lineRule="auto"/>
              <w:jc w:val="center"/>
              <w:rPr>
                <w:rFonts w:ascii="Arial" w:hAnsi="Arial" w:cs="Arial"/>
              </w:rPr>
            </w:pPr>
            <w:r w:rsidRPr="0096082A">
              <w:rPr>
                <w:rFonts w:ascii="Arial" w:hAnsi="Arial" w:cs="Arial"/>
              </w:rPr>
              <w:t>EBIT/Total Assets</w:t>
            </w:r>
          </w:p>
        </w:tc>
        <w:tc>
          <w:tcPr>
            <w:tcW w:w="0" w:type="auto"/>
            <w:shd w:val="clear" w:color="auto" w:fill="FFFFFF"/>
            <w:tcMar>
              <w:top w:w="150" w:type="dxa"/>
              <w:left w:w="240" w:type="dxa"/>
              <w:bottom w:w="150" w:type="dxa"/>
              <w:right w:w="240" w:type="dxa"/>
            </w:tcMar>
            <w:vAlign w:val="center"/>
            <w:hideMark/>
          </w:tcPr>
          <w:p w14:paraId="411EAF45" w14:textId="77777777" w:rsidR="0096082A" w:rsidRPr="0096082A" w:rsidRDefault="0096082A" w:rsidP="0096082A">
            <w:pPr>
              <w:spacing w:line="360" w:lineRule="auto"/>
              <w:jc w:val="center"/>
              <w:rPr>
                <w:rFonts w:ascii="Arial" w:hAnsi="Arial" w:cs="Arial"/>
              </w:rPr>
            </w:pPr>
            <w:r w:rsidRPr="0096082A">
              <w:rPr>
                <w:rFonts w:ascii="Arial" w:hAnsi="Arial" w:cs="Arial"/>
              </w:rPr>
              <w:t>0.073</w:t>
            </w:r>
          </w:p>
        </w:tc>
        <w:tc>
          <w:tcPr>
            <w:tcW w:w="0" w:type="auto"/>
            <w:shd w:val="clear" w:color="auto" w:fill="FFFFFF"/>
            <w:tcMar>
              <w:top w:w="150" w:type="dxa"/>
              <w:left w:w="240" w:type="dxa"/>
              <w:bottom w:w="150" w:type="dxa"/>
              <w:right w:w="240" w:type="dxa"/>
            </w:tcMar>
            <w:vAlign w:val="center"/>
            <w:hideMark/>
          </w:tcPr>
          <w:p w14:paraId="5136B60B" w14:textId="77777777" w:rsidR="0096082A" w:rsidRPr="0096082A" w:rsidRDefault="0096082A" w:rsidP="0096082A">
            <w:pPr>
              <w:spacing w:line="360" w:lineRule="auto"/>
              <w:jc w:val="center"/>
              <w:rPr>
                <w:rFonts w:ascii="Arial" w:hAnsi="Arial" w:cs="Arial"/>
              </w:rPr>
            </w:pPr>
            <w:r w:rsidRPr="0096082A">
              <w:rPr>
                <w:rFonts w:ascii="Arial" w:hAnsi="Arial" w:cs="Arial"/>
              </w:rPr>
              <w:t>0.046</w:t>
            </w:r>
          </w:p>
        </w:tc>
        <w:tc>
          <w:tcPr>
            <w:tcW w:w="0" w:type="auto"/>
            <w:shd w:val="clear" w:color="auto" w:fill="FFFFFF"/>
            <w:tcMar>
              <w:top w:w="150" w:type="dxa"/>
              <w:left w:w="240" w:type="dxa"/>
              <w:bottom w:w="150" w:type="dxa"/>
              <w:right w:w="240" w:type="dxa"/>
            </w:tcMar>
            <w:vAlign w:val="center"/>
            <w:hideMark/>
          </w:tcPr>
          <w:p w14:paraId="3AF2A4E1" w14:textId="77777777" w:rsidR="0096082A" w:rsidRPr="0096082A" w:rsidRDefault="0096082A" w:rsidP="0096082A">
            <w:pPr>
              <w:spacing w:line="360" w:lineRule="auto"/>
              <w:jc w:val="center"/>
              <w:rPr>
                <w:rFonts w:ascii="Arial" w:hAnsi="Arial" w:cs="Arial"/>
              </w:rPr>
            </w:pPr>
            <w:r w:rsidRPr="0096082A">
              <w:rPr>
                <w:rFonts w:ascii="Arial" w:hAnsi="Arial" w:cs="Arial"/>
              </w:rPr>
              <w:t>0.029</w:t>
            </w:r>
          </w:p>
        </w:tc>
        <w:tc>
          <w:tcPr>
            <w:tcW w:w="0" w:type="auto"/>
            <w:shd w:val="clear" w:color="auto" w:fill="FFFFFF"/>
            <w:tcMar>
              <w:top w:w="150" w:type="dxa"/>
              <w:left w:w="240" w:type="dxa"/>
              <w:bottom w:w="150" w:type="dxa"/>
              <w:right w:w="240" w:type="dxa"/>
            </w:tcMar>
            <w:vAlign w:val="center"/>
            <w:hideMark/>
          </w:tcPr>
          <w:p w14:paraId="09AC2043" w14:textId="77777777" w:rsidR="0096082A" w:rsidRPr="0096082A" w:rsidRDefault="0096082A" w:rsidP="0096082A">
            <w:pPr>
              <w:spacing w:line="360" w:lineRule="auto"/>
              <w:jc w:val="center"/>
              <w:rPr>
                <w:rFonts w:ascii="Arial" w:hAnsi="Arial" w:cs="Arial"/>
              </w:rPr>
            </w:pPr>
            <w:r w:rsidRPr="0096082A">
              <w:rPr>
                <w:rFonts w:ascii="Arial" w:hAnsi="Arial" w:cs="Arial"/>
              </w:rPr>
              <w:t>-0.240</w:t>
            </w:r>
          </w:p>
        </w:tc>
        <w:tc>
          <w:tcPr>
            <w:tcW w:w="0" w:type="auto"/>
            <w:shd w:val="clear" w:color="auto" w:fill="FFFFFF"/>
            <w:tcMar>
              <w:top w:w="150" w:type="dxa"/>
              <w:left w:w="240" w:type="dxa"/>
              <w:bottom w:w="150" w:type="dxa"/>
              <w:right w:w="0" w:type="dxa"/>
            </w:tcMar>
            <w:vAlign w:val="center"/>
            <w:hideMark/>
          </w:tcPr>
          <w:p w14:paraId="2B5E599F" w14:textId="77777777" w:rsidR="0096082A" w:rsidRPr="0096082A" w:rsidRDefault="0096082A" w:rsidP="0096082A">
            <w:pPr>
              <w:spacing w:line="360" w:lineRule="auto"/>
              <w:jc w:val="center"/>
              <w:rPr>
                <w:rFonts w:ascii="Arial" w:hAnsi="Arial" w:cs="Arial"/>
              </w:rPr>
            </w:pPr>
            <w:r w:rsidRPr="0096082A">
              <w:rPr>
                <w:rFonts w:ascii="Arial" w:hAnsi="Arial" w:cs="Arial"/>
              </w:rPr>
              <w:t>-0.047</w:t>
            </w:r>
          </w:p>
        </w:tc>
      </w:tr>
      <w:tr w:rsidR="0096082A" w:rsidRPr="0096082A" w14:paraId="6B71A741" w14:textId="77777777" w:rsidTr="0096082A">
        <w:trPr>
          <w:trHeight w:val="1014"/>
        </w:trPr>
        <w:tc>
          <w:tcPr>
            <w:tcW w:w="1590" w:type="dxa"/>
            <w:shd w:val="clear" w:color="auto" w:fill="FFFFFF"/>
            <w:tcMar>
              <w:top w:w="150" w:type="dxa"/>
              <w:left w:w="0" w:type="dxa"/>
              <w:bottom w:w="150" w:type="dxa"/>
              <w:right w:w="240" w:type="dxa"/>
            </w:tcMar>
            <w:vAlign w:val="center"/>
            <w:hideMark/>
          </w:tcPr>
          <w:p w14:paraId="02B75919" w14:textId="77777777" w:rsidR="0096082A" w:rsidRPr="0096082A" w:rsidRDefault="0096082A" w:rsidP="0096082A">
            <w:pPr>
              <w:spacing w:line="360" w:lineRule="auto"/>
              <w:jc w:val="center"/>
              <w:rPr>
                <w:rFonts w:ascii="Arial" w:hAnsi="Arial" w:cs="Arial"/>
              </w:rPr>
            </w:pPr>
            <w:r w:rsidRPr="0096082A">
              <w:rPr>
                <w:rFonts w:ascii="Arial" w:hAnsi="Arial" w:cs="Arial"/>
              </w:rPr>
              <w:t>D</w:t>
            </w:r>
          </w:p>
        </w:tc>
        <w:tc>
          <w:tcPr>
            <w:tcW w:w="2361" w:type="dxa"/>
            <w:shd w:val="clear" w:color="auto" w:fill="FFFFFF"/>
            <w:tcMar>
              <w:top w:w="150" w:type="dxa"/>
              <w:left w:w="240" w:type="dxa"/>
              <w:bottom w:w="150" w:type="dxa"/>
              <w:right w:w="240" w:type="dxa"/>
            </w:tcMar>
            <w:vAlign w:val="center"/>
            <w:hideMark/>
          </w:tcPr>
          <w:p w14:paraId="4EE1CD54" w14:textId="77777777" w:rsidR="0096082A" w:rsidRPr="0096082A" w:rsidRDefault="0096082A" w:rsidP="0096082A">
            <w:pPr>
              <w:spacing w:line="360" w:lineRule="auto"/>
              <w:jc w:val="center"/>
              <w:rPr>
                <w:rFonts w:ascii="Arial" w:hAnsi="Arial" w:cs="Arial"/>
              </w:rPr>
            </w:pPr>
            <w:r w:rsidRPr="0096082A">
              <w:rPr>
                <w:rFonts w:ascii="Arial" w:hAnsi="Arial" w:cs="Arial"/>
              </w:rPr>
              <w:t>Equity/Liabilities</w:t>
            </w:r>
          </w:p>
        </w:tc>
        <w:tc>
          <w:tcPr>
            <w:tcW w:w="0" w:type="auto"/>
            <w:shd w:val="clear" w:color="auto" w:fill="FFFFFF"/>
            <w:tcMar>
              <w:top w:w="150" w:type="dxa"/>
              <w:left w:w="240" w:type="dxa"/>
              <w:bottom w:w="150" w:type="dxa"/>
              <w:right w:w="240" w:type="dxa"/>
            </w:tcMar>
            <w:vAlign w:val="center"/>
            <w:hideMark/>
          </w:tcPr>
          <w:p w14:paraId="478EE0AA" w14:textId="77777777" w:rsidR="0096082A" w:rsidRPr="0096082A" w:rsidRDefault="0096082A" w:rsidP="0096082A">
            <w:pPr>
              <w:spacing w:line="360" w:lineRule="auto"/>
              <w:jc w:val="center"/>
              <w:rPr>
                <w:rFonts w:ascii="Arial" w:hAnsi="Arial" w:cs="Arial"/>
              </w:rPr>
            </w:pPr>
            <w:r w:rsidRPr="0096082A">
              <w:rPr>
                <w:rFonts w:ascii="Arial" w:hAnsi="Arial" w:cs="Arial"/>
              </w:rPr>
              <w:t>1.591</w:t>
            </w:r>
          </w:p>
        </w:tc>
        <w:tc>
          <w:tcPr>
            <w:tcW w:w="0" w:type="auto"/>
            <w:shd w:val="clear" w:color="auto" w:fill="FFFFFF"/>
            <w:tcMar>
              <w:top w:w="150" w:type="dxa"/>
              <w:left w:w="240" w:type="dxa"/>
              <w:bottom w:w="150" w:type="dxa"/>
              <w:right w:w="240" w:type="dxa"/>
            </w:tcMar>
            <w:vAlign w:val="center"/>
            <w:hideMark/>
          </w:tcPr>
          <w:p w14:paraId="4F4DBFBC" w14:textId="77777777" w:rsidR="0096082A" w:rsidRPr="0096082A" w:rsidRDefault="0096082A" w:rsidP="0096082A">
            <w:pPr>
              <w:spacing w:line="360" w:lineRule="auto"/>
              <w:jc w:val="center"/>
              <w:rPr>
                <w:rFonts w:ascii="Arial" w:hAnsi="Arial" w:cs="Arial"/>
              </w:rPr>
            </w:pPr>
            <w:r w:rsidRPr="0096082A">
              <w:rPr>
                <w:rFonts w:ascii="Arial" w:hAnsi="Arial" w:cs="Arial"/>
              </w:rPr>
              <w:t>1.177</w:t>
            </w:r>
          </w:p>
        </w:tc>
        <w:tc>
          <w:tcPr>
            <w:tcW w:w="0" w:type="auto"/>
            <w:shd w:val="clear" w:color="auto" w:fill="FFFFFF"/>
            <w:tcMar>
              <w:top w:w="150" w:type="dxa"/>
              <w:left w:w="240" w:type="dxa"/>
              <w:bottom w:w="150" w:type="dxa"/>
              <w:right w:w="240" w:type="dxa"/>
            </w:tcMar>
            <w:vAlign w:val="center"/>
            <w:hideMark/>
          </w:tcPr>
          <w:p w14:paraId="74C1714D" w14:textId="77777777" w:rsidR="0096082A" w:rsidRPr="0096082A" w:rsidRDefault="0096082A" w:rsidP="0096082A">
            <w:pPr>
              <w:spacing w:line="360" w:lineRule="auto"/>
              <w:jc w:val="center"/>
              <w:rPr>
                <w:rFonts w:ascii="Arial" w:hAnsi="Arial" w:cs="Arial"/>
              </w:rPr>
            </w:pPr>
            <w:r w:rsidRPr="0096082A">
              <w:rPr>
                <w:rFonts w:ascii="Arial" w:hAnsi="Arial" w:cs="Arial"/>
              </w:rPr>
              <w:t>1.139</w:t>
            </w:r>
          </w:p>
        </w:tc>
        <w:tc>
          <w:tcPr>
            <w:tcW w:w="0" w:type="auto"/>
            <w:shd w:val="clear" w:color="auto" w:fill="FFFFFF"/>
            <w:tcMar>
              <w:top w:w="150" w:type="dxa"/>
              <w:left w:w="240" w:type="dxa"/>
              <w:bottom w:w="150" w:type="dxa"/>
              <w:right w:w="240" w:type="dxa"/>
            </w:tcMar>
            <w:vAlign w:val="center"/>
            <w:hideMark/>
          </w:tcPr>
          <w:p w14:paraId="3C24874A" w14:textId="77777777" w:rsidR="0096082A" w:rsidRPr="0096082A" w:rsidRDefault="0096082A" w:rsidP="0096082A">
            <w:pPr>
              <w:spacing w:line="360" w:lineRule="auto"/>
              <w:jc w:val="center"/>
              <w:rPr>
                <w:rFonts w:ascii="Arial" w:hAnsi="Arial" w:cs="Arial"/>
              </w:rPr>
            </w:pPr>
            <w:r w:rsidRPr="0096082A">
              <w:rPr>
                <w:rFonts w:ascii="Arial" w:hAnsi="Arial" w:cs="Arial"/>
              </w:rPr>
              <w:t>1.011</w:t>
            </w:r>
          </w:p>
        </w:tc>
        <w:tc>
          <w:tcPr>
            <w:tcW w:w="0" w:type="auto"/>
            <w:shd w:val="clear" w:color="auto" w:fill="FFFFFF"/>
            <w:tcMar>
              <w:top w:w="150" w:type="dxa"/>
              <w:left w:w="240" w:type="dxa"/>
              <w:bottom w:w="150" w:type="dxa"/>
              <w:right w:w="0" w:type="dxa"/>
            </w:tcMar>
            <w:vAlign w:val="center"/>
            <w:hideMark/>
          </w:tcPr>
          <w:p w14:paraId="60670683" w14:textId="77777777" w:rsidR="0096082A" w:rsidRPr="0096082A" w:rsidRDefault="0096082A" w:rsidP="0096082A">
            <w:pPr>
              <w:spacing w:line="360" w:lineRule="auto"/>
              <w:jc w:val="center"/>
              <w:rPr>
                <w:rFonts w:ascii="Arial" w:hAnsi="Arial" w:cs="Arial"/>
              </w:rPr>
            </w:pPr>
            <w:r w:rsidRPr="0096082A">
              <w:rPr>
                <w:rFonts w:ascii="Arial" w:hAnsi="Arial" w:cs="Arial"/>
              </w:rPr>
              <w:t>0.899</w:t>
            </w:r>
          </w:p>
        </w:tc>
      </w:tr>
      <w:tr w:rsidR="0096082A" w:rsidRPr="0096082A" w14:paraId="3A708ACB" w14:textId="77777777" w:rsidTr="0096082A">
        <w:trPr>
          <w:trHeight w:val="1001"/>
        </w:trPr>
        <w:tc>
          <w:tcPr>
            <w:tcW w:w="1590" w:type="dxa"/>
            <w:shd w:val="clear" w:color="auto" w:fill="FFFFFF"/>
            <w:tcMar>
              <w:top w:w="150" w:type="dxa"/>
              <w:left w:w="0" w:type="dxa"/>
              <w:bottom w:w="150" w:type="dxa"/>
              <w:right w:w="240" w:type="dxa"/>
            </w:tcMar>
            <w:vAlign w:val="center"/>
            <w:hideMark/>
          </w:tcPr>
          <w:p w14:paraId="022A5663" w14:textId="77777777" w:rsidR="0096082A" w:rsidRPr="0096082A" w:rsidRDefault="0096082A" w:rsidP="0096082A">
            <w:pPr>
              <w:spacing w:line="360" w:lineRule="auto"/>
              <w:jc w:val="center"/>
              <w:rPr>
                <w:rFonts w:ascii="Arial" w:hAnsi="Arial" w:cs="Arial"/>
              </w:rPr>
            </w:pPr>
            <w:r w:rsidRPr="0096082A">
              <w:rPr>
                <w:rFonts w:ascii="Arial" w:hAnsi="Arial" w:cs="Arial"/>
              </w:rPr>
              <w:t>E</w:t>
            </w:r>
          </w:p>
        </w:tc>
        <w:tc>
          <w:tcPr>
            <w:tcW w:w="2361" w:type="dxa"/>
            <w:shd w:val="clear" w:color="auto" w:fill="FFFFFF"/>
            <w:tcMar>
              <w:top w:w="150" w:type="dxa"/>
              <w:left w:w="240" w:type="dxa"/>
              <w:bottom w:w="150" w:type="dxa"/>
              <w:right w:w="240" w:type="dxa"/>
            </w:tcMar>
            <w:vAlign w:val="center"/>
            <w:hideMark/>
          </w:tcPr>
          <w:p w14:paraId="2D40CB7D" w14:textId="77777777" w:rsidR="0096082A" w:rsidRPr="0096082A" w:rsidRDefault="0096082A" w:rsidP="0096082A">
            <w:pPr>
              <w:spacing w:line="360" w:lineRule="auto"/>
              <w:jc w:val="center"/>
              <w:rPr>
                <w:rFonts w:ascii="Arial" w:hAnsi="Arial" w:cs="Arial"/>
              </w:rPr>
            </w:pPr>
            <w:r w:rsidRPr="0096082A">
              <w:rPr>
                <w:rFonts w:ascii="Arial" w:hAnsi="Arial" w:cs="Arial"/>
              </w:rPr>
              <w:t>Sales/Total Assets</w:t>
            </w:r>
          </w:p>
        </w:tc>
        <w:tc>
          <w:tcPr>
            <w:tcW w:w="0" w:type="auto"/>
            <w:shd w:val="clear" w:color="auto" w:fill="FFFFFF"/>
            <w:tcMar>
              <w:top w:w="150" w:type="dxa"/>
              <w:left w:w="240" w:type="dxa"/>
              <w:bottom w:w="150" w:type="dxa"/>
              <w:right w:w="240" w:type="dxa"/>
            </w:tcMar>
            <w:vAlign w:val="center"/>
            <w:hideMark/>
          </w:tcPr>
          <w:p w14:paraId="29CB44BE" w14:textId="77777777" w:rsidR="0096082A" w:rsidRPr="0096082A" w:rsidRDefault="0096082A" w:rsidP="0096082A">
            <w:pPr>
              <w:spacing w:line="360" w:lineRule="auto"/>
              <w:jc w:val="center"/>
              <w:rPr>
                <w:rFonts w:ascii="Arial" w:hAnsi="Arial" w:cs="Arial"/>
              </w:rPr>
            </w:pPr>
            <w:r w:rsidRPr="0096082A">
              <w:rPr>
                <w:rFonts w:ascii="Arial" w:hAnsi="Arial" w:cs="Arial"/>
              </w:rPr>
              <w:t>1.205</w:t>
            </w:r>
          </w:p>
        </w:tc>
        <w:tc>
          <w:tcPr>
            <w:tcW w:w="0" w:type="auto"/>
            <w:shd w:val="clear" w:color="auto" w:fill="FFFFFF"/>
            <w:tcMar>
              <w:top w:w="150" w:type="dxa"/>
              <w:left w:w="240" w:type="dxa"/>
              <w:bottom w:w="150" w:type="dxa"/>
              <w:right w:w="240" w:type="dxa"/>
            </w:tcMar>
            <w:vAlign w:val="center"/>
            <w:hideMark/>
          </w:tcPr>
          <w:p w14:paraId="7618FEB1" w14:textId="77777777" w:rsidR="0096082A" w:rsidRPr="0096082A" w:rsidRDefault="0096082A" w:rsidP="0096082A">
            <w:pPr>
              <w:spacing w:line="360" w:lineRule="auto"/>
              <w:jc w:val="center"/>
              <w:rPr>
                <w:rFonts w:ascii="Arial" w:hAnsi="Arial" w:cs="Arial"/>
              </w:rPr>
            </w:pPr>
            <w:r w:rsidRPr="0096082A">
              <w:rPr>
                <w:rFonts w:ascii="Arial" w:hAnsi="Arial" w:cs="Arial"/>
              </w:rPr>
              <w:t>1.179</w:t>
            </w:r>
          </w:p>
        </w:tc>
        <w:tc>
          <w:tcPr>
            <w:tcW w:w="0" w:type="auto"/>
            <w:shd w:val="clear" w:color="auto" w:fill="FFFFFF"/>
            <w:tcMar>
              <w:top w:w="150" w:type="dxa"/>
              <w:left w:w="240" w:type="dxa"/>
              <w:bottom w:w="150" w:type="dxa"/>
              <w:right w:w="240" w:type="dxa"/>
            </w:tcMar>
            <w:vAlign w:val="center"/>
            <w:hideMark/>
          </w:tcPr>
          <w:p w14:paraId="37EFCC0E" w14:textId="77777777" w:rsidR="0096082A" w:rsidRPr="0096082A" w:rsidRDefault="0096082A" w:rsidP="0096082A">
            <w:pPr>
              <w:spacing w:line="360" w:lineRule="auto"/>
              <w:jc w:val="center"/>
              <w:rPr>
                <w:rFonts w:ascii="Arial" w:hAnsi="Arial" w:cs="Arial"/>
              </w:rPr>
            </w:pPr>
            <w:r w:rsidRPr="0096082A">
              <w:rPr>
                <w:rFonts w:ascii="Arial" w:hAnsi="Arial" w:cs="Arial"/>
              </w:rPr>
              <w:t>1.077</w:t>
            </w:r>
          </w:p>
        </w:tc>
        <w:tc>
          <w:tcPr>
            <w:tcW w:w="0" w:type="auto"/>
            <w:shd w:val="clear" w:color="auto" w:fill="FFFFFF"/>
            <w:tcMar>
              <w:top w:w="150" w:type="dxa"/>
              <w:left w:w="240" w:type="dxa"/>
              <w:bottom w:w="150" w:type="dxa"/>
              <w:right w:w="240" w:type="dxa"/>
            </w:tcMar>
            <w:vAlign w:val="center"/>
            <w:hideMark/>
          </w:tcPr>
          <w:p w14:paraId="05740364" w14:textId="77777777" w:rsidR="0096082A" w:rsidRPr="0096082A" w:rsidRDefault="0096082A" w:rsidP="0096082A">
            <w:pPr>
              <w:spacing w:line="360" w:lineRule="auto"/>
              <w:jc w:val="center"/>
              <w:rPr>
                <w:rFonts w:ascii="Arial" w:hAnsi="Arial" w:cs="Arial"/>
              </w:rPr>
            </w:pPr>
            <w:r w:rsidRPr="0096082A">
              <w:rPr>
                <w:rFonts w:ascii="Arial" w:hAnsi="Arial" w:cs="Arial"/>
              </w:rPr>
              <w:t>1.181</w:t>
            </w:r>
          </w:p>
        </w:tc>
        <w:tc>
          <w:tcPr>
            <w:tcW w:w="0" w:type="auto"/>
            <w:shd w:val="clear" w:color="auto" w:fill="FFFFFF"/>
            <w:tcMar>
              <w:top w:w="150" w:type="dxa"/>
              <w:left w:w="240" w:type="dxa"/>
              <w:bottom w:w="150" w:type="dxa"/>
              <w:right w:w="0" w:type="dxa"/>
            </w:tcMar>
            <w:vAlign w:val="center"/>
            <w:hideMark/>
          </w:tcPr>
          <w:p w14:paraId="4EB2BFAF" w14:textId="77777777" w:rsidR="0096082A" w:rsidRPr="0096082A" w:rsidRDefault="0096082A" w:rsidP="0096082A">
            <w:pPr>
              <w:spacing w:line="360" w:lineRule="auto"/>
              <w:jc w:val="center"/>
              <w:rPr>
                <w:rFonts w:ascii="Arial" w:hAnsi="Arial" w:cs="Arial"/>
              </w:rPr>
            </w:pPr>
            <w:r w:rsidRPr="0096082A">
              <w:rPr>
                <w:rFonts w:ascii="Arial" w:hAnsi="Arial" w:cs="Arial"/>
              </w:rPr>
              <w:t>1.221</w:t>
            </w:r>
          </w:p>
        </w:tc>
      </w:tr>
      <w:tr w:rsidR="0096082A" w:rsidRPr="0096082A" w14:paraId="763CD618" w14:textId="77777777" w:rsidTr="0096082A">
        <w:trPr>
          <w:trHeight w:val="1420"/>
        </w:trPr>
        <w:tc>
          <w:tcPr>
            <w:tcW w:w="1590" w:type="dxa"/>
            <w:shd w:val="clear" w:color="auto" w:fill="FFFFFF"/>
            <w:tcMar>
              <w:top w:w="150" w:type="dxa"/>
              <w:left w:w="0" w:type="dxa"/>
              <w:bottom w:w="150" w:type="dxa"/>
              <w:right w:w="240" w:type="dxa"/>
            </w:tcMar>
            <w:vAlign w:val="center"/>
            <w:hideMark/>
          </w:tcPr>
          <w:p w14:paraId="0A896F02" w14:textId="77777777" w:rsidR="0096082A" w:rsidRPr="0096082A" w:rsidRDefault="0096082A" w:rsidP="0096082A">
            <w:pPr>
              <w:spacing w:line="360" w:lineRule="auto"/>
              <w:jc w:val="center"/>
              <w:rPr>
                <w:rFonts w:ascii="Arial" w:hAnsi="Arial" w:cs="Arial"/>
              </w:rPr>
            </w:pPr>
            <w:r w:rsidRPr="0096082A">
              <w:rPr>
                <w:rFonts w:ascii="Arial" w:hAnsi="Arial" w:cs="Arial"/>
              </w:rPr>
              <w:t>Z-Score</w:t>
            </w:r>
          </w:p>
        </w:tc>
        <w:tc>
          <w:tcPr>
            <w:tcW w:w="2361" w:type="dxa"/>
            <w:shd w:val="clear" w:color="auto" w:fill="FFFFFF"/>
            <w:tcMar>
              <w:top w:w="150" w:type="dxa"/>
              <w:left w:w="240" w:type="dxa"/>
              <w:bottom w:w="150" w:type="dxa"/>
              <w:right w:w="240" w:type="dxa"/>
            </w:tcMar>
            <w:vAlign w:val="center"/>
            <w:hideMark/>
          </w:tcPr>
          <w:p w14:paraId="55744A5C" w14:textId="77777777" w:rsidR="0096082A" w:rsidRPr="0096082A" w:rsidRDefault="0096082A" w:rsidP="0096082A">
            <w:pPr>
              <w:spacing w:line="360" w:lineRule="auto"/>
              <w:jc w:val="center"/>
              <w:rPr>
                <w:rFonts w:ascii="Arial" w:hAnsi="Arial" w:cs="Arial"/>
              </w:rPr>
            </w:pPr>
            <w:r w:rsidRPr="0096082A">
              <w:rPr>
                <w:rFonts w:ascii="Arial" w:hAnsi="Arial" w:cs="Arial"/>
              </w:rPr>
              <w:t>1.2A + 1.4B + 3.3C + 0.6D + 1.0E</w:t>
            </w:r>
          </w:p>
        </w:tc>
        <w:tc>
          <w:tcPr>
            <w:tcW w:w="0" w:type="auto"/>
            <w:shd w:val="clear" w:color="auto" w:fill="FFFFFF"/>
            <w:tcMar>
              <w:top w:w="150" w:type="dxa"/>
              <w:left w:w="240" w:type="dxa"/>
              <w:bottom w:w="150" w:type="dxa"/>
              <w:right w:w="240" w:type="dxa"/>
            </w:tcMar>
            <w:vAlign w:val="center"/>
            <w:hideMark/>
          </w:tcPr>
          <w:p w14:paraId="695592D2" w14:textId="77777777" w:rsidR="0096082A" w:rsidRPr="0096082A" w:rsidRDefault="0096082A" w:rsidP="0096082A">
            <w:pPr>
              <w:spacing w:line="360" w:lineRule="auto"/>
              <w:jc w:val="center"/>
              <w:rPr>
                <w:rFonts w:ascii="Arial" w:hAnsi="Arial" w:cs="Arial"/>
              </w:rPr>
            </w:pPr>
            <w:r w:rsidRPr="0096082A">
              <w:rPr>
                <w:rFonts w:ascii="Arial" w:hAnsi="Arial" w:cs="Arial"/>
              </w:rPr>
              <w:t>3.63</w:t>
            </w:r>
          </w:p>
        </w:tc>
        <w:tc>
          <w:tcPr>
            <w:tcW w:w="0" w:type="auto"/>
            <w:shd w:val="clear" w:color="auto" w:fill="FFFFFF"/>
            <w:tcMar>
              <w:top w:w="150" w:type="dxa"/>
              <w:left w:w="240" w:type="dxa"/>
              <w:bottom w:w="150" w:type="dxa"/>
              <w:right w:w="240" w:type="dxa"/>
            </w:tcMar>
            <w:vAlign w:val="center"/>
            <w:hideMark/>
          </w:tcPr>
          <w:p w14:paraId="12EE759B" w14:textId="77777777" w:rsidR="0096082A" w:rsidRPr="0096082A" w:rsidRDefault="0096082A" w:rsidP="0096082A">
            <w:pPr>
              <w:spacing w:line="360" w:lineRule="auto"/>
              <w:jc w:val="center"/>
              <w:rPr>
                <w:rFonts w:ascii="Arial" w:hAnsi="Arial" w:cs="Arial"/>
              </w:rPr>
            </w:pPr>
            <w:r w:rsidRPr="0096082A">
              <w:rPr>
                <w:rFonts w:ascii="Arial" w:hAnsi="Arial" w:cs="Arial"/>
              </w:rPr>
              <w:t>3.14</w:t>
            </w:r>
          </w:p>
        </w:tc>
        <w:tc>
          <w:tcPr>
            <w:tcW w:w="0" w:type="auto"/>
            <w:shd w:val="clear" w:color="auto" w:fill="FFFFFF"/>
            <w:tcMar>
              <w:top w:w="150" w:type="dxa"/>
              <w:left w:w="240" w:type="dxa"/>
              <w:bottom w:w="150" w:type="dxa"/>
              <w:right w:w="240" w:type="dxa"/>
            </w:tcMar>
            <w:vAlign w:val="center"/>
            <w:hideMark/>
          </w:tcPr>
          <w:p w14:paraId="612283B0" w14:textId="77777777" w:rsidR="0096082A" w:rsidRPr="0096082A" w:rsidRDefault="0096082A" w:rsidP="0096082A">
            <w:pPr>
              <w:spacing w:line="360" w:lineRule="auto"/>
              <w:jc w:val="center"/>
              <w:rPr>
                <w:rFonts w:ascii="Arial" w:hAnsi="Arial" w:cs="Arial"/>
              </w:rPr>
            </w:pPr>
            <w:r w:rsidRPr="0096082A">
              <w:rPr>
                <w:rFonts w:ascii="Arial" w:hAnsi="Arial" w:cs="Arial"/>
              </w:rPr>
              <w:t>2.97</w:t>
            </w:r>
          </w:p>
        </w:tc>
        <w:tc>
          <w:tcPr>
            <w:tcW w:w="0" w:type="auto"/>
            <w:shd w:val="clear" w:color="auto" w:fill="FFFFFF"/>
            <w:tcMar>
              <w:top w:w="150" w:type="dxa"/>
              <w:left w:w="240" w:type="dxa"/>
              <w:bottom w:w="150" w:type="dxa"/>
              <w:right w:w="240" w:type="dxa"/>
            </w:tcMar>
            <w:vAlign w:val="center"/>
            <w:hideMark/>
          </w:tcPr>
          <w:p w14:paraId="0422E29D" w14:textId="77777777" w:rsidR="0096082A" w:rsidRPr="0096082A" w:rsidRDefault="0096082A" w:rsidP="0096082A">
            <w:pPr>
              <w:spacing w:line="360" w:lineRule="auto"/>
              <w:jc w:val="center"/>
              <w:rPr>
                <w:rFonts w:ascii="Arial" w:hAnsi="Arial" w:cs="Arial"/>
              </w:rPr>
            </w:pPr>
            <w:r w:rsidRPr="0096082A">
              <w:rPr>
                <w:rFonts w:ascii="Arial" w:hAnsi="Arial" w:cs="Arial"/>
              </w:rPr>
              <w:t>1.60</w:t>
            </w:r>
          </w:p>
        </w:tc>
        <w:tc>
          <w:tcPr>
            <w:tcW w:w="0" w:type="auto"/>
            <w:shd w:val="clear" w:color="auto" w:fill="FFFFFF"/>
            <w:tcMar>
              <w:top w:w="150" w:type="dxa"/>
              <w:left w:w="240" w:type="dxa"/>
              <w:bottom w:w="150" w:type="dxa"/>
              <w:right w:w="0" w:type="dxa"/>
            </w:tcMar>
            <w:vAlign w:val="center"/>
            <w:hideMark/>
          </w:tcPr>
          <w:p w14:paraId="495C552F" w14:textId="77777777" w:rsidR="0096082A" w:rsidRPr="0096082A" w:rsidRDefault="0096082A" w:rsidP="0096082A">
            <w:pPr>
              <w:spacing w:line="360" w:lineRule="auto"/>
              <w:jc w:val="center"/>
              <w:rPr>
                <w:rFonts w:ascii="Arial" w:hAnsi="Arial" w:cs="Arial"/>
              </w:rPr>
            </w:pPr>
            <w:r w:rsidRPr="0096082A">
              <w:rPr>
                <w:rFonts w:ascii="Arial" w:hAnsi="Arial" w:cs="Arial"/>
              </w:rPr>
              <w:t>2.18</w:t>
            </w:r>
          </w:p>
        </w:tc>
      </w:tr>
      <w:tr w:rsidR="0096082A" w:rsidRPr="0096082A" w14:paraId="6EF587B2" w14:textId="77777777" w:rsidTr="0096082A">
        <w:trPr>
          <w:trHeight w:val="1014"/>
        </w:trPr>
        <w:tc>
          <w:tcPr>
            <w:tcW w:w="1590" w:type="dxa"/>
            <w:shd w:val="clear" w:color="auto" w:fill="FFFFFF"/>
            <w:tcMar>
              <w:top w:w="150" w:type="dxa"/>
              <w:left w:w="0" w:type="dxa"/>
              <w:bottom w:w="150" w:type="dxa"/>
              <w:right w:w="240" w:type="dxa"/>
            </w:tcMar>
            <w:vAlign w:val="center"/>
            <w:hideMark/>
          </w:tcPr>
          <w:p w14:paraId="16EE57C0" w14:textId="77777777" w:rsidR="0096082A" w:rsidRPr="0096082A" w:rsidRDefault="0096082A" w:rsidP="0096082A">
            <w:pPr>
              <w:spacing w:line="360" w:lineRule="auto"/>
              <w:jc w:val="center"/>
              <w:rPr>
                <w:rFonts w:ascii="Arial" w:hAnsi="Arial" w:cs="Arial"/>
              </w:rPr>
            </w:pPr>
            <w:r w:rsidRPr="0096082A">
              <w:rPr>
                <w:rFonts w:ascii="Arial" w:hAnsi="Arial" w:cs="Arial"/>
              </w:rPr>
              <w:t>Zone</w:t>
            </w:r>
          </w:p>
        </w:tc>
        <w:tc>
          <w:tcPr>
            <w:tcW w:w="2361" w:type="dxa"/>
            <w:shd w:val="clear" w:color="auto" w:fill="FFFFFF"/>
            <w:tcMar>
              <w:top w:w="150" w:type="dxa"/>
              <w:left w:w="240" w:type="dxa"/>
              <w:bottom w:w="150" w:type="dxa"/>
              <w:right w:w="240" w:type="dxa"/>
            </w:tcMar>
            <w:vAlign w:val="center"/>
            <w:hideMark/>
          </w:tcPr>
          <w:p w14:paraId="50A90C22" w14:textId="77777777" w:rsidR="0096082A" w:rsidRPr="0096082A" w:rsidRDefault="0096082A" w:rsidP="0096082A">
            <w:pPr>
              <w:spacing w:line="360" w:lineRule="auto"/>
              <w:jc w:val="center"/>
              <w:rPr>
                <w:rFonts w:ascii="Arial" w:hAnsi="Arial" w:cs="Arial"/>
              </w:rPr>
            </w:pPr>
          </w:p>
        </w:tc>
        <w:tc>
          <w:tcPr>
            <w:tcW w:w="0" w:type="auto"/>
            <w:shd w:val="clear" w:color="auto" w:fill="FFFFFF"/>
            <w:tcMar>
              <w:top w:w="150" w:type="dxa"/>
              <w:left w:w="240" w:type="dxa"/>
              <w:bottom w:w="150" w:type="dxa"/>
              <w:right w:w="240" w:type="dxa"/>
            </w:tcMar>
            <w:vAlign w:val="center"/>
            <w:hideMark/>
          </w:tcPr>
          <w:p w14:paraId="004354B7" w14:textId="77777777" w:rsidR="0096082A" w:rsidRPr="0096082A" w:rsidRDefault="0096082A" w:rsidP="0096082A">
            <w:pPr>
              <w:spacing w:line="360" w:lineRule="auto"/>
              <w:jc w:val="center"/>
              <w:rPr>
                <w:rFonts w:ascii="Arial" w:hAnsi="Arial" w:cs="Arial"/>
                <w:color w:val="92D050"/>
              </w:rPr>
            </w:pPr>
            <w:r w:rsidRPr="0096082A">
              <w:rPr>
                <w:rFonts w:ascii="Arial" w:hAnsi="Arial" w:cs="Arial"/>
                <w:color w:val="92D050"/>
              </w:rPr>
              <w:t>Safe</w:t>
            </w:r>
          </w:p>
        </w:tc>
        <w:tc>
          <w:tcPr>
            <w:tcW w:w="0" w:type="auto"/>
            <w:shd w:val="clear" w:color="auto" w:fill="FFFFFF"/>
            <w:tcMar>
              <w:top w:w="150" w:type="dxa"/>
              <w:left w:w="240" w:type="dxa"/>
              <w:bottom w:w="150" w:type="dxa"/>
              <w:right w:w="240" w:type="dxa"/>
            </w:tcMar>
            <w:vAlign w:val="center"/>
            <w:hideMark/>
          </w:tcPr>
          <w:p w14:paraId="32159439" w14:textId="77777777" w:rsidR="0096082A" w:rsidRPr="0096082A" w:rsidRDefault="0096082A" w:rsidP="0096082A">
            <w:pPr>
              <w:spacing w:line="360" w:lineRule="auto"/>
              <w:jc w:val="center"/>
              <w:rPr>
                <w:rFonts w:ascii="Arial" w:hAnsi="Arial" w:cs="Arial"/>
                <w:color w:val="92D050"/>
              </w:rPr>
            </w:pPr>
            <w:r w:rsidRPr="0096082A">
              <w:rPr>
                <w:rFonts w:ascii="Arial" w:hAnsi="Arial" w:cs="Arial"/>
                <w:color w:val="92D050"/>
              </w:rPr>
              <w:t>Safe</w:t>
            </w:r>
          </w:p>
        </w:tc>
        <w:tc>
          <w:tcPr>
            <w:tcW w:w="0" w:type="auto"/>
            <w:shd w:val="clear" w:color="auto" w:fill="FFFFFF"/>
            <w:tcMar>
              <w:top w:w="150" w:type="dxa"/>
              <w:left w:w="240" w:type="dxa"/>
              <w:bottom w:w="150" w:type="dxa"/>
              <w:right w:w="240" w:type="dxa"/>
            </w:tcMar>
            <w:vAlign w:val="center"/>
            <w:hideMark/>
          </w:tcPr>
          <w:p w14:paraId="00E41AD7" w14:textId="77777777" w:rsidR="0096082A" w:rsidRPr="0096082A" w:rsidRDefault="0096082A" w:rsidP="0096082A">
            <w:pPr>
              <w:spacing w:line="360" w:lineRule="auto"/>
              <w:jc w:val="center"/>
              <w:rPr>
                <w:rFonts w:ascii="Arial" w:hAnsi="Arial" w:cs="Arial"/>
              </w:rPr>
            </w:pPr>
            <w:r w:rsidRPr="0096082A">
              <w:rPr>
                <w:rFonts w:ascii="Arial" w:hAnsi="Arial" w:cs="Arial"/>
                <w:color w:val="808080" w:themeColor="background1" w:themeShade="80"/>
              </w:rPr>
              <w:t>Grey</w:t>
            </w:r>
          </w:p>
        </w:tc>
        <w:tc>
          <w:tcPr>
            <w:tcW w:w="0" w:type="auto"/>
            <w:shd w:val="clear" w:color="auto" w:fill="FFFFFF"/>
            <w:tcMar>
              <w:top w:w="150" w:type="dxa"/>
              <w:left w:w="240" w:type="dxa"/>
              <w:bottom w:w="150" w:type="dxa"/>
              <w:right w:w="240" w:type="dxa"/>
            </w:tcMar>
            <w:vAlign w:val="center"/>
            <w:hideMark/>
          </w:tcPr>
          <w:p w14:paraId="49E65A95" w14:textId="77777777" w:rsidR="0096082A" w:rsidRPr="0096082A" w:rsidRDefault="0096082A" w:rsidP="0096082A">
            <w:pPr>
              <w:spacing w:line="360" w:lineRule="auto"/>
              <w:jc w:val="center"/>
              <w:rPr>
                <w:rFonts w:ascii="Arial" w:hAnsi="Arial" w:cs="Arial"/>
              </w:rPr>
            </w:pPr>
            <w:r w:rsidRPr="0096082A">
              <w:rPr>
                <w:rFonts w:ascii="Arial" w:hAnsi="Arial" w:cs="Arial"/>
                <w:color w:val="EE0000"/>
              </w:rPr>
              <w:t>Distress</w:t>
            </w:r>
          </w:p>
        </w:tc>
        <w:tc>
          <w:tcPr>
            <w:tcW w:w="0" w:type="auto"/>
            <w:shd w:val="clear" w:color="auto" w:fill="FFFFFF"/>
            <w:tcMar>
              <w:top w:w="150" w:type="dxa"/>
              <w:left w:w="240" w:type="dxa"/>
              <w:bottom w:w="150" w:type="dxa"/>
              <w:right w:w="0" w:type="dxa"/>
            </w:tcMar>
            <w:vAlign w:val="center"/>
            <w:hideMark/>
          </w:tcPr>
          <w:p w14:paraId="252DF3FA" w14:textId="77777777" w:rsidR="0096082A" w:rsidRPr="0096082A" w:rsidRDefault="0096082A" w:rsidP="0096082A">
            <w:pPr>
              <w:spacing w:line="360" w:lineRule="auto"/>
              <w:jc w:val="center"/>
              <w:rPr>
                <w:rFonts w:ascii="Arial" w:hAnsi="Arial" w:cs="Arial"/>
              </w:rPr>
            </w:pPr>
            <w:r w:rsidRPr="0096082A">
              <w:rPr>
                <w:rFonts w:ascii="Arial" w:hAnsi="Arial" w:cs="Arial"/>
                <w:color w:val="808080" w:themeColor="background1" w:themeShade="80"/>
              </w:rPr>
              <w:t>Grey</w:t>
            </w:r>
          </w:p>
        </w:tc>
      </w:tr>
    </w:tbl>
    <w:p w14:paraId="335DD2A6" w14:textId="77777777" w:rsidR="0096082A" w:rsidRDefault="0096082A" w:rsidP="00EC26B4">
      <w:pPr>
        <w:spacing w:line="360" w:lineRule="auto"/>
        <w:jc w:val="both"/>
        <w:rPr>
          <w:rFonts w:ascii="Arial" w:hAnsi="Arial" w:cs="Arial"/>
        </w:rPr>
      </w:pPr>
    </w:p>
    <w:p w14:paraId="234D058E" w14:textId="77777777" w:rsidR="00A71042" w:rsidRPr="00A71042" w:rsidRDefault="00A71042" w:rsidP="00A71042">
      <w:pPr>
        <w:spacing w:line="360" w:lineRule="auto"/>
        <w:rPr>
          <w:rFonts w:ascii="Arial" w:hAnsi="Arial" w:cs="Arial"/>
        </w:rPr>
      </w:pPr>
      <w:r w:rsidRPr="00A71042">
        <w:rPr>
          <w:rFonts w:ascii="Arial" w:hAnsi="Arial" w:cs="Arial"/>
          <w:i/>
          <w:iCs/>
        </w:rPr>
        <w:t>WC = Working Capital; RE = Retained Earnings; EBIT = Operating Income.</w:t>
      </w:r>
    </w:p>
    <w:p w14:paraId="5CDAD7D3" w14:textId="787F5B72" w:rsidR="00A71042" w:rsidRDefault="00A71042" w:rsidP="00A71042">
      <w:pPr>
        <w:spacing w:line="360" w:lineRule="auto"/>
        <w:rPr>
          <w:rFonts w:ascii="Arial" w:hAnsi="Arial" w:cs="Arial"/>
        </w:rPr>
      </w:pPr>
      <w:r w:rsidRPr="00A71042">
        <w:rPr>
          <w:rFonts w:ascii="Arial" w:hAnsi="Arial" w:cs="Arial"/>
          <w:b/>
          <w:bCs/>
        </w:rPr>
        <w:lastRenderedPageBreak/>
        <w:t>Interpretation of the Trend:</w:t>
      </w:r>
      <w:r w:rsidRPr="00A71042">
        <w:rPr>
          <w:rFonts w:ascii="Arial" w:hAnsi="Arial" w:cs="Arial"/>
        </w:rPr>
        <w:br/>
        <w:t xml:space="preserve">The </w:t>
      </w:r>
      <w:r>
        <w:rPr>
          <w:rFonts w:ascii="Arial" w:hAnsi="Arial" w:cs="Arial"/>
        </w:rPr>
        <w:t>Z-score</w:t>
      </w:r>
      <w:r w:rsidRPr="00A71042">
        <w:rPr>
          <w:rFonts w:ascii="Arial" w:hAnsi="Arial" w:cs="Arial"/>
        </w:rPr>
        <w:t xml:space="preserve"> trajectory provides empirical evidence of the company’s precipitous decline. General Electronics descended from a position of safety in 2020 (Z=3.63) into the "Grey Zone" of moderate bankruptcy risk in 2022 (Z=2.97), before plunging into the "Distress Zone" in 2023 (Z=1.60) following the massive operating loss and goodwill impairment. The slight recovery to 2.18 in 2024, while moving the company back into the "Grey Zone," still indicates a company under significant threat. The primary cause of the poor scores in 2023 and 2024 is the negative profitability (Component C), coupled with a deteriorating equity buffer (Component D).</w:t>
      </w:r>
    </w:p>
    <w:p w14:paraId="1504B6D7" w14:textId="36327015" w:rsidR="008C7C88" w:rsidRPr="00CD15FF" w:rsidRDefault="00CD15FF" w:rsidP="00A71042">
      <w:pPr>
        <w:spacing w:line="360" w:lineRule="auto"/>
        <w:rPr>
          <w:rFonts w:ascii="Arial" w:hAnsi="Arial" w:cs="Arial"/>
          <w:b/>
          <w:bCs/>
        </w:rPr>
      </w:pPr>
      <w:r w:rsidRPr="00CD15FF">
        <w:rPr>
          <w:rFonts w:ascii="Arial" w:hAnsi="Arial" w:cs="Arial"/>
          <w:b/>
          <w:bCs/>
        </w:rPr>
        <w:t xml:space="preserve">Appendix </w:t>
      </w:r>
      <w:r w:rsidR="008C7C88" w:rsidRPr="00CD15FF">
        <w:rPr>
          <w:rFonts w:ascii="Arial" w:hAnsi="Arial" w:cs="Arial"/>
          <w:b/>
          <w:bCs/>
        </w:rPr>
        <w:t>Table 4: Strategic Risk-Adjusted Project Scorecard.</w:t>
      </w:r>
    </w:p>
    <w:tbl>
      <w:tblPr>
        <w:tblW w:w="106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01"/>
        <w:gridCol w:w="1223"/>
        <w:gridCol w:w="1521"/>
        <w:gridCol w:w="1574"/>
        <w:gridCol w:w="1456"/>
        <w:gridCol w:w="3240"/>
      </w:tblGrid>
      <w:tr w:rsidR="0092094B" w:rsidRPr="0092094B" w14:paraId="3C27E0F6" w14:textId="77777777" w:rsidTr="0092094B">
        <w:trPr>
          <w:trHeight w:val="421"/>
          <w:tblHeader/>
        </w:trPr>
        <w:tc>
          <w:tcPr>
            <w:tcW w:w="1601" w:type="dxa"/>
            <w:tcMar>
              <w:top w:w="150" w:type="dxa"/>
              <w:left w:w="0" w:type="dxa"/>
              <w:bottom w:w="150" w:type="dxa"/>
              <w:right w:w="240" w:type="dxa"/>
            </w:tcMar>
            <w:vAlign w:val="center"/>
            <w:hideMark/>
          </w:tcPr>
          <w:p w14:paraId="3D5A6E06" w14:textId="77777777" w:rsidR="0092094B" w:rsidRPr="00F878AF" w:rsidRDefault="0092094B" w:rsidP="00021BAD">
            <w:pPr>
              <w:spacing w:line="360" w:lineRule="auto"/>
              <w:rPr>
                <w:rFonts w:ascii="Arial" w:hAnsi="Arial" w:cs="Arial"/>
              </w:rPr>
            </w:pPr>
            <w:r w:rsidRPr="00F878AF">
              <w:rPr>
                <w:rFonts w:ascii="Arial" w:hAnsi="Arial" w:cs="Arial"/>
              </w:rPr>
              <w:t>Criterion</w:t>
            </w:r>
          </w:p>
        </w:tc>
        <w:tc>
          <w:tcPr>
            <w:tcW w:w="1223" w:type="dxa"/>
            <w:tcMar>
              <w:top w:w="150" w:type="dxa"/>
              <w:left w:w="240" w:type="dxa"/>
              <w:bottom w:w="150" w:type="dxa"/>
              <w:right w:w="240" w:type="dxa"/>
            </w:tcMar>
            <w:vAlign w:val="center"/>
            <w:hideMark/>
          </w:tcPr>
          <w:p w14:paraId="513BAF59" w14:textId="77777777" w:rsidR="0092094B" w:rsidRPr="00F878AF" w:rsidRDefault="0092094B" w:rsidP="00021BAD">
            <w:pPr>
              <w:spacing w:line="360" w:lineRule="auto"/>
              <w:rPr>
                <w:rFonts w:ascii="Arial" w:hAnsi="Arial" w:cs="Arial"/>
              </w:rPr>
            </w:pPr>
            <w:r w:rsidRPr="00F878AF">
              <w:rPr>
                <w:rFonts w:ascii="Arial" w:hAnsi="Arial" w:cs="Arial"/>
              </w:rPr>
              <w:t>Weight</w:t>
            </w:r>
          </w:p>
        </w:tc>
        <w:tc>
          <w:tcPr>
            <w:tcW w:w="1521" w:type="dxa"/>
            <w:tcMar>
              <w:top w:w="150" w:type="dxa"/>
              <w:left w:w="240" w:type="dxa"/>
              <w:bottom w:w="150" w:type="dxa"/>
              <w:right w:w="240" w:type="dxa"/>
            </w:tcMar>
            <w:vAlign w:val="center"/>
            <w:hideMark/>
          </w:tcPr>
          <w:p w14:paraId="79C2DAFF" w14:textId="77777777" w:rsidR="0092094B" w:rsidRPr="00F878AF" w:rsidRDefault="0092094B" w:rsidP="00021BAD">
            <w:pPr>
              <w:spacing w:line="360" w:lineRule="auto"/>
              <w:rPr>
                <w:rFonts w:ascii="Arial" w:hAnsi="Arial" w:cs="Arial"/>
              </w:rPr>
            </w:pPr>
            <w:r w:rsidRPr="00F878AF">
              <w:rPr>
                <w:rFonts w:ascii="Arial" w:hAnsi="Arial" w:cs="Arial"/>
              </w:rPr>
              <w:t>Project A</w:t>
            </w:r>
          </w:p>
        </w:tc>
        <w:tc>
          <w:tcPr>
            <w:tcW w:w="1574" w:type="dxa"/>
            <w:tcMar>
              <w:top w:w="150" w:type="dxa"/>
              <w:left w:w="240" w:type="dxa"/>
              <w:bottom w:w="150" w:type="dxa"/>
              <w:right w:w="240" w:type="dxa"/>
            </w:tcMar>
            <w:vAlign w:val="center"/>
            <w:hideMark/>
          </w:tcPr>
          <w:p w14:paraId="43585788" w14:textId="77777777" w:rsidR="0092094B" w:rsidRPr="00F878AF" w:rsidRDefault="0092094B" w:rsidP="00021BAD">
            <w:pPr>
              <w:spacing w:line="360" w:lineRule="auto"/>
              <w:rPr>
                <w:rFonts w:ascii="Arial" w:hAnsi="Arial" w:cs="Arial"/>
              </w:rPr>
            </w:pPr>
            <w:r w:rsidRPr="00F878AF">
              <w:rPr>
                <w:rFonts w:ascii="Arial" w:hAnsi="Arial" w:cs="Arial"/>
              </w:rPr>
              <w:t>Project B</w:t>
            </w:r>
          </w:p>
        </w:tc>
        <w:tc>
          <w:tcPr>
            <w:tcW w:w="1456" w:type="dxa"/>
            <w:tcMar>
              <w:top w:w="150" w:type="dxa"/>
              <w:left w:w="240" w:type="dxa"/>
              <w:bottom w:w="150" w:type="dxa"/>
              <w:right w:w="240" w:type="dxa"/>
            </w:tcMar>
            <w:vAlign w:val="center"/>
            <w:hideMark/>
          </w:tcPr>
          <w:p w14:paraId="2F22CFA7" w14:textId="77777777" w:rsidR="0092094B" w:rsidRPr="00F878AF" w:rsidRDefault="0092094B" w:rsidP="00021BAD">
            <w:pPr>
              <w:spacing w:line="360" w:lineRule="auto"/>
              <w:rPr>
                <w:rFonts w:ascii="Arial" w:hAnsi="Arial" w:cs="Arial"/>
              </w:rPr>
            </w:pPr>
            <w:r w:rsidRPr="00F878AF">
              <w:rPr>
                <w:rFonts w:ascii="Arial" w:hAnsi="Arial" w:cs="Arial"/>
              </w:rPr>
              <w:t>Project C</w:t>
            </w:r>
          </w:p>
        </w:tc>
        <w:tc>
          <w:tcPr>
            <w:tcW w:w="3240" w:type="dxa"/>
            <w:tcMar>
              <w:top w:w="150" w:type="dxa"/>
              <w:left w:w="240" w:type="dxa"/>
              <w:bottom w:w="150" w:type="dxa"/>
              <w:right w:w="240" w:type="dxa"/>
            </w:tcMar>
            <w:vAlign w:val="center"/>
            <w:hideMark/>
          </w:tcPr>
          <w:p w14:paraId="65850BF0" w14:textId="77777777" w:rsidR="0092094B" w:rsidRPr="00F878AF" w:rsidRDefault="0092094B" w:rsidP="00021BAD">
            <w:pPr>
              <w:spacing w:line="360" w:lineRule="auto"/>
              <w:rPr>
                <w:rFonts w:ascii="Arial" w:hAnsi="Arial" w:cs="Arial"/>
              </w:rPr>
            </w:pPr>
            <w:r w:rsidRPr="00F878AF">
              <w:rPr>
                <w:rFonts w:ascii="Arial" w:hAnsi="Arial" w:cs="Arial"/>
              </w:rPr>
              <w:t>Rationale</w:t>
            </w:r>
          </w:p>
        </w:tc>
      </w:tr>
      <w:tr w:rsidR="0092094B" w:rsidRPr="0092094B" w14:paraId="78BD0F99" w14:textId="77777777" w:rsidTr="001128A5">
        <w:trPr>
          <w:trHeight w:val="1136"/>
        </w:trPr>
        <w:tc>
          <w:tcPr>
            <w:tcW w:w="1601" w:type="dxa"/>
            <w:tcMar>
              <w:top w:w="150" w:type="dxa"/>
              <w:left w:w="0" w:type="dxa"/>
              <w:bottom w:w="150" w:type="dxa"/>
              <w:right w:w="240" w:type="dxa"/>
            </w:tcMar>
            <w:vAlign w:val="center"/>
            <w:hideMark/>
          </w:tcPr>
          <w:p w14:paraId="60EE10FC" w14:textId="77777777" w:rsidR="0092094B" w:rsidRPr="00F878AF" w:rsidRDefault="0092094B" w:rsidP="00021BAD">
            <w:pPr>
              <w:spacing w:line="360" w:lineRule="auto"/>
              <w:rPr>
                <w:rFonts w:ascii="Arial" w:hAnsi="Arial" w:cs="Arial"/>
              </w:rPr>
            </w:pPr>
            <w:r w:rsidRPr="00F878AF">
              <w:rPr>
                <w:rFonts w:ascii="Arial" w:hAnsi="Arial" w:cs="Arial"/>
              </w:rPr>
              <w:t>Payback Speed</w:t>
            </w:r>
          </w:p>
        </w:tc>
        <w:tc>
          <w:tcPr>
            <w:tcW w:w="1223" w:type="dxa"/>
            <w:tcMar>
              <w:top w:w="150" w:type="dxa"/>
              <w:left w:w="240" w:type="dxa"/>
              <w:bottom w:w="150" w:type="dxa"/>
              <w:right w:w="240" w:type="dxa"/>
            </w:tcMar>
            <w:vAlign w:val="center"/>
            <w:hideMark/>
          </w:tcPr>
          <w:p w14:paraId="280E88A9" w14:textId="77777777" w:rsidR="0092094B" w:rsidRPr="00F878AF" w:rsidRDefault="0092094B" w:rsidP="00021BAD">
            <w:pPr>
              <w:spacing w:line="360" w:lineRule="auto"/>
              <w:rPr>
                <w:rFonts w:ascii="Arial" w:hAnsi="Arial" w:cs="Arial"/>
              </w:rPr>
            </w:pPr>
            <w:r w:rsidRPr="00F878AF">
              <w:rPr>
                <w:rFonts w:ascii="Arial" w:hAnsi="Arial" w:cs="Arial"/>
              </w:rPr>
              <w:t>30%</w:t>
            </w:r>
          </w:p>
        </w:tc>
        <w:tc>
          <w:tcPr>
            <w:tcW w:w="1521" w:type="dxa"/>
            <w:tcMar>
              <w:top w:w="150" w:type="dxa"/>
              <w:left w:w="240" w:type="dxa"/>
              <w:bottom w:w="150" w:type="dxa"/>
              <w:right w:w="240" w:type="dxa"/>
            </w:tcMar>
            <w:vAlign w:val="center"/>
            <w:hideMark/>
          </w:tcPr>
          <w:p w14:paraId="509D9190" w14:textId="77777777" w:rsidR="0092094B" w:rsidRPr="00F878AF" w:rsidRDefault="0092094B" w:rsidP="00021BAD">
            <w:pPr>
              <w:spacing w:line="360" w:lineRule="auto"/>
              <w:rPr>
                <w:rFonts w:ascii="Arial" w:hAnsi="Arial" w:cs="Arial"/>
              </w:rPr>
            </w:pPr>
            <w:r w:rsidRPr="00F878AF">
              <w:rPr>
                <w:rFonts w:ascii="Arial" w:hAnsi="Arial" w:cs="Arial"/>
              </w:rPr>
              <w:t>10 (3.4 yrs)</w:t>
            </w:r>
          </w:p>
        </w:tc>
        <w:tc>
          <w:tcPr>
            <w:tcW w:w="1574" w:type="dxa"/>
            <w:tcMar>
              <w:top w:w="150" w:type="dxa"/>
              <w:left w:w="240" w:type="dxa"/>
              <w:bottom w:w="150" w:type="dxa"/>
              <w:right w:w="240" w:type="dxa"/>
            </w:tcMar>
            <w:vAlign w:val="center"/>
            <w:hideMark/>
          </w:tcPr>
          <w:p w14:paraId="47E616CE" w14:textId="77777777" w:rsidR="0092094B" w:rsidRPr="00F878AF" w:rsidRDefault="0092094B" w:rsidP="00021BAD">
            <w:pPr>
              <w:spacing w:line="360" w:lineRule="auto"/>
              <w:rPr>
                <w:rFonts w:ascii="Arial" w:hAnsi="Arial" w:cs="Arial"/>
              </w:rPr>
            </w:pPr>
            <w:r w:rsidRPr="00F878AF">
              <w:rPr>
                <w:rFonts w:ascii="Arial" w:hAnsi="Arial" w:cs="Arial"/>
              </w:rPr>
              <w:t>0 (5.0 yrs)</w:t>
            </w:r>
          </w:p>
        </w:tc>
        <w:tc>
          <w:tcPr>
            <w:tcW w:w="1456" w:type="dxa"/>
            <w:tcMar>
              <w:top w:w="150" w:type="dxa"/>
              <w:left w:w="240" w:type="dxa"/>
              <w:bottom w:w="150" w:type="dxa"/>
              <w:right w:w="240" w:type="dxa"/>
            </w:tcMar>
            <w:vAlign w:val="center"/>
            <w:hideMark/>
          </w:tcPr>
          <w:p w14:paraId="6105C057" w14:textId="77777777" w:rsidR="0092094B" w:rsidRPr="00F878AF" w:rsidRDefault="0092094B" w:rsidP="00021BAD">
            <w:pPr>
              <w:spacing w:line="360" w:lineRule="auto"/>
              <w:rPr>
                <w:rFonts w:ascii="Arial" w:hAnsi="Arial" w:cs="Arial"/>
              </w:rPr>
            </w:pPr>
            <w:r w:rsidRPr="00F878AF">
              <w:rPr>
                <w:rFonts w:ascii="Arial" w:hAnsi="Arial" w:cs="Arial"/>
              </w:rPr>
              <w:t>7 (3.6 yrs)</w:t>
            </w:r>
          </w:p>
        </w:tc>
        <w:tc>
          <w:tcPr>
            <w:tcW w:w="3240" w:type="dxa"/>
            <w:tcMar>
              <w:top w:w="150" w:type="dxa"/>
              <w:left w:w="240" w:type="dxa"/>
              <w:bottom w:w="150" w:type="dxa"/>
              <w:right w:w="0" w:type="dxa"/>
            </w:tcMar>
            <w:vAlign w:val="center"/>
            <w:hideMark/>
          </w:tcPr>
          <w:p w14:paraId="34B0ABD6" w14:textId="77777777" w:rsidR="0092094B" w:rsidRPr="00F878AF" w:rsidRDefault="0092094B" w:rsidP="00021BAD">
            <w:pPr>
              <w:spacing w:line="360" w:lineRule="auto"/>
              <w:rPr>
                <w:rFonts w:ascii="Arial" w:hAnsi="Arial" w:cs="Arial"/>
              </w:rPr>
            </w:pPr>
            <w:r w:rsidRPr="00F878AF">
              <w:rPr>
                <w:rFonts w:ascii="Arial" w:hAnsi="Arial" w:cs="Arial"/>
              </w:rPr>
              <w:t>Fast capital return is paramount for a liquidity-starved firm.</w:t>
            </w:r>
          </w:p>
        </w:tc>
      </w:tr>
      <w:tr w:rsidR="0092094B" w:rsidRPr="0092094B" w14:paraId="1AFD00D1" w14:textId="77777777" w:rsidTr="001128A5">
        <w:trPr>
          <w:trHeight w:val="1127"/>
        </w:trPr>
        <w:tc>
          <w:tcPr>
            <w:tcW w:w="1601" w:type="dxa"/>
            <w:tcMar>
              <w:top w:w="150" w:type="dxa"/>
              <w:left w:w="0" w:type="dxa"/>
              <w:bottom w:w="150" w:type="dxa"/>
              <w:right w:w="240" w:type="dxa"/>
            </w:tcMar>
            <w:vAlign w:val="center"/>
            <w:hideMark/>
          </w:tcPr>
          <w:p w14:paraId="080C5F24" w14:textId="77777777" w:rsidR="0092094B" w:rsidRPr="00F878AF" w:rsidRDefault="0092094B" w:rsidP="00021BAD">
            <w:pPr>
              <w:spacing w:line="360" w:lineRule="auto"/>
              <w:rPr>
                <w:rFonts w:ascii="Arial" w:hAnsi="Arial" w:cs="Arial"/>
              </w:rPr>
            </w:pPr>
            <w:r w:rsidRPr="00F878AF">
              <w:rPr>
                <w:rFonts w:ascii="Arial" w:hAnsi="Arial" w:cs="Arial"/>
              </w:rPr>
              <w:t>Cash Flow Stability</w:t>
            </w:r>
          </w:p>
        </w:tc>
        <w:tc>
          <w:tcPr>
            <w:tcW w:w="1223" w:type="dxa"/>
            <w:tcMar>
              <w:top w:w="150" w:type="dxa"/>
              <w:left w:w="240" w:type="dxa"/>
              <w:bottom w:w="150" w:type="dxa"/>
              <w:right w:w="240" w:type="dxa"/>
            </w:tcMar>
            <w:vAlign w:val="center"/>
            <w:hideMark/>
          </w:tcPr>
          <w:p w14:paraId="5DAA939C" w14:textId="77777777" w:rsidR="0092094B" w:rsidRPr="00F878AF" w:rsidRDefault="0092094B" w:rsidP="00021BAD">
            <w:pPr>
              <w:spacing w:line="360" w:lineRule="auto"/>
              <w:rPr>
                <w:rFonts w:ascii="Arial" w:hAnsi="Arial" w:cs="Arial"/>
              </w:rPr>
            </w:pPr>
            <w:r w:rsidRPr="00F878AF">
              <w:rPr>
                <w:rFonts w:ascii="Arial" w:hAnsi="Arial" w:cs="Arial"/>
              </w:rPr>
              <w:t>25%</w:t>
            </w:r>
          </w:p>
        </w:tc>
        <w:tc>
          <w:tcPr>
            <w:tcW w:w="1521" w:type="dxa"/>
            <w:tcMar>
              <w:top w:w="150" w:type="dxa"/>
              <w:left w:w="240" w:type="dxa"/>
              <w:bottom w:w="150" w:type="dxa"/>
              <w:right w:w="240" w:type="dxa"/>
            </w:tcMar>
            <w:vAlign w:val="center"/>
            <w:hideMark/>
          </w:tcPr>
          <w:p w14:paraId="73EDB5F7" w14:textId="77777777" w:rsidR="0092094B" w:rsidRPr="00F878AF" w:rsidRDefault="0092094B" w:rsidP="00021BAD">
            <w:pPr>
              <w:spacing w:line="360" w:lineRule="auto"/>
              <w:rPr>
                <w:rFonts w:ascii="Arial" w:hAnsi="Arial" w:cs="Arial"/>
              </w:rPr>
            </w:pPr>
            <w:r w:rsidRPr="00F878AF">
              <w:rPr>
                <w:rFonts w:ascii="Arial" w:hAnsi="Arial" w:cs="Arial"/>
              </w:rPr>
              <w:t>9 (Stable)</w:t>
            </w:r>
          </w:p>
        </w:tc>
        <w:tc>
          <w:tcPr>
            <w:tcW w:w="1574" w:type="dxa"/>
            <w:tcMar>
              <w:top w:w="150" w:type="dxa"/>
              <w:left w:w="240" w:type="dxa"/>
              <w:bottom w:w="150" w:type="dxa"/>
              <w:right w:w="240" w:type="dxa"/>
            </w:tcMar>
            <w:vAlign w:val="center"/>
            <w:hideMark/>
          </w:tcPr>
          <w:p w14:paraId="016AACF6" w14:textId="77777777" w:rsidR="0092094B" w:rsidRPr="00F878AF" w:rsidRDefault="0092094B" w:rsidP="00021BAD">
            <w:pPr>
              <w:spacing w:line="360" w:lineRule="auto"/>
              <w:rPr>
                <w:rFonts w:ascii="Arial" w:hAnsi="Arial" w:cs="Arial"/>
              </w:rPr>
            </w:pPr>
            <w:r w:rsidRPr="00F878AF">
              <w:rPr>
                <w:rFonts w:ascii="Arial" w:hAnsi="Arial" w:cs="Arial"/>
              </w:rPr>
              <w:t>8 (Stable but low)</w:t>
            </w:r>
          </w:p>
        </w:tc>
        <w:tc>
          <w:tcPr>
            <w:tcW w:w="1456" w:type="dxa"/>
            <w:tcMar>
              <w:top w:w="150" w:type="dxa"/>
              <w:left w:w="240" w:type="dxa"/>
              <w:bottom w:w="150" w:type="dxa"/>
              <w:right w:w="240" w:type="dxa"/>
            </w:tcMar>
            <w:vAlign w:val="center"/>
            <w:hideMark/>
          </w:tcPr>
          <w:p w14:paraId="7479FFF4" w14:textId="77777777" w:rsidR="0092094B" w:rsidRPr="00F878AF" w:rsidRDefault="0092094B" w:rsidP="00021BAD">
            <w:pPr>
              <w:spacing w:line="360" w:lineRule="auto"/>
              <w:rPr>
                <w:rFonts w:ascii="Arial" w:hAnsi="Arial" w:cs="Arial"/>
              </w:rPr>
            </w:pPr>
            <w:r w:rsidRPr="00F878AF">
              <w:rPr>
                <w:rFonts w:ascii="Arial" w:hAnsi="Arial" w:cs="Arial"/>
              </w:rPr>
              <w:t>4 (Highly volatile)</w:t>
            </w:r>
          </w:p>
        </w:tc>
        <w:tc>
          <w:tcPr>
            <w:tcW w:w="3240" w:type="dxa"/>
            <w:tcMar>
              <w:top w:w="150" w:type="dxa"/>
              <w:left w:w="240" w:type="dxa"/>
              <w:bottom w:w="150" w:type="dxa"/>
              <w:right w:w="0" w:type="dxa"/>
            </w:tcMar>
            <w:vAlign w:val="center"/>
            <w:hideMark/>
          </w:tcPr>
          <w:p w14:paraId="075D2264" w14:textId="77777777" w:rsidR="0092094B" w:rsidRPr="00F878AF" w:rsidRDefault="0092094B" w:rsidP="00021BAD">
            <w:pPr>
              <w:spacing w:line="360" w:lineRule="auto"/>
              <w:rPr>
                <w:rFonts w:ascii="Arial" w:hAnsi="Arial" w:cs="Arial"/>
              </w:rPr>
            </w:pPr>
            <w:r w:rsidRPr="00F878AF">
              <w:rPr>
                <w:rFonts w:ascii="Arial" w:hAnsi="Arial" w:cs="Arial"/>
              </w:rPr>
              <w:t>Predictable cash flows are essential to meet ongoing obligations.</w:t>
            </w:r>
          </w:p>
        </w:tc>
      </w:tr>
      <w:tr w:rsidR="0092094B" w:rsidRPr="0092094B" w14:paraId="664CA61A" w14:textId="77777777" w:rsidTr="001128A5">
        <w:trPr>
          <w:trHeight w:val="1226"/>
        </w:trPr>
        <w:tc>
          <w:tcPr>
            <w:tcW w:w="1601" w:type="dxa"/>
            <w:tcMar>
              <w:top w:w="150" w:type="dxa"/>
              <w:left w:w="0" w:type="dxa"/>
              <w:bottom w:w="150" w:type="dxa"/>
              <w:right w:w="240" w:type="dxa"/>
            </w:tcMar>
            <w:vAlign w:val="center"/>
            <w:hideMark/>
          </w:tcPr>
          <w:p w14:paraId="77150506" w14:textId="77777777" w:rsidR="0092094B" w:rsidRPr="00F878AF" w:rsidRDefault="0092094B" w:rsidP="00021BAD">
            <w:pPr>
              <w:spacing w:line="360" w:lineRule="auto"/>
              <w:rPr>
                <w:rFonts w:ascii="Arial" w:hAnsi="Arial" w:cs="Arial"/>
              </w:rPr>
            </w:pPr>
            <w:r w:rsidRPr="00F878AF">
              <w:rPr>
                <w:rFonts w:ascii="Arial" w:hAnsi="Arial" w:cs="Arial"/>
              </w:rPr>
              <w:t>Capital Commitment</w:t>
            </w:r>
          </w:p>
        </w:tc>
        <w:tc>
          <w:tcPr>
            <w:tcW w:w="1223" w:type="dxa"/>
            <w:tcMar>
              <w:top w:w="150" w:type="dxa"/>
              <w:left w:w="240" w:type="dxa"/>
              <w:bottom w:w="150" w:type="dxa"/>
              <w:right w:w="240" w:type="dxa"/>
            </w:tcMar>
            <w:vAlign w:val="center"/>
            <w:hideMark/>
          </w:tcPr>
          <w:p w14:paraId="7C6EB2BC" w14:textId="77777777" w:rsidR="0092094B" w:rsidRPr="00F878AF" w:rsidRDefault="0092094B" w:rsidP="00021BAD">
            <w:pPr>
              <w:spacing w:line="360" w:lineRule="auto"/>
              <w:rPr>
                <w:rFonts w:ascii="Arial" w:hAnsi="Arial" w:cs="Arial"/>
              </w:rPr>
            </w:pPr>
            <w:r w:rsidRPr="00F878AF">
              <w:rPr>
                <w:rFonts w:ascii="Arial" w:hAnsi="Arial" w:cs="Arial"/>
              </w:rPr>
              <w:t>25%</w:t>
            </w:r>
          </w:p>
        </w:tc>
        <w:tc>
          <w:tcPr>
            <w:tcW w:w="1521" w:type="dxa"/>
            <w:tcMar>
              <w:top w:w="150" w:type="dxa"/>
              <w:left w:w="240" w:type="dxa"/>
              <w:bottom w:w="150" w:type="dxa"/>
              <w:right w:w="240" w:type="dxa"/>
            </w:tcMar>
            <w:vAlign w:val="center"/>
            <w:hideMark/>
          </w:tcPr>
          <w:p w14:paraId="3DCBC45E" w14:textId="77777777" w:rsidR="0092094B" w:rsidRPr="00F878AF" w:rsidRDefault="0092094B" w:rsidP="00021BAD">
            <w:pPr>
              <w:spacing w:line="360" w:lineRule="auto"/>
              <w:rPr>
                <w:rFonts w:ascii="Arial" w:hAnsi="Arial" w:cs="Arial"/>
              </w:rPr>
            </w:pPr>
            <w:r w:rsidRPr="00F878AF">
              <w:rPr>
                <w:rFonts w:ascii="Arial" w:hAnsi="Arial" w:cs="Arial"/>
              </w:rPr>
              <w:t>8 (£40m)</w:t>
            </w:r>
          </w:p>
        </w:tc>
        <w:tc>
          <w:tcPr>
            <w:tcW w:w="1574" w:type="dxa"/>
            <w:tcMar>
              <w:top w:w="150" w:type="dxa"/>
              <w:left w:w="240" w:type="dxa"/>
              <w:bottom w:w="150" w:type="dxa"/>
              <w:right w:w="240" w:type="dxa"/>
            </w:tcMar>
            <w:vAlign w:val="center"/>
            <w:hideMark/>
          </w:tcPr>
          <w:p w14:paraId="4D391D8B" w14:textId="77777777" w:rsidR="0092094B" w:rsidRPr="00F878AF" w:rsidRDefault="0092094B" w:rsidP="00021BAD">
            <w:pPr>
              <w:spacing w:line="360" w:lineRule="auto"/>
              <w:rPr>
                <w:rFonts w:ascii="Arial" w:hAnsi="Arial" w:cs="Arial"/>
              </w:rPr>
            </w:pPr>
            <w:r w:rsidRPr="00F878AF">
              <w:rPr>
                <w:rFonts w:ascii="Arial" w:hAnsi="Arial" w:cs="Arial"/>
              </w:rPr>
              <w:t>10 (£30m)</w:t>
            </w:r>
          </w:p>
        </w:tc>
        <w:tc>
          <w:tcPr>
            <w:tcW w:w="1456" w:type="dxa"/>
            <w:tcMar>
              <w:top w:w="150" w:type="dxa"/>
              <w:left w:w="240" w:type="dxa"/>
              <w:bottom w:w="150" w:type="dxa"/>
              <w:right w:w="240" w:type="dxa"/>
            </w:tcMar>
            <w:vAlign w:val="center"/>
            <w:hideMark/>
          </w:tcPr>
          <w:p w14:paraId="232F3DB5" w14:textId="77777777" w:rsidR="0092094B" w:rsidRPr="00F878AF" w:rsidRDefault="0092094B" w:rsidP="00021BAD">
            <w:pPr>
              <w:spacing w:line="360" w:lineRule="auto"/>
              <w:rPr>
                <w:rFonts w:ascii="Arial" w:hAnsi="Arial" w:cs="Arial"/>
              </w:rPr>
            </w:pPr>
            <w:r w:rsidRPr="00F878AF">
              <w:rPr>
                <w:rFonts w:ascii="Arial" w:hAnsi="Arial" w:cs="Arial"/>
              </w:rPr>
              <w:t>4 (£50m)</w:t>
            </w:r>
          </w:p>
        </w:tc>
        <w:tc>
          <w:tcPr>
            <w:tcW w:w="3240" w:type="dxa"/>
            <w:tcMar>
              <w:top w:w="150" w:type="dxa"/>
              <w:left w:w="240" w:type="dxa"/>
              <w:bottom w:w="150" w:type="dxa"/>
              <w:right w:w="0" w:type="dxa"/>
            </w:tcMar>
            <w:vAlign w:val="center"/>
            <w:hideMark/>
          </w:tcPr>
          <w:p w14:paraId="665F04EB" w14:textId="77777777" w:rsidR="0092094B" w:rsidRPr="00F878AF" w:rsidRDefault="0092094B" w:rsidP="00021BAD">
            <w:pPr>
              <w:spacing w:line="360" w:lineRule="auto"/>
              <w:rPr>
                <w:rFonts w:ascii="Arial" w:hAnsi="Arial" w:cs="Arial"/>
              </w:rPr>
            </w:pPr>
            <w:r w:rsidRPr="00F878AF">
              <w:rPr>
                <w:rFonts w:ascii="Arial" w:hAnsi="Arial" w:cs="Arial"/>
              </w:rPr>
              <w:t>A lower initial outlay preserves the company's precious capital.</w:t>
            </w:r>
          </w:p>
        </w:tc>
      </w:tr>
      <w:tr w:rsidR="0092094B" w:rsidRPr="0092094B" w14:paraId="54344E14" w14:textId="77777777" w:rsidTr="001128A5">
        <w:trPr>
          <w:trHeight w:val="1514"/>
        </w:trPr>
        <w:tc>
          <w:tcPr>
            <w:tcW w:w="1601" w:type="dxa"/>
            <w:tcMar>
              <w:top w:w="150" w:type="dxa"/>
              <w:left w:w="0" w:type="dxa"/>
              <w:bottom w:w="150" w:type="dxa"/>
              <w:right w:w="240" w:type="dxa"/>
            </w:tcMar>
            <w:vAlign w:val="center"/>
            <w:hideMark/>
          </w:tcPr>
          <w:p w14:paraId="258D2184" w14:textId="77777777" w:rsidR="0092094B" w:rsidRPr="00F878AF" w:rsidRDefault="0092094B" w:rsidP="00021BAD">
            <w:pPr>
              <w:spacing w:line="360" w:lineRule="auto"/>
              <w:rPr>
                <w:rFonts w:ascii="Arial" w:hAnsi="Arial" w:cs="Arial"/>
              </w:rPr>
            </w:pPr>
            <w:r w:rsidRPr="00F878AF">
              <w:rPr>
                <w:rFonts w:ascii="Arial" w:hAnsi="Arial" w:cs="Arial"/>
              </w:rPr>
              <w:t>Strategic Flexibility</w:t>
            </w:r>
          </w:p>
        </w:tc>
        <w:tc>
          <w:tcPr>
            <w:tcW w:w="1223" w:type="dxa"/>
            <w:tcMar>
              <w:top w:w="150" w:type="dxa"/>
              <w:left w:w="240" w:type="dxa"/>
              <w:bottom w:w="150" w:type="dxa"/>
              <w:right w:w="240" w:type="dxa"/>
            </w:tcMar>
            <w:vAlign w:val="center"/>
            <w:hideMark/>
          </w:tcPr>
          <w:p w14:paraId="324B9846" w14:textId="77777777" w:rsidR="0092094B" w:rsidRPr="00F878AF" w:rsidRDefault="0092094B" w:rsidP="00021BAD">
            <w:pPr>
              <w:spacing w:line="360" w:lineRule="auto"/>
              <w:rPr>
                <w:rFonts w:ascii="Arial" w:hAnsi="Arial" w:cs="Arial"/>
              </w:rPr>
            </w:pPr>
            <w:r w:rsidRPr="00F878AF">
              <w:rPr>
                <w:rFonts w:ascii="Arial" w:hAnsi="Arial" w:cs="Arial"/>
              </w:rPr>
              <w:t>20%</w:t>
            </w:r>
          </w:p>
        </w:tc>
        <w:tc>
          <w:tcPr>
            <w:tcW w:w="1521" w:type="dxa"/>
            <w:tcMar>
              <w:top w:w="150" w:type="dxa"/>
              <w:left w:w="240" w:type="dxa"/>
              <w:bottom w:w="150" w:type="dxa"/>
              <w:right w:w="240" w:type="dxa"/>
            </w:tcMar>
            <w:vAlign w:val="center"/>
            <w:hideMark/>
          </w:tcPr>
          <w:p w14:paraId="191D8EAC" w14:textId="77777777" w:rsidR="0092094B" w:rsidRPr="00F878AF" w:rsidRDefault="0092094B" w:rsidP="00021BAD">
            <w:pPr>
              <w:spacing w:line="360" w:lineRule="auto"/>
              <w:rPr>
                <w:rFonts w:ascii="Arial" w:hAnsi="Arial" w:cs="Arial"/>
              </w:rPr>
            </w:pPr>
            <w:r w:rsidRPr="00F878AF">
              <w:rPr>
                <w:rFonts w:ascii="Arial" w:hAnsi="Arial" w:cs="Arial"/>
              </w:rPr>
              <w:t>10 (£20m left)</w:t>
            </w:r>
          </w:p>
        </w:tc>
        <w:tc>
          <w:tcPr>
            <w:tcW w:w="1574" w:type="dxa"/>
            <w:tcMar>
              <w:top w:w="150" w:type="dxa"/>
              <w:left w:w="240" w:type="dxa"/>
              <w:bottom w:w="150" w:type="dxa"/>
              <w:right w:w="240" w:type="dxa"/>
            </w:tcMar>
            <w:vAlign w:val="center"/>
            <w:hideMark/>
          </w:tcPr>
          <w:p w14:paraId="1DF71CC6" w14:textId="77777777" w:rsidR="0092094B" w:rsidRPr="00F878AF" w:rsidRDefault="0092094B" w:rsidP="00021BAD">
            <w:pPr>
              <w:spacing w:line="360" w:lineRule="auto"/>
              <w:rPr>
                <w:rFonts w:ascii="Arial" w:hAnsi="Arial" w:cs="Arial"/>
              </w:rPr>
            </w:pPr>
            <w:r w:rsidRPr="00F878AF">
              <w:rPr>
                <w:rFonts w:ascii="Arial" w:hAnsi="Arial" w:cs="Arial"/>
              </w:rPr>
              <w:t>9 (£30m left)</w:t>
            </w:r>
          </w:p>
        </w:tc>
        <w:tc>
          <w:tcPr>
            <w:tcW w:w="1456" w:type="dxa"/>
            <w:tcMar>
              <w:top w:w="150" w:type="dxa"/>
              <w:left w:w="240" w:type="dxa"/>
              <w:bottom w:w="150" w:type="dxa"/>
              <w:right w:w="240" w:type="dxa"/>
            </w:tcMar>
            <w:vAlign w:val="center"/>
            <w:hideMark/>
          </w:tcPr>
          <w:p w14:paraId="2C17ABED" w14:textId="77777777" w:rsidR="0092094B" w:rsidRPr="00F878AF" w:rsidRDefault="0092094B" w:rsidP="00021BAD">
            <w:pPr>
              <w:spacing w:line="360" w:lineRule="auto"/>
              <w:rPr>
                <w:rFonts w:ascii="Arial" w:hAnsi="Arial" w:cs="Arial"/>
              </w:rPr>
            </w:pPr>
            <w:r w:rsidRPr="00F878AF">
              <w:rPr>
                <w:rFonts w:ascii="Arial" w:hAnsi="Arial" w:cs="Arial"/>
              </w:rPr>
              <w:t>2 (£10m left)</w:t>
            </w:r>
          </w:p>
        </w:tc>
        <w:tc>
          <w:tcPr>
            <w:tcW w:w="3240" w:type="dxa"/>
            <w:tcMar>
              <w:top w:w="150" w:type="dxa"/>
              <w:left w:w="240" w:type="dxa"/>
              <w:bottom w:w="150" w:type="dxa"/>
              <w:right w:w="0" w:type="dxa"/>
            </w:tcMar>
            <w:vAlign w:val="center"/>
            <w:hideMark/>
          </w:tcPr>
          <w:p w14:paraId="232B6E54" w14:textId="77777777" w:rsidR="0092094B" w:rsidRPr="00F878AF" w:rsidRDefault="0092094B" w:rsidP="00021BAD">
            <w:pPr>
              <w:spacing w:line="360" w:lineRule="auto"/>
              <w:rPr>
                <w:rFonts w:ascii="Arial" w:hAnsi="Arial" w:cs="Arial"/>
              </w:rPr>
            </w:pPr>
            <w:r w:rsidRPr="00F878AF">
              <w:rPr>
                <w:rFonts w:ascii="Arial" w:hAnsi="Arial" w:cs="Arial"/>
              </w:rPr>
              <w:t>Retained capital is vital to fund essential working capital reforms.</w:t>
            </w:r>
          </w:p>
        </w:tc>
      </w:tr>
      <w:tr w:rsidR="0092094B" w:rsidRPr="0092094B" w14:paraId="351CA428" w14:textId="77777777" w:rsidTr="0092094B">
        <w:trPr>
          <w:trHeight w:val="421"/>
        </w:trPr>
        <w:tc>
          <w:tcPr>
            <w:tcW w:w="1601" w:type="dxa"/>
            <w:tcMar>
              <w:top w:w="150" w:type="dxa"/>
              <w:left w:w="0" w:type="dxa"/>
              <w:bottom w:w="150" w:type="dxa"/>
              <w:right w:w="240" w:type="dxa"/>
            </w:tcMar>
            <w:vAlign w:val="center"/>
            <w:hideMark/>
          </w:tcPr>
          <w:p w14:paraId="75A42CA1" w14:textId="77777777" w:rsidR="0092094B" w:rsidRPr="00F878AF" w:rsidRDefault="0092094B" w:rsidP="00021BAD">
            <w:pPr>
              <w:spacing w:line="360" w:lineRule="auto"/>
              <w:rPr>
                <w:rFonts w:ascii="Arial" w:hAnsi="Arial" w:cs="Arial"/>
              </w:rPr>
            </w:pPr>
            <w:r w:rsidRPr="00F878AF">
              <w:rPr>
                <w:rFonts w:ascii="Arial" w:hAnsi="Arial" w:cs="Arial"/>
              </w:rPr>
              <w:lastRenderedPageBreak/>
              <w:t>Total Score</w:t>
            </w:r>
          </w:p>
        </w:tc>
        <w:tc>
          <w:tcPr>
            <w:tcW w:w="1223" w:type="dxa"/>
            <w:tcMar>
              <w:top w:w="150" w:type="dxa"/>
              <w:left w:w="240" w:type="dxa"/>
              <w:bottom w:w="150" w:type="dxa"/>
              <w:right w:w="240" w:type="dxa"/>
            </w:tcMar>
            <w:vAlign w:val="center"/>
            <w:hideMark/>
          </w:tcPr>
          <w:p w14:paraId="365114C0" w14:textId="77777777" w:rsidR="0092094B" w:rsidRPr="00F878AF" w:rsidRDefault="0092094B" w:rsidP="00021BAD">
            <w:pPr>
              <w:spacing w:line="360" w:lineRule="auto"/>
              <w:rPr>
                <w:rFonts w:ascii="Arial" w:hAnsi="Arial" w:cs="Arial"/>
              </w:rPr>
            </w:pPr>
            <w:r w:rsidRPr="00F878AF">
              <w:rPr>
                <w:rFonts w:ascii="Arial" w:hAnsi="Arial" w:cs="Arial"/>
              </w:rPr>
              <w:t>100%</w:t>
            </w:r>
          </w:p>
        </w:tc>
        <w:tc>
          <w:tcPr>
            <w:tcW w:w="1521" w:type="dxa"/>
            <w:tcMar>
              <w:top w:w="150" w:type="dxa"/>
              <w:left w:w="240" w:type="dxa"/>
              <w:bottom w:w="150" w:type="dxa"/>
              <w:right w:w="240" w:type="dxa"/>
            </w:tcMar>
            <w:vAlign w:val="center"/>
            <w:hideMark/>
          </w:tcPr>
          <w:p w14:paraId="5F95D1C1" w14:textId="77777777" w:rsidR="0092094B" w:rsidRPr="00F878AF" w:rsidRDefault="0092094B" w:rsidP="00021BAD">
            <w:pPr>
              <w:spacing w:line="360" w:lineRule="auto"/>
              <w:rPr>
                <w:rFonts w:ascii="Arial" w:hAnsi="Arial" w:cs="Arial"/>
              </w:rPr>
            </w:pPr>
            <w:r w:rsidRPr="00F878AF">
              <w:rPr>
                <w:rFonts w:ascii="Arial" w:hAnsi="Arial" w:cs="Arial"/>
              </w:rPr>
              <w:t>9.0</w:t>
            </w:r>
          </w:p>
        </w:tc>
        <w:tc>
          <w:tcPr>
            <w:tcW w:w="1574" w:type="dxa"/>
            <w:tcMar>
              <w:top w:w="150" w:type="dxa"/>
              <w:left w:w="240" w:type="dxa"/>
              <w:bottom w:w="150" w:type="dxa"/>
              <w:right w:w="240" w:type="dxa"/>
            </w:tcMar>
            <w:vAlign w:val="center"/>
            <w:hideMark/>
          </w:tcPr>
          <w:p w14:paraId="119CC84F" w14:textId="77777777" w:rsidR="0092094B" w:rsidRPr="00F878AF" w:rsidRDefault="0092094B" w:rsidP="00021BAD">
            <w:pPr>
              <w:spacing w:line="360" w:lineRule="auto"/>
              <w:rPr>
                <w:rFonts w:ascii="Arial" w:hAnsi="Arial" w:cs="Arial"/>
              </w:rPr>
            </w:pPr>
            <w:r w:rsidRPr="00F878AF">
              <w:rPr>
                <w:rFonts w:ascii="Arial" w:hAnsi="Arial" w:cs="Arial"/>
              </w:rPr>
              <w:t>6.2</w:t>
            </w:r>
          </w:p>
        </w:tc>
        <w:tc>
          <w:tcPr>
            <w:tcW w:w="1456" w:type="dxa"/>
            <w:tcMar>
              <w:top w:w="150" w:type="dxa"/>
              <w:left w:w="240" w:type="dxa"/>
              <w:bottom w:w="150" w:type="dxa"/>
              <w:right w:w="240" w:type="dxa"/>
            </w:tcMar>
            <w:vAlign w:val="center"/>
            <w:hideMark/>
          </w:tcPr>
          <w:p w14:paraId="46BD4774" w14:textId="77777777" w:rsidR="0092094B" w:rsidRPr="00F878AF" w:rsidRDefault="0092094B" w:rsidP="00021BAD">
            <w:pPr>
              <w:spacing w:line="360" w:lineRule="auto"/>
              <w:rPr>
                <w:rFonts w:ascii="Arial" w:hAnsi="Arial" w:cs="Arial"/>
              </w:rPr>
            </w:pPr>
            <w:r w:rsidRPr="00F878AF">
              <w:rPr>
                <w:rFonts w:ascii="Arial" w:hAnsi="Arial" w:cs="Arial"/>
              </w:rPr>
              <w:t>4.6</w:t>
            </w:r>
          </w:p>
        </w:tc>
        <w:tc>
          <w:tcPr>
            <w:tcW w:w="3240" w:type="dxa"/>
            <w:tcMar>
              <w:top w:w="150" w:type="dxa"/>
              <w:left w:w="240" w:type="dxa"/>
              <w:bottom w:w="150" w:type="dxa"/>
              <w:right w:w="0" w:type="dxa"/>
            </w:tcMar>
            <w:vAlign w:val="center"/>
            <w:hideMark/>
          </w:tcPr>
          <w:p w14:paraId="666B154A" w14:textId="77777777" w:rsidR="0092094B" w:rsidRPr="00F878AF" w:rsidRDefault="0092094B" w:rsidP="00021BAD">
            <w:pPr>
              <w:spacing w:line="360" w:lineRule="auto"/>
              <w:rPr>
                <w:rFonts w:ascii="Arial" w:hAnsi="Arial" w:cs="Arial"/>
              </w:rPr>
            </w:pPr>
          </w:p>
        </w:tc>
      </w:tr>
    </w:tbl>
    <w:p w14:paraId="26D25811" w14:textId="77777777" w:rsidR="0092094B" w:rsidRPr="00F878AF" w:rsidRDefault="0092094B" w:rsidP="0092094B">
      <w:pPr>
        <w:spacing w:line="360" w:lineRule="auto"/>
        <w:rPr>
          <w:rFonts w:ascii="Arial" w:hAnsi="Arial" w:cs="Arial"/>
        </w:rPr>
      </w:pPr>
      <w:r w:rsidRPr="00F878AF">
        <w:rPr>
          <w:rFonts w:ascii="Arial" w:hAnsi="Arial" w:cs="Arial"/>
        </w:rPr>
        <w:t xml:space="preserve">Table </w:t>
      </w:r>
      <w:r>
        <w:rPr>
          <w:rFonts w:ascii="Arial" w:hAnsi="Arial" w:cs="Arial"/>
        </w:rPr>
        <w:t>2</w:t>
      </w:r>
      <w:r w:rsidRPr="00F878AF">
        <w:rPr>
          <w:rFonts w:ascii="Arial" w:hAnsi="Arial" w:cs="Arial"/>
        </w:rPr>
        <w:t>: Strategic Risk-Adjusted Project Scorecard. (Scoring Key: 10=Excellent, 0=Unacceptable).</w:t>
      </w:r>
    </w:p>
    <w:p w14:paraId="68DC70F1" w14:textId="2464AE19" w:rsidR="0092094B" w:rsidRDefault="0092094B" w:rsidP="00A71042">
      <w:pPr>
        <w:spacing w:line="360" w:lineRule="auto"/>
        <w:rPr>
          <w:rFonts w:ascii="Arial" w:hAnsi="Arial" w:cs="Arial"/>
        </w:rPr>
      </w:pPr>
      <w:r w:rsidRPr="00F878AF">
        <w:rPr>
          <w:rFonts w:ascii="Arial" w:hAnsi="Arial" w:cs="Arial"/>
        </w:rPr>
        <w:t>This analytical framework demonstrates that </w:t>
      </w:r>
      <w:r w:rsidRPr="00F878AF">
        <w:rPr>
          <w:rFonts w:ascii="Arial" w:hAnsi="Arial" w:cs="Arial"/>
          <w:b/>
          <w:bCs/>
        </w:rPr>
        <w:t>Project A is the superior strategic choice</w:t>
      </w:r>
      <w:r w:rsidRPr="00F878AF">
        <w:rPr>
          <w:rFonts w:ascii="Arial" w:hAnsi="Arial" w:cs="Arial"/>
        </w:rPr>
        <w:t xml:space="preserve">, outperforming Project C by a wide margin when survival-based criteria are </w:t>
      </w:r>
      <w:proofErr w:type="spellStart"/>
      <w:r w:rsidRPr="00F878AF">
        <w:rPr>
          <w:rFonts w:ascii="Arial" w:hAnsi="Arial" w:cs="Arial"/>
        </w:rPr>
        <w:t>prioritised</w:t>
      </w:r>
      <w:proofErr w:type="spellEnd"/>
      <w:r w:rsidRPr="00F878AF">
        <w:rPr>
          <w:rFonts w:ascii="Arial" w:hAnsi="Arial" w:cs="Arial"/>
        </w:rPr>
        <w:t>. It best addresses the company's need for liquidity, risk mitigation, and strategic optionality.</w:t>
      </w:r>
    </w:p>
    <w:p w14:paraId="26E204FF" w14:textId="77777777" w:rsidR="00CD15FF" w:rsidRDefault="00CD15FF" w:rsidP="00A71042">
      <w:pPr>
        <w:spacing w:line="360" w:lineRule="auto"/>
        <w:rPr>
          <w:rFonts w:ascii="Arial" w:hAnsi="Arial" w:cs="Arial"/>
          <w:b/>
          <w:bCs/>
        </w:rPr>
      </w:pPr>
    </w:p>
    <w:p w14:paraId="2573962D" w14:textId="7A540C7B" w:rsidR="00CD15FF" w:rsidRDefault="00CD15FF" w:rsidP="00A71042">
      <w:pPr>
        <w:spacing w:line="360" w:lineRule="auto"/>
        <w:rPr>
          <w:rFonts w:ascii="Arial" w:hAnsi="Arial" w:cs="Arial"/>
        </w:rPr>
      </w:pPr>
      <w:r w:rsidRPr="00CD15FF">
        <w:rPr>
          <w:rFonts w:ascii="Arial" w:hAnsi="Arial" w:cs="Arial"/>
          <w:b/>
          <w:bCs/>
        </w:rPr>
        <w:t>Appendix Table 5: Strategic Framework of Literature Integration</w:t>
      </w:r>
    </w:p>
    <w:tbl>
      <w:tblPr>
        <w:tblW w:w="1024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18"/>
        <w:gridCol w:w="2724"/>
        <w:gridCol w:w="2417"/>
        <w:gridCol w:w="3388"/>
      </w:tblGrid>
      <w:tr w:rsidR="00CD15FF" w:rsidRPr="00CD15FF" w14:paraId="28A3E6E2" w14:textId="77777777" w:rsidTr="00CD15FF">
        <w:trPr>
          <w:trHeight w:val="1558"/>
          <w:tblHeader/>
          <w:jc w:val="center"/>
        </w:trPr>
        <w:tc>
          <w:tcPr>
            <w:tcW w:w="0" w:type="auto"/>
            <w:tcMar>
              <w:top w:w="150" w:type="dxa"/>
              <w:left w:w="0" w:type="dxa"/>
              <w:bottom w:w="150" w:type="dxa"/>
              <w:right w:w="240" w:type="dxa"/>
            </w:tcMar>
            <w:vAlign w:val="center"/>
            <w:hideMark/>
          </w:tcPr>
          <w:p w14:paraId="6234E18F" w14:textId="77777777" w:rsidR="00CD15FF" w:rsidRPr="00CD15FF" w:rsidRDefault="00CD15FF" w:rsidP="00CD15FF">
            <w:pPr>
              <w:spacing w:line="276" w:lineRule="auto"/>
              <w:rPr>
                <w:rFonts w:ascii="Arial" w:hAnsi="Arial" w:cs="Arial"/>
              </w:rPr>
            </w:pPr>
            <w:r w:rsidRPr="00CD15FF">
              <w:rPr>
                <w:rFonts w:ascii="Arial" w:hAnsi="Arial" w:cs="Arial"/>
              </w:rPr>
              <w:t>Section</w:t>
            </w:r>
          </w:p>
        </w:tc>
        <w:tc>
          <w:tcPr>
            <w:tcW w:w="0" w:type="auto"/>
            <w:tcMar>
              <w:top w:w="150" w:type="dxa"/>
              <w:left w:w="240" w:type="dxa"/>
              <w:bottom w:w="150" w:type="dxa"/>
              <w:right w:w="240" w:type="dxa"/>
            </w:tcMar>
            <w:vAlign w:val="center"/>
            <w:hideMark/>
          </w:tcPr>
          <w:p w14:paraId="21BE2396" w14:textId="77777777" w:rsidR="00CD15FF" w:rsidRPr="00CD15FF" w:rsidRDefault="00CD15FF" w:rsidP="00CD15FF">
            <w:pPr>
              <w:spacing w:line="276" w:lineRule="auto"/>
              <w:rPr>
                <w:rFonts w:ascii="Arial" w:hAnsi="Arial" w:cs="Arial"/>
              </w:rPr>
            </w:pPr>
            <w:r w:rsidRPr="00CD15FF">
              <w:rPr>
                <w:rFonts w:ascii="Arial" w:hAnsi="Arial" w:cs="Arial"/>
              </w:rPr>
              <w:t>Core Argument / Strategy</w:t>
            </w:r>
          </w:p>
        </w:tc>
        <w:tc>
          <w:tcPr>
            <w:tcW w:w="0" w:type="auto"/>
            <w:tcMar>
              <w:top w:w="150" w:type="dxa"/>
              <w:left w:w="240" w:type="dxa"/>
              <w:bottom w:w="150" w:type="dxa"/>
              <w:right w:w="240" w:type="dxa"/>
            </w:tcMar>
            <w:vAlign w:val="center"/>
            <w:hideMark/>
          </w:tcPr>
          <w:p w14:paraId="1667F5E8" w14:textId="77777777" w:rsidR="00CD15FF" w:rsidRPr="00CD15FF" w:rsidRDefault="00CD15FF" w:rsidP="00CD15FF">
            <w:pPr>
              <w:spacing w:line="276" w:lineRule="auto"/>
              <w:rPr>
                <w:rFonts w:ascii="Arial" w:hAnsi="Arial" w:cs="Arial"/>
              </w:rPr>
            </w:pPr>
            <w:r w:rsidRPr="00CD15FF">
              <w:rPr>
                <w:rFonts w:ascii="Arial" w:hAnsi="Arial" w:cs="Arial"/>
              </w:rPr>
              <w:t>Theoretical Foundation / Supporting Literature</w:t>
            </w:r>
          </w:p>
        </w:tc>
        <w:tc>
          <w:tcPr>
            <w:tcW w:w="0" w:type="auto"/>
            <w:tcMar>
              <w:top w:w="150" w:type="dxa"/>
              <w:left w:w="240" w:type="dxa"/>
              <w:bottom w:w="150" w:type="dxa"/>
              <w:right w:w="240" w:type="dxa"/>
            </w:tcMar>
            <w:vAlign w:val="center"/>
            <w:hideMark/>
          </w:tcPr>
          <w:p w14:paraId="2D51728A" w14:textId="77777777" w:rsidR="00CD15FF" w:rsidRPr="00CD15FF" w:rsidRDefault="00CD15FF" w:rsidP="00CD15FF">
            <w:pPr>
              <w:spacing w:line="276" w:lineRule="auto"/>
              <w:rPr>
                <w:rFonts w:ascii="Arial" w:hAnsi="Arial" w:cs="Arial"/>
              </w:rPr>
            </w:pPr>
            <w:r w:rsidRPr="00CD15FF">
              <w:rPr>
                <w:rFonts w:ascii="Arial" w:hAnsi="Arial" w:cs="Arial"/>
              </w:rPr>
              <w:t>Critical Synthesis / Application</w:t>
            </w:r>
          </w:p>
        </w:tc>
      </w:tr>
      <w:tr w:rsidR="00CD15FF" w:rsidRPr="00CD15FF" w14:paraId="37F5265F" w14:textId="77777777" w:rsidTr="00CD15FF">
        <w:trPr>
          <w:trHeight w:val="2252"/>
          <w:jc w:val="center"/>
        </w:trPr>
        <w:tc>
          <w:tcPr>
            <w:tcW w:w="0" w:type="auto"/>
            <w:tcMar>
              <w:top w:w="150" w:type="dxa"/>
              <w:left w:w="0" w:type="dxa"/>
              <w:bottom w:w="150" w:type="dxa"/>
              <w:right w:w="240" w:type="dxa"/>
            </w:tcMar>
            <w:vAlign w:val="center"/>
            <w:hideMark/>
          </w:tcPr>
          <w:p w14:paraId="32DD4245" w14:textId="77777777" w:rsidR="00CD15FF" w:rsidRPr="00CD15FF" w:rsidRDefault="00CD15FF" w:rsidP="00CD15FF">
            <w:pPr>
              <w:spacing w:line="276" w:lineRule="auto"/>
              <w:rPr>
                <w:rFonts w:ascii="Arial" w:hAnsi="Arial" w:cs="Arial"/>
              </w:rPr>
            </w:pPr>
            <w:r w:rsidRPr="00CD15FF">
              <w:rPr>
                <w:rFonts w:ascii="Arial" w:hAnsi="Arial" w:cs="Arial"/>
                <w:b/>
                <w:bCs/>
              </w:rPr>
              <w:t>2.5 Gearing &amp; Leverage</w:t>
            </w:r>
          </w:p>
        </w:tc>
        <w:tc>
          <w:tcPr>
            <w:tcW w:w="0" w:type="auto"/>
            <w:tcMar>
              <w:top w:w="150" w:type="dxa"/>
              <w:left w:w="240" w:type="dxa"/>
              <w:bottom w:w="150" w:type="dxa"/>
              <w:right w:w="240" w:type="dxa"/>
            </w:tcMar>
            <w:vAlign w:val="center"/>
            <w:hideMark/>
          </w:tcPr>
          <w:p w14:paraId="6D44268F" w14:textId="77777777" w:rsidR="00CD15FF" w:rsidRPr="00CD15FF" w:rsidRDefault="00CD15FF" w:rsidP="00CD15FF">
            <w:pPr>
              <w:spacing w:line="276" w:lineRule="auto"/>
              <w:rPr>
                <w:rFonts w:ascii="Arial" w:hAnsi="Arial" w:cs="Arial"/>
              </w:rPr>
            </w:pPr>
            <w:r w:rsidRPr="00CD15FF">
              <w:rPr>
                <w:rFonts w:ascii="Arial" w:hAnsi="Arial" w:cs="Arial"/>
              </w:rPr>
              <w:t xml:space="preserve">Negative interest </w:t>
            </w:r>
            <w:proofErr w:type="gramStart"/>
            <w:r w:rsidRPr="00CD15FF">
              <w:rPr>
                <w:rFonts w:ascii="Arial" w:hAnsi="Arial" w:cs="Arial"/>
              </w:rPr>
              <w:t>cover</w:t>
            </w:r>
            <w:proofErr w:type="gramEnd"/>
            <w:r w:rsidRPr="00CD15FF">
              <w:rPr>
                <w:rFonts w:ascii="Arial" w:hAnsi="Arial" w:cs="Arial"/>
              </w:rPr>
              <w:t xml:space="preserve"> signals a critical, unsustainable crisis.</w:t>
            </w:r>
          </w:p>
        </w:tc>
        <w:tc>
          <w:tcPr>
            <w:tcW w:w="0" w:type="auto"/>
            <w:tcMar>
              <w:top w:w="150" w:type="dxa"/>
              <w:left w:w="240" w:type="dxa"/>
              <w:bottom w:w="150" w:type="dxa"/>
              <w:right w:w="240" w:type="dxa"/>
            </w:tcMar>
            <w:vAlign w:val="center"/>
            <w:hideMark/>
          </w:tcPr>
          <w:p w14:paraId="6A881F74" w14:textId="77777777" w:rsidR="00CD15FF" w:rsidRPr="00CD15FF" w:rsidRDefault="00CD15FF" w:rsidP="00CD15FF">
            <w:pPr>
              <w:spacing w:line="276" w:lineRule="auto"/>
              <w:rPr>
                <w:rFonts w:ascii="Arial" w:hAnsi="Arial" w:cs="Arial"/>
              </w:rPr>
            </w:pPr>
            <w:r w:rsidRPr="00CD15FF">
              <w:rPr>
                <w:rFonts w:ascii="Arial" w:hAnsi="Arial" w:cs="Arial"/>
              </w:rPr>
              <w:t>Subramanyam (2014); Damodaran (2012)</w:t>
            </w:r>
          </w:p>
        </w:tc>
        <w:tc>
          <w:tcPr>
            <w:tcW w:w="0" w:type="auto"/>
            <w:tcMar>
              <w:top w:w="150" w:type="dxa"/>
              <w:left w:w="240" w:type="dxa"/>
              <w:bottom w:w="150" w:type="dxa"/>
              <w:right w:w="0" w:type="dxa"/>
            </w:tcMar>
            <w:vAlign w:val="center"/>
            <w:hideMark/>
          </w:tcPr>
          <w:p w14:paraId="032B8760" w14:textId="77777777" w:rsidR="00CD15FF" w:rsidRPr="00CD15FF" w:rsidRDefault="00CD15FF" w:rsidP="00CD15FF">
            <w:pPr>
              <w:spacing w:line="276" w:lineRule="auto"/>
              <w:rPr>
                <w:rFonts w:ascii="Arial" w:hAnsi="Arial" w:cs="Arial"/>
              </w:rPr>
            </w:pPr>
            <w:r w:rsidRPr="00CD15FF">
              <w:rPr>
                <w:rFonts w:ascii="Arial" w:hAnsi="Arial" w:cs="Arial"/>
              </w:rPr>
              <w:t>Synthesized Subramanyam's distress signal with Damodaran's context of market access to show why GE's situation is acute.</w:t>
            </w:r>
          </w:p>
        </w:tc>
      </w:tr>
      <w:tr w:rsidR="00CD15FF" w:rsidRPr="00CD15FF" w14:paraId="1C3D9E4F" w14:textId="77777777" w:rsidTr="00CD15FF">
        <w:trPr>
          <w:trHeight w:val="2605"/>
          <w:jc w:val="center"/>
        </w:trPr>
        <w:tc>
          <w:tcPr>
            <w:tcW w:w="0" w:type="auto"/>
            <w:tcMar>
              <w:top w:w="150" w:type="dxa"/>
              <w:left w:w="0" w:type="dxa"/>
              <w:bottom w:w="150" w:type="dxa"/>
              <w:right w:w="240" w:type="dxa"/>
            </w:tcMar>
            <w:vAlign w:val="center"/>
            <w:hideMark/>
          </w:tcPr>
          <w:p w14:paraId="52CDE2B4" w14:textId="77777777" w:rsidR="00CD15FF" w:rsidRPr="00CD15FF" w:rsidRDefault="00CD15FF" w:rsidP="00CD15FF">
            <w:pPr>
              <w:spacing w:line="276" w:lineRule="auto"/>
              <w:rPr>
                <w:rFonts w:ascii="Arial" w:hAnsi="Arial" w:cs="Arial"/>
              </w:rPr>
            </w:pPr>
            <w:r w:rsidRPr="00CD15FF">
              <w:rPr>
                <w:rFonts w:ascii="Arial" w:hAnsi="Arial" w:cs="Arial"/>
                <w:b/>
                <w:bCs/>
              </w:rPr>
              <w:lastRenderedPageBreak/>
              <w:t>2.6 Failure Prediction</w:t>
            </w:r>
          </w:p>
        </w:tc>
        <w:tc>
          <w:tcPr>
            <w:tcW w:w="0" w:type="auto"/>
            <w:tcMar>
              <w:top w:w="150" w:type="dxa"/>
              <w:left w:w="240" w:type="dxa"/>
              <w:bottom w:w="150" w:type="dxa"/>
              <w:right w:w="240" w:type="dxa"/>
            </w:tcMar>
            <w:vAlign w:val="center"/>
            <w:hideMark/>
          </w:tcPr>
          <w:p w14:paraId="3F7EFC37" w14:textId="77777777" w:rsidR="00CD15FF" w:rsidRPr="00CD15FF" w:rsidRDefault="00CD15FF" w:rsidP="00CD15FF">
            <w:pPr>
              <w:spacing w:line="276" w:lineRule="auto"/>
              <w:rPr>
                <w:rFonts w:ascii="Arial" w:hAnsi="Arial" w:cs="Arial"/>
              </w:rPr>
            </w:pPr>
            <w:r w:rsidRPr="00CD15FF">
              <w:rPr>
                <w:rFonts w:ascii="Arial" w:hAnsi="Arial" w:cs="Arial"/>
              </w:rPr>
              <w:t>The Altman Z-Score provides empirical evidence of bankruptcy risk.</w:t>
            </w:r>
          </w:p>
        </w:tc>
        <w:tc>
          <w:tcPr>
            <w:tcW w:w="0" w:type="auto"/>
            <w:tcMar>
              <w:top w:w="150" w:type="dxa"/>
              <w:left w:w="240" w:type="dxa"/>
              <w:bottom w:w="150" w:type="dxa"/>
              <w:right w:w="240" w:type="dxa"/>
            </w:tcMar>
            <w:vAlign w:val="center"/>
            <w:hideMark/>
          </w:tcPr>
          <w:p w14:paraId="059EA83F" w14:textId="77777777" w:rsidR="00CD15FF" w:rsidRPr="00CD15FF" w:rsidRDefault="00CD15FF" w:rsidP="00CD15FF">
            <w:pPr>
              <w:spacing w:line="276" w:lineRule="auto"/>
              <w:rPr>
                <w:rFonts w:ascii="Arial" w:hAnsi="Arial" w:cs="Arial"/>
              </w:rPr>
            </w:pPr>
            <w:r w:rsidRPr="00CD15FF">
              <w:rPr>
                <w:rFonts w:ascii="Arial" w:hAnsi="Arial" w:cs="Arial"/>
              </w:rPr>
              <w:t>Altman (1968)</w:t>
            </w:r>
          </w:p>
        </w:tc>
        <w:tc>
          <w:tcPr>
            <w:tcW w:w="0" w:type="auto"/>
            <w:tcMar>
              <w:top w:w="150" w:type="dxa"/>
              <w:left w:w="240" w:type="dxa"/>
              <w:bottom w:w="150" w:type="dxa"/>
              <w:right w:w="0" w:type="dxa"/>
            </w:tcMar>
            <w:vAlign w:val="center"/>
            <w:hideMark/>
          </w:tcPr>
          <w:p w14:paraId="32A91955" w14:textId="77777777" w:rsidR="00CD15FF" w:rsidRPr="00CD15FF" w:rsidRDefault="00CD15FF" w:rsidP="00CD15FF">
            <w:pPr>
              <w:spacing w:line="276" w:lineRule="auto"/>
              <w:rPr>
                <w:rFonts w:ascii="Arial" w:hAnsi="Arial" w:cs="Arial"/>
              </w:rPr>
            </w:pPr>
            <w:r w:rsidRPr="00CD15FF">
              <w:rPr>
                <w:rFonts w:ascii="Arial" w:hAnsi="Arial" w:cs="Arial"/>
              </w:rPr>
              <w:t>Justified use of this seminal model as it holistically captures the profitability, leverage, and liquidity issues identified in the ratio analysis.</w:t>
            </w:r>
          </w:p>
        </w:tc>
      </w:tr>
      <w:tr w:rsidR="00CD15FF" w:rsidRPr="00CD15FF" w14:paraId="1F90BE78" w14:textId="77777777" w:rsidTr="00CD15FF">
        <w:trPr>
          <w:trHeight w:val="2252"/>
          <w:jc w:val="center"/>
        </w:trPr>
        <w:tc>
          <w:tcPr>
            <w:tcW w:w="0" w:type="auto"/>
            <w:tcMar>
              <w:top w:w="150" w:type="dxa"/>
              <w:left w:w="0" w:type="dxa"/>
              <w:bottom w:w="150" w:type="dxa"/>
              <w:right w:w="240" w:type="dxa"/>
            </w:tcMar>
            <w:vAlign w:val="center"/>
            <w:hideMark/>
          </w:tcPr>
          <w:p w14:paraId="02EEFAAB" w14:textId="77777777" w:rsidR="00CD15FF" w:rsidRPr="00CD15FF" w:rsidRDefault="00CD15FF" w:rsidP="00CD15FF">
            <w:pPr>
              <w:spacing w:line="276" w:lineRule="auto"/>
              <w:rPr>
                <w:rFonts w:ascii="Arial" w:hAnsi="Arial" w:cs="Arial"/>
              </w:rPr>
            </w:pPr>
            <w:r w:rsidRPr="00CD15FF">
              <w:rPr>
                <w:rFonts w:ascii="Arial" w:hAnsi="Arial" w:cs="Arial"/>
                <w:b/>
                <w:bCs/>
              </w:rPr>
              <w:t>5.2 Investment Appraisal</w:t>
            </w:r>
          </w:p>
        </w:tc>
        <w:tc>
          <w:tcPr>
            <w:tcW w:w="0" w:type="auto"/>
            <w:tcMar>
              <w:top w:w="150" w:type="dxa"/>
              <w:left w:w="240" w:type="dxa"/>
              <w:bottom w:w="150" w:type="dxa"/>
              <w:right w:w="240" w:type="dxa"/>
            </w:tcMar>
            <w:vAlign w:val="center"/>
            <w:hideMark/>
          </w:tcPr>
          <w:p w14:paraId="25132DEA" w14:textId="77777777" w:rsidR="00CD15FF" w:rsidRPr="00CD15FF" w:rsidRDefault="00CD15FF" w:rsidP="00CD15FF">
            <w:pPr>
              <w:spacing w:line="276" w:lineRule="auto"/>
              <w:rPr>
                <w:rFonts w:ascii="Arial" w:hAnsi="Arial" w:cs="Arial"/>
              </w:rPr>
            </w:pPr>
            <w:r w:rsidRPr="00CD15FF">
              <w:rPr>
                <w:rFonts w:ascii="Arial" w:hAnsi="Arial" w:cs="Arial"/>
              </w:rPr>
              <w:t>Project A is superior to Project C despite a lower NPV due to risk and liquidity.</w:t>
            </w:r>
          </w:p>
        </w:tc>
        <w:tc>
          <w:tcPr>
            <w:tcW w:w="0" w:type="auto"/>
            <w:tcMar>
              <w:top w:w="150" w:type="dxa"/>
              <w:left w:w="240" w:type="dxa"/>
              <w:bottom w:w="150" w:type="dxa"/>
              <w:right w:w="240" w:type="dxa"/>
            </w:tcMar>
            <w:vAlign w:val="center"/>
            <w:hideMark/>
          </w:tcPr>
          <w:p w14:paraId="6BD541E6" w14:textId="77777777" w:rsidR="00CD15FF" w:rsidRPr="00CD15FF" w:rsidRDefault="00CD15FF" w:rsidP="00CD15FF">
            <w:pPr>
              <w:spacing w:line="276" w:lineRule="auto"/>
              <w:rPr>
                <w:rFonts w:ascii="Arial" w:hAnsi="Arial" w:cs="Arial"/>
              </w:rPr>
            </w:pPr>
            <w:r w:rsidRPr="00CD15FF">
              <w:rPr>
                <w:rFonts w:ascii="Arial" w:hAnsi="Arial" w:cs="Arial"/>
              </w:rPr>
              <w:t>Brealey et al. (2020); Gill et al. (2010)</w:t>
            </w:r>
          </w:p>
        </w:tc>
        <w:tc>
          <w:tcPr>
            <w:tcW w:w="0" w:type="auto"/>
            <w:tcMar>
              <w:top w:w="150" w:type="dxa"/>
              <w:left w:w="240" w:type="dxa"/>
              <w:bottom w:w="150" w:type="dxa"/>
              <w:right w:w="0" w:type="dxa"/>
            </w:tcMar>
            <w:vAlign w:val="center"/>
            <w:hideMark/>
          </w:tcPr>
          <w:p w14:paraId="6F4E07DE" w14:textId="77777777" w:rsidR="00CD15FF" w:rsidRPr="00CD15FF" w:rsidRDefault="00CD15FF" w:rsidP="00CD15FF">
            <w:pPr>
              <w:spacing w:line="276" w:lineRule="auto"/>
              <w:rPr>
                <w:rFonts w:ascii="Arial" w:hAnsi="Arial" w:cs="Arial"/>
              </w:rPr>
            </w:pPr>
            <w:r w:rsidRPr="00CD15FF">
              <w:rPr>
                <w:rFonts w:ascii="Arial" w:hAnsi="Arial" w:cs="Arial"/>
              </w:rPr>
              <w:t xml:space="preserve">Critiqued strict NPV </w:t>
            </w:r>
            <w:proofErr w:type="gramStart"/>
            <w:r w:rsidRPr="00CD15FF">
              <w:rPr>
                <w:rFonts w:ascii="Arial" w:hAnsi="Arial" w:cs="Arial"/>
              </w:rPr>
              <w:t>rule</w:t>
            </w:r>
            <w:proofErr w:type="gramEnd"/>
            <w:r w:rsidRPr="00CD15FF">
              <w:rPr>
                <w:rFonts w:ascii="Arial" w:hAnsi="Arial" w:cs="Arial"/>
              </w:rPr>
              <w:t xml:space="preserve"> by applying theories of capital rationing and financial distress, justifying a survival-based strategy.</w:t>
            </w:r>
          </w:p>
        </w:tc>
      </w:tr>
      <w:tr w:rsidR="00CD15FF" w:rsidRPr="00CD15FF" w14:paraId="79338EC4" w14:textId="77777777" w:rsidTr="00CD15FF">
        <w:trPr>
          <w:trHeight w:val="2265"/>
          <w:jc w:val="center"/>
        </w:trPr>
        <w:tc>
          <w:tcPr>
            <w:tcW w:w="0" w:type="auto"/>
            <w:tcMar>
              <w:top w:w="150" w:type="dxa"/>
              <w:left w:w="0" w:type="dxa"/>
              <w:bottom w:w="150" w:type="dxa"/>
              <w:right w:w="240" w:type="dxa"/>
            </w:tcMar>
            <w:vAlign w:val="center"/>
            <w:hideMark/>
          </w:tcPr>
          <w:p w14:paraId="0EE7CDF3" w14:textId="77777777" w:rsidR="00CD15FF" w:rsidRPr="00CD15FF" w:rsidRDefault="00CD15FF" w:rsidP="00CD15FF">
            <w:pPr>
              <w:spacing w:line="276" w:lineRule="auto"/>
              <w:rPr>
                <w:rFonts w:ascii="Arial" w:hAnsi="Arial" w:cs="Arial"/>
              </w:rPr>
            </w:pPr>
            <w:r w:rsidRPr="00CD15FF">
              <w:rPr>
                <w:rFonts w:ascii="Arial" w:hAnsi="Arial" w:cs="Arial"/>
                <w:b/>
                <w:bCs/>
              </w:rPr>
              <w:t>3.2 Working Capital Reform</w:t>
            </w:r>
          </w:p>
        </w:tc>
        <w:tc>
          <w:tcPr>
            <w:tcW w:w="0" w:type="auto"/>
            <w:tcMar>
              <w:top w:w="150" w:type="dxa"/>
              <w:left w:w="240" w:type="dxa"/>
              <w:bottom w:w="150" w:type="dxa"/>
              <w:right w:w="240" w:type="dxa"/>
            </w:tcMar>
            <w:vAlign w:val="center"/>
            <w:hideMark/>
          </w:tcPr>
          <w:p w14:paraId="6DD49A46" w14:textId="77777777" w:rsidR="00CD15FF" w:rsidRPr="00CD15FF" w:rsidRDefault="00CD15FF" w:rsidP="00CD15FF">
            <w:pPr>
              <w:spacing w:line="276" w:lineRule="auto"/>
              <w:rPr>
                <w:rFonts w:ascii="Arial" w:hAnsi="Arial" w:cs="Arial"/>
              </w:rPr>
            </w:pPr>
            <w:r w:rsidRPr="00CD15FF">
              <w:rPr>
                <w:rFonts w:ascii="Arial" w:hAnsi="Arial" w:cs="Arial"/>
              </w:rPr>
              <w:t>Aggressive working capital reform is a primary lever for avoiding insolvency.</w:t>
            </w:r>
          </w:p>
        </w:tc>
        <w:tc>
          <w:tcPr>
            <w:tcW w:w="0" w:type="auto"/>
            <w:tcMar>
              <w:top w:w="150" w:type="dxa"/>
              <w:left w:w="240" w:type="dxa"/>
              <w:bottom w:w="150" w:type="dxa"/>
              <w:right w:w="240" w:type="dxa"/>
            </w:tcMar>
            <w:vAlign w:val="center"/>
            <w:hideMark/>
          </w:tcPr>
          <w:p w14:paraId="102F55B6" w14:textId="3296E119" w:rsidR="00CD15FF" w:rsidRPr="00977EB8" w:rsidRDefault="00977EB8" w:rsidP="00CD15FF">
            <w:pPr>
              <w:spacing w:line="276" w:lineRule="auto"/>
              <w:rPr>
                <w:rFonts w:ascii="Arial" w:hAnsi="Arial" w:cs="Arial"/>
              </w:rPr>
            </w:pPr>
            <w:r w:rsidRPr="00977EB8">
              <w:rPr>
                <w:rFonts w:ascii="Arial" w:hAnsi="Arial" w:cs="Arial"/>
              </w:rPr>
              <w:t>Baños-Caballero et al. (2014)</w:t>
            </w:r>
          </w:p>
        </w:tc>
        <w:tc>
          <w:tcPr>
            <w:tcW w:w="0" w:type="auto"/>
            <w:tcMar>
              <w:top w:w="150" w:type="dxa"/>
              <w:left w:w="240" w:type="dxa"/>
              <w:bottom w:w="150" w:type="dxa"/>
              <w:right w:w="0" w:type="dxa"/>
            </w:tcMar>
            <w:vAlign w:val="center"/>
            <w:hideMark/>
          </w:tcPr>
          <w:p w14:paraId="02F7D859" w14:textId="77777777" w:rsidR="00CD15FF" w:rsidRPr="00CD15FF" w:rsidRDefault="00CD15FF" w:rsidP="00CD15FF">
            <w:pPr>
              <w:spacing w:line="276" w:lineRule="auto"/>
              <w:rPr>
                <w:rFonts w:ascii="Arial" w:hAnsi="Arial" w:cs="Arial"/>
              </w:rPr>
            </w:pPr>
            <w:r w:rsidRPr="00CD15FF">
              <w:rPr>
                <w:rFonts w:ascii="Arial" w:hAnsi="Arial" w:cs="Arial"/>
              </w:rPr>
              <w:t>Applied contemporary research on financially distressed firms to validate the proposed operational turnaround strategy.</w:t>
            </w:r>
          </w:p>
        </w:tc>
      </w:tr>
    </w:tbl>
    <w:p w14:paraId="7ED13D2B" w14:textId="77777777" w:rsidR="00CD15FF" w:rsidRPr="00A71042" w:rsidRDefault="00CD15FF" w:rsidP="00A71042">
      <w:pPr>
        <w:spacing w:line="360" w:lineRule="auto"/>
        <w:rPr>
          <w:rFonts w:ascii="Arial" w:hAnsi="Arial" w:cs="Arial"/>
        </w:rPr>
      </w:pPr>
    </w:p>
    <w:p w14:paraId="7B05D006" w14:textId="77777777" w:rsidR="00A71042" w:rsidRPr="00EC26B4" w:rsidRDefault="00A71042" w:rsidP="00EC26B4">
      <w:pPr>
        <w:spacing w:line="360" w:lineRule="auto"/>
        <w:jc w:val="both"/>
        <w:rPr>
          <w:rFonts w:ascii="Arial" w:hAnsi="Arial" w:cs="Arial"/>
        </w:rPr>
      </w:pPr>
    </w:p>
    <w:sectPr w:rsidR="00A71042" w:rsidRPr="00EC26B4">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DAD727" w14:textId="77777777" w:rsidR="00EA7603" w:rsidRDefault="00EA7603" w:rsidP="00300C8B">
      <w:pPr>
        <w:spacing w:after="0" w:line="240" w:lineRule="auto"/>
      </w:pPr>
      <w:r>
        <w:separator/>
      </w:r>
    </w:p>
  </w:endnote>
  <w:endnote w:type="continuationSeparator" w:id="0">
    <w:p w14:paraId="43590857" w14:textId="77777777" w:rsidR="00EA7603" w:rsidRDefault="00EA7603" w:rsidP="00300C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8219225"/>
      <w:docPartObj>
        <w:docPartGallery w:val="Page Numbers (Bottom of Page)"/>
        <w:docPartUnique/>
      </w:docPartObj>
    </w:sdtPr>
    <w:sdtEndPr>
      <w:rPr>
        <w:noProof/>
      </w:rPr>
    </w:sdtEndPr>
    <w:sdtContent>
      <w:p w14:paraId="1ABF18A1" w14:textId="7DAAAA44" w:rsidR="00300C8B" w:rsidRDefault="00300C8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675EAB" w14:textId="77777777" w:rsidR="00300C8B" w:rsidRDefault="00300C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760AE2" w14:textId="77777777" w:rsidR="00EA7603" w:rsidRDefault="00EA7603" w:rsidP="00300C8B">
      <w:pPr>
        <w:spacing w:after="0" w:line="240" w:lineRule="auto"/>
      </w:pPr>
      <w:r>
        <w:separator/>
      </w:r>
    </w:p>
  </w:footnote>
  <w:footnote w:type="continuationSeparator" w:id="0">
    <w:p w14:paraId="6CD3E1B5" w14:textId="77777777" w:rsidR="00EA7603" w:rsidRDefault="00EA7603" w:rsidP="00300C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C5DC0"/>
    <w:multiLevelType w:val="multilevel"/>
    <w:tmpl w:val="B1FEF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873CEF"/>
    <w:multiLevelType w:val="multilevel"/>
    <w:tmpl w:val="B0041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DD761C"/>
    <w:multiLevelType w:val="multilevel"/>
    <w:tmpl w:val="D054C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FC103E"/>
    <w:multiLevelType w:val="multilevel"/>
    <w:tmpl w:val="78909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BE1D9F"/>
    <w:multiLevelType w:val="multilevel"/>
    <w:tmpl w:val="379E1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9D13FD"/>
    <w:multiLevelType w:val="multilevel"/>
    <w:tmpl w:val="2D4C0A3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8453B3F"/>
    <w:multiLevelType w:val="multilevel"/>
    <w:tmpl w:val="43CC61F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99B14C4"/>
    <w:multiLevelType w:val="multilevel"/>
    <w:tmpl w:val="BA8E6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E9076A"/>
    <w:multiLevelType w:val="multilevel"/>
    <w:tmpl w:val="2A543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3201B2"/>
    <w:multiLevelType w:val="multilevel"/>
    <w:tmpl w:val="91249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543F03"/>
    <w:multiLevelType w:val="multilevel"/>
    <w:tmpl w:val="3AE01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FD6075B"/>
    <w:multiLevelType w:val="multilevel"/>
    <w:tmpl w:val="ACB2B05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4923181"/>
    <w:multiLevelType w:val="hybridMultilevel"/>
    <w:tmpl w:val="46D274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24F1724C"/>
    <w:multiLevelType w:val="hybridMultilevel"/>
    <w:tmpl w:val="A3989E6E"/>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261B2129"/>
    <w:multiLevelType w:val="hybridMultilevel"/>
    <w:tmpl w:val="62781708"/>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2A6C2D04"/>
    <w:multiLevelType w:val="hybridMultilevel"/>
    <w:tmpl w:val="169CDC5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BCA1247"/>
    <w:multiLevelType w:val="multilevel"/>
    <w:tmpl w:val="B7D87D1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CC71B0B"/>
    <w:multiLevelType w:val="multilevel"/>
    <w:tmpl w:val="5942D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D5C4E9A"/>
    <w:multiLevelType w:val="multilevel"/>
    <w:tmpl w:val="6DB8B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D6B0F94"/>
    <w:multiLevelType w:val="multilevel"/>
    <w:tmpl w:val="B308C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10F39EF"/>
    <w:multiLevelType w:val="multilevel"/>
    <w:tmpl w:val="6CD487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21C178A"/>
    <w:multiLevelType w:val="multilevel"/>
    <w:tmpl w:val="87CC3E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51C3CB4"/>
    <w:multiLevelType w:val="multilevel"/>
    <w:tmpl w:val="EFE01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CB81509"/>
    <w:multiLevelType w:val="multilevel"/>
    <w:tmpl w:val="7EE6D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150668D"/>
    <w:multiLevelType w:val="hybridMultilevel"/>
    <w:tmpl w:val="1F86C160"/>
    <w:lvl w:ilvl="0" w:tplc="30A494E6">
      <w:start w:val="1"/>
      <w:numFmt w:val="bullet"/>
      <w:lvlText w:val="•"/>
      <w:lvlJc w:val="left"/>
      <w:pPr>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5396BE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6" w15:restartNumberingAfterBreak="0">
    <w:nsid w:val="460D36D6"/>
    <w:multiLevelType w:val="multilevel"/>
    <w:tmpl w:val="E5F69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7D15E6D"/>
    <w:multiLevelType w:val="multilevel"/>
    <w:tmpl w:val="93581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845372F"/>
    <w:multiLevelType w:val="multilevel"/>
    <w:tmpl w:val="8A1256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869393F"/>
    <w:multiLevelType w:val="multilevel"/>
    <w:tmpl w:val="EB36F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9297294"/>
    <w:multiLevelType w:val="hybridMultilevel"/>
    <w:tmpl w:val="253E2178"/>
    <w:lvl w:ilvl="0" w:tplc="30A494E6">
      <w:start w:val="1"/>
      <w:numFmt w:val="bullet"/>
      <w:lvlText w:val="•"/>
      <w:lvlJc w:val="left"/>
      <w:pPr>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4A3B05FE"/>
    <w:multiLevelType w:val="hybridMultilevel"/>
    <w:tmpl w:val="A3988652"/>
    <w:lvl w:ilvl="0" w:tplc="30A494E6">
      <w:start w:val="1"/>
      <w:numFmt w:val="bullet"/>
      <w:lvlText w:val="•"/>
      <w:lvlJc w:val="left"/>
      <w:pPr>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4DFA3C93"/>
    <w:multiLevelType w:val="hybridMultilevel"/>
    <w:tmpl w:val="2F46D586"/>
    <w:lvl w:ilvl="0" w:tplc="30A494E6">
      <w:start w:val="1"/>
      <w:numFmt w:val="bullet"/>
      <w:lvlText w:val="•"/>
      <w:lvlJc w:val="left"/>
      <w:pPr>
        <w:tabs>
          <w:tab w:val="num" w:pos="720"/>
        </w:tabs>
        <w:ind w:left="720" w:hanging="360"/>
      </w:pPr>
      <w:rPr>
        <w:rFonts w:ascii="Arial" w:hAnsi="Arial" w:hint="default"/>
      </w:rPr>
    </w:lvl>
    <w:lvl w:ilvl="1" w:tplc="A43E74CA">
      <w:numFmt w:val="bullet"/>
      <w:lvlText w:val="–"/>
      <w:lvlJc w:val="left"/>
      <w:pPr>
        <w:tabs>
          <w:tab w:val="num" w:pos="1440"/>
        </w:tabs>
        <w:ind w:left="1440" w:hanging="360"/>
      </w:pPr>
      <w:rPr>
        <w:rFonts w:ascii="Arial" w:hAnsi="Arial" w:hint="default"/>
      </w:rPr>
    </w:lvl>
    <w:lvl w:ilvl="2" w:tplc="D96469EA" w:tentative="1">
      <w:start w:val="1"/>
      <w:numFmt w:val="bullet"/>
      <w:lvlText w:val="•"/>
      <w:lvlJc w:val="left"/>
      <w:pPr>
        <w:tabs>
          <w:tab w:val="num" w:pos="2160"/>
        </w:tabs>
        <w:ind w:left="2160" w:hanging="360"/>
      </w:pPr>
      <w:rPr>
        <w:rFonts w:ascii="Arial" w:hAnsi="Arial" w:hint="default"/>
      </w:rPr>
    </w:lvl>
    <w:lvl w:ilvl="3" w:tplc="C7C8F8A2" w:tentative="1">
      <w:start w:val="1"/>
      <w:numFmt w:val="bullet"/>
      <w:lvlText w:val="•"/>
      <w:lvlJc w:val="left"/>
      <w:pPr>
        <w:tabs>
          <w:tab w:val="num" w:pos="2880"/>
        </w:tabs>
        <w:ind w:left="2880" w:hanging="360"/>
      </w:pPr>
      <w:rPr>
        <w:rFonts w:ascii="Arial" w:hAnsi="Arial" w:hint="default"/>
      </w:rPr>
    </w:lvl>
    <w:lvl w:ilvl="4" w:tplc="02A23F22" w:tentative="1">
      <w:start w:val="1"/>
      <w:numFmt w:val="bullet"/>
      <w:lvlText w:val="•"/>
      <w:lvlJc w:val="left"/>
      <w:pPr>
        <w:tabs>
          <w:tab w:val="num" w:pos="3600"/>
        </w:tabs>
        <w:ind w:left="3600" w:hanging="360"/>
      </w:pPr>
      <w:rPr>
        <w:rFonts w:ascii="Arial" w:hAnsi="Arial" w:hint="default"/>
      </w:rPr>
    </w:lvl>
    <w:lvl w:ilvl="5" w:tplc="5282A1D8" w:tentative="1">
      <w:start w:val="1"/>
      <w:numFmt w:val="bullet"/>
      <w:lvlText w:val="•"/>
      <w:lvlJc w:val="left"/>
      <w:pPr>
        <w:tabs>
          <w:tab w:val="num" w:pos="4320"/>
        </w:tabs>
        <w:ind w:left="4320" w:hanging="360"/>
      </w:pPr>
      <w:rPr>
        <w:rFonts w:ascii="Arial" w:hAnsi="Arial" w:hint="default"/>
      </w:rPr>
    </w:lvl>
    <w:lvl w:ilvl="6" w:tplc="831E82C8" w:tentative="1">
      <w:start w:val="1"/>
      <w:numFmt w:val="bullet"/>
      <w:lvlText w:val="•"/>
      <w:lvlJc w:val="left"/>
      <w:pPr>
        <w:tabs>
          <w:tab w:val="num" w:pos="5040"/>
        </w:tabs>
        <w:ind w:left="5040" w:hanging="360"/>
      </w:pPr>
      <w:rPr>
        <w:rFonts w:ascii="Arial" w:hAnsi="Arial" w:hint="default"/>
      </w:rPr>
    </w:lvl>
    <w:lvl w:ilvl="7" w:tplc="B1C8C206" w:tentative="1">
      <w:start w:val="1"/>
      <w:numFmt w:val="bullet"/>
      <w:lvlText w:val="•"/>
      <w:lvlJc w:val="left"/>
      <w:pPr>
        <w:tabs>
          <w:tab w:val="num" w:pos="5760"/>
        </w:tabs>
        <w:ind w:left="5760" w:hanging="360"/>
      </w:pPr>
      <w:rPr>
        <w:rFonts w:ascii="Arial" w:hAnsi="Arial" w:hint="default"/>
      </w:rPr>
    </w:lvl>
    <w:lvl w:ilvl="8" w:tplc="DB9EFE96"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50CC6F55"/>
    <w:multiLevelType w:val="multilevel"/>
    <w:tmpl w:val="D5220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6D44970"/>
    <w:multiLevelType w:val="multilevel"/>
    <w:tmpl w:val="02746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9986808"/>
    <w:multiLevelType w:val="multilevel"/>
    <w:tmpl w:val="AF10A6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B3A0BAD"/>
    <w:multiLevelType w:val="hybridMultilevel"/>
    <w:tmpl w:val="E1A64B3C"/>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5CE50D75"/>
    <w:multiLevelType w:val="multilevel"/>
    <w:tmpl w:val="CC0C6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E907DFF"/>
    <w:multiLevelType w:val="multilevel"/>
    <w:tmpl w:val="F918AB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F580374"/>
    <w:multiLevelType w:val="multilevel"/>
    <w:tmpl w:val="69EACB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53E5B3A"/>
    <w:multiLevelType w:val="multilevel"/>
    <w:tmpl w:val="063221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69C5040C"/>
    <w:multiLevelType w:val="hybridMultilevel"/>
    <w:tmpl w:val="C2FCE54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6A9B048D"/>
    <w:multiLevelType w:val="hybridMultilevel"/>
    <w:tmpl w:val="436CF648"/>
    <w:lvl w:ilvl="0" w:tplc="04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3" w15:restartNumberingAfterBreak="0">
    <w:nsid w:val="6E7E34A2"/>
    <w:multiLevelType w:val="hybridMultilevel"/>
    <w:tmpl w:val="B786111C"/>
    <w:lvl w:ilvl="0" w:tplc="30A494E6">
      <w:start w:val="1"/>
      <w:numFmt w:val="bullet"/>
      <w:lvlText w:val="•"/>
      <w:lvlJc w:val="left"/>
      <w:pPr>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7040077C"/>
    <w:multiLevelType w:val="multilevel"/>
    <w:tmpl w:val="C5642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5C84433"/>
    <w:multiLevelType w:val="multilevel"/>
    <w:tmpl w:val="3A1E2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8DF5D62"/>
    <w:multiLevelType w:val="hybridMultilevel"/>
    <w:tmpl w:val="776627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7" w15:restartNumberingAfterBreak="0">
    <w:nsid w:val="7A1C5534"/>
    <w:multiLevelType w:val="multilevel"/>
    <w:tmpl w:val="D93A1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B066E03"/>
    <w:multiLevelType w:val="multilevel"/>
    <w:tmpl w:val="68F64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FD13E78"/>
    <w:multiLevelType w:val="multilevel"/>
    <w:tmpl w:val="9588F4E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671713261">
    <w:abstractNumId w:val="1"/>
  </w:num>
  <w:num w:numId="2" w16cid:durableId="1173447316">
    <w:abstractNumId w:val="40"/>
  </w:num>
  <w:num w:numId="3" w16cid:durableId="1049260380">
    <w:abstractNumId w:val="32"/>
  </w:num>
  <w:num w:numId="4" w16cid:durableId="1686593225">
    <w:abstractNumId w:val="4"/>
  </w:num>
  <w:num w:numId="5" w16cid:durableId="2062094778">
    <w:abstractNumId w:val="0"/>
  </w:num>
  <w:num w:numId="6" w16cid:durableId="541331679">
    <w:abstractNumId w:val="28"/>
  </w:num>
  <w:num w:numId="7" w16cid:durableId="477110801">
    <w:abstractNumId w:val="47"/>
  </w:num>
  <w:num w:numId="8" w16cid:durableId="1976056668">
    <w:abstractNumId w:val="3"/>
  </w:num>
  <w:num w:numId="9" w16cid:durableId="576286318">
    <w:abstractNumId w:val="44"/>
  </w:num>
  <w:num w:numId="10" w16cid:durableId="706489428">
    <w:abstractNumId w:val="33"/>
  </w:num>
  <w:num w:numId="11" w16cid:durableId="1953589867">
    <w:abstractNumId w:val="37"/>
  </w:num>
  <w:num w:numId="12" w16cid:durableId="1500776465">
    <w:abstractNumId w:val="23"/>
  </w:num>
  <w:num w:numId="13" w16cid:durableId="587858398">
    <w:abstractNumId w:val="8"/>
  </w:num>
  <w:num w:numId="14" w16cid:durableId="2074699268">
    <w:abstractNumId w:val="26"/>
  </w:num>
  <w:num w:numId="15" w16cid:durableId="1096368724">
    <w:abstractNumId w:val="19"/>
  </w:num>
  <w:num w:numId="16" w16cid:durableId="1036393089">
    <w:abstractNumId w:val="34"/>
  </w:num>
  <w:num w:numId="17" w16cid:durableId="460420494">
    <w:abstractNumId w:val="48"/>
  </w:num>
  <w:num w:numId="18" w16cid:durableId="194470612">
    <w:abstractNumId w:val="2"/>
  </w:num>
  <w:num w:numId="19" w16cid:durableId="23992675">
    <w:abstractNumId w:val="18"/>
  </w:num>
  <w:num w:numId="20" w16cid:durableId="1078138818">
    <w:abstractNumId w:val="17"/>
  </w:num>
  <w:num w:numId="21" w16cid:durableId="1083335942">
    <w:abstractNumId w:val="9"/>
  </w:num>
  <w:num w:numId="22" w16cid:durableId="201482687">
    <w:abstractNumId w:val="12"/>
  </w:num>
  <w:num w:numId="23" w16cid:durableId="1534077768">
    <w:abstractNumId w:val="13"/>
  </w:num>
  <w:num w:numId="24" w16cid:durableId="707879115">
    <w:abstractNumId w:val="29"/>
  </w:num>
  <w:num w:numId="25" w16cid:durableId="824711069">
    <w:abstractNumId w:val="7"/>
  </w:num>
  <w:num w:numId="26" w16cid:durableId="1203902083">
    <w:abstractNumId w:val="6"/>
  </w:num>
  <w:num w:numId="27" w16cid:durableId="460076146">
    <w:abstractNumId w:val="14"/>
  </w:num>
  <w:num w:numId="28" w16cid:durableId="713041085">
    <w:abstractNumId w:val="5"/>
  </w:num>
  <w:num w:numId="29" w16cid:durableId="663121926">
    <w:abstractNumId w:val="21"/>
  </w:num>
  <w:num w:numId="30" w16cid:durableId="456920434">
    <w:abstractNumId w:val="35"/>
  </w:num>
  <w:num w:numId="31" w16cid:durableId="1792044986">
    <w:abstractNumId w:val="46"/>
  </w:num>
  <w:num w:numId="32" w16cid:durableId="1226186527">
    <w:abstractNumId w:val="42"/>
  </w:num>
  <w:num w:numId="33" w16cid:durableId="484325812">
    <w:abstractNumId w:val="36"/>
  </w:num>
  <w:num w:numId="34" w16cid:durableId="1682659028">
    <w:abstractNumId w:val="25"/>
  </w:num>
  <w:num w:numId="35" w16cid:durableId="417946588">
    <w:abstractNumId w:val="31"/>
  </w:num>
  <w:num w:numId="36" w16cid:durableId="233243426">
    <w:abstractNumId w:val="43"/>
  </w:num>
  <w:num w:numId="37" w16cid:durableId="2000885609">
    <w:abstractNumId w:val="24"/>
  </w:num>
  <w:num w:numId="38" w16cid:durableId="214318936">
    <w:abstractNumId w:val="30"/>
  </w:num>
  <w:num w:numId="39" w16cid:durableId="571239690">
    <w:abstractNumId w:val="41"/>
  </w:num>
  <w:num w:numId="40" w16cid:durableId="1812752024">
    <w:abstractNumId w:val="15"/>
  </w:num>
  <w:num w:numId="41" w16cid:durableId="1864395387">
    <w:abstractNumId w:val="38"/>
  </w:num>
  <w:num w:numId="42" w16cid:durableId="1694068263">
    <w:abstractNumId w:val="20"/>
  </w:num>
  <w:num w:numId="43" w16cid:durableId="1144467708">
    <w:abstractNumId w:val="16"/>
  </w:num>
  <w:num w:numId="44" w16cid:durableId="1529298887">
    <w:abstractNumId w:val="11"/>
  </w:num>
  <w:num w:numId="45" w16cid:durableId="580065344">
    <w:abstractNumId w:val="49"/>
  </w:num>
  <w:num w:numId="46" w16cid:durableId="89812586">
    <w:abstractNumId w:val="10"/>
  </w:num>
  <w:num w:numId="47" w16cid:durableId="578054079">
    <w:abstractNumId w:val="27"/>
  </w:num>
  <w:num w:numId="48" w16cid:durableId="886524990">
    <w:abstractNumId w:val="45"/>
  </w:num>
  <w:num w:numId="49" w16cid:durableId="1834448288">
    <w:abstractNumId w:val="39"/>
  </w:num>
  <w:num w:numId="50" w16cid:durableId="1610352645">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465E"/>
    <w:rsid w:val="0001288C"/>
    <w:rsid w:val="00053AA7"/>
    <w:rsid w:val="000557B8"/>
    <w:rsid w:val="0008215E"/>
    <w:rsid w:val="000D40B3"/>
    <w:rsid w:val="000E7C99"/>
    <w:rsid w:val="000F007C"/>
    <w:rsid w:val="00107275"/>
    <w:rsid w:val="001128A5"/>
    <w:rsid w:val="001429F8"/>
    <w:rsid w:val="0019427D"/>
    <w:rsid w:val="001A1681"/>
    <w:rsid w:val="001C49B2"/>
    <w:rsid w:val="001D424D"/>
    <w:rsid w:val="001E036C"/>
    <w:rsid w:val="001E6409"/>
    <w:rsid w:val="001F0B64"/>
    <w:rsid w:val="001F20F0"/>
    <w:rsid w:val="001F3770"/>
    <w:rsid w:val="001F4CDB"/>
    <w:rsid w:val="0020383B"/>
    <w:rsid w:val="00213D73"/>
    <w:rsid w:val="002314BA"/>
    <w:rsid w:val="00262C14"/>
    <w:rsid w:val="0029258A"/>
    <w:rsid w:val="002976A2"/>
    <w:rsid w:val="00300550"/>
    <w:rsid w:val="00300C8B"/>
    <w:rsid w:val="003014C0"/>
    <w:rsid w:val="00302504"/>
    <w:rsid w:val="00305A30"/>
    <w:rsid w:val="003075F7"/>
    <w:rsid w:val="00324687"/>
    <w:rsid w:val="003600FC"/>
    <w:rsid w:val="003B5938"/>
    <w:rsid w:val="003E5EF9"/>
    <w:rsid w:val="003E7E09"/>
    <w:rsid w:val="0040531C"/>
    <w:rsid w:val="00406A87"/>
    <w:rsid w:val="004230CC"/>
    <w:rsid w:val="004356AE"/>
    <w:rsid w:val="00450E8B"/>
    <w:rsid w:val="00476662"/>
    <w:rsid w:val="004A4AF2"/>
    <w:rsid w:val="004B19EC"/>
    <w:rsid w:val="00523A5C"/>
    <w:rsid w:val="00531E5E"/>
    <w:rsid w:val="0056574A"/>
    <w:rsid w:val="005802A8"/>
    <w:rsid w:val="0058089B"/>
    <w:rsid w:val="00582142"/>
    <w:rsid w:val="005A3CD7"/>
    <w:rsid w:val="005B52FB"/>
    <w:rsid w:val="005B6453"/>
    <w:rsid w:val="005F3C6E"/>
    <w:rsid w:val="006052F3"/>
    <w:rsid w:val="0062465E"/>
    <w:rsid w:val="00637056"/>
    <w:rsid w:val="006411FB"/>
    <w:rsid w:val="00643811"/>
    <w:rsid w:val="0064433B"/>
    <w:rsid w:val="0066655B"/>
    <w:rsid w:val="00676AE0"/>
    <w:rsid w:val="00692E73"/>
    <w:rsid w:val="00693A6D"/>
    <w:rsid w:val="00695117"/>
    <w:rsid w:val="006A1D1C"/>
    <w:rsid w:val="006A3CFB"/>
    <w:rsid w:val="006D438F"/>
    <w:rsid w:val="006D7F04"/>
    <w:rsid w:val="00701473"/>
    <w:rsid w:val="00713213"/>
    <w:rsid w:val="00731A12"/>
    <w:rsid w:val="00737734"/>
    <w:rsid w:val="00744DDB"/>
    <w:rsid w:val="00756BAA"/>
    <w:rsid w:val="00781CBC"/>
    <w:rsid w:val="007826C1"/>
    <w:rsid w:val="007A331E"/>
    <w:rsid w:val="007B1CE1"/>
    <w:rsid w:val="007B64C0"/>
    <w:rsid w:val="007C009A"/>
    <w:rsid w:val="007D50ED"/>
    <w:rsid w:val="007E044C"/>
    <w:rsid w:val="007E0F63"/>
    <w:rsid w:val="00807EA0"/>
    <w:rsid w:val="00811880"/>
    <w:rsid w:val="00817D2F"/>
    <w:rsid w:val="00820652"/>
    <w:rsid w:val="008469AF"/>
    <w:rsid w:val="0088027A"/>
    <w:rsid w:val="00887D71"/>
    <w:rsid w:val="008A2694"/>
    <w:rsid w:val="008C0FB7"/>
    <w:rsid w:val="008C7C88"/>
    <w:rsid w:val="00912A0A"/>
    <w:rsid w:val="00915A3E"/>
    <w:rsid w:val="0092094B"/>
    <w:rsid w:val="00927281"/>
    <w:rsid w:val="00935901"/>
    <w:rsid w:val="0094775B"/>
    <w:rsid w:val="0095661E"/>
    <w:rsid w:val="0096082A"/>
    <w:rsid w:val="009636DB"/>
    <w:rsid w:val="009642CC"/>
    <w:rsid w:val="00977EB8"/>
    <w:rsid w:val="009A23E8"/>
    <w:rsid w:val="009B0C23"/>
    <w:rsid w:val="009B4EFC"/>
    <w:rsid w:val="009C0CBF"/>
    <w:rsid w:val="009C2675"/>
    <w:rsid w:val="009E1B0C"/>
    <w:rsid w:val="00A0047C"/>
    <w:rsid w:val="00A32B1C"/>
    <w:rsid w:val="00A63E91"/>
    <w:rsid w:val="00A71042"/>
    <w:rsid w:val="00A71509"/>
    <w:rsid w:val="00A928DE"/>
    <w:rsid w:val="00AB491B"/>
    <w:rsid w:val="00AB5195"/>
    <w:rsid w:val="00AE5A48"/>
    <w:rsid w:val="00B17780"/>
    <w:rsid w:val="00B33321"/>
    <w:rsid w:val="00B3531A"/>
    <w:rsid w:val="00B45C3A"/>
    <w:rsid w:val="00B55383"/>
    <w:rsid w:val="00B71803"/>
    <w:rsid w:val="00B76C41"/>
    <w:rsid w:val="00BE49B7"/>
    <w:rsid w:val="00C04562"/>
    <w:rsid w:val="00C16B45"/>
    <w:rsid w:val="00C23DFA"/>
    <w:rsid w:val="00C452A0"/>
    <w:rsid w:val="00C52E54"/>
    <w:rsid w:val="00C732C5"/>
    <w:rsid w:val="00CB14BE"/>
    <w:rsid w:val="00CC5D62"/>
    <w:rsid w:val="00CD15FF"/>
    <w:rsid w:val="00D10AB3"/>
    <w:rsid w:val="00D46501"/>
    <w:rsid w:val="00D670C4"/>
    <w:rsid w:val="00D875DC"/>
    <w:rsid w:val="00D97847"/>
    <w:rsid w:val="00DC5E08"/>
    <w:rsid w:val="00DC5EA2"/>
    <w:rsid w:val="00DC62CF"/>
    <w:rsid w:val="00DF640D"/>
    <w:rsid w:val="00E137C4"/>
    <w:rsid w:val="00E146AF"/>
    <w:rsid w:val="00E83405"/>
    <w:rsid w:val="00E97BA5"/>
    <w:rsid w:val="00EA7603"/>
    <w:rsid w:val="00EC26B4"/>
    <w:rsid w:val="00ED147C"/>
    <w:rsid w:val="00F0639C"/>
    <w:rsid w:val="00F6386C"/>
    <w:rsid w:val="00F65031"/>
    <w:rsid w:val="00F7102E"/>
    <w:rsid w:val="00F7589B"/>
    <w:rsid w:val="00FD6913"/>
    <w:rsid w:val="00FF2E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87D842"/>
  <w15:chartTrackingRefBased/>
  <w15:docId w15:val="{6DBAEBDD-B3C0-4926-9911-2379943DE2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465E"/>
    <w:pPr>
      <w:keepNext/>
      <w:keepLines/>
      <w:numPr>
        <w:numId w:val="45"/>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2465E"/>
    <w:pPr>
      <w:keepNext/>
      <w:keepLines/>
      <w:numPr>
        <w:ilvl w:val="1"/>
        <w:numId w:val="45"/>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2465E"/>
    <w:pPr>
      <w:keepNext/>
      <w:keepLines/>
      <w:numPr>
        <w:ilvl w:val="2"/>
        <w:numId w:val="45"/>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465E"/>
    <w:pPr>
      <w:keepNext/>
      <w:keepLines/>
      <w:numPr>
        <w:ilvl w:val="3"/>
        <w:numId w:val="45"/>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465E"/>
    <w:pPr>
      <w:keepNext/>
      <w:keepLines/>
      <w:numPr>
        <w:ilvl w:val="4"/>
        <w:numId w:val="45"/>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465E"/>
    <w:pPr>
      <w:keepNext/>
      <w:keepLines/>
      <w:numPr>
        <w:ilvl w:val="5"/>
        <w:numId w:val="45"/>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465E"/>
    <w:pPr>
      <w:keepNext/>
      <w:keepLines/>
      <w:numPr>
        <w:ilvl w:val="6"/>
        <w:numId w:val="45"/>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465E"/>
    <w:pPr>
      <w:keepNext/>
      <w:keepLines/>
      <w:numPr>
        <w:ilvl w:val="7"/>
        <w:numId w:val="45"/>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465E"/>
    <w:pPr>
      <w:keepNext/>
      <w:keepLines/>
      <w:numPr>
        <w:ilvl w:val="8"/>
        <w:numId w:val="45"/>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46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246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246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46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46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46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46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46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465E"/>
    <w:rPr>
      <w:rFonts w:eastAsiaTheme="majorEastAsia" w:cstheme="majorBidi"/>
      <w:color w:val="272727" w:themeColor="text1" w:themeTint="D8"/>
    </w:rPr>
  </w:style>
  <w:style w:type="paragraph" w:styleId="Title">
    <w:name w:val="Title"/>
    <w:basedOn w:val="Normal"/>
    <w:next w:val="Normal"/>
    <w:link w:val="TitleChar"/>
    <w:uiPriority w:val="10"/>
    <w:qFormat/>
    <w:rsid w:val="006246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46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46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46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465E"/>
    <w:pPr>
      <w:spacing w:before="160"/>
      <w:jc w:val="center"/>
    </w:pPr>
    <w:rPr>
      <w:i/>
      <w:iCs/>
      <w:color w:val="404040" w:themeColor="text1" w:themeTint="BF"/>
    </w:rPr>
  </w:style>
  <w:style w:type="character" w:customStyle="1" w:styleId="QuoteChar">
    <w:name w:val="Quote Char"/>
    <w:basedOn w:val="DefaultParagraphFont"/>
    <w:link w:val="Quote"/>
    <w:uiPriority w:val="29"/>
    <w:rsid w:val="0062465E"/>
    <w:rPr>
      <w:i/>
      <w:iCs/>
      <w:color w:val="404040" w:themeColor="text1" w:themeTint="BF"/>
    </w:rPr>
  </w:style>
  <w:style w:type="paragraph" w:styleId="ListParagraph">
    <w:name w:val="List Paragraph"/>
    <w:basedOn w:val="Normal"/>
    <w:uiPriority w:val="34"/>
    <w:qFormat/>
    <w:rsid w:val="0062465E"/>
    <w:pPr>
      <w:ind w:left="720"/>
      <w:contextualSpacing/>
    </w:pPr>
  </w:style>
  <w:style w:type="character" w:styleId="IntenseEmphasis">
    <w:name w:val="Intense Emphasis"/>
    <w:basedOn w:val="DefaultParagraphFont"/>
    <w:uiPriority w:val="21"/>
    <w:qFormat/>
    <w:rsid w:val="0062465E"/>
    <w:rPr>
      <w:i/>
      <w:iCs/>
      <w:color w:val="0F4761" w:themeColor="accent1" w:themeShade="BF"/>
    </w:rPr>
  </w:style>
  <w:style w:type="paragraph" w:styleId="IntenseQuote">
    <w:name w:val="Intense Quote"/>
    <w:basedOn w:val="Normal"/>
    <w:next w:val="Normal"/>
    <w:link w:val="IntenseQuoteChar"/>
    <w:uiPriority w:val="30"/>
    <w:qFormat/>
    <w:rsid w:val="006246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465E"/>
    <w:rPr>
      <w:i/>
      <w:iCs/>
      <w:color w:val="0F4761" w:themeColor="accent1" w:themeShade="BF"/>
    </w:rPr>
  </w:style>
  <w:style w:type="character" w:styleId="IntenseReference">
    <w:name w:val="Intense Reference"/>
    <w:basedOn w:val="DefaultParagraphFont"/>
    <w:uiPriority w:val="32"/>
    <w:qFormat/>
    <w:rsid w:val="0062465E"/>
    <w:rPr>
      <w:b/>
      <w:bCs/>
      <w:smallCaps/>
      <w:color w:val="0F4761" w:themeColor="accent1" w:themeShade="BF"/>
      <w:spacing w:val="5"/>
    </w:rPr>
  </w:style>
  <w:style w:type="paragraph" w:styleId="TOCHeading">
    <w:name w:val="TOC Heading"/>
    <w:basedOn w:val="Heading1"/>
    <w:next w:val="Normal"/>
    <w:uiPriority w:val="39"/>
    <w:unhideWhenUsed/>
    <w:qFormat/>
    <w:rsid w:val="00A0047C"/>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0047C"/>
    <w:pPr>
      <w:spacing w:after="100"/>
    </w:pPr>
  </w:style>
  <w:style w:type="paragraph" w:styleId="TOC2">
    <w:name w:val="toc 2"/>
    <w:basedOn w:val="Normal"/>
    <w:next w:val="Normal"/>
    <w:autoRedefine/>
    <w:uiPriority w:val="39"/>
    <w:unhideWhenUsed/>
    <w:rsid w:val="00A0047C"/>
    <w:pPr>
      <w:spacing w:after="100"/>
      <w:ind w:left="240"/>
    </w:pPr>
  </w:style>
  <w:style w:type="character" w:styleId="Hyperlink">
    <w:name w:val="Hyperlink"/>
    <w:basedOn w:val="DefaultParagraphFont"/>
    <w:uiPriority w:val="99"/>
    <w:unhideWhenUsed/>
    <w:rsid w:val="00A0047C"/>
    <w:rPr>
      <w:color w:val="467886" w:themeColor="hyperlink"/>
      <w:u w:val="single"/>
    </w:rPr>
  </w:style>
  <w:style w:type="table" w:styleId="TableGrid">
    <w:name w:val="Table Grid"/>
    <w:basedOn w:val="TableNormal"/>
    <w:uiPriority w:val="39"/>
    <w:rsid w:val="00B333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D875DC"/>
    <w:rPr>
      <w:b/>
      <w:bCs/>
    </w:rPr>
  </w:style>
  <w:style w:type="paragraph" w:customStyle="1" w:styleId="ds-markdown-paragraph">
    <w:name w:val="ds-markdown-paragraph"/>
    <w:basedOn w:val="Normal"/>
    <w:rsid w:val="00D875DC"/>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UnresolvedMention">
    <w:name w:val="Unresolved Mention"/>
    <w:basedOn w:val="DefaultParagraphFont"/>
    <w:uiPriority w:val="99"/>
    <w:semiHidden/>
    <w:unhideWhenUsed/>
    <w:rsid w:val="00643811"/>
    <w:rPr>
      <w:color w:val="605E5C"/>
      <w:shd w:val="clear" w:color="auto" w:fill="E1DFDD"/>
    </w:rPr>
  </w:style>
  <w:style w:type="paragraph" w:styleId="Header">
    <w:name w:val="header"/>
    <w:basedOn w:val="Normal"/>
    <w:link w:val="HeaderChar"/>
    <w:uiPriority w:val="99"/>
    <w:unhideWhenUsed/>
    <w:rsid w:val="00300C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0C8B"/>
  </w:style>
  <w:style w:type="paragraph" w:styleId="Footer">
    <w:name w:val="footer"/>
    <w:basedOn w:val="Normal"/>
    <w:link w:val="FooterChar"/>
    <w:uiPriority w:val="99"/>
    <w:unhideWhenUsed/>
    <w:rsid w:val="00300C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0C8B"/>
  </w:style>
  <w:style w:type="paragraph" w:styleId="TOC3">
    <w:name w:val="toc 3"/>
    <w:basedOn w:val="Normal"/>
    <w:next w:val="Normal"/>
    <w:autoRedefine/>
    <w:uiPriority w:val="39"/>
    <w:unhideWhenUsed/>
    <w:rsid w:val="006D438F"/>
    <w:pPr>
      <w:spacing w:after="100"/>
      <w:ind w:left="480"/>
    </w:pPr>
  </w:style>
  <w:style w:type="paragraph" w:styleId="HTMLPreformatted">
    <w:name w:val="HTML Preformatted"/>
    <w:basedOn w:val="Normal"/>
    <w:link w:val="HTMLPreformattedChar"/>
    <w:uiPriority w:val="99"/>
    <w:semiHidden/>
    <w:unhideWhenUsed/>
    <w:rsid w:val="007E044C"/>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7E044C"/>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www.bankofengland.co.uk/monetary-policy-report/2023" TargetMode="External"/><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www.investopedia.com/terms/c/cashconversioncycle.as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corporatefinanceinstitute.com/resources/knowledge/finance/altman-z-score/"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CCF6B9F-2466-49A8-92F8-392E9BB195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630</TotalTime>
  <Pages>39</Pages>
  <Words>6734</Words>
  <Characters>38693</Characters>
  <Application>Microsoft Office Word</Application>
  <DocSecurity>0</DocSecurity>
  <Lines>1030</Lines>
  <Paragraphs>532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Fazle Rabby Nahi BBMA11</dc:creator>
  <cp:keywords/>
  <dc:description/>
  <cp:lastModifiedBy>BBM FAZLE RABBY NAHI</cp:lastModifiedBy>
  <cp:revision>142</cp:revision>
  <dcterms:created xsi:type="dcterms:W3CDTF">2025-09-20T10:34:00Z</dcterms:created>
  <dcterms:modified xsi:type="dcterms:W3CDTF">2025-11-23T11:36:00Z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32f381ce-8b00-43e0-9b32-0d8c0b5ae339</vt:lpwstr>
  </property>
</Properties>
</file>