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diagrams/data1.xml" ContentType="application/vnd.openxmlformats-officedocument.drawingml.diagramData+xml"/>
  <Override PartName="/word/diagrams/drawing2.xml" ContentType="application/vnd.ms-office.drawingml.diagramDrawing+xml"/>
  <Override PartName="/word/diagrams/colors1.xml" ContentType="application/vnd.openxmlformats-officedocument.drawingml.diagramColors+xml"/>
  <Override PartName="/word/diagrams/quickStyle1.xml" ContentType="application/vnd.openxmlformats-officedocument.drawingml.diagramStyle+xml"/>
  <Override PartName="/word/diagrams/layout1.xml" ContentType="application/vnd.openxmlformats-officedocument.drawingml.diagramLayout+xml"/>
  <Override PartName="/word/diagrams/drawing1.xml" ContentType="application/vnd.ms-office.drawingml.diagramDrawing+xml"/>
  <Override PartName="/word/diagrams/data2.xml" ContentType="application/vnd.openxmlformats-officedocument.drawingml.diagramData+xml"/>
  <Override PartName="/word/diagrams/colors2.xml" ContentType="application/vnd.openxmlformats-officedocument.drawingml.diagramColors+xml"/>
  <Override PartName="/word/diagrams/quickStyle2.xml" ContentType="application/vnd.openxmlformats-officedocument.drawingml.diagramStyle+xml"/>
  <Override PartName="/word/diagrams/layout2.xml" ContentType="application/vnd.openxmlformats-officedocument.drawingml.diagramLayout+xml"/>
  <Override PartName="/word/header2.xml" ContentType="application/vnd.openxmlformats-officedocument.wordprocessingml.header+xml"/>
  <Override PartName="/word/media/image1.png" ContentType="image/png"/>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spacing w:lineRule="auto" w:line="360"/>
        <w:jc w:val="center"/>
        <w:rPr/>
      </w:pPr>
      <w:r>
        <w:rPr>
          <w:rFonts w:eastAsia="Times New Roman" w:cs="Times New Roman" w:ascii="Times New Roman" w:hAnsi="Times New Roman"/>
          <w:b/>
          <w:sz w:val="32"/>
          <w:szCs w:val="32"/>
          <w:lang w:val="en-GB"/>
        </w:rPr>
        <w:t>H</w:t>
      </w:r>
      <w:r>
        <w:rPr>
          <w:rFonts w:eastAsia="Times New Roman" w:cs="Times New Roman" w:ascii="Times New Roman" w:hAnsi="Times New Roman"/>
          <w:b/>
          <w:sz w:val="32"/>
          <w:szCs w:val="32"/>
          <w:lang w:val="en-GB"/>
        </w:rPr>
        <w:t>UMAN RESOURCE MANAGEMENT</w:t>
      </w:r>
      <w:r>
        <w:rPr>
          <w:rFonts w:eastAsia="Times New Roman" w:cs="Times New Roman" w:ascii="Times New Roman" w:hAnsi="Times New Roman"/>
          <w:b/>
          <w:sz w:val="32"/>
          <w:szCs w:val="32"/>
          <w:lang w:val="en-GB"/>
        </w:rPr>
        <w:t xml:space="preserve"> – A</w:t>
      </w:r>
      <w:r>
        <w:rPr>
          <w:rFonts w:eastAsia="Times New Roman" w:cs="Times New Roman" w:ascii="Times New Roman" w:hAnsi="Times New Roman"/>
          <w:b/>
          <w:sz w:val="32"/>
          <w:szCs w:val="32"/>
          <w:lang w:val="en-GB"/>
        </w:rPr>
        <w:t>SSIGNMENT 2</w:t>
      </w:r>
    </w:p>
    <w:p>
      <w:pPr>
        <w:pStyle w:val="Normal1"/>
        <w:spacing w:lineRule="auto" w:line="360"/>
        <w:jc w:val="center"/>
        <w:rPr>
          <w:rFonts w:ascii="Times New Roman" w:hAnsi="Times New Roman" w:eastAsia="Times New Roman" w:cs="Times New Roman"/>
          <w:b/>
          <w:b/>
          <w:sz w:val="32"/>
          <w:szCs w:val="32"/>
          <w:lang w:val="en-GB"/>
        </w:rPr>
      </w:pPr>
      <w:r>
        <w:rPr/>
      </w:r>
    </w:p>
    <w:p>
      <w:pPr>
        <w:pStyle w:val="Normal1"/>
        <w:spacing w:lineRule="auto" w:line="360"/>
        <w:jc w:val="center"/>
        <w:rPr>
          <w:rFonts w:ascii="Times New Roman" w:hAnsi="Times New Roman" w:eastAsia="Times New Roman" w:cs="Times New Roman"/>
          <w:b/>
          <w:b/>
          <w:lang w:val="en-GB"/>
        </w:rPr>
      </w:pPr>
      <w:r>
        <w:rPr>
          <w:sz w:val="30"/>
          <w:szCs w:val="30"/>
        </w:rPr>
      </w:r>
    </w:p>
    <w:p>
      <w:pPr>
        <w:pStyle w:val="Normal1"/>
        <w:spacing w:lineRule="auto" w:line="360"/>
        <w:jc w:val="left"/>
        <w:rPr>
          <w:rFonts w:ascii="Times New Roman" w:hAnsi="Times New Roman" w:eastAsia="Times New Roman" w:cs="Times New Roman"/>
          <w:b/>
          <w:b/>
          <w:lang w:val="en-GB"/>
        </w:rPr>
      </w:pPr>
      <w:r>
        <w:rPr>
          <w:sz w:val="30"/>
          <w:szCs w:val="30"/>
        </w:rPr>
      </w:r>
    </w:p>
    <w:p>
      <w:pPr>
        <w:pStyle w:val="Normal1"/>
        <w:spacing w:lineRule="auto" w:line="360"/>
        <w:jc w:val="left"/>
        <w:rPr>
          <w:rFonts w:ascii="Times New Roman" w:hAnsi="Times New Roman" w:eastAsia="Times New Roman" w:cs="Times New Roman"/>
          <w:b/>
          <w:b/>
          <w:lang w:val="en-GB"/>
        </w:rPr>
      </w:pPr>
      <w:r>
        <w:rPr>
          <w:sz w:val="30"/>
          <w:szCs w:val="30"/>
        </w:rPr>
      </w:r>
    </w:p>
    <w:p>
      <w:pPr>
        <w:pStyle w:val="Normal1"/>
        <w:spacing w:lineRule="auto" w:line="360"/>
        <w:jc w:val="left"/>
        <w:rPr>
          <w:rFonts w:ascii="Times New Roman" w:hAnsi="Times New Roman" w:eastAsia="Times New Roman" w:cs="Times New Roman"/>
          <w:b/>
          <w:b/>
          <w:lang w:val="en-GB"/>
        </w:rPr>
      </w:pPr>
      <w:r>
        <w:rPr>
          <w:sz w:val="30"/>
          <w:szCs w:val="30"/>
        </w:rPr>
      </w:r>
    </w:p>
    <w:p>
      <w:pPr>
        <w:pStyle w:val="Normal1"/>
        <w:spacing w:lineRule="auto" w:line="360"/>
        <w:jc w:val="left"/>
        <w:rPr>
          <w:rFonts w:ascii="Times New Roman" w:hAnsi="Times New Roman" w:eastAsia="Times New Roman" w:cs="Times New Roman"/>
          <w:b/>
          <w:b/>
          <w:lang w:val="en-GB"/>
        </w:rPr>
      </w:pPr>
      <w:r>
        <w:rPr>
          <w:sz w:val="30"/>
          <w:szCs w:val="30"/>
        </w:rPr>
      </w:r>
    </w:p>
    <w:p>
      <w:pPr>
        <w:pStyle w:val="Normal1"/>
        <w:spacing w:lineRule="auto" w:line="360"/>
        <w:jc w:val="left"/>
        <w:rPr>
          <w:rFonts w:ascii="Times New Roman" w:hAnsi="Times New Roman" w:eastAsia="Times New Roman" w:cs="Times New Roman"/>
          <w:b/>
          <w:b/>
          <w:lang w:val="en-GB"/>
        </w:rPr>
      </w:pPr>
      <w:r>
        <w:rPr>
          <w:sz w:val="30"/>
          <w:szCs w:val="30"/>
        </w:rPr>
      </w:r>
    </w:p>
    <w:p>
      <w:pPr>
        <w:pStyle w:val="Normal1"/>
        <w:spacing w:lineRule="auto" w:line="360"/>
        <w:jc w:val="left"/>
        <w:rPr>
          <w:rFonts w:ascii="Times New Roman" w:hAnsi="Times New Roman" w:eastAsia="Times New Roman" w:cs="Times New Roman"/>
          <w:b/>
          <w:b/>
          <w:lang w:val="en-GB"/>
        </w:rPr>
      </w:pPr>
      <w:r>
        <w:rPr>
          <w:sz w:val="30"/>
          <w:szCs w:val="30"/>
        </w:rPr>
      </w:r>
    </w:p>
    <w:p>
      <w:pPr>
        <w:pStyle w:val="Normal1"/>
        <w:spacing w:lineRule="auto" w:line="360"/>
        <w:jc w:val="left"/>
        <w:rPr>
          <w:rFonts w:ascii="Times New Roman" w:hAnsi="Times New Roman" w:eastAsia="Times New Roman" w:cs="Times New Roman"/>
          <w:b/>
          <w:b/>
          <w:lang w:val="en-GB"/>
        </w:rPr>
      </w:pPr>
      <w:r>
        <w:rPr>
          <w:sz w:val="30"/>
          <w:szCs w:val="30"/>
        </w:rPr>
      </w:r>
    </w:p>
    <w:p>
      <w:pPr>
        <w:pStyle w:val="Normal1"/>
        <w:spacing w:lineRule="auto" w:line="360"/>
        <w:jc w:val="left"/>
        <w:rPr>
          <w:rFonts w:ascii="Times New Roman" w:hAnsi="Times New Roman" w:eastAsia="Times New Roman" w:cs="Times New Roman"/>
          <w:b/>
          <w:b/>
          <w:lang w:val="en-GB"/>
        </w:rPr>
      </w:pPr>
      <w:r>
        <w:rPr>
          <w:sz w:val="30"/>
          <w:szCs w:val="30"/>
        </w:rPr>
      </w:r>
    </w:p>
    <w:p>
      <w:pPr>
        <w:pStyle w:val="Normal1"/>
        <w:spacing w:lineRule="auto" w:line="360"/>
        <w:jc w:val="left"/>
        <w:rPr>
          <w:rFonts w:ascii="Times New Roman" w:hAnsi="Times New Roman" w:eastAsia="Times New Roman" w:cs="Times New Roman"/>
          <w:b/>
          <w:b/>
          <w:lang w:val="en-GB"/>
        </w:rPr>
      </w:pPr>
      <w:r>
        <w:rPr>
          <w:sz w:val="30"/>
          <w:szCs w:val="30"/>
        </w:rPr>
      </w:r>
    </w:p>
    <w:p>
      <w:pPr>
        <w:pStyle w:val="Normal1"/>
        <w:spacing w:lineRule="auto" w:line="360"/>
        <w:jc w:val="left"/>
        <w:rPr>
          <w:rFonts w:ascii="Times New Roman" w:hAnsi="Times New Roman" w:eastAsia="Times New Roman" w:cs="Times New Roman"/>
          <w:b/>
          <w:b/>
          <w:lang w:val="en-GB"/>
        </w:rPr>
      </w:pPr>
      <w:r>
        <w:rPr>
          <w:sz w:val="30"/>
          <w:szCs w:val="30"/>
        </w:rPr>
      </w:r>
    </w:p>
    <w:p>
      <w:pPr>
        <w:pStyle w:val="Normal1"/>
        <w:spacing w:lineRule="auto" w:line="360"/>
        <w:jc w:val="left"/>
        <w:rPr>
          <w:rFonts w:ascii="Times New Roman" w:hAnsi="Times New Roman" w:eastAsia="Times New Roman" w:cs="Times New Roman"/>
          <w:b/>
          <w:b/>
          <w:lang w:val="en-GB"/>
        </w:rPr>
      </w:pPr>
      <w:r>
        <w:rPr>
          <w:sz w:val="30"/>
          <w:szCs w:val="30"/>
        </w:rPr>
      </w:r>
    </w:p>
    <w:p>
      <w:pPr>
        <w:pStyle w:val="Normal1"/>
        <w:spacing w:lineRule="auto" w:line="360"/>
        <w:jc w:val="left"/>
        <w:rPr>
          <w:rFonts w:ascii="Times New Roman" w:hAnsi="Times New Roman" w:eastAsia="Times New Roman" w:cs="Times New Roman"/>
          <w:b/>
          <w:b/>
          <w:lang w:val="en-GB"/>
        </w:rPr>
      </w:pPr>
      <w:r>
        <w:rPr>
          <w:sz w:val="30"/>
          <w:szCs w:val="30"/>
        </w:rPr>
      </w:r>
    </w:p>
    <w:p>
      <w:pPr>
        <w:pStyle w:val="Normal1"/>
        <w:spacing w:lineRule="auto" w:line="360"/>
        <w:jc w:val="left"/>
        <w:rPr>
          <w:rFonts w:ascii="Times New Roman" w:hAnsi="Times New Roman" w:eastAsia="Times New Roman" w:cs="Times New Roman"/>
          <w:b/>
          <w:b/>
          <w:lang w:val="en-GB"/>
        </w:rPr>
      </w:pPr>
      <w:r>
        <w:rPr>
          <w:sz w:val="30"/>
          <w:szCs w:val="30"/>
        </w:rPr>
      </w:r>
    </w:p>
    <w:p>
      <w:pPr>
        <w:pStyle w:val="Normal1"/>
        <w:spacing w:lineRule="auto" w:line="360"/>
        <w:jc w:val="left"/>
        <w:rPr>
          <w:rFonts w:ascii="Times New Roman" w:hAnsi="Times New Roman" w:eastAsia="Times New Roman" w:cs="Times New Roman"/>
          <w:b/>
          <w:b/>
          <w:lang w:val="en-GB"/>
        </w:rPr>
      </w:pPr>
      <w:r>
        <w:rPr>
          <w:sz w:val="30"/>
          <w:szCs w:val="30"/>
        </w:rPr>
      </w:r>
    </w:p>
    <w:p>
      <w:pPr>
        <w:pStyle w:val="Normal1"/>
        <w:spacing w:lineRule="auto" w:line="360"/>
        <w:jc w:val="left"/>
        <w:rPr>
          <w:sz w:val="30"/>
          <w:szCs w:val="30"/>
        </w:rPr>
      </w:pPr>
      <w:r>
        <w:rPr>
          <w:rFonts w:eastAsia="Times New Roman" w:cs="Times New Roman" w:ascii="Times New Roman" w:hAnsi="Times New Roman"/>
          <w:b/>
          <w:sz w:val="30"/>
          <w:szCs w:val="30"/>
          <w:lang w:val="en-GB"/>
        </w:rPr>
        <w:t>PROGRAM: MASTERS of BUSINESS ADMINISTRATIONS (GENERAL MANAGEMENT)</w:t>
      </w:r>
    </w:p>
    <w:p>
      <w:pPr>
        <w:pStyle w:val="Normal1"/>
        <w:spacing w:lineRule="auto" w:line="360"/>
        <w:jc w:val="left"/>
        <w:rPr>
          <w:sz w:val="30"/>
          <w:szCs w:val="30"/>
        </w:rPr>
      </w:pPr>
      <w:r>
        <w:rPr>
          <w:rFonts w:eastAsia="Times New Roman" w:cs="Times New Roman" w:ascii="Times New Roman" w:hAnsi="Times New Roman"/>
          <w:b/>
          <w:sz w:val="30"/>
          <w:szCs w:val="30"/>
          <w:lang w:val="en-GB"/>
        </w:rPr>
        <w:t>MODULE: HUMAN RESOURCE MANAGEMENT</w:t>
      </w:r>
    </w:p>
    <w:p>
      <w:pPr>
        <w:pStyle w:val="Normal1"/>
        <w:spacing w:lineRule="auto" w:line="360"/>
        <w:jc w:val="left"/>
        <w:rPr>
          <w:sz w:val="30"/>
          <w:szCs w:val="30"/>
        </w:rPr>
      </w:pPr>
      <w:r>
        <w:rPr>
          <w:rFonts w:eastAsia="Times New Roman" w:cs="Times New Roman" w:ascii="Times New Roman" w:hAnsi="Times New Roman"/>
          <w:b/>
          <w:sz w:val="30"/>
          <w:szCs w:val="30"/>
          <w:lang w:val="en-GB"/>
        </w:rPr>
        <w:t>MODULE CODE: LCMB700</w:t>
      </w:r>
    </w:p>
    <w:p>
      <w:pPr>
        <w:pStyle w:val="Normal1"/>
        <w:spacing w:lineRule="auto" w:line="360"/>
        <w:jc w:val="left"/>
        <w:rPr>
          <w:sz w:val="30"/>
          <w:szCs w:val="30"/>
        </w:rPr>
      </w:pPr>
      <w:r>
        <w:rPr>
          <w:rFonts w:eastAsia="Times New Roman" w:cs="Times New Roman" w:ascii="Times New Roman" w:hAnsi="Times New Roman"/>
          <w:b/>
          <w:sz w:val="30"/>
          <w:szCs w:val="30"/>
          <w:lang w:val="en-GB"/>
        </w:rPr>
        <w:t>ASSIGNMENT TITLE: HUMAN RESOURCE ASSIGNMENT 2</w:t>
      </w:r>
    </w:p>
    <w:p>
      <w:pPr>
        <w:pStyle w:val="Normal1"/>
        <w:spacing w:lineRule="auto" w:line="360"/>
        <w:jc w:val="left"/>
        <w:rPr>
          <w:sz w:val="30"/>
          <w:szCs w:val="30"/>
        </w:rPr>
      </w:pPr>
      <w:r>
        <w:rPr>
          <w:rFonts w:eastAsia="Times New Roman" w:cs="Times New Roman" w:ascii="Times New Roman" w:hAnsi="Times New Roman"/>
          <w:b/>
          <w:sz w:val="30"/>
          <w:szCs w:val="30"/>
          <w:lang w:val="en-GB"/>
        </w:rPr>
        <w:t>STUDENT NAME: GEETANJALI SINGH</w:t>
      </w:r>
    </w:p>
    <w:p>
      <w:pPr>
        <w:pStyle w:val="Normal1"/>
        <w:spacing w:lineRule="auto" w:line="360"/>
        <w:jc w:val="left"/>
        <w:rPr>
          <w:sz w:val="30"/>
          <w:szCs w:val="30"/>
        </w:rPr>
      </w:pPr>
      <w:r>
        <w:rPr>
          <w:rFonts w:eastAsia="Times New Roman" w:cs="Times New Roman" w:ascii="Times New Roman" w:hAnsi="Times New Roman"/>
          <w:b/>
          <w:sz w:val="30"/>
          <w:szCs w:val="30"/>
          <w:lang w:val="en-GB"/>
        </w:rPr>
        <w:t>STUDENT NUMBER: 2127364</w:t>
      </w:r>
    </w:p>
    <w:p>
      <w:pPr>
        <w:pStyle w:val="Normal1"/>
        <w:spacing w:lineRule="auto" w:line="360"/>
        <w:jc w:val="left"/>
        <w:rPr>
          <w:sz w:val="30"/>
          <w:szCs w:val="30"/>
        </w:rPr>
      </w:pPr>
      <w:r>
        <w:rPr>
          <w:rFonts w:eastAsia="Times New Roman" w:cs="Times New Roman" w:ascii="Times New Roman" w:hAnsi="Times New Roman"/>
          <w:b/>
          <w:sz w:val="30"/>
          <w:szCs w:val="30"/>
          <w:lang w:val="en-GB"/>
        </w:rPr>
        <w:t>LECTURER NAME: GLADIUS KULOTHUNGAN</w:t>
      </w:r>
    </w:p>
    <w:p>
      <w:pPr>
        <w:pStyle w:val="Normal"/>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r>
      <w:bookmarkStart w:id="0" w:name="_GoBack"/>
      <w:bookmarkStart w:id="1" w:name="_GoBack"/>
      <w:bookmarkEnd w:id="1"/>
    </w:p>
    <w:sdt>
      <w:sdtPr>
        <w:docPartObj>
          <w:docPartGallery w:val="Table of Contents"/>
          <w:docPartUnique w:val="true"/>
        </w:docPartObj>
      </w:sdtPr>
      <w:sdtContent>
        <w:p>
          <w:pPr>
            <w:pStyle w:val="TOCHeading"/>
            <w:jc w:val="center"/>
            <w:rPr>
              <w:rFonts w:ascii="Times New Roman" w:hAnsi="Times New Roman" w:cs="Times New Roman"/>
              <w:sz w:val="24"/>
              <w:szCs w:val="24"/>
            </w:rPr>
          </w:pPr>
          <w:r>
            <w:rPr>
              <w:rFonts w:cs="Times New Roman" w:ascii="Times New Roman" w:hAnsi="Times New Roman"/>
              <w:color w:val="000000" w:themeColor="text1"/>
              <w:sz w:val="24"/>
              <w:szCs w:val="24"/>
              <w14:textFill>
                <w14:solidFill>
                  <w14:schemeClr w14:val="tx1"/>
                </w14:solidFill>
              </w14:textFill>
            </w:rPr>
            <w:t>Table of Contents</w:t>
          </w:r>
        </w:p>
        <w:p>
          <w:pPr>
            <w:pStyle w:val="Contents1"/>
            <w:tabs>
              <w:tab w:val="clear" w:pos="720"/>
              <w:tab w:val="right" w:pos="9019" w:leader="dot"/>
            </w:tabs>
            <w:spacing w:lineRule="auto" w:line="360"/>
            <w:jc w:val="both"/>
            <w:rPr>
              <w:rFonts w:ascii="Times New Roman" w:hAnsi="Times New Roman" w:eastAsia="宋体" w:cs="Times New Roman" w:eastAsiaTheme="minorEastAsia"/>
              <w:sz w:val="24"/>
              <w:szCs w:val="24"/>
              <w:lang w:val="en-IN" w:eastAsia="en-IN"/>
            </w:rPr>
          </w:pPr>
          <w:r>
            <w:fldChar w:fldCharType="begin"/>
          </w:r>
          <w:r>
            <w:rPr>
              <w:webHidden/>
              <w:rStyle w:val="IndexLink"/>
              <w:sz w:val="24"/>
              <w:szCs w:val="24"/>
              <w:rFonts w:cs="Times New Roman" w:ascii="Times New Roman" w:hAnsi="Times New Roman"/>
            </w:rPr>
            <w:instrText> TOC \z \o "1-3" \u \h</w:instrText>
          </w:r>
          <w:r>
            <w:rPr>
              <w:webHidden/>
              <w:rStyle w:val="IndexLink"/>
              <w:sz w:val="24"/>
              <w:szCs w:val="24"/>
              <w:rFonts w:cs="Times New Roman" w:ascii="Times New Roman" w:hAnsi="Times New Roman"/>
            </w:rPr>
            <w:fldChar w:fldCharType="separate"/>
          </w:r>
          <w:hyperlink w:anchor="_Toc112345181">
            <w:r>
              <w:rPr>
                <w:webHidden/>
              </w:rPr>
              <w:fldChar w:fldCharType="begin"/>
            </w:r>
            <w:r>
              <w:rPr>
                <w:webHidden/>
              </w:rPr>
              <w:instrText>PAGEREF _Toc112345181 \h</w:instrText>
            </w:r>
            <w:r>
              <w:rPr>
                <w:webHidden/>
              </w:rPr>
              <w:fldChar w:fldCharType="separate"/>
            </w:r>
            <w:r>
              <w:rPr>
                <w:webHidden/>
                <w:rStyle w:val="IndexLink"/>
                <w:rFonts w:cs="Times New Roman" w:ascii="Times New Roman" w:hAnsi="Times New Roman"/>
                <w:sz w:val="24"/>
                <w:szCs w:val="24"/>
              </w:rPr>
              <w:t>Introduction</w:t>
              <w:tab/>
              <w:t>3</w:t>
            </w:r>
            <w:r>
              <w:rPr>
                <w:webHidden/>
              </w:rPr>
              <w:fldChar w:fldCharType="end"/>
            </w:r>
          </w:hyperlink>
        </w:p>
        <w:p>
          <w:pPr>
            <w:pStyle w:val="Contents1"/>
            <w:tabs>
              <w:tab w:val="clear" w:pos="720"/>
              <w:tab w:val="right" w:pos="9019" w:leader="dot"/>
            </w:tabs>
            <w:spacing w:lineRule="auto" w:line="360"/>
            <w:jc w:val="both"/>
            <w:rPr>
              <w:rFonts w:ascii="Times New Roman" w:hAnsi="Times New Roman" w:eastAsia="宋体" w:cs="Times New Roman" w:eastAsiaTheme="minorEastAsia"/>
              <w:sz w:val="24"/>
              <w:szCs w:val="24"/>
              <w:lang w:val="en-IN" w:eastAsia="en-IN"/>
            </w:rPr>
          </w:pPr>
          <w:hyperlink w:anchor="_Toc112345182">
            <w:r>
              <w:rPr>
                <w:webHidden/>
              </w:rPr>
              <w:fldChar w:fldCharType="begin"/>
            </w:r>
            <w:r>
              <w:rPr>
                <w:webHidden/>
              </w:rPr>
              <w:instrText>PAGEREF _Toc112345182 \h</w:instrText>
            </w:r>
            <w:r>
              <w:rPr>
                <w:webHidden/>
              </w:rPr>
              <w:fldChar w:fldCharType="separate"/>
            </w:r>
            <w:r>
              <w:rPr>
                <w:webHidden/>
                <w:rStyle w:val="IndexLink"/>
                <w:rFonts w:cs="Times New Roman" w:ascii="Times New Roman" w:hAnsi="Times New Roman"/>
                <w:sz w:val="24"/>
                <w:szCs w:val="24"/>
              </w:rPr>
              <w:t>1. Human Resource Strategies to deploy in different areas</w:t>
              <w:tab/>
              <w:t>3</w:t>
            </w:r>
            <w:r>
              <w:rPr>
                <w:webHidden/>
              </w:rPr>
              <w:fldChar w:fldCharType="end"/>
            </w:r>
          </w:hyperlink>
        </w:p>
        <w:p>
          <w:pPr>
            <w:pStyle w:val="Contents2"/>
            <w:tabs>
              <w:tab w:val="clear" w:pos="720"/>
              <w:tab w:val="right" w:pos="9019" w:leader="dot"/>
            </w:tabs>
            <w:spacing w:lineRule="auto" w:line="360"/>
            <w:jc w:val="both"/>
            <w:rPr>
              <w:rFonts w:ascii="Times New Roman" w:hAnsi="Times New Roman" w:eastAsia="宋体" w:cs="Times New Roman" w:eastAsiaTheme="minorEastAsia"/>
              <w:sz w:val="24"/>
              <w:szCs w:val="24"/>
              <w:lang w:val="en-IN" w:eastAsia="en-IN"/>
            </w:rPr>
          </w:pPr>
          <w:hyperlink w:anchor="_Toc112345183">
            <w:r>
              <w:rPr>
                <w:webHidden/>
              </w:rPr>
              <w:fldChar w:fldCharType="begin"/>
            </w:r>
            <w:r>
              <w:rPr>
                <w:webHidden/>
              </w:rPr>
              <w:instrText>PAGEREF _Toc112345183 \h</w:instrText>
            </w:r>
            <w:r>
              <w:rPr>
                <w:webHidden/>
              </w:rPr>
              <w:fldChar w:fldCharType="separate"/>
            </w:r>
            <w:r>
              <w:rPr>
                <w:webHidden/>
                <w:rStyle w:val="IndexLink"/>
                <w:rFonts w:cs="Times New Roman" w:ascii="Times New Roman" w:hAnsi="Times New Roman"/>
                <w:sz w:val="24"/>
                <w:szCs w:val="24"/>
              </w:rPr>
              <w:t>Overview of the organisation and challenges</w:t>
              <w:tab/>
              <w:t>3</w:t>
            </w:r>
            <w:r>
              <w:rPr>
                <w:webHidden/>
              </w:rPr>
              <w:fldChar w:fldCharType="end"/>
            </w:r>
          </w:hyperlink>
        </w:p>
        <w:p>
          <w:pPr>
            <w:pStyle w:val="Contents1"/>
            <w:tabs>
              <w:tab w:val="clear" w:pos="720"/>
              <w:tab w:val="right" w:pos="9019" w:leader="dot"/>
            </w:tabs>
            <w:spacing w:lineRule="auto" w:line="360"/>
            <w:jc w:val="both"/>
            <w:rPr>
              <w:rFonts w:ascii="Times New Roman" w:hAnsi="Times New Roman" w:eastAsia="宋体" w:cs="Times New Roman" w:eastAsiaTheme="minorEastAsia"/>
              <w:sz w:val="24"/>
              <w:szCs w:val="24"/>
              <w:lang w:val="en-IN" w:eastAsia="en-IN"/>
            </w:rPr>
          </w:pPr>
          <w:hyperlink w:anchor="_Toc112345184">
            <w:r>
              <w:rPr>
                <w:webHidden/>
              </w:rPr>
              <w:fldChar w:fldCharType="begin"/>
            </w:r>
            <w:r>
              <w:rPr>
                <w:webHidden/>
              </w:rPr>
              <w:instrText>PAGEREF _Toc112345184 \h</w:instrText>
            </w:r>
            <w:r>
              <w:rPr>
                <w:webHidden/>
              </w:rPr>
              <w:fldChar w:fldCharType="separate"/>
            </w:r>
            <w:r>
              <w:rPr>
                <w:webHidden/>
                <w:rStyle w:val="IndexLink"/>
                <w:rFonts w:cs="Times New Roman" w:ascii="Times New Roman" w:hAnsi="Times New Roman"/>
                <w:sz w:val="24"/>
                <w:szCs w:val="24"/>
              </w:rPr>
              <w:t>2. Strategies that make team members valued and appreciated and develop a sense of belonging within organisation</w:t>
              <w:tab/>
              <w:t>4</w:t>
            </w:r>
            <w:r>
              <w:rPr>
                <w:webHidden/>
              </w:rPr>
              <w:fldChar w:fldCharType="end"/>
            </w:r>
          </w:hyperlink>
        </w:p>
        <w:p>
          <w:pPr>
            <w:pStyle w:val="Contents2"/>
            <w:tabs>
              <w:tab w:val="clear" w:pos="720"/>
              <w:tab w:val="right" w:pos="9019" w:leader="dot"/>
            </w:tabs>
            <w:spacing w:lineRule="auto" w:line="360"/>
            <w:jc w:val="both"/>
            <w:rPr>
              <w:rFonts w:ascii="Times New Roman" w:hAnsi="Times New Roman" w:eastAsia="宋体" w:cs="Times New Roman" w:eastAsiaTheme="minorEastAsia"/>
              <w:sz w:val="24"/>
              <w:szCs w:val="24"/>
              <w:lang w:val="en-IN" w:eastAsia="en-IN"/>
            </w:rPr>
          </w:pPr>
          <w:hyperlink w:anchor="_Toc112345185">
            <w:r>
              <w:rPr>
                <w:webHidden/>
              </w:rPr>
              <w:fldChar w:fldCharType="begin"/>
            </w:r>
            <w:r>
              <w:rPr>
                <w:webHidden/>
              </w:rPr>
              <w:instrText>PAGEREF _Toc112345185 \h</w:instrText>
            </w:r>
            <w:r>
              <w:rPr>
                <w:webHidden/>
              </w:rPr>
              <w:fldChar w:fldCharType="separate"/>
            </w:r>
            <w:r>
              <w:rPr>
                <w:webHidden/>
                <w:rStyle w:val="IndexLink"/>
                <w:rFonts w:cs="Times New Roman" w:ascii="Times New Roman" w:hAnsi="Times New Roman"/>
                <w:sz w:val="24"/>
                <w:szCs w:val="24"/>
              </w:rPr>
              <w:t>Kotter's Eight Steps to Change</w:t>
              <w:tab/>
              <w:t>4</w:t>
            </w:r>
            <w:r>
              <w:rPr>
                <w:webHidden/>
              </w:rPr>
              <w:fldChar w:fldCharType="end"/>
            </w:r>
          </w:hyperlink>
        </w:p>
        <w:p>
          <w:pPr>
            <w:pStyle w:val="Contents1"/>
            <w:tabs>
              <w:tab w:val="clear" w:pos="720"/>
              <w:tab w:val="right" w:pos="9019" w:leader="dot"/>
            </w:tabs>
            <w:spacing w:lineRule="auto" w:line="360"/>
            <w:jc w:val="both"/>
            <w:rPr>
              <w:rFonts w:ascii="Times New Roman" w:hAnsi="Times New Roman" w:eastAsia="宋体" w:cs="Times New Roman" w:eastAsiaTheme="minorEastAsia"/>
              <w:sz w:val="24"/>
              <w:szCs w:val="24"/>
              <w:lang w:val="en-IN" w:eastAsia="en-IN"/>
            </w:rPr>
          </w:pPr>
          <w:hyperlink w:anchor="_Toc112345186">
            <w:r>
              <w:rPr>
                <w:webHidden/>
              </w:rPr>
              <w:fldChar w:fldCharType="begin"/>
            </w:r>
            <w:r>
              <w:rPr>
                <w:webHidden/>
              </w:rPr>
              <w:instrText>PAGEREF _Toc112345186 \h</w:instrText>
            </w:r>
            <w:r>
              <w:rPr>
                <w:webHidden/>
              </w:rPr>
              <w:fldChar w:fldCharType="separate"/>
            </w:r>
            <w:r>
              <w:rPr>
                <w:webHidden/>
                <w:rStyle w:val="IndexLink"/>
                <w:rFonts w:cs="Times New Roman" w:ascii="Times New Roman" w:hAnsi="Times New Roman"/>
                <w:sz w:val="24"/>
                <w:szCs w:val="24"/>
              </w:rPr>
              <w:t>3. A critical appreciation of the principles, models and concepts of current HRM and IHRM theories</w:t>
              <w:tab/>
              <w:t>6</w:t>
            </w:r>
            <w:r>
              <w:rPr>
                <w:webHidden/>
              </w:rPr>
              <w:fldChar w:fldCharType="end"/>
            </w:r>
          </w:hyperlink>
        </w:p>
        <w:p>
          <w:pPr>
            <w:pStyle w:val="Contents2"/>
            <w:tabs>
              <w:tab w:val="clear" w:pos="720"/>
              <w:tab w:val="right" w:pos="9019" w:leader="dot"/>
            </w:tabs>
            <w:spacing w:lineRule="auto" w:line="360"/>
            <w:jc w:val="both"/>
            <w:rPr>
              <w:rFonts w:ascii="Times New Roman" w:hAnsi="Times New Roman" w:eastAsia="宋体" w:cs="Times New Roman" w:eastAsiaTheme="minorEastAsia"/>
              <w:sz w:val="24"/>
              <w:szCs w:val="24"/>
              <w:lang w:val="en-IN" w:eastAsia="en-IN"/>
            </w:rPr>
          </w:pPr>
          <w:hyperlink w:anchor="_Toc112345187">
            <w:r>
              <w:rPr>
                <w:webHidden/>
              </w:rPr>
              <w:fldChar w:fldCharType="begin"/>
            </w:r>
            <w:r>
              <w:rPr>
                <w:webHidden/>
              </w:rPr>
              <w:instrText>PAGEREF _Toc112345187 \h</w:instrText>
            </w:r>
            <w:r>
              <w:rPr>
                <w:webHidden/>
              </w:rPr>
              <w:fldChar w:fldCharType="separate"/>
            </w:r>
            <w:r>
              <w:rPr>
                <w:webHidden/>
                <w:rStyle w:val="IndexLink"/>
                <w:rFonts w:cs="Times New Roman" w:ascii="Times New Roman" w:hAnsi="Times New Roman"/>
                <w:sz w:val="24"/>
                <w:szCs w:val="24"/>
              </w:rPr>
              <w:t>HR metrics for recruitment</w:t>
              <w:tab/>
              <w:t>6</w:t>
            </w:r>
            <w:r>
              <w:rPr>
                <w:webHidden/>
              </w:rPr>
              <w:fldChar w:fldCharType="end"/>
            </w:r>
          </w:hyperlink>
        </w:p>
        <w:p>
          <w:pPr>
            <w:pStyle w:val="Contents2"/>
            <w:tabs>
              <w:tab w:val="clear" w:pos="720"/>
              <w:tab w:val="right" w:pos="9019" w:leader="dot"/>
            </w:tabs>
            <w:spacing w:lineRule="auto" w:line="360"/>
            <w:jc w:val="both"/>
            <w:rPr>
              <w:rFonts w:ascii="Times New Roman" w:hAnsi="Times New Roman" w:eastAsia="宋体" w:cs="Times New Roman" w:eastAsiaTheme="minorEastAsia"/>
              <w:sz w:val="24"/>
              <w:szCs w:val="24"/>
              <w:lang w:val="en-IN" w:eastAsia="en-IN"/>
            </w:rPr>
          </w:pPr>
          <w:hyperlink w:anchor="_Toc112345188">
            <w:r>
              <w:rPr>
                <w:webHidden/>
              </w:rPr>
              <w:fldChar w:fldCharType="begin"/>
            </w:r>
            <w:r>
              <w:rPr>
                <w:webHidden/>
              </w:rPr>
              <w:instrText>PAGEREF _Toc112345188 \h</w:instrText>
            </w:r>
            <w:r>
              <w:rPr>
                <w:webHidden/>
              </w:rPr>
              <w:fldChar w:fldCharType="separate"/>
            </w:r>
            <w:r>
              <w:rPr>
                <w:webHidden/>
                <w:rStyle w:val="IndexLink"/>
                <w:rFonts w:cs="Times New Roman" w:ascii="Times New Roman" w:hAnsi="Times New Roman"/>
                <w:sz w:val="24"/>
                <w:szCs w:val="24"/>
              </w:rPr>
              <w:t>Challenges regarding applying HR metrics</w:t>
              <w:tab/>
              <w:t>8</w:t>
            </w:r>
            <w:r>
              <w:rPr>
                <w:webHidden/>
              </w:rPr>
              <w:fldChar w:fldCharType="end"/>
            </w:r>
          </w:hyperlink>
        </w:p>
        <w:p>
          <w:pPr>
            <w:pStyle w:val="Contents2"/>
            <w:tabs>
              <w:tab w:val="clear" w:pos="720"/>
              <w:tab w:val="right" w:pos="9019" w:leader="dot"/>
            </w:tabs>
            <w:spacing w:lineRule="auto" w:line="360"/>
            <w:jc w:val="both"/>
            <w:rPr>
              <w:rFonts w:ascii="Times New Roman" w:hAnsi="Times New Roman" w:eastAsia="宋体" w:cs="Times New Roman" w:eastAsiaTheme="minorEastAsia"/>
              <w:sz w:val="24"/>
              <w:szCs w:val="24"/>
              <w:lang w:val="en-IN" w:eastAsia="en-IN"/>
            </w:rPr>
          </w:pPr>
          <w:hyperlink w:anchor="_Toc112345189">
            <w:r>
              <w:rPr>
                <w:webHidden/>
              </w:rPr>
              <w:fldChar w:fldCharType="begin"/>
            </w:r>
            <w:r>
              <w:rPr>
                <w:webHidden/>
              </w:rPr>
              <w:instrText>PAGEREF _Toc112345189 \h</w:instrText>
            </w:r>
            <w:r>
              <w:rPr>
                <w:webHidden/>
              </w:rPr>
              <w:fldChar w:fldCharType="separate"/>
            </w:r>
            <w:r>
              <w:rPr>
                <w:webHidden/>
                <w:rStyle w:val="IndexLink"/>
                <w:rFonts w:cs="Times New Roman" w:ascii="Times New Roman" w:hAnsi="Times New Roman"/>
                <w:sz w:val="24"/>
                <w:szCs w:val="24"/>
              </w:rPr>
              <w:t>Application of HR metrics in Vodafone</w:t>
              <w:tab/>
              <w:t>8</w:t>
            </w:r>
            <w:r>
              <w:rPr>
                <w:webHidden/>
              </w:rPr>
              <w:fldChar w:fldCharType="end"/>
            </w:r>
          </w:hyperlink>
        </w:p>
        <w:p>
          <w:pPr>
            <w:pStyle w:val="Contents2"/>
            <w:tabs>
              <w:tab w:val="clear" w:pos="720"/>
              <w:tab w:val="right" w:pos="9019" w:leader="dot"/>
            </w:tabs>
            <w:spacing w:lineRule="auto" w:line="360"/>
            <w:jc w:val="both"/>
            <w:rPr>
              <w:rFonts w:ascii="Times New Roman" w:hAnsi="Times New Roman" w:eastAsia="宋体" w:cs="Times New Roman" w:eastAsiaTheme="minorEastAsia"/>
              <w:sz w:val="24"/>
              <w:szCs w:val="24"/>
              <w:lang w:val="en-IN" w:eastAsia="en-IN"/>
            </w:rPr>
          </w:pPr>
          <w:hyperlink w:anchor="_Toc112345190">
            <w:r>
              <w:rPr>
                <w:webHidden/>
              </w:rPr>
              <w:fldChar w:fldCharType="begin"/>
            </w:r>
            <w:r>
              <w:rPr>
                <w:webHidden/>
              </w:rPr>
              <w:instrText>PAGEREF _Toc112345190 \h</w:instrText>
            </w:r>
            <w:r>
              <w:rPr>
                <w:webHidden/>
              </w:rPr>
              <w:fldChar w:fldCharType="separate"/>
            </w:r>
            <w:r>
              <w:rPr>
                <w:webHidden/>
                <w:rStyle w:val="IndexLink"/>
                <w:rFonts w:cs="Times New Roman" w:ascii="Times New Roman" w:hAnsi="Times New Roman"/>
                <w:sz w:val="24"/>
                <w:szCs w:val="24"/>
              </w:rPr>
              <w:t>Expectancy theory of compensation</w:t>
              <w:tab/>
              <w:t>9</w:t>
            </w:r>
            <w:r>
              <w:rPr>
                <w:webHidden/>
              </w:rPr>
              <w:fldChar w:fldCharType="end"/>
            </w:r>
          </w:hyperlink>
        </w:p>
        <w:p>
          <w:pPr>
            <w:pStyle w:val="Contents2"/>
            <w:tabs>
              <w:tab w:val="clear" w:pos="720"/>
              <w:tab w:val="right" w:pos="9019" w:leader="dot"/>
            </w:tabs>
            <w:spacing w:lineRule="auto" w:line="360"/>
            <w:jc w:val="both"/>
            <w:rPr>
              <w:rFonts w:ascii="Times New Roman" w:hAnsi="Times New Roman" w:eastAsia="宋体" w:cs="Times New Roman" w:eastAsiaTheme="minorEastAsia"/>
              <w:sz w:val="24"/>
              <w:szCs w:val="24"/>
              <w:lang w:val="en-IN" w:eastAsia="en-IN"/>
            </w:rPr>
          </w:pPr>
          <w:hyperlink w:anchor="_Toc112345191">
            <w:r>
              <w:rPr>
                <w:webHidden/>
              </w:rPr>
              <w:fldChar w:fldCharType="begin"/>
            </w:r>
            <w:r>
              <w:rPr>
                <w:webHidden/>
              </w:rPr>
              <w:instrText>PAGEREF _Toc112345191 \h</w:instrText>
            </w:r>
            <w:r>
              <w:rPr>
                <w:webHidden/>
              </w:rPr>
              <w:fldChar w:fldCharType="separate"/>
            </w:r>
            <w:r>
              <w:rPr>
                <w:webHidden/>
                <w:rStyle w:val="IndexLink"/>
                <w:rFonts w:cs="Times New Roman" w:ascii="Times New Roman" w:hAnsi="Times New Roman"/>
                <w:sz w:val="24"/>
                <w:szCs w:val="24"/>
              </w:rPr>
              <w:t>Recommendation</w:t>
              <w:tab/>
              <w:t>10</w:t>
            </w:r>
            <w:r>
              <w:rPr>
                <w:webHidden/>
              </w:rPr>
              <w:fldChar w:fldCharType="end"/>
            </w:r>
          </w:hyperlink>
        </w:p>
        <w:p>
          <w:pPr>
            <w:pStyle w:val="Contents1"/>
            <w:tabs>
              <w:tab w:val="clear" w:pos="720"/>
              <w:tab w:val="right" w:pos="9019" w:leader="dot"/>
            </w:tabs>
            <w:spacing w:lineRule="auto" w:line="360"/>
            <w:jc w:val="both"/>
            <w:rPr>
              <w:rFonts w:ascii="Times New Roman" w:hAnsi="Times New Roman" w:eastAsia="宋体" w:cs="Times New Roman" w:eastAsiaTheme="minorEastAsia"/>
              <w:sz w:val="24"/>
              <w:szCs w:val="24"/>
              <w:lang w:val="en-IN" w:eastAsia="en-IN"/>
            </w:rPr>
          </w:pPr>
          <w:hyperlink w:anchor="_Toc112345192">
            <w:r>
              <w:rPr>
                <w:webHidden/>
              </w:rPr>
              <w:fldChar w:fldCharType="begin"/>
            </w:r>
            <w:r>
              <w:rPr>
                <w:webHidden/>
              </w:rPr>
              <w:instrText>PAGEREF _Toc112345192 \h</w:instrText>
            </w:r>
            <w:r>
              <w:rPr>
                <w:webHidden/>
              </w:rPr>
              <w:fldChar w:fldCharType="separate"/>
            </w:r>
            <w:r>
              <w:rPr>
                <w:webHidden/>
                <w:rStyle w:val="IndexLink"/>
                <w:rFonts w:cs="Times New Roman" w:ascii="Times New Roman" w:hAnsi="Times New Roman"/>
                <w:sz w:val="24"/>
                <w:szCs w:val="24"/>
              </w:rPr>
              <w:t>Conclusion</w:t>
              <w:tab/>
              <w:t>10</w:t>
            </w:r>
            <w:r>
              <w:rPr>
                <w:webHidden/>
              </w:rPr>
              <w:fldChar w:fldCharType="end"/>
            </w:r>
          </w:hyperlink>
        </w:p>
        <w:p>
          <w:pPr>
            <w:pStyle w:val="Contents1"/>
            <w:tabs>
              <w:tab w:val="clear" w:pos="720"/>
              <w:tab w:val="right" w:pos="9019" w:leader="dot"/>
            </w:tabs>
            <w:spacing w:lineRule="auto" w:line="360"/>
            <w:jc w:val="both"/>
            <w:rPr>
              <w:rFonts w:ascii="Times New Roman" w:hAnsi="Times New Roman" w:eastAsia="宋体" w:cs="Times New Roman" w:eastAsiaTheme="minorEastAsia"/>
              <w:sz w:val="24"/>
              <w:szCs w:val="24"/>
              <w:lang w:val="en-IN" w:eastAsia="en-IN"/>
            </w:rPr>
          </w:pPr>
          <w:hyperlink w:anchor="_Toc112345193">
            <w:r>
              <w:rPr>
                <w:webHidden/>
                <w:rStyle w:val="IndexLink"/>
                <w:rFonts w:cs="Times New Roman" w:ascii="Times New Roman" w:hAnsi="Times New Roman"/>
                <w:sz w:val="24"/>
                <w:szCs w:val="24"/>
                <w:highlight w:val="white"/>
              </w:rPr>
              <w:t>References</w:t>
            </w:r>
            <w:r>
              <w:rPr>
                <w:webHidden/>
              </w:rPr>
              <w:fldChar w:fldCharType="begin"/>
            </w:r>
            <w:r>
              <w:rPr>
                <w:webHidden/>
              </w:rPr>
              <w:instrText>PAGEREF _Toc112345193 \h</w:instrText>
            </w:r>
            <w:r>
              <w:rPr>
                <w:webHidden/>
              </w:rPr>
              <w:fldChar w:fldCharType="separate"/>
            </w:r>
            <w:r>
              <w:rPr>
                <w:rStyle w:val="IndexLink"/>
                <w:rFonts w:cs="Times New Roman" w:ascii="Times New Roman" w:hAnsi="Times New Roman"/>
                <w:sz w:val="24"/>
                <w:szCs w:val="24"/>
              </w:rPr>
              <w:tab/>
              <w:t>11</w:t>
            </w:r>
            <w:r>
              <w:rPr>
                <w:webHidden/>
              </w:rPr>
              <w:fldChar w:fldCharType="end"/>
            </w:r>
          </w:hyperlink>
        </w:p>
        <w:p>
          <w:pPr>
            <w:pStyle w:val="Normal"/>
            <w:rPr>
              <w:rFonts w:ascii="Times New Roman" w:hAnsi="Times New Roman" w:cs="Times New Roman"/>
              <w:sz w:val="24"/>
              <w:szCs w:val="24"/>
            </w:rPr>
          </w:pPr>
          <w:r>
            <w:rPr>
              <w:rFonts w:cs="Times New Roman" w:ascii="Times New Roman" w:hAnsi="Times New Roman"/>
              <w:sz w:val="24"/>
              <w:szCs w:val="24"/>
            </w:rPr>
          </w:r>
          <w:r>
            <w:rPr>
              <w:sz w:val="24"/>
              <w:szCs w:val="24"/>
              <w:rFonts w:cs="Times New Roman" w:ascii="Times New Roman" w:hAnsi="Times New Roman"/>
            </w:rPr>
            <w:fldChar w:fldCharType="end"/>
          </w:r>
        </w:p>
      </w:sdtContent>
    </w:sdt>
    <w:p>
      <w:pPr>
        <w:pStyle w:val="Heading1"/>
        <w:rPr>
          <w:sz w:val="24"/>
          <w:szCs w:val="24"/>
        </w:rPr>
      </w:pPr>
      <w:r>
        <w:rPr>
          <w:sz w:val="24"/>
          <w:szCs w:val="24"/>
        </w:rPr>
      </w:r>
    </w:p>
    <w:p>
      <w:pPr>
        <w:pStyle w:val="Normal"/>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r>
      <w:r>
        <w:br w:type="page"/>
      </w:r>
    </w:p>
    <w:p>
      <w:pPr>
        <w:pStyle w:val="Heading1"/>
        <w:rPr/>
      </w:pPr>
      <w:bookmarkStart w:id="2" w:name="_Toc112345181"/>
      <w:r>
        <w:rPr/>
        <w:t>Introduction</w:t>
      </w:r>
      <w:bookmarkEnd w:id="2"/>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The core purpose of the report is to identify the HR issues and recommend effective strategies to mitigate the issues. In this report, Vodafone is selected as it is facing human resource issues in its internal workplace, which negatively impact the organisation's productivity. The study emphasises Korter's eight-step model to embrace change management and improve the organisation's performance for better organisation's performance. Finally, the expectancy theory of compensation has been depicted to identify the challenges of each employee and recommend a suitable strategy to mitigate HR-related issues. </w:t>
      </w:r>
    </w:p>
    <w:p>
      <w:pPr>
        <w:pStyle w:val="Heading1"/>
        <w:rPr/>
      </w:pPr>
      <w:bookmarkStart w:id="3" w:name="_Toc112345182"/>
      <w:r>
        <w:rPr/>
        <w:t>1. Human Resource Strategies to deploy in different areas</w:t>
      </w:r>
      <w:bookmarkEnd w:id="3"/>
    </w:p>
    <w:p>
      <w:pPr>
        <w:pStyle w:val="Heading2"/>
        <w:rPr/>
      </w:pPr>
      <w:bookmarkStart w:id="4" w:name="_Toc112345183"/>
      <w:r>
        <w:rPr/>
        <w:t>Overview of the organisation and challenges</w:t>
      </w:r>
      <w:bookmarkEnd w:id="4"/>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Vodafone is a UK-based telecommunication service provider and a leading company in international telecommunications (</w:t>
      </w:r>
      <w:r>
        <w:rPr>
          <w:rFonts w:eastAsia="Times New Roman" w:cs="Times New Roman" w:ascii="Times New Roman" w:hAnsi="Times New Roman"/>
          <w:sz w:val="24"/>
          <w:szCs w:val="24"/>
          <w:highlight w:val="white"/>
          <w:lang w:val="en-GB"/>
        </w:rPr>
        <w:t>Vodafone.com, 2022</w:t>
      </w:r>
      <w:r>
        <w:rPr>
          <w:rFonts w:eastAsia="Times New Roman" w:cs="Times New Roman" w:ascii="Times New Roman" w:hAnsi="Times New Roman"/>
          <w:sz w:val="24"/>
          <w:szCs w:val="24"/>
          <w:lang w:val="en-GB"/>
        </w:rPr>
        <w:t>). The organisation is doing business in different markets to capture the international telecommunication market. Vodafone is spread in 22 countries. The company is listed on the London stock exchange and is also a member of the FTSE 100 index. Vodafone earned 43 billion euros in 2021, which turned the organisation into the top listed company in the UK (</w:t>
      </w:r>
      <w:r>
        <w:rPr>
          <w:rFonts w:eastAsia="Times New Roman" w:cs="Times New Roman" w:ascii="Times New Roman" w:hAnsi="Times New Roman"/>
          <w:sz w:val="24"/>
          <w:szCs w:val="24"/>
          <w:highlight w:val="white"/>
          <w:lang w:val="en-GB"/>
        </w:rPr>
        <w:t>Vodafone.com, 2022</w:t>
      </w:r>
      <w:r>
        <w:rPr>
          <w:rFonts w:eastAsia="Times New Roman" w:cs="Times New Roman" w:ascii="Times New Roman" w:hAnsi="Times New Roman"/>
          <w:sz w:val="24"/>
          <w:szCs w:val="24"/>
          <w:lang w:val="en-GB"/>
        </w:rPr>
        <w:t xml:space="preserve">).   As the organisation is targeting the international market, Vodafone is facing issues in maintaining a diversified work culture. Due to the poor internal organisational culture, the company is unable to frame an effective strategy to achieve its mission and vision. </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The change management approach enables businesses to impose suitable strategies to achieve long-term goals in an organised manner (</w:t>
      </w:r>
      <w:r>
        <w:rPr>
          <w:rFonts w:eastAsia="Times New Roman" w:cs="Times New Roman" w:ascii="Times New Roman" w:hAnsi="Times New Roman"/>
          <w:color w:val="222222"/>
          <w:sz w:val="24"/>
          <w:szCs w:val="24"/>
          <w:highlight w:val="white"/>
          <w:lang w:val="en-GB"/>
        </w:rPr>
        <w:t xml:space="preserve">Thornton </w:t>
      </w:r>
      <w:r>
        <w:rPr>
          <w:rFonts w:eastAsia="Times New Roman" w:cs="Times New Roman" w:ascii="Times New Roman" w:hAnsi="Times New Roman"/>
          <w:i/>
          <w:color w:val="222222"/>
          <w:sz w:val="24"/>
          <w:szCs w:val="24"/>
          <w:highlight w:val="white"/>
          <w:lang w:val="en-GB"/>
        </w:rPr>
        <w:t xml:space="preserve">et al. </w:t>
      </w:r>
      <w:r>
        <w:rPr>
          <w:rFonts w:eastAsia="Times New Roman" w:cs="Times New Roman" w:ascii="Times New Roman" w:hAnsi="Times New Roman"/>
          <w:color w:val="222222"/>
          <w:sz w:val="24"/>
          <w:szCs w:val="24"/>
          <w:highlight w:val="white"/>
          <w:lang w:val="en-GB"/>
        </w:rPr>
        <w:t>2019)</w:t>
      </w:r>
      <w:r>
        <w:rPr>
          <w:rFonts w:eastAsia="Times New Roman" w:cs="Times New Roman" w:ascii="Times New Roman" w:hAnsi="Times New Roman"/>
          <w:sz w:val="24"/>
          <w:szCs w:val="24"/>
          <w:lang w:val="en-GB"/>
        </w:rPr>
        <w:t>. Due to inappropriate workplace policies, Vodafone has been facing issues in retaining skilled employees for a long time (</w:t>
      </w:r>
      <w:r>
        <w:rPr>
          <w:rFonts w:eastAsia="Times New Roman" w:cs="Times New Roman" w:ascii="Times New Roman" w:hAnsi="Times New Roman"/>
          <w:sz w:val="24"/>
          <w:szCs w:val="24"/>
          <w:highlight w:val="white"/>
          <w:lang w:val="en-GB"/>
        </w:rPr>
        <w:t>Vodafone.com, 2022</w:t>
      </w:r>
      <w:r>
        <w:rPr>
          <w:rFonts w:eastAsia="Times New Roman" w:cs="Times New Roman" w:ascii="Times New Roman" w:hAnsi="Times New Roman"/>
          <w:sz w:val="24"/>
          <w:szCs w:val="24"/>
          <w:lang w:val="en-GB"/>
        </w:rPr>
        <w:t>). Lack of effective communication among the employees is a negative factor for Vodafone to maintain an internal workplace environment. Due to ineffective communication, the organisation is unable to provide efficient service to the customers. Vodafone is facing a serious issue in creating a positive workplace atmosphere to improve employee creativity. Therefore, improving the organisation's internal workplace environment is a key factor for Vodafone to safeguard the stakeholders and gain an advantage in the telecommunication business. In the telecommunication industry, customers need customized service, which is essential to make the business sustainable (</w:t>
      </w:r>
      <w:r>
        <w:rPr>
          <w:rFonts w:eastAsia="Times New Roman" w:cs="Times New Roman" w:ascii="Times New Roman" w:hAnsi="Times New Roman"/>
          <w:color w:val="222222"/>
          <w:sz w:val="24"/>
          <w:szCs w:val="24"/>
          <w:highlight w:val="white"/>
          <w:lang w:val="en-GB"/>
        </w:rPr>
        <w:t>Thu and Thu, 2022</w:t>
      </w:r>
      <w:r>
        <w:rPr>
          <w:rFonts w:eastAsia="Times New Roman" w:cs="Times New Roman" w:ascii="Times New Roman" w:hAnsi="Times New Roman"/>
          <w:sz w:val="24"/>
          <w:szCs w:val="24"/>
          <w:lang w:val="en-GB"/>
        </w:rPr>
        <w:t>). However, the poor training facilities adversely impact customer servicing, which affects the business's reputation in the telecommunication market. Therefore, training and development issues are common for telecom services like Vodafone, affecting the organisation's short-term goals (</w:t>
      </w:r>
      <w:r>
        <w:rPr>
          <w:rFonts w:eastAsia="Times New Roman" w:cs="Times New Roman" w:ascii="Times New Roman" w:hAnsi="Times New Roman"/>
          <w:color w:val="222222"/>
          <w:sz w:val="24"/>
          <w:szCs w:val="24"/>
          <w:highlight w:val="white"/>
          <w:lang w:val="en-GB"/>
        </w:rPr>
        <w:t>Kang</w:t>
      </w:r>
      <w:r>
        <w:rPr>
          <w:rFonts w:eastAsia="Times New Roman" w:cs="Times New Roman" w:ascii="Times New Roman" w:hAnsi="Times New Roman"/>
          <w:i/>
          <w:color w:val="222222"/>
          <w:sz w:val="24"/>
          <w:szCs w:val="24"/>
          <w:highlight w:val="white"/>
          <w:lang w:val="en-GB"/>
        </w:rPr>
        <w:t xml:space="preserve"> et al.</w:t>
      </w:r>
      <w:r>
        <w:rPr>
          <w:rFonts w:eastAsia="Times New Roman" w:cs="Times New Roman" w:ascii="Times New Roman" w:hAnsi="Times New Roman"/>
          <w:color w:val="222222"/>
          <w:sz w:val="24"/>
          <w:szCs w:val="24"/>
          <w:highlight w:val="white"/>
          <w:lang w:val="en-GB"/>
        </w:rPr>
        <w:t xml:space="preserve"> 2022</w:t>
      </w:r>
      <w:r>
        <w:rPr>
          <w:rFonts w:eastAsia="Times New Roman" w:cs="Times New Roman" w:ascii="Times New Roman" w:hAnsi="Times New Roman"/>
          <w:sz w:val="24"/>
          <w:szCs w:val="24"/>
          <w:lang w:val="en-GB"/>
        </w:rPr>
        <w:t xml:space="preserve">). Apart from that, Vodafone fails in workforce planning, which is a negative factor for maintaining human resource management. </w:t>
      </w:r>
    </w:p>
    <w:p>
      <w:pPr>
        <w:pStyle w:val="Normal1"/>
        <w:spacing w:lineRule="auto" w:line="360"/>
        <w:jc w:val="both"/>
        <w:rPr>
          <w:rFonts w:ascii="Times New Roman" w:hAnsi="Times New Roman" w:eastAsia="Times New Roman" w:cs="Times New Roman"/>
          <w:b/>
          <w:b/>
          <w:color w:val="FF0000"/>
          <w:sz w:val="36"/>
          <w:szCs w:val="36"/>
          <w:lang w:val="en-GB"/>
        </w:rPr>
      </w:pPr>
      <w:r>
        <w:rPr>
          <w:rFonts w:eastAsia="Times New Roman" w:cs="Times New Roman" w:ascii="Times New Roman" w:hAnsi="Times New Roman"/>
          <w:sz w:val="24"/>
          <w:szCs w:val="24"/>
          <w:lang w:val="en-GB"/>
        </w:rPr>
        <w:t>The organisation faces difficulties in cooperating with the re, more employees, which is a negative factor for smooth function of the organisation's performance. The organisation is growing rapidly, which enables managers to achieve long-term goals by motivating the team members at the workplace (</w:t>
      </w:r>
      <w:r>
        <w:rPr>
          <w:rFonts w:eastAsia="Times New Roman" w:cs="Times New Roman" w:ascii="Times New Roman" w:hAnsi="Times New Roman"/>
          <w:color w:val="222222"/>
          <w:sz w:val="24"/>
          <w:szCs w:val="24"/>
          <w:highlight w:val="white"/>
          <w:lang w:val="en-GB"/>
        </w:rPr>
        <w:t>Ullah, 2021</w:t>
      </w:r>
      <w:r>
        <w:rPr>
          <w:rFonts w:eastAsia="Times New Roman" w:cs="Times New Roman" w:ascii="Times New Roman" w:hAnsi="Times New Roman"/>
          <w:sz w:val="24"/>
          <w:szCs w:val="24"/>
          <w:lang w:val="en-GB"/>
        </w:rPr>
        <w:t>). Therefore, less fog on the leadership strategy affects Vodafone to reach out to potential customers and increases the customer satisfaction rate. It is difficult for HR managers to keep pace with the technical advancement, which negatively impacts the organisation's performance. The time schedule of Vodafone is more than the standard timing, which is a negative factor for the organisation’s growth and stability (</w:t>
      </w:r>
      <w:r>
        <w:rPr>
          <w:rFonts w:eastAsia="Times New Roman" w:cs="Times New Roman" w:ascii="Times New Roman" w:hAnsi="Times New Roman"/>
          <w:color w:val="222222"/>
          <w:sz w:val="24"/>
          <w:szCs w:val="24"/>
          <w:highlight w:val="white"/>
          <w:lang w:val="en-GB"/>
        </w:rPr>
        <w:t xml:space="preserve">Wentworth </w:t>
      </w:r>
      <w:r>
        <w:rPr>
          <w:rFonts w:eastAsia="Times New Roman" w:cs="Times New Roman" w:ascii="Times New Roman" w:hAnsi="Times New Roman"/>
          <w:i/>
          <w:color w:val="222222"/>
          <w:sz w:val="24"/>
          <w:szCs w:val="24"/>
          <w:highlight w:val="white"/>
          <w:lang w:val="en-GB"/>
        </w:rPr>
        <w:t>et al</w:t>
      </w:r>
      <w:r>
        <w:rPr>
          <w:rFonts w:eastAsia="Times New Roman" w:cs="Times New Roman" w:ascii="Times New Roman" w:hAnsi="Times New Roman"/>
          <w:color w:val="222222"/>
          <w:sz w:val="24"/>
          <w:szCs w:val="24"/>
          <w:highlight w:val="white"/>
          <w:lang w:val="en-GB"/>
        </w:rPr>
        <w:t>. 2020</w:t>
      </w:r>
      <w:r>
        <w:rPr>
          <w:rFonts w:eastAsia="Times New Roman" w:cs="Times New Roman" w:ascii="Times New Roman" w:hAnsi="Times New Roman"/>
          <w:sz w:val="24"/>
          <w:szCs w:val="24"/>
          <w:lang w:val="en-GB"/>
        </w:rPr>
        <w:t xml:space="preserve">). The employee stress level is increasing over the last few years due to the increasing pressure on the employees, which creates an immense burden on work activities. </w:t>
      </w:r>
      <w:r>
        <w:rPr>
          <w:rFonts w:eastAsia="Times New Roman" w:cs="Times New Roman" w:ascii="Times New Roman" w:hAnsi="Times New Roman"/>
          <w:color w:val="000000" w:themeColor="text1"/>
          <w:sz w:val="24"/>
          <w:szCs w:val="24"/>
          <w:lang w:val="en-GB"/>
          <w14:textFill>
            <w14:solidFill>
              <w14:schemeClr w14:val="tx1"/>
            </w14:solidFill>
          </w14:textFill>
        </w:rPr>
        <w:t xml:space="preserve">Therefore Vodafone is facing issues regarding </w:t>
      </w:r>
      <w:r>
        <w:rPr>
          <w:rFonts w:eastAsia="Times New Roman" w:cs="Times New Roman" w:ascii="Times New Roman" w:hAnsi="Times New Roman"/>
          <w:b/>
          <w:i/>
          <w:color w:val="000000" w:themeColor="text1"/>
          <w:sz w:val="24"/>
          <w:szCs w:val="24"/>
          <w:lang w:val="en-GB"/>
          <w14:textFill>
            <w14:solidFill>
              <w14:schemeClr w14:val="tx1"/>
            </w14:solidFill>
          </w14:textFill>
        </w:rPr>
        <w:t>change management</w:t>
      </w:r>
      <w:r>
        <w:rPr>
          <w:rFonts w:eastAsia="Times New Roman" w:cs="Times New Roman" w:ascii="Times New Roman" w:hAnsi="Times New Roman"/>
          <w:color w:val="000000" w:themeColor="text1"/>
          <w:sz w:val="24"/>
          <w:szCs w:val="24"/>
          <w:lang w:val="en-GB"/>
          <w14:textFill>
            <w14:solidFill>
              <w14:schemeClr w14:val="tx1"/>
            </w14:solidFill>
          </w14:textFill>
        </w:rPr>
        <w:t xml:space="preserve">, </w:t>
      </w:r>
      <w:r>
        <w:rPr>
          <w:rFonts w:eastAsia="Times New Roman" w:cs="Times New Roman" w:ascii="Times New Roman" w:hAnsi="Times New Roman"/>
          <w:b/>
          <w:i/>
          <w:color w:val="000000" w:themeColor="text1"/>
          <w:sz w:val="24"/>
          <w:szCs w:val="24"/>
          <w:lang w:val="en-GB"/>
          <w14:textFill>
            <w14:solidFill>
              <w14:schemeClr w14:val="tx1"/>
            </w14:solidFill>
          </w14:textFill>
        </w:rPr>
        <w:t>HR effectiveness, and retention-related issues</w:t>
      </w:r>
      <w:r>
        <w:rPr>
          <w:rFonts w:eastAsia="Times New Roman" w:cs="Times New Roman" w:ascii="Times New Roman" w:hAnsi="Times New Roman"/>
          <w:color w:val="000000" w:themeColor="text1"/>
          <w:sz w:val="24"/>
          <w:szCs w:val="24"/>
          <w:lang w:val="en-GB"/>
          <w14:textFill>
            <w14:solidFill>
              <w14:schemeClr w14:val="tx1"/>
            </w14:solidFill>
          </w14:textFill>
        </w:rPr>
        <w:t>.</w:t>
      </w:r>
      <w:r>
        <w:rPr>
          <w:rFonts w:eastAsia="Times New Roman" w:cs="Times New Roman" w:ascii="Times New Roman" w:hAnsi="Times New Roman"/>
          <w:b/>
          <w:color w:val="FF0000"/>
          <w:sz w:val="36"/>
          <w:szCs w:val="36"/>
          <w:lang w:val="en-GB"/>
        </w:rPr>
        <w:t xml:space="preserve"> </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r>
    </w:p>
    <w:p>
      <w:pPr>
        <w:pStyle w:val="Heading1"/>
        <w:rPr/>
      </w:pPr>
      <w:bookmarkStart w:id="5" w:name="_Toc112345184"/>
      <w:r>
        <w:rPr/>
        <w:t>2. Strategies that make team members valued and appreciated and develop a sense of belonging within organisation</w:t>
      </w:r>
      <w:bookmarkEnd w:id="5"/>
    </w:p>
    <w:p>
      <w:pPr>
        <w:pStyle w:val="Heading2"/>
        <w:rPr/>
      </w:pPr>
      <w:bookmarkStart w:id="6" w:name="_Toc112345185"/>
      <w:r>
        <w:rPr/>
        <w:t>Kotter's Eight Steps to Change</w:t>
      </w:r>
      <w:bookmarkEnd w:id="6"/>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As per the view of </w:t>
      </w:r>
      <w:r>
        <w:rPr>
          <w:rFonts w:eastAsia="Times New Roman" w:cs="Times New Roman" w:ascii="Times New Roman" w:hAnsi="Times New Roman"/>
          <w:color w:val="222222"/>
          <w:sz w:val="24"/>
          <w:szCs w:val="24"/>
          <w:highlight w:val="white"/>
          <w:lang w:val="en-GB"/>
        </w:rPr>
        <w:t xml:space="preserve">Yong </w:t>
      </w:r>
      <w:r>
        <w:rPr>
          <w:rFonts w:eastAsia="Times New Roman" w:cs="Times New Roman" w:ascii="Times New Roman" w:hAnsi="Times New Roman"/>
          <w:i/>
          <w:color w:val="222222"/>
          <w:sz w:val="24"/>
          <w:szCs w:val="24"/>
          <w:highlight w:val="white"/>
          <w:lang w:val="en-GB"/>
        </w:rPr>
        <w:t>et al.</w:t>
      </w:r>
      <w:r>
        <w:rPr>
          <w:rFonts w:eastAsia="Times New Roman" w:cs="Times New Roman" w:ascii="Times New Roman" w:hAnsi="Times New Roman"/>
          <w:color w:val="222222"/>
          <w:sz w:val="24"/>
          <w:szCs w:val="24"/>
          <w:highlight w:val="white"/>
          <w:lang w:val="en-GB"/>
        </w:rPr>
        <w:t xml:space="preserve"> </w:t>
      </w:r>
      <w:r>
        <w:rPr>
          <w:rFonts w:eastAsia="Times New Roman" w:cs="Times New Roman" w:ascii="Times New Roman" w:hAnsi="Times New Roman"/>
          <w:sz w:val="24"/>
          <w:szCs w:val="24"/>
          <w:lang w:val="en-GB"/>
        </w:rPr>
        <w:t>(2020), the 8-step model is beneficial for businesses facing various issues due to the changes in the business environment. It enables organisations to identify the changes in the organisation and make strategic decisions, which is beneficial for achieving long-term goals. The organisation involves the employees in the working process, which is beneficial for improving telecommunication services. The organisations use the existing resources to improve the organisation's working process and gaming better results in product development. Therefore, the eight-step model is beneficial for Vodafone to achieve long-term goals and provide better service to the customers in the near future. Vodafone needs to follow eight stages which include increasing urgency, building a guide team, developing vision, communicating for buy-in, empowering action, creating short-term wins, don't let up, and making change stick (</w:t>
      </w:r>
      <w:r>
        <w:rPr>
          <w:rFonts w:eastAsia="Times New Roman" w:cs="Times New Roman" w:ascii="Times New Roman" w:hAnsi="Times New Roman"/>
          <w:color w:val="222222"/>
          <w:sz w:val="24"/>
          <w:szCs w:val="24"/>
          <w:highlight w:val="white"/>
          <w:lang w:val="en-GB"/>
        </w:rPr>
        <w:t xml:space="preserve">Papa </w:t>
      </w:r>
      <w:r>
        <w:rPr>
          <w:rFonts w:eastAsia="Times New Roman" w:cs="Times New Roman" w:ascii="Times New Roman" w:hAnsi="Times New Roman"/>
          <w:i/>
          <w:color w:val="222222"/>
          <w:sz w:val="24"/>
          <w:szCs w:val="24"/>
          <w:highlight w:val="white"/>
          <w:lang w:val="en-GB"/>
        </w:rPr>
        <w:t>et al</w:t>
      </w:r>
      <w:r>
        <w:rPr>
          <w:rFonts w:eastAsia="Times New Roman" w:cs="Times New Roman" w:ascii="Times New Roman" w:hAnsi="Times New Roman"/>
          <w:color w:val="222222"/>
          <w:sz w:val="24"/>
          <w:szCs w:val="24"/>
          <w:highlight w:val="white"/>
          <w:lang w:val="en-GB"/>
        </w:rPr>
        <w:t>. 2018</w:t>
      </w:r>
      <w:r>
        <w:rPr>
          <w:rFonts w:eastAsia="Times New Roman" w:cs="Times New Roman" w:ascii="Times New Roman" w:hAnsi="Times New Roman"/>
          <w:sz w:val="24"/>
          <w:szCs w:val="24"/>
          <w:lang w:val="en-GB"/>
        </w:rPr>
        <w:t xml:space="preserve">). </w:t>
      </w:r>
    </w:p>
    <w:p>
      <w:pPr>
        <w:pStyle w:val="Normal1"/>
        <w:spacing w:lineRule="auto" w:line="360"/>
        <w:jc w:val="both"/>
        <w:rPr>
          <w:rFonts w:ascii="Times New Roman" w:hAnsi="Times New Roman" w:eastAsia="Times New Roman" w:cs="Times New Roman"/>
          <w:b/>
          <w:b/>
          <w:i/>
          <w:i/>
          <w:sz w:val="24"/>
          <w:szCs w:val="24"/>
          <w:lang w:val="en-GB"/>
        </w:rPr>
      </w:pPr>
      <w:r>
        <w:rPr>
          <w:rFonts w:eastAsia="Times New Roman" w:cs="Times New Roman" w:ascii="Times New Roman" w:hAnsi="Times New Roman"/>
          <w:b/>
          <w:i/>
          <w:sz w:val="24"/>
          <w:szCs w:val="24"/>
          <w:lang w:val="en-GB"/>
        </w:rPr>
        <w:t>Creating urgency</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Vodafone needs to identify potential threats to improve employee skills and provide better telecommunication service. It helps Vodafone to discuss the potential challenges and identify the weak areas of the employees. The involvement of the employees is essential for improving the quality of service and expanding the business in the new market.</w:t>
      </w:r>
    </w:p>
    <w:p>
      <w:pPr>
        <w:pStyle w:val="Normal1"/>
        <w:spacing w:lineRule="auto" w:line="360"/>
        <w:jc w:val="both"/>
        <w:rPr>
          <w:rFonts w:ascii="Times New Roman" w:hAnsi="Times New Roman" w:eastAsia="Times New Roman" w:cs="Times New Roman"/>
          <w:b/>
          <w:b/>
          <w:i/>
          <w:i/>
          <w:sz w:val="24"/>
          <w:szCs w:val="24"/>
          <w:lang w:val="en-GB"/>
        </w:rPr>
      </w:pPr>
      <w:r>
        <w:rPr>
          <w:rFonts w:eastAsia="Times New Roman" w:cs="Times New Roman" w:ascii="Times New Roman" w:hAnsi="Times New Roman"/>
          <w:b/>
          <w:i/>
          <w:sz w:val="24"/>
          <w:szCs w:val="24"/>
          <w:lang w:val="en-GB"/>
        </w:rPr>
        <w:t>Building guiding team</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Vodafone needs to make an effective team in various departments to manage the tasks efficiently and gain better results in the telecommunication business. The team needs enthusiastic people who can work with enthusiasm. It helps organisations improve their potential and the quality of telecommunication services (</w:t>
      </w:r>
      <w:r>
        <w:rPr>
          <w:rFonts w:eastAsia="Times New Roman" w:cs="Times New Roman" w:ascii="Times New Roman" w:hAnsi="Times New Roman"/>
          <w:color w:val="222222"/>
          <w:sz w:val="24"/>
          <w:szCs w:val="24"/>
          <w:highlight w:val="white"/>
          <w:lang w:val="en-GB"/>
        </w:rPr>
        <w:t xml:space="preserve">Boon </w:t>
      </w:r>
      <w:r>
        <w:rPr>
          <w:rFonts w:eastAsia="Times New Roman" w:cs="Times New Roman" w:ascii="Times New Roman" w:hAnsi="Times New Roman"/>
          <w:i/>
          <w:color w:val="222222"/>
          <w:sz w:val="24"/>
          <w:szCs w:val="24"/>
          <w:highlight w:val="white"/>
          <w:lang w:val="en-GB"/>
        </w:rPr>
        <w:t>et al.</w:t>
      </w:r>
      <w:r>
        <w:rPr>
          <w:rFonts w:eastAsia="Times New Roman" w:cs="Times New Roman" w:ascii="Times New Roman" w:hAnsi="Times New Roman"/>
          <w:color w:val="222222"/>
          <w:sz w:val="24"/>
          <w:szCs w:val="24"/>
          <w:highlight w:val="white"/>
          <w:lang w:val="en-GB"/>
        </w:rPr>
        <w:t xml:space="preserve"> 2018</w:t>
      </w:r>
      <w:r>
        <w:rPr>
          <w:rFonts w:eastAsia="Times New Roman" w:cs="Times New Roman" w:ascii="Times New Roman" w:hAnsi="Times New Roman"/>
          <w:sz w:val="24"/>
          <w:szCs w:val="24"/>
          <w:lang w:val="en-GB"/>
        </w:rPr>
        <w:t xml:space="preserve">). For instance, the competitors focus on team development to provide customised service to the customers and gain positive feedback. The service cost can be decreased by building a strong team, which is appropriate for the long-term process. </w:t>
      </w:r>
    </w:p>
    <w:p>
      <w:pPr>
        <w:pStyle w:val="Normal1"/>
        <w:spacing w:lineRule="auto" w:line="360"/>
        <w:jc w:val="both"/>
        <w:rPr>
          <w:rFonts w:ascii="Times New Roman" w:hAnsi="Times New Roman" w:eastAsia="Times New Roman" w:cs="Times New Roman"/>
          <w:b/>
          <w:b/>
          <w:i/>
          <w:i/>
          <w:sz w:val="24"/>
          <w:szCs w:val="24"/>
          <w:lang w:val="en-GB"/>
        </w:rPr>
      </w:pPr>
      <w:r>
        <w:rPr>
          <w:rFonts w:eastAsia="Times New Roman" w:cs="Times New Roman" w:ascii="Times New Roman" w:hAnsi="Times New Roman"/>
          <w:b/>
          <w:i/>
          <w:sz w:val="24"/>
          <w:szCs w:val="24"/>
          <w:lang w:val="en-GB"/>
        </w:rPr>
        <w:t>Developing vision</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The organisations need to develop a mission and vision, which is essential for gaining long-term goals (</w:t>
      </w:r>
      <w:r>
        <w:rPr>
          <w:rFonts w:eastAsia="Times New Roman" w:cs="Times New Roman" w:ascii="Times New Roman" w:hAnsi="Times New Roman"/>
          <w:color w:val="222222"/>
          <w:sz w:val="24"/>
          <w:szCs w:val="24"/>
          <w:highlight w:val="white"/>
          <w:lang w:val="en-GB"/>
        </w:rPr>
        <w:t>Chams and García-Blandón, 2019</w:t>
      </w:r>
      <w:r>
        <w:rPr>
          <w:rFonts w:eastAsia="Times New Roman" w:cs="Times New Roman" w:ascii="Times New Roman" w:hAnsi="Times New Roman"/>
          <w:sz w:val="24"/>
          <w:szCs w:val="24"/>
          <w:lang w:val="en-GB"/>
        </w:rPr>
        <w:t xml:space="preserve">). For this reason, Vodafone needs to identify its core value, which is beneficial for taking various steps and gaining better results in achieving the long-term vision. Additionally, an adequate vision empowers the organisation to share the organisation's long-term motive and its thinking about the customers. Therefore, setting effective missions help Vodafone to attract more customers and gain better results in marketing. Managers need to improve team performance by motivating them at the workplace. For instance, giving rewards is a strategic HR strategy which encourages the team members to apply creative skills. </w:t>
      </w:r>
    </w:p>
    <w:p>
      <w:pPr>
        <w:pStyle w:val="Normal1"/>
        <w:spacing w:lineRule="auto" w:line="360"/>
        <w:jc w:val="both"/>
        <w:rPr>
          <w:rFonts w:ascii="Times New Roman" w:hAnsi="Times New Roman" w:eastAsia="Times New Roman" w:cs="Times New Roman"/>
          <w:sz w:val="24"/>
          <w:szCs w:val="24"/>
          <w:lang w:val="en-GB"/>
        </w:rPr>
      </w:pPr>
      <w:r>
        <w:rPr/>
        <w:drawing>
          <wp:inline distT="0" distB="0" distL="0" distR="0">
            <wp:extent cx="5487035" cy="3201035"/>
            <wp:effectExtent l="0" t="0" r="0" b="0"/>
            <wp:docPr id="1" name="Diagram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 r:lo="rId3" r:qs="rId4" r:cs="rId5"/>
              </a:graphicData>
            </a:graphic>
          </wp:inline>
        </w:drawing>
      </w:r>
    </w:p>
    <w:p>
      <w:pPr>
        <w:pStyle w:val="Normal1"/>
        <w:jc w:val="center"/>
        <w:rPr>
          <w:rFonts w:ascii="Times New Roman" w:hAnsi="Times New Roman" w:cs="Times New Roman"/>
          <w:b/>
          <w:b/>
          <w:sz w:val="24"/>
          <w:szCs w:val="24"/>
        </w:rPr>
      </w:pPr>
      <w:r>
        <w:rPr>
          <w:rFonts w:cs="Times New Roman" w:ascii="Times New Roman" w:hAnsi="Times New Roman"/>
          <w:b/>
          <w:sz w:val="24"/>
          <w:szCs w:val="24"/>
        </w:rPr>
        <w:t>Figure 1: Kotter's Eight Steps to Change</w:t>
      </w:r>
    </w:p>
    <w:p>
      <w:pPr>
        <w:pStyle w:val="Normal1"/>
        <w:spacing w:lineRule="auto" w:line="360"/>
        <w:jc w:val="center"/>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(Source: Created by author)</w:t>
      </w:r>
    </w:p>
    <w:p>
      <w:pPr>
        <w:pStyle w:val="Normal1"/>
        <w:spacing w:lineRule="auto" w:line="360"/>
        <w:jc w:val="both"/>
        <w:rPr>
          <w:rFonts w:ascii="Times New Roman" w:hAnsi="Times New Roman" w:eastAsia="Times New Roman" w:cs="Times New Roman"/>
          <w:b/>
          <w:b/>
          <w:i/>
          <w:i/>
          <w:sz w:val="24"/>
          <w:szCs w:val="24"/>
          <w:lang w:val="en-GB"/>
        </w:rPr>
      </w:pPr>
      <w:r>
        <w:rPr>
          <w:rFonts w:eastAsia="Times New Roman" w:cs="Times New Roman" w:ascii="Times New Roman" w:hAnsi="Times New Roman"/>
          <w:b/>
          <w:i/>
          <w:sz w:val="24"/>
          <w:szCs w:val="24"/>
          <w:lang w:val="en-GB"/>
        </w:rPr>
        <w:t>Communicating Vision</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 </w:t>
      </w:r>
      <w:r>
        <w:rPr>
          <w:rFonts w:eastAsia="Times New Roman" w:cs="Times New Roman" w:ascii="Times New Roman" w:hAnsi="Times New Roman"/>
          <w:sz w:val="24"/>
          <w:szCs w:val="24"/>
          <w:lang w:val="en-GB"/>
        </w:rPr>
        <w:t xml:space="preserve">As per the view of </w:t>
      </w:r>
      <w:r>
        <w:rPr>
          <w:rFonts w:eastAsia="Times New Roman" w:cs="Times New Roman" w:ascii="Times New Roman" w:hAnsi="Times New Roman"/>
          <w:color w:val="222222"/>
          <w:sz w:val="24"/>
          <w:szCs w:val="24"/>
          <w:highlight w:val="white"/>
          <w:lang w:val="en-GB"/>
        </w:rPr>
        <w:t xml:space="preserve">Pham </w:t>
      </w:r>
      <w:r>
        <w:rPr>
          <w:rFonts w:eastAsia="Times New Roman" w:cs="Times New Roman" w:ascii="Times New Roman" w:hAnsi="Times New Roman"/>
          <w:i/>
          <w:color w:val="222222"/>
          <w:sz w:val="24"/>
          <w:szCs w:val="24"/>
          <w:highlight w:val="white"/>
          <w:lang w:val="en-GB"/>
        </w:rPr>
        <w:t>et al.</w:t>
      </w:r>
      <w:r>
        <w:rPr>
          <w:rFonts w:eastAsia="Times New Roman" w:cs="Times New Roman" w:ascii="Times New Roman" w:hAnsi="Times New Roman"/>
          <w:color w:val="222222"/>
          <w:sz w:val="24"/>
          <w:szCs w:val="24"/>
          <w:highlight w:val="white"/>
          <w:lang w:val="en-GB"/>
        </w:rPr>
        <w:t xml:space="preserve"> </w:t>
      </w:r>
      <w:r>
        <w:rPr>
          <w:rFonts w:eastAsia="Times New Roman" w:cs="Times New Roman" w:ascii="Times New Roman" w:hAnsi="Times New Roman"/>
          <w:sz w:val="24"/>
          <w:szCs w:val="24"/>
          <w:lang w:val="en-GB"/>
        </w:rPr>
        <w:t xml:space="preserve">(2019), firms need to communicate the vision efficiently to get positive feedback for their employees and engage them with the firm. For instance, the managers give motivation to the employees regarding their organisation’s performance and ratings; It helps the employees to improve the organisation's performance through effective communication. Effective communication with the team members is essential for clearing work-related doubts and gaining better results in the working process. </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Communicating for buy-in</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Due to the changes in the business environment, organisations can face sudden challenges. Therefore, removing barriers at the initial stage can be an effective way for Vodafone to improve employee performance. A structured organisation policy is required to improve the organisation’s performance and gain better results in improving the quality of service (</w:t>
      </w:r>
      <w:r>
        <w:rPr>
          <w:rFonts w:eastAsia="Times New Roman" w:cs="Times New Roman" w:ascii="Times New Roman" w:hAnsi="Times New Roman"/>
          <w:color w:val="222222"/>
          <w:sz w:val="24"/>
          <w:szCs w:val="24"/>
          <w:highlight w:val="white"/>
          <w:lang w:val="en-GB"/>
        </w:rPr>
        <w:t>Bombiak and Marciniuk-Kluska, 2018)</w:t>
      </w:r>
      <w:r>
        <w:rPr>
          <w:rFonts w:eastAsia="Times New Roman" w:cs="Times New Roman" w:ascii="Times New Roman" w:hAnsi="Times New Roman"/>
          <w:sz w:val="24"/>
          <w:szCs w:val="24"/>
          <w:lang w:val="en-GB"/>
        </w:rPr>
        <w:t xml:space="preserve">. Following a reward system is beneficial for achieving long-term goals and gaining better results in the internal workplace environment. In this situation, the firm needs to implement a reward and punishment strategy for achieving long-term goals and gaining better performance in the UK market. Vodafone needs to acknowledge those candidates who have used their creative skills in the working process. It helps in motivating the team members and engaging them with the team. </w:t>
      </w:r>
    </w:p>
    <w:p>
      <w:pPr>
        <w:pStyle w:val="Normal1"/>
        <w:spacing w:lineRule="auto" w:line="360"/>
        <w:jc w:val="both"/>
        <w:rPr>
          <w:rFonts w:ascii="Times New Roman" w:hAnsi="Times New Roman" w:eastAsia="Times New Roman" w:cs="Times New Roman"/>
          <w:b/>
          <w:b/>
          <w:i/>
          <w:i/>
          <w:sz w:val="24"/>
          <w:szCs w:val="24"/>
          <w:lang w:val="en-GB"/>
        </w:rPr>
      </w:pPr>
      <w:r>
        <w:rPr>
          <w:rFonts w:eastAsia="Times New Roman" w:cs="Times New Roman" w:ascii="Times New Roman" w:hAnsi="Times New Roman"/>
          <w:b/>
          <w:i/>
          <w:sz w:val="24"/>
          <w:szCs w:val="24"/>
          <w:lang w:val="en-GB"/>
        </w:rPr>
        <w:t>Creating short-term wins</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This tactic is used by the organisations to improve organisation's short-term goals. Unambiguous short-term goals negatively impact the organisation's long-term activities. For instance, Vodafone needs to divide the process into small parts, which is beneficial for achieving long-term goals in a systematic manner and positively impacts the organisation's long-term activities (</w:t>
      </w:r>
      <w:r>
        <w:rPr>
          <w:rFonts w:eastAsia="Times New Roman" w:cs="Times New Roman" w:ascii="Times New Roman" w:hAnsi="Times New Roman"/>
          <w:color w:val="222222"/>
          <w:sz w:val="24"/>
          <w:szCs w:val="24"/>
          <w:highlight w:val="white"/>
          <w:lang w:val="en-GB"/>
        </w:rPr>
        <w:t>Gaur, 2019)</w:t>
      </w:r>
      <w:r>
        <w:rPr>
          <w:rFonts w:eastAsia="Times New Roman" w:cs="Times New Roman" w:ascii="Times New Roman" w:hAnsi="Times New Roman"/>
          <w:sz w:val="24"/>
          <w:szCs w:val="24"/>
          <w:lang w:val="en-GB"/>
        </w:rPr>
        <w:t xml:space="preserve">. </w:t>
      </w:r>
    </w:p>
    <w:p>
      <w:pPr>
        <w:pStyle w:val="Normal1"/>
        <w:spacing w:lineRule="auto" w:line="360"/>
        <w:jc w:val="both"/>
        <w:rPr>
          <w:rFonts w:ascii="Times New Roman" w:hAnsi="Times New Roman" w:eastAsia="Times New Roman" w:cs="Times New Roman"/>
          <w:b/>
          <w:b/>
          <w:i/>
          <w:i/>
          <w:sz w:val="24"/>
          <w:szCs w:val="24"/>
          <w:lang w:val="en-GB"/>
        </w:rPr>
      </w:pPr>
      <w:r>
        <w:rPr>
          <w:rFonts w:eastAsia="Times New Roman" w:cs="Times New Roman" w:ascii="Times New Roman" w:hAnsi="Times New Roman"/>
          <w:b/>
          <w:i/>
          <w:sz w:val="24"/>
          <w:szCs w:val="24"/>
          <w:lang w:val="en-GB"/>
        </w:rPr>
        <w:t>Don't let up</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In this stage, the leaders focus on the changes in management and impose a new strategy to impose a new and effective business strategy to achieve long-term goals. In this stage, Vodafone needs to eliminate unnecessary goals, which is a negative factor for the organisation’s human resource development. </w:t>
      </w:r>
    </w:p>
    <w:p>
      <w:pPr>
        <w:pStyle w:val="Heading1"/>
        <w:rPr/>
      </w:pPr>
      <w:bookmarkStart w:id="7" w:name="_Toc112345186"/>
      <w:r>
        <w:rPr/>
        <w:t>3. A critical appreciation of the principles, models and concepts of current HRM and IHRM theories</w:t>
      </w:r>
      <w:bookmarkEnd w:id="7"/>
      <w:r>
        <w:rPr/>
        <w:t xml:space="preserve"> </w:t>
      </w:r>
    </w:p>
    <w:p>
      <w:pPr>
        <w:pStyle w:val="Heading2"/>
        <w:rPr/>
      </w:pPr>
      <w:bookmarkStart w:id="8" w:name="_Toc112345187"/>
      <w:r>
        <w:rPr/>
        <w:t>HR metrics for recruitment</w:t>
      </w:r>
      <w:bookmarkEnd w:id="8"/>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Cost per hire</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Vodafone needs to focus on the cost per hire as hedging costs can affect the organisation's profit percentage. Generally, the cost of hiring is more in the junior-level hiring process. However, the company does not need to expense hiring senior-level management, which is a negative factor for the organisation’s growth and development. </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Quality of hire</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Quality of hire is crucial for businesses to recruit eligible employees who can easily tackle difficult situations and work with self-motivation (</w:t>
      </w:r>
      <w:r>
        <w:rPr>
          <w:rFonts w:eastAsia="Times New Roman" w:cs="Times New Roman" w:ascii="Times New Roman" w:hAnsi="Times New Roman"/>
          <w:color w:val="222222"/>
          <w:sz w:val="24"/>
          <w:szCs w:val="24"/>
          <w:highlight w:val="white"/>
          <w:lang w:val="en-GB"/>
        </w:rPr>
        <w:t>Maria, 2019)</w:t>
      </w:r>
      <w:r>
        <w:rPr>
          <w:rFonts w:eastAsia="Times New Roman" w:cs="Times New Roman" w:ascii="Times New Roman" w:hAnsi="Times New Roman"/>
          <w:sz w:val="24"/>
          <w:szCs w:val="24"/>
          <w:lang w:val="en-GB"/>
        </w:rPr>
        <w:t xml:space="preserve">. Therefore, it is a strategic process for the HR management to improve the organisation's goals by focusing on the working activities. </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Speed of hire</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The number of recruitment Vodafone is conducting to fill the vacancy is called speed of hire. Therefore, focusing on the speed of hiring can be effective for the organisation to retain skilled employees and eliminate the remaining candidates (</w:t>
      </w:r>
      <w:r>
        <w:rPr>
          <w:rFonts w:eastAsia="Times New Roman" w:cs="Times New Roman" w:ascii="Times New Roman" w:hAnsi="Times New Roman"/>
          <w:color w:val="222222"/>
          <w:sz w:val="24"/>
          <w:szCs w:val="24"/>
          <w:highlight w:val="white"/>
          <w:lang w:val="en-GB"/>
        </w:rPr>
        <w:t xml:space="preserve">Prasad </w:t>
      </w:r>
      <w:r>
        <w:rPr>
          <w:rFonts w:eastAsia="Times New Roman" w:cs="Times New Roman" w:ascii="Times New Roman" w:hAnsi="Times New Roman"/>
          <w:i/>
          <w:color w:val="222222"/>
          <w:sz w:val="24"/>
          <w:szCs w:val="24"/>
          <w:highlight w:val="white"/>
          <w:lang w:val="en-GB"/>
        </w:rPr>
        <w:t>et al.</w:t>
      </w:r>
      <w:r>
        <w:rPr>
          <w:rFonts w:eastAsia="Times New Roman" w:cs="Times New Roman" w:ascii="Times New Roman" w:hAnsi="Times New Roman"/>
          <w:color w:val="222222"/>
          <w:sz w:val="24"/>
          <w:szCs w:val="24"/>
          <w:highlight w:val="white"/>
          <w:lang w:val="en-GB"/>
        </w:rPr>
        <w:t xml:space="preserve"> 2019)</w:t>
      </w:r>
      <w:r>
        <w:rPr>
          <w:rFonts w:eastAsia="Times New Roman" w:cs="Times New Roman" w:ascii="Times New Roman" w:hAnsi="Times New Roman"/>
          <w:sz w:val="24"/>
          <w:szCs w:val="24"/>
          <w:lang w:val="en-GB"/>
        </w:rPr>
        <w:t xml:space="preserve">. Additionally, this metric enables businesses to improve the organisation's ability to retain employees for a long time period. </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Yield ratio</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It enables the organisation to attract skilled employees and gain better results in the retention process. The ratio depicts how the organisation is gaining maximum output. </w:t>
      </w:r>
    </w:p>
    <w:p>
      <w:pPr>
        <w:pStyle w:val="Normal1"/>
        <w:spacing w:lineRule="auto" w:line="360"/>
        <w:jc w:val="both"/>
        <w:rPr>
          <w:rFonts w:ascii="Times New Roman" w:hAnsi="Times New Roman" w:eastAsia="Times New Roman" w:cs="Times New Roman"/>
          <w:sz w:val="24"/>
          <w:szCs w:val="24"/>
          <w:lang w:val="en-GB"/>
        </w:rPr>
      </w:pPr>
      <w:r>
        <w:rPr/>
        <w:drawing>
          <wp:inline distT="0" distB="0" distL="0" distR="0">
            <wp:extent cx="5487035" cy="3201035"/>
            <wp:effectExtent l="0" t="0" r="0" b="0"/>
            <wp:docPr id="2" name="Diagram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pPr>
        <w:pStyle w:val="Normal1"/>
        <w:spacing w:lineRule="auto" w:line="360"/>
        <w:jc w:val="center"/>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Figure 2: HR metrics for Vodafone</w:t>
      </w:r>
    </w:p>
    <w:p>
      <w:pPr>
        <w:pStyle w:val="Normal1"/>
        <w:spacing w:lineRule="auto" w:line="360"/>
        <w:jc w:val="center"/>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(Source: created by author)</w:t>
      </w:r>
    </w:p>
    <w:p>
      <w:pPr>
        <w:pStyle w:val="Heading2"/>
        <w:rPr/>
      </w:pPr>
      <w:bookmarkStart w:id="9" w:name="_Toc112345188"/>
      <w:r>
        <w:rPr/>
        <w:t>Challenges regarding applying HR metrics</w:t>
      </w:r>
      <w:bookmarkEnd w:id="9"/>
      <w:r>
        <w:rPr/>
        <w:t xml:space="preserve"> </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While implementing HR strategies, organisations face various challenges to make employees skilful and gain better results in the workplace. Vodafone is facing multiple difficulties in coping with the changing employee behaviour and mitigating internal management issues. </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Lack of cooperation</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Due to the poor internal communication strategy, the employees are not able to understand the organisation's long-term strategy, which affects them to cooperate with others and gain an advantage in the working process. For instance, during the pandemic, Vodafone management faced difficulties in collaborating with remote employees, which is a primary reason for lower customer satisfaction in the organisation. </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Lack of clear purpose</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The Ladders are not clear the organisation's purpose to the team members, which is a negative factor for achieving common goals and improving employee efficiency. Due to the ambiguous definition, the employees are not able to understand their job role properly, which creates barriers in the organisational process and affects Vodafone to reach out to the potential customers. </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Difficulty in managing data</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At present, Vodafone is using data to make future decisions. Therefore, hiring data analytics employees can be an effective way for organisations to achieve long-term missions (</w:t>
      </w:r>
      <w:r>
        <w:rPr>
          <w:rFonts w:eastAsia="Times New Roman" w:cs="Times New Roman" w:ascii="Times New Roman" w:hAnsi="Times New Roman"/>
          <w:color w:val="222222"/>
          <w:sz w:val="24"/>
          <w:szCs w:val="24"/>
          <w:highlight w:val="white"/>
          <w:lang w:val="en-GB"/>
        </w:rPr>
        <w:t xml:space="preserve">Kang </w:t>
      </w:r>
      <w:r>
        <w:rPr>
          <w:rFonts w:eastAsia="Times New Roman" w:cs="Times New Roman" w:ascii="Times New Roman" w:hAnsi="Times New Roman"/>
          <w:i/>
          <w:color w:val="222222"/>
          <w:sz w:val="24"/>
          <w:szCs w:val="24"/>
          <w:highlight w:val="white"/>
          <w:lang w:val="en-GB"/>
        </w:rPr>
        <w:t>et al.</w:t>
      </w:r>
      <w:r>
        <w:rPr>
          <w:rFonts w:eastAsia="Times New Roman" w:cs="Times New Roman" w:ascii="Times New Roman" w:hAnsi="Times New Roman"/>
          <w:color w:val="222222"/>
          <w:sz w:val="24"/>
          <w:szCs w:val="24"/>
          <w:highlight w:val="white"/>
          <w:lang w:val="en-GB"/>
        </w:rPr>
        <w:t xml:space="preserve"> 2022</w:t>
      </w:r>
      <w:r>
        <w:rPr>
          <w:rFonts w:eastAsia="Times New Roman" w:cs="Times New Roman" w:ascii="Times New Roman" w:hAnsi="Times New Roman"/>
          <w:sz w:val="24"/>
          <w:szCs w:val="24"/>
          <w:lang w:val="en-GB"/>
        </w:rPr>
        <w:t xml:space="preserve">). The lack of digital skills of the employees affects the organisation to make an employee-friendly environment and improve the organisation's work culture. </w:t>
      </w:r>
    </w:p>
    <w:p>
      <w:pPr>
        <w:pStyle w:val="Heading2"/>
        <w:rPr/>
      </w:pPr>
      <w:bookmarkStart w:id="10" w:name="_Toc112345189"/>
      <w:r>
        <w:rPr/>
        <w:t>Application of HR metrics in Vodafone</w:t>
      </w:r>
      <w:bookmarkEnd w:id="10"/>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Vodafone needs to follow the HR metrics to achieve long-term goals and improve the organisation's efficiency by motivating employees. The organisation needs to evaluate the challenges appropriately and take strategic steps to improve employee skills. Focusing on the above HR metrics can be effective for Vodafone to improve employee performance. </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Compensation</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As per the view of </w:t>
      </w:r>
      <w:r>
        <w:rPr>
          <w:rFonts w:eastAsia="Times New Roman" w:cs="Times New Roman" w:ascii="Times New Roman" w:hAnsi="Times New Roman"/>
          <w:color w:val="222222"/>
          <w:sz w:val="24"/>
          <w:szCs w:val="24"/>
          <w:highlight w:val="white"/>
          <w:lang w:val="en-GB"/>
        </w:rPr>
        <w:t xml:space="preserve">Thornton </w:t>
      </w:r>
      <w:r>
        <w:rPr>
          <w:rFonts w:eastAsia="Times New Roman" w:cs="Times New Roman" w:ascii="Times New Roman" w:hAnsi="Times New Roman"/>
          <w:i/>
          <w:color w:val="222222"/>
          <w:sz w:val="24"/>
          <w:szCs w:val="24"/>
          <w:highlight w:val="white"/>
          <w:lang w:val="en-GB"/>
        </w:rPr>
        <w:t xml:space="preserve">et al. </w:t>
      </w:r>
      <w:r>
        <w:rPr>
          <w:rFonts w:eastAsia="Times New Roman" w:cs="Times New Roman" w:ascii="Times New Roman" w:hAnsi="Times New Roman"/>
          <w:sz w:val="24"/>
          <w:szCs w:val="24"/>
          <w:lang w:val="en-GB"/>
        </w:rPr>
        <w:t xml:space="preserve">(2019), compensation can be defined as the non-financial and financial benefits of improving employee skills and competencies. Compensation is a strategic approach which is used to motivate the employees and improve the organisation's productivity by influencing them at the workplace. Compensation can be defined in various forms such as salary to the employees, providing flexible time hours, vacation to the employees, employee perks, adjustable salaries and profit sharing schemes. </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r>
    </w:p>
    <w:p>
      <w:pPr>
        <w:pStyle w:val="Heading2"/>
        <w:rPr/>
      </w:pPr>
      <w:bookmarkStart w:id="11" w:name="_Toc112345190"/>
      <w:r>
        <w:rPr/>
        <w:t>Expectancy theory of compensation</w:t>
      </w:r>
      <w:bookmarkEnd w:id="11"/>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According to </w:t>
      </w:r>
      <w:r>
        <w:rPr>
          <w:rFonts w:eastAsia="Times New Roman" w:cs="Times New Roman" w:ascii="Times New Roman" w:hAnsi="Times New Roman"/>
          <w:color w:val="222222"/>
          <w:sz w:val="24"/>
          <w:szCs w:val="24"/>
          <w:highlight w:val="white"/>
          <w:lang w:val="en-GB"/>
        </w:rPr>
        <w:t>Thu and Thu (2022</w:t>
      </w:r>
      <w:r>
        <w:rPr>
          <w:rFonts w:eastAsia="Times New Roman" w:cs="Times New Roman" w:ascii="Times New Roman" w:hAnsi="Times New Roman"/>
          <w:sz w:val="24"/>
          <w:szCs w:val="24"/>
          <w:lang w:val="en-GB"/>
        </w:rPr>
        <w:t xml:space="preserve">), the expectancy theory depicts that employees have their own goals. Therefore, organisations need to motivate employees so that they can easily achieve their personal goals if they can achieve such a target. Therefore, it is a strategic approach for businesses to motivate employees at the workplace and improve the organisation's performance in the long run. Vodafone can use the theory to motivate employees and achieve the firm's common goals. Victor Vroom developed the expectancy theory to motivate all the employees in an organisation. Three key factors need to be considered such as valances, expectancy and instrumentality. The theory depicts that the employees need to give total effort in their tasks to perform effectively, which helps in achieving better outcomes. In this way, the businesses achieve long-term organisational goals by convincing the employees at the workplace. </w:t>
      </w:r>
    </w:p>
    <w:p>
      <w:pPr>
        <w:pStyle w:val="Normal1"/>
        <w:spacing w:lineRule="auto" w:line="360"/>
        <w:jc w:val="center"/>
        <w:rPr>
          <w:rFonts w:ascii="Times New Roman" w:hAnsi="Times New Roman" w:eastAsia="Times New Roman" w:cs="Times New Roman"/>
          <w:sz w:val="24"/>
          <w:szCs w:val="24"/>
          <w:lang w:val="en-GB"/>
        </w:rPr>
      </w:pPr>
      <w:r>
        <w:rPr/>
        <mc:AlternateContent>
          <mc:Choice Requires="wps">
            <w:drawing>
              <wp:inline distT="0" distB="0" distL="0" distR="0">
                <wp:extent cx="5731510" cy="1727835"/>
                <wp:effectExtent l="38100" t="57150" r="117150" b="101600"/>
                <wp:docPr id="3" name="image1.png"/>
                <a:graphic xmlns:a="http://schemas.openxmlformats.org/drawingml/2006/main">
                  <a:graphicData uri="http://schemas.openxmlformats.org/drawingml/2006/picture">
                    <pic:pic xmlns:pic="http://schemas.openxmlformats.org/drawingml/2006/picture">
                      <pic:nvPicPr>
                        <pic:cNvPr id="0" name="image1.png" descr=""/>
                        <pic:cNvPicPr/>
                      </pic:nvPicPr>
                      <pic:blipFill>
                        <a:blip r:embed="rId12"/>
                        <a:stretch/>
                      </pic:blipFill>
                      <pic:spPr>
                        <a:xfrm>
                          <a:off x="0" y="0"/>
                          <a:ext cx="5730840" cy="1727280"/>
                        </a:xfrm>
                        <a:prstGeom prst="rect">
                          <a:avLst/>
                        </a:prstGeom>
                        <a:ln w="38160">
                          <a:solidFill>
                            <a:srgbClr val="000000"/>
                          </a:solidFill>
                          <a:miter/>
                        </a:ln>
                        <a:effectLst>
                          <a:outerShdw algn="tl" blurRad="50800" dir="2700000" dist="37674" rotWithShape="0">
                            <a:srgbClr val="000000">
                              <a:alpha val="43000"/>
                            </a:srgbClr>
                          </a:outerShdw>
                        </a:effectLst>
                      </pic:spPr>
                    </pic:pic>
                  </a:graphicData>
                </a:graphic>
              </wp:inline>
            </w:drawing>
          </mc:Choice>
          <mc:Fallback>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image1.png" stroked="t" style="position:absolute;margin-left:0pt;margin-top:-136.05pt;width:451.2pt;height:135.95pt;mso-position-vertical:top" type="shapetype_75">
                <v:imagedata r:id="rId12" o:detectmouseclick="t"/>
                <w10:wrap type="none"/>
                <v:stroke color="black" weight="38160" joinstyle="miter" endcap="flat"/>
                <v:shadow on="t" obscured="f" color="black"/>
              </v:shape>
            </w:pict>
          </mc:Fallback>
        </mc:AlternateContent>
      </w:r>
    </w:p>
    <w:p>
      <w:pPr>
        <w:pStyle w:val="Normal1"/>
        <w:jc w:val="center"/>
        <w:rPr>
          <w:rFonts w:ascii="Times New Roman" w:hAnsi="Times New Roman" w:cs="Times New Roman"/>
          <w:b/>
          <w:b/>
          <w:sz w:val="24"/>
          <w:szCs w:val="24"/>
        </w:rPr>
      </w:pPr>
      <w:r>
        <w:rPr>
          <w:rFonts w:cs="Times New Roman" w:ascii="Times New Roman" w:hAnsi="Times New Roman"/>
          <w:b/>
          <w:sz w:val="24"/>
          <w:szCs w:val="24"/>
        </w:rPr>
        <w:t>Figure 3: Expectancy theory of compensation</w:t>
      </w:r>
    </w:p>
    <w:p>
      <w:pPr>
        <w:pStyle w:val="Normal1"/>
        <w:spacing w:lineRule="auto" w:line="360"/>
        <w:jc w:val="center"/>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(Source: </w:t>
      </w:r>
      <w:r>
        <w:rPr>
          <w:rFonts w:eastAsia="Times New Roman" w:cs="Times New Roman" w:ascii="Times New Roman" w:hAnsi="Times New Roman"/>
          <w:color w:val="222222"/>
          <w:sz w:val="24"/>
          <w:szCs w:val="24"/>
          <w:highlight w:val="white"/>
          <w:lang w:val="en-GB"/>
        </w:rPr>
        <w:t>Chopra, 2019)</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Valence</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Often employees get motivation from the organisation in case the organisation provides rewards to the employees, which is essential for engaging the employees with the organisation (</w:t>
      </w:r>
      <w:r>
        <w:rPr>
          <w:rFonts w:eastAsia="Times New Roman" w:cs="Times New Roman" w:ascii="Times New Roman" w:hAnsi="Times New Roman"/>
          <w:color w:val="222222"/>
          <w:sz w:val="24"/>
          <w:szCs w:val="24"/>
          <w:highlight w:val="white"/>
          <w:lang w:val="en-GB"/>
        </w:rPr>
        <w:t>Chopra, 2019)</w:t>
      </w:r>
      <w:r>
        <w:rPr>
          <w:rFonts w:eastAsia="Times New Roman" w:cs="Times New Roman" w:ascii="Times New Roman" w:hAnsi="Times New Roman"/>
          <w:sz w:val="24"/>
          <w:szCs w:val="24"/>
          <w:lang w:val="en-GB"/>
        </w:rPr>
        <w:t>. Salary is the primary factor in valence, which motivates the employees most and influences them to achieve their personal and organisational goals. It is the management's responsibility to identify each employee's needs. It helps in motivating all the employees to achieve a common goal. On the other hand, few employees want to maintain a work-life, which motivates them in their work. Therefore, Vodafone's HR management needs to identify different employees' specific needs to provide better customer service (</w:t>
      </w:r>
      <w:r>
        <w:rPr>
          <w:rFonts w:eastAsia="Times New Roman" w:cs="Times New Roman" w:ascii="Times New Roman" w:hAnsi="Times New Roman"/>
          <w:color w:val="222222"/>
          <w:sz w:val="24"/>
          <w:szCs w:val="24"/>
          <w:highlight w:val="white"/>
          <w:lang w:val="en-GB"/>
        </w:rPr>
        <w:t>Chopra, 2018)</w:t>
      </w:r>
      <w:r>
        <w:rPr>
          <w:rFonts w:eastAsia="Times New Roman" w:cs="Times New Roman" w:ascii="Times New Roman" w:hAnsi="Times New Roman"/>
          <w:sz w:val="24"/>
          <w:szCs w:val="24"/>
          <w:lang w:val="en-GB"/>
        </w:rPr>
        <w:t xml:space="preserve">. </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Expectancy</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The ability of employee’s ability varies depending on their skill and potentiality (</w:t>
      </w:r>
      <w:r>
        <w:rPr>
          <w:rFonts w:eastAsia="Times New Roman" w:cs="Times New Roman" w:ascii="Times New Roman" w:hAnsi="Times New Roman"/>
          <w:color w:val="222222"/>
          <w:sz w:val="24"/>
          <w:szCs w:val="24"/>
          <w:highlight w:val="white"/>
          <w:lang w:val="en-GB"/>
        </w:rPr>
        <w:t>Lee, 2019)</w:t>
      </w:r>
      <w:r>
        <w:rPr>
          <w:rFonts w:eastAsia="Times New Roman" w:cs="Times New Roman" w:ascii="Times New Roman" w:hAnsi="Times New Roman"/>
          <w:sz w:val="24"/>
          <w:szCs w:val="24"/>
          <w:lang w:val="en-GB"/>
        </w:rPr>
        <w:t xml:space="preserve">. Therefore, Vodafone needs to delegate the responsibilities based on employee skill and efficiency. In this case, the HR managers of Vodafone need to analyse the potentiality of different employees, which is beneficial for task delegation and implementing an effective strategy to improve internal work efficiency. </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Instrumentality</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Analysing the employees' perceptions is crucial for the management to gain positive feedback from the employees and improve change management. The role of the organisation is to provide a reward to the employees.</w:t>
      </w:r>
    </w:p>
    <w:p>
      <w:pPr>
        <w:pStyle w:val="Heading2"/>
        <w:rPr/>
      </w:pPr>
      <w:bookmarkStart w:id="12" w:name="_Toc112345191"/>
      <w:r>
        <w:rPr/>
        <w:t>Recommendation</w:t>
      </w:r>
      <w:bookmarkEnd w:id="12"/>
      <w:r>
        <w:rPr/>
        <w:t xml:space="preserve"> </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Improving employee retention rate</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Vodafone needs to focus on the employee retention rate, which is beneficial for improving organisational culture and retaining skilled employees within the organisation. A positive workplace environment benefits Vodafone by engaging the employee with the firm and delegating tasks properly. </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Focusing on the work-life balance</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The employees face immense stress, which adversely impacts the organisation's performance. Therefore, it is a strategic approach for Vodafone to satisfy the employees and increase their efficiency level. </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Training and development</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Vodafone needs to give training to the employees so that they can use the technology properly and improve the quality of service, which is a positive factor for the long-term sustainability of the business in the UK market. </w:t>
      </w:r>
    </w:p>
    <w:p>
      <w:pPr>
        <w:pStyle w:val="Heading1"/>
        <w:rPr/>
      </w:pPr>
      <w:bookmarkStart w:id="13" w:name="_Toc112345192"/>
      <w:r>
        <w:rPr/>
        <w:t>Conclusion</w:t>
      </w:r>
      <w:bookmarkEnd w:id="13"/>
      <w:r>
        <w:rPr/>
        <w:t xml:space="preserve"> </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From the above discussion, it can be concluded that Vodafone is facing difficulties in retaining skilled employees. The organisation is not embracing the change management model properly due to the lack of a proper HR management strategy. Focusing on different HR metrics such as employee turnover rate, speed of hiring, and quality of hiring is beneficial for Vodafone to improve the organisation's long-term goal and improve the organisation's working culture. Expectancy theory is appropriate for Vodafone to improve the organisation's performance and engage remote employees within the organisation. </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r>
    </w:p>
    <w:p>
      <w:pPr>
        <w:pStyle w:val="Normal"/>
        <w:rPr>
          <w:rFonts w:ascii="Times New Roman" w:hAnsi="Times New Roman" w:eastAsia="Times New Roman" w:cs="Times New Roman"/>
          <w:sz w:val="24"/>
          <w:szCs w:val="24"/>
          <w:highlight w:val="white"/>
          <w:lang w:val="en-GB"/>
        </w:rPr>
      </w:pPr>
      <w:r>
        <w:rPr>
          <w:rFonts w:eastAsia="Times New Roman" w:cs="Times New Roman" w:ascii="Times New Roman" w:hAnsi="Times New Roman"/>
          <w:sz w:val="24"/>
          <w:szCs w:val="24"/>
          <w:highlight w:val="white"/>
          <w:lang w:val="en-GB"/>
        </w:rPr>
      </w:r>
      <w:r>
        <w:br w:type="page"/>
      </w:r>
    </w:p>
    <w:p>
      <w:pPr>
        <w:pStyle w:val="Heading1"/>
        <w:rPr>
          <w:highlight w:val="white"/>
        </w:rPr>
      </w:pPr>
      <w:bookmarkStart w:id="14" w:name="_Toc112345193"/>
      <w:r>
        <w:rPr>
          <w:highlight w:val="white"/>
        </w:rPr>
        <w:t>References</w:t>
      </w:r>
      <w:bookmarkEnd w:id="14"/>
    </w:p>
    <w:p>
      <w:pPr>
        <w:pStyle w:val="Normal1"/>
        <w:spacing w:lineRule="auto" w:line="360"/>
        <w:jc w:val="both"/>
        <w:rPr>
          <w:rFonts w:ascii="Times New Roman" w:hAnsi="Times New Roman" w:eastAsia="Times New Roman" w:cs="Times New Roman"/>
          <w:color w:val="222222"/>
          <w:sz w:val="24"/>
          <w:szCs w:val="24"/>
          <w:highlight w:val="white"/>
          <w:lang w:val="en-GB"/>
        </w:rPr>
      </w:pPr>
      <w:r>
        <w:rPr>
          <w:rFonts w:eastAsia="Times New Roman" w:cs="Times New Roman" w:ascii="Times New Roman" w:hAnsi="Times New Roman"/>
          <w:color w:val="222222"/>
          <w:sz w:val="24"/>
          <w:szCs w:val="24"/>
          <w:highlight w:val="white"/>
          <w:lang w:val="en-GB"/>
        </w:rPr>
        <w:t xml:space="preserve">Bombiak, E. and Marciniuk-Kluska, A., 2018. Green human resource management as a tool for the sustainable development of enterprises: Polish young company experience. </w:t>
      </w:r>
      <w:r>
        <w:rPr>
          <w:rFonts w:eastAsia="Times New Roman" w:cs="Times New Roman" w:ascii="Times New Roman" w:hAnsi="Times New Roman"/>
          <w:i/>
          <w:color w:val="222222"/>
          <w:sz w:val="24"/>
          <w:szCs w:val="24"/>
          <w:highlight w:val="white"/>
          <w:lang w:val="en-GB"/>
        </w:rPr>
        <w:t>Sustainability</w:t>
      </w:r>
      <w:r>
        <w:rPr>
          <w:rFonts w:eastAsia="Times New Roman" w:cs="Times New Roman" w:ascii="Times New Roman" w:hAnsi="Times New Roman"/>
          <w:color w:val="222222"/>
          <w:sz w:val="24"/>
          <w:szCs w:val="24"/>
          <w:highlight w:val="white"/>
          <w:lang w:val="en-GB"/>
        </w:rPr>
        <w:t xml:space="preserve">, </w:t>
      </w:r>
      <w:r>
        <w:rPr>
          <w:rFonts w:eastAsia="Times New Roman" w:cs="Times New Roman" w:ascii="Times New Roman" w:hAnsi="Times New Roman"/>
          <w:i/>
          <w:color w:val="222222"/>
          <w:sz w:val="24"/>
          <w:szCs w:val="24"/>
          <w:highlight w:val="white"/>
          <w:lang w:val="en-GB"/>
        </w:rPr>
        <w:t>10</w:t>
      </w:r>
      <w:r>
        <w:rPr>
          <w:rFonts w:eastAsia="Times New Roman" w:cs="Times New Roman" w:ascii="Times New Roman" w:hAnsi="Times New Roman"/>
          <w:color w:val="222222"/>
          <w:sz w:val="24"/>
          <w:szCs w:val="24"/>
          <w:highlight w:val="white"/>
          <w:lang w:val="en-GB"/>
        </w:rPr>
        <w:t>(6), p.1739.</w:t>
      </w:r>
    </w:p>
    <w:p>
      <w:pPr>
        <w:pStyle w:val="Normal1"/>
        <w:spacing w:lineRule="auto" w:line="360"/>
        <w:jc w:val="both"/>
        <w:rPr>
          <w:rFonts w:ascii="Times New Roman" w:hAnsi="Times New Roman" w:eastAsia="Times New Roman" w:cs="Times New Roman"/>
          <w:color w:val="222222"/>
          <w:sz w:val="24"/>
          <w:szCs w:val="24"/>
          <w:highlight w:val="white"/>
          <w:lang w:val="en-GB"/>
        </w:rPr>
      </w:pPr>
      <w:r>
        <w:rPr>
          <w:rFonts w:eastAsia="Times New Roman" w:cs="Times New Roman" w:ascii="Times New Roman" w:hAnsi="Times New Roman"/>
          <w:color w:val="222222"/>
          <w:sz w:val="24"/>
          <w:szCs w:val="24"/>
          <w:highlight w:val="white"/>
          <w:lang w:val="en-GB"/>
        </w:rPr>
        <w:t xml:space="preserve">Boon, C., Eckardt, R., Lepak, D.P. and Boselie, P., 2018. Integrating strategic human capital and strategic human resource management. </w:t>
      </w:r>
      <w:r>
        <w:rPr>
          <w:rFonts w:eastAsia="Times New Roman" w:cs="Times New Roman" w:ascii="Times New Roman" w:hAnsi="Times New Roman"/>
          <w:i/>
          <w:color w:val="222222"/>
          <w:sz w:val="24"/>
          <w:szCs w:val="24"/>
          <w:highlight w:val="white"/>
          <w:lang w:val="en-GB"/>
        </w:rPr>
        <w:t>The International Journal of Human Resource Management</w:t>
      </w:r>
      <w:r>
        <w:rPr>
          <w:rFonts w:eastAsia="Times New Roman" w:cs="Times New Roman" w:ascii="Times New Roman" w:hAnsi="Times New Roman"/>
          <w:color w:val="222222"/>
          <w:sz w:val="24"/>
          <w:szCs w:val="24"/>
          <w:highlight w:val="white"/>
          <w:lang w:val="en-GB"/>
        </w:rPr>
        <w:t xml:space="preserve">, </w:t>
      </w:r>
      <w:r>
        <w:rPr>
          <w:rFonts w:eastAsia="Times New Roman" w:cs="Times New Roman" w:ascii="Times New Roman" w:hAnsi="Times New Roman"/>
          <w:i/>
          <w:color w:val="222222"/>
          <w:sz w:val="24"/>
          <w:szCs w:val="24"/>
          <w:highlight w:val="white"/>
          <w:lang w:val="en-GB"/>
        </w:rPr>
        <w:t>29</w:t>
      </w:r>
      <w:r>
        <w:rPr>
          <w:rFonts w:eastAsia="Times New Roman" w:cs="Times New Roman" w:ascii="Times New Roman" w:hAnsi="Times New Roman"/>
          <w:color w:val="222222"/>
          <w:sz w:val="24"/>
          <w:szCs w:val="24"/>
          <w:highlight w:val="white"/>
          <w:lang w:val="en-GB"/>
        </w:rPr>
        <w:t>(1), pp.34-67.</w:t>
      </w:r>
    </w:p>
    <w:p>
      <w:pPr>
        <w:pStyle w:val="Normal1"/>
        <w:spacing w:lineRule="auto" w:line="360"/>
        <w:jc w:val="both"/>
        <w:rPr>
          <w:rFonts w:ascii="Times New Roman" w:hAnsi="Times New Roman" w:eastAsia="Times New Roman" w:cs="Times New Roman"/>
          <w:color w:val="222222"/>
          <w:sz w:val="24"/>
          <w:szCs w:val="24"/>
          <w:highlight w:val="white"/>
          <w:lang w:val="en-GB"/>
        </w:rPr>
      </w:pPr>
      <w:r>
        <w:rPr>
          <w:rFonts w:eastAsia="Times New Roman" w:cs="Times New Roman" w:ascii="Times New Roman" w:hAnsi="Times New Roman"/>
          <w:color w:val="222222"/>
          <w:sz w:val="24"/>
          <w:szCs w:val="24"/>
          <w:highlight w:val="white"/>
          <w:lang w:val="en-GB"/>
        </w:rPr>
        <w:t xml:space="preserve">Chams, N. and García-Blandón, J., 2019. On the importance of sustainable human resource management for the adoption of sustainable development goals. </w:t>
      </w:r>
      <w:r>
        <w:rPr>
          <w:rFonts w:eastAsia="Times New Roman" w:cs="Times New Roman" w:ascii="Times New Roman" w:hAnsi="Times New Roman"/>
          <w:i/>
          <w:color w:val="222222"/>
          <w:sz w:val="24"/>
          <w:szCs w:val="24"/>
          <w:highlight w:val="white"/>
          <w:lang w:val="en-GB"/>
        </w:rPr>
        <w:t>Resources, Conservation and Recycling</w:t>
      </w:r>
      <w:r>
        <w:rPr>
          <w:rFonts w:eastAsia="Times New Roman" w:cs="Times New Roman" w:ascii="Times New Roman" w:hAnsi="Times New Roman"/>
          <w:color w:val="222222"/>
          <w:sz w:val="24"/>
          <w:szCs w:val="24"/>
          <w:highlight w:val="white"/>
          <w:lang w:val="en-GB"/>
        </w:rPr>
        <w:t xml:space="preserve">, </w:t>
      </w:r>
      <w:r>
        <w:rPr>
          <w:rFonts w:eastAsia="Times New Roman" w:cs="Times New Roman" w:ascii="Times New Roman" w:hAnsi="Times New Roman"/>
          <w:i/>
          <w:color w:val="222222"/>
          <w:sz w:val="24"/>
          <w:szCs w:val="24"/>
          <w:highlight w:val="white"/>
          <w:lang w:val="en-GB"/>
        </w:rPr>
        <w:t>141</w:t>
      </w:r>
      <w:r>
        <w:rPr>
          <w:rFonts w:eastAsia="Times New Roman" w:cs="Times New Roman" w:ascii="Times New Roman" w:hAnsi="Times New Roman"/>
          <w:color w:val="222222"/>
          <w:sz w:val="24"/>
          <w:szCs w:val="24"/>
          <w:highlight w:val="white"/>
          <w:lang w:val="en-GB"/>
        </w:rPr>
        <w:t>, pp.109-122.</w:t>
      </w:r>
    </w:p>
    <w:p>
      <w:pPr>
        <w:pStyle w:val="Normal1"/>
        <w:spacing w:lineRule="auto" w:line="360"/>
        <w:jc w:val="both"/>
        <w:rPr>
          <w:rFonts w:ascii="Times New Roman" w:hAnsi="Times New Roman" w:eastAsia="Times New Roman" w:cs="Times New Roman"/>
          <w:color w:val="222222"/>
          <w:sz w:val="24"/>
          <w:szCs w:val="24"/>
          <w:highlight w:val="white"/>
          <w:lang w:val="en-GB"/>
        </w:rPr>
      </w:pPr>
      <w:r>
        <w:rPr>
          <w:rFonts w:eastAsia="Times New Roman" w:cs="Times New Roman" w:ascii="Times New Roman" w:hAnsi="Times New Roman"/>
          <w:color w:val="222222"/>
          <w:sz w:val="24"/>
          <w:szCs w:val="24"/>
          <w:highlight w:val="white"/>
          <w:lang w:val="en-GB"/>
        </w:rPr>
        <w:t xml:space="preserve">Chopra, K., 2018. Vroom's expectancy theory motivates academic library users in India using grounded theory approach. </w:t>
      </w:r>
      <w:r>
        <w:rPr>
          <w:rFonts w:eastAsia="Times New Roman" w:cs="Times New Roman" w:ascii="Times New Roman" w:hAnsi="Times New Roman"/>
          <w:i/>
          <w:color w:val="222222"/>
          <w:sz w:val="24"/>
          <w:szCs w:val="24"/>
          <w:highlight w:val="white"/>
          <w:lang w:val="en-GB"/>
        </w:rPr>
        <w:t>Global Knowledge, Memory and Communication</w:t>
      </w:r>
      <w:r>
        <w:rPr>
          <w:rFonts w:eastAsia="Times New Roman" w:cs="Times New Roman" w:ascii="Times New Roman" w:hAnsi="Times New Roman"/>
          <w:color w:val="222222"/>
          <w:sz w:val="24"/>
          <w:szCs w:val="24"/>
          <w:highlight w:val="white"/>
          <w:lang w:val="en-GB"/>
        </w:rPr>
        <w:t xml:space="preserve">, </w:t>
      </w:r>
      <w:r>
        <w:rPr>
          <w:rFonts w:eastAsia="Times New Roman" w:cs="Times New Roman" w:ascii="Times New Roman" w:hAnsi="Times New Roman"/>
          <w:i/>
          <w:color w:val="222222"/>
          <w:sz w:val="24"/>
          <w:szCs w:val="24"/>
          <w:highlight w:val="white"/>
          <w:lang w:val="en-GB"/>
        </w:rPr>
        <w:t>68</w:t>
      </w:r>
      <w:r>
        <w:rPr>
          <w:rFonts w:eastAsia="Times New Roman" w:cs="Times New Roman" w:ascii="Times New Roman" w:hAnsi="Times New Roman"/>
          <w:color w:val="222222"/>
          <w:sz w:val="24"/>
          <w:szCs w:val="24"/>
          <w:highlight w:val="white"/>
          <w:lang w:val="en-GB"/>
        </w:rPr>
        <w:t>(4/5), pp.300-322.</w:t>
      </w:r>
    </w:p>
    <w:p>
      <w:pPr>
        <w:pStyle w:val="Normal1"/>
        <w:spacing w:lineRule="auto" w:line="360"/>
        <w:jc w:val="both"/>
        <w:rPr>
          <w:rFonts w:ascii="Times New Roman" w:hAnsi="Times New Roman" w:eastAsia="Times New Roman" w:cs="Times New Roman"/>
          <w:color w:val="222222"/>
          <w:sz w:val="24"/>
          <w:szCs w:val="24"/>
          <w:highlight w:val="white"/>
          <w:lang w:val="en-GB"/>
        </w:rPr>
      </w:pPr>
      <w:r>
        <w:rPr>
          <w:rFonts w:eastAsia="Times New Roman" w:cs="Times New Roman" w:ascii="Times New Roman" w:hAnsi="Times New Roman"/>
          <w:color w:val="222222"/>
          <w:sz w:val="24"/>
          <w:szCs w:val="24"/>
          <w:highlight w:val="white"/>
          <w:lang w:val="en-GB"/>
        </w:rPr>
        <w:t xml:space="preserve">Chopra, K., 2019. Indian shopper motivation to use artificial intelligence: Generating Vroom’s expectancy theory of motivation using grounded theory approach. </w:t>
      </w:r>
      <w:r>
        <w:rPr>
          <w:rFonts w:eastAsia="Times New Roman" w:cs="Times New Roman" w:ascii="Times New Roman" w:hAnsi="Times New Roman"/>
          <w:i/>
          <w:color w:val="222222"/>
          <w:sz w:val="24"/>
          <w:szCs w:val="24"/>
          <w:highlight w:val="white"/>
          <w:lang w:val="en-GB"/>
        </w:rPr>
        <w:t>International Journal of Retail &amp; Distribution Management</w:t>
      </w:r>
      <w:r>
        <w:rPr>
          <w:rFonts w:eastAsia="Times New Roman" w:cs="Times New Roman" w:ascii="Times New Roman" w:hAnsi="Times New Roman"/>
          <w:color w:val="222222"/>
          <w:sz w:val="24"/>
          <w:szCs w:val="24"/>
          <w:highlight w:val="white"/>
          <w:lang w:val="en-GB"/>
        </w:rPr>
        <w:t>.</w:t>
      </w:r>
    </w:p>
    <w:p>
      <w:pPr>
        <w:pStyle w:val="Normal1"/>
        <w:spacing w:lineRule="auto" w:line="360"/>
        <w:jc w:val="both"/>
        <w:rPr>
          <w:rFonts w:ascii="Times New Roman" w:hAnsi="Times New Roman" w:eastAsia="Times New Roman" w:cs="Times New Roman"/>
          <w:color w:val="222222"/>
          <w:sz w:val="24"/>
          <w:szCs w:val="24"/>
          <w:highlight w:val="white"/>
          <w:lang w:val="en-GB"/>
        </w:rPr>
      </w:pPr>
      <w:r>
        <w:rPr>
          <w:rFonts w:eastAsia="Times New Roman" w:cs="Times New Roman" w:ascii="Times New Roman" w:hAnsi="Times New Roman"/>
          <w:color w:val="222222"/>
          <w:sz w:val="24"/>
          <w:szCs w:val="24"/>
          <w:highlight w:val="white"/>
          <w:lang w:val="en-GB"/>
        </w:rPr>
        <w:t>Gaur, M., 2019. HR Metrics &amp; Analytics (Steps for Alignment of HR Analytics With Business Goals and Strategies, Checklists For Strategies And Business Aligned Hr Analytics, History Of HR Analytics, Applications of HR And Predictive Analytics).</w:t>
      </w:r>
    </w:p>
    <w:p>
      <w:pPr>
        <w:pStyle w:val="Normal1"/>
        <w:spacing w:lineRule="auto" w:line="360"/>
        <w:jc w:val="both"/>
        <w:rPr>
          <w:rFonts w:ascii="Times New Roman" w:hAnsi="Times New Roman" w:eastAsia="Times New Roman" w:cs="Times New Roman"/>
          <w:color w:val="222222"/>
          <w:sz w:val="24"/>
          <w:szCs w:val="24"/>
          <w:highlight w:val="white"/>
          <w:lang w:val="en-GB"/>
        </w:rPr>
      </w:pPr>
      <w:r>
        <w:rPr>
          <w:rFonts w:eastAsia="Times New Roman" w:cs="Times New Roman" w:ascii="Times New Roman" w:hAnsi="Times New Roman"/>
          <w:color w:val="222222"/>
          <w:sz w:val="24"/>
          <w:szCs w:val="24"/>
          <w:highlight w:val="white"/>
          <w:lang w:val="en-GB"/>
        </w:rPr>
        <w:t xml:space="preserve">Kang, S.P., Chen, Y., Svihla, V., Gallup, A., Ferris, K. and Datye, A.K., 2022. Guiding change in higher education: An emergent, iterative application of Kotter’s change model. </w:t>
      </w:r>
      <w:r>
        <w:rPr>
          <w:rFonts w:eastAsia="Times New Roman" w:cs="Times New Roman" w:ascii="Times New Roman" w:hAnsi="Times New Roman"/>
          <w:i/>
          <w:color w:val="222222"/>
          <w:sz w:val="24"/>
          <w:szCs w:val="24"/>
          <w:highlight w:val="white"/>
          <w:lang w:val="en-GB"/>
        </w:rPr>
        <w:t>Studies in Higher Education</w:t>
      </w:r>
      <w:r>
        <w:rPr>
          <w:rFonts w:eastAsia="Times New Roman" w:cs="Times New Roman" w:ascii="Times New Roman" w:hAnsi="Times New Roman"/>
          <w:color w:val="222222"/>
          <w:sz w:val="24"/>
          <w:szCs w:val="24"/>
          <w:highlight w:val="white"/>
          <w:lang w:val="en-GB"/>
        </w:rPr>
        <w:t xml:space="preserve">, </w:t>
      </w:r>
      <w:r>
        <w:rPr>
          <w:rFonts w:eastAsia="Times New Roman" w:cs="Times New Roman" w:ascii="Times New Roman" w:hAnsi="Times New Roman"/>
          <w:i/>
          <w:color w:val="222222"/>
          <w:sz w:val="24"/>
          <w:szCs w:val="24"/>
          <w:highlight w:val="white"/>
          <w:lang w:val="en-GB"/>
        </w:rPr>
        <w:t>47</w:t>
      </w:r>
      <w:r>
        <w:rPr>
          <w:rFonts w:eastAsia="Times New Roman" w:cs="Times New Roman" w:ascii="Times New Roman" w:hAnsi="Times New Roman"/>
          <w:color w:val="222222"/>
          <w:sz w:val="24"/>
          <w:szCs w:val="24"/>
          <w:highlight w:val="white"/>
          <w:lang w:val="en-GB"/>
        </w:rPr>
        <w:t>(2), pp.270-289.</w:t>
      </w:r>
    </w:p>
    <w:p>
      <w:pPr>
        <w:pStyle w:val="Normal1"/>
        <w:spacing w:lineRule="auto" w:line="360"/>
        <w:jc w:val="both"/>
        <w:rPr>
          <w:rFonts w:ascii="Times New Roman" w:hAnsi="Times New Roman" w:eastAsia="Times New Roman" w:cs="Times New Roman"/>
          <w:color w:val="222222"/>
          <w:sz w:val="24"/>
          <w:szCs w:val="24"/>
          <w:highlight w:val="white"/>
          <w:lang w:val="en-GB"/>
        </w:rPr>
      </w:pPr>
      <w:r>
        <w:rPr>
          <w:rFonts w:eastAsia="Times New Roman" w:cs="Times New Roman" w:ascii="Times New Roman" w:hAnsi="Times New Roman"/>
          <w:color w:val="222222"/>
          <w:sz w:val="24"/>
          <w:szCs w:val="24"/>
          <w:highlight w:val="white"/>
          <w:lang w:val="en-GB"/>
        </w:rPr>
        <w:t xml:space="preserve">Lee, H.W., 2019. Moderators of the motivational effects of performance management: A comprehensive exploration based on expectancy theory. </w:t>
      </w:r>
      <w:r>
        <w:rPr>
          <w:rFonts w:eastAsia="Times New Roman" w:cs="Times New Roman" w:ascii="Times New Roman" w:hAnsi="Times New Roman"/>
          <w:i/>
          <w:color w:val="222222"/>
          <w:sz w:val="24"/>
          <w:szCs w:val="24"/>
          <w:highlight w:val="white"/>
          <w:lang w:val="en-GB"/>
        </w:rPr>
        <w:t>Public Personnel Management</w:t>
      </w:r>
      <w:r>
        <w:rPr>
          <w:rFonts w:eastAsia="Times New Roman" w:cs="Times New Roman" w:ascii="Times New Roman" w:hAnsi="Times New Roman"/>
          <w:color w:val="222222"/>
          <w:sz w:val="24"/>
          <w:szCs w:val="24"/>
          <w:highlight w:val="white"/>
          <w:lang w:val="en-GB"/>
        </w:rPr>
        <w:t xml:space="preserve">, </w:t>
      </w:r>
      <w:r>
        <w:rPr>
          <w:rFonts w:eastAsia="Times New Roman" w:cs="Times New Roman" w:ascii="Times New Roman" w:hAnsi="Times New Roman"/>
          <w:i/>
          <w:color w:val="222222"/>
          <w:sz w:val="24"/>
          <w:szCs w:val="24"/>
          <w:highlight w:val="white"/>
          <w:lang w:val="en-GB"/>
        </w:rPr>
        <w:t>48</w:t>
      </w:r>
      <w:r>
        <w:rPr>
          <w:rFonts w:eastAsia="Times New Roman" w:cs="Times New Roman" w:ascii="Times New Roman" w:hAnsi="Times New Roman"/>
          <w:color w:val="222222"/>
          <w:sz w:val="24"/>
          <w:szCs w:val="24"/>
          <w:highlight w:val="white"/>
          <w:lang w:val="en-GB"/>
        </w:rPr>
        <w:t xml:space="preserve">(1), pp.27-55.Lee, H.W., 2019. Moderators of the motivational effects of performance management: A comprehensive exploration based on expectancy theory. </w:t>
      </w:r>
      <w:r>
        <w:rPr>
          <w:rFonts w:eastAsia="Times New Roman" w:cs="Times New Roman" w:ascii="Times New Roman" w:hAnsi="Times New Roman"/>
          <w:i/>
          <w:color w:val="222222"/>
          <w:sz w:val="24"/>
          <w:szCs w:val="24"/>
          <w:highlight w:val="white"/>
          <w:lang w:val="en-GB"/>
        </w:rPr>
        <w:t>Public Personnel Management</w:t>
      </w:r>
      <w:r>
        <w:rPr>
          <w:rFonts w:eastAsia="Times New Roman" w:cs="Times New Roman" w:ascii="Times New Roman" w:hAnsi="Times New Roman"/>
          <w:color w:val="222222"/>
          <w:sz w:val="24"/>
          <w:szCs w:val="24"/>
          <w:highlight w:val="white"/>
          <w:lang w:val="en-GB"/>
        </w:rPr>
        <w:t xml:space="preserve">, </w:t>
      </w:r>
      <w:r>
        <w:rPr>
          <w:rFonts w:eastAsia="Times New Roman" w:cs="Times New Roman" w:ascii="Times New Roman" w:hAnsi="Times New Roman"/>
          <w:i/>
          <w:color w:val="222222"/>
          <w:sz w:val="24"/>
          <w:szCs w:val="24"/>
          <w:highlight w:val="white"/>
          <w:lang w:val="en-GB"/>
        </w:rPr>
        <w:t>48</w:t>
      </w:r>
      <w:r>
        <w:rPr>
          <w:rFonts w:eastAsia="Times New Roman" w:cs="Times New Roman" w:ascii="Times New Roman" w:hAnsi="Times New Roman"/>
          <w:color w:val="222222"/>
          <w:sz w:val="24"/>
          <w:szCs w:val="24"/>
          <w:highlight w:val="white"/>
          <w:lang w:val="en-GB"/>
        </w:rPr>
        <w:t>(1), pp.27-55.</w:t>
      </w:r>
    </w:p>
    <w:p>
      <w:pPr>
        <w:pStyle w:val="Normal1"/>
        <w:spacing w:lineRule="auto" w:line="360"/>
        <w:jc w:val="both"/>
        <w:rPr>
          <w:rFonts w:ascii="Times New Roman" w:hAnsi="Times New Roman" w:eastAsia="Times New Roman" w:cs="Times New Roman"/>
          <w:color w:val="222222"/>
          <w:sz w:val="24"/>
          <w:szCs w:val="24"/>
          <w:highlight w:val="white"/>
          <w:lang w:val="en-GB"/>
        </w:rPr>
      </w:pPr>
      <w:r>
        <w:rPr>
          <w:rFonts w:eastAsia="Times New Roman" w:cs="Times New Roman" w:ascii="Times New Roman" w:hAnsi="Times New Roman"/>
          <w:color w:val="222222"/>
          <w:sz w:val="24"/>
          <w:szCs w:val="24"/>
          <w:highlight w:val="white"/>
          <w:lang w:val="en-GB"/>
        </w:rPr>
        <w:t xml:space="preserve">Maria, A., 2019. HR Analytics: Challenges and prospects of Indian IT Sector. </w:t>
      </w:r>
      <w:r>
        <w:rPr>
          <w:rFonts w:eastAsia="Times New Roman" w:cs="Times New Roman" w:ascii="Times New Roman" w:hAnsi="Times New Roman"/>
          <w:i/>
          <w:color w:val="222222"/>
          <w:sz w:val="24"/>
          <w:szCs w:val="24"/>
          <w:highlight w:val="white"/>
          <w:lang w:val="en-GB"/>
        </w:rPr>
        <w:t>International Journal of Management, IT and Engineering</w:t>
      </w:r>
      <w:r>
        <w:rPr>
          <w:rFonts w:eastAsia="Times New Roman" w:cs="Times New Roman" w:ascii="Times New Roman" w:hAnsi="Times New Roman"/>
          <w:color w:val="222222"/>
          <w:sz w:val="24"/>
          <w:szCs w:val="24"/>
          <w:highlight w:val="white"/>
          <w:lang w:val="en-GB"/>
        </w:rPr>
        <w:t xml:space="preserve">, </w:t>
      </w:r>
      <w:r>
        <w:rPr>
          <w:rFonts w:eastAsia="Times New Roman" w:cs="Times New Roman" w:ascii="Times New Roman" w:hAnsi="Times New Roman"/>
          <w:i/>
          <w:color w:val="222222"/>
          <w:sz w:val="24"/>
          <w:szCs w:val="24"/>
          <w:highlight w:val="white"/>
          <w:lang w:val="en-GB"/>
        </w:rPr>
        <w:t>9</w:t>
      </w:r>
      <w:r>
        <w:rPr>
          <w:rFonts w:eastAsia="Times New Roman" w:cs="Times New Roman" w:ascii="Times New Roman" w:hAnsi="Times New Roman"/>
          <w:color w:val="222222"/>
          <w:sz w:val="24"/>
          <w:szCs w:val="24"/>
          <w:highlight w:val="white"/>
          <w:lang w:val="en-GB"/>
        </w:rPr>
        <w:t>(7), pp.404-415.</w:t>
      </w:r>
    </w:p>
    <w:p>
      <w:pPr>
        <w:pStyle w:val="Normal1"/>
        <w:spacing w:lineRule="auto" w:line="360"/>
        <w:jc w:val="both"/>
        <w:rPr>
          <w:rFonts w:ascii="Times New Roman" w:hAnsi="Times New Roman" w:eastAsia="Times New Roman" w:cs="Times New Roman"/>
          <w:color w:val="222222"/>
          <w:sz w:val="24"/>
          <w:szCs w:val="24"/>
          <w:highlight w:val="white"/>
          <w:lang w:val="en-GB"/>
        </w:rPr>
      </w:pPr>
      <w:r>
        <w:rPr>
          <w:rFonts w:eastAsia="Times New Roman" w:cs="Times New Roman" w:ascii="Times New Roman" w:hAnsi="Times New Roman"/>
          <w:color w:val="222222"/>
          <w:sz w:val="24"/>
          <w:szCs w:val="24"/>
          <w:highlight w:val="white"/>
          <w:lang w:val="en-GB"/>
        </w:rPr>
        <w:t xml:space="preserve">Papa, A., Dezi, L., Gregori, G.L., Mueller, J. and Miglietta, N., 2018. Improving innovation performance through knowledge acquisition: the moderating role of employee retention and human resource management practices. </w:t>
      </w:r>
      <w:r>
        <w:rPr>
          <w:rFonts w:eastAsia="Times New Roman" w:cs="Times New Roman" w:ascii="Times New Roman" w:hAnsi="Times New Roman"/>
          <w:i/>
          <w:color w:val="222222"/>
          <w:sz w:val="24"/>
          <w:szCs w:val="24"/>
          <w:highlight w:val="white"/>
          <w:lang w:val="en-GB"/>
        </w:rPr>
        <w:t>Journal of Knowledge Management</w:t>
      </w:r>
      <w:r>
        <w:rPr>
          <w:rFonts w:eastAsia="Times New Roman" w:cs="Times New Roman" w:ascii="Times New Roman" w:hAnsi="Times New Roman"/>
          <w:color w:val="222222"/>
          <w:sz w:val="24"/>
          <w:szCs w:val="24"/>
          <w:highlight w:val="white"/>
          <w:lang w:val="en-GB"/>
        </w:rPr>
        <w:t>.</w:t>
      </w:r>
    </w:p>
    <w:p>
      <w:pPr>
        <w:pStyle w:val="Normal1"/>
        <w:spacing w:lineRule="auto" w:line="360"/>
        <w:jc w:val="both"/>
        <w:rPr>
          <w:rFonts w:ascii="Times New Roman" w:hAnsi="Times New Roman" w:eastAsia="Times New Roman" w:cs="Times New Roman"/>
          <w:color w:val="222222"/>
          <w:sz w:val="24"/>
          <w:szCs w:val="24"/>
          <w:highlight w:val="white"/>
          <w:lang w:val="en-GB"/>
        </w:rPr>
      </w:pPr>
      <w:r>
        <w:rPr>
          <w:rFonts w:eastAsia="Times New Roman" w:cs="Times New Roman" w:ascii="Times New Roman" w:hAnsi="Times New Roman"/>
          <w:color w:val="222222"/>
          <w:sz w:val="24"/>
          <w:szCs w:val="24"/>
          <w:highlight w:val="white"/>
          <w:lang w:val="en-GB"/>
        </w:rPr>
        <w:t xml:space="preserve">Pham, N.T., Tučková, Z. and Jabbour, C.J.C., 2019. Greening the hospitality industry: How do green human resource management practices influence organizational citizenship behaviour in hotels? A mixed-methods study. </w:t>
      </w:r>
      <w:r>
        <w:rPr>
          <w:rFonts w:eastAsia="Times New Roman" w:cs="Times New Roman" w:ascii="Times New Roman" w:hAnsi="Times New Roman"/>
          <w:i/>
          <w:color w:val="222222"/>
          <w:sz w:val="24"/>
          <w:szCs w:val="24"/>
          <w:highlight w:val="white"/>
          <w:lang w:val="en-GB"/>
        </w:rPr>
        <w:t>Tourism Management</w:t>
      </w:r>
      <w:r>
        <w:rPr>
          <w:rFonts w:eastAsia="Times New Roman" w:cs="Times New Roman" w:ascii="Times New Roman" w:hAnsi="Times New Roman"/>
          <w:color w:val="222222"/>
          <w:sz w:val="24"/>
          <w:szCs w:val="24"/>
          <w:highlight w:val="white"/>
          <w:lang w:val="en-GB"/>
        </w:rPr>
        <w:t xml:space="preserve">, </w:t>
      </w:r>
      <w:r>
        <w:rPr>
          <w:rFonts w:eastAsia="Times New Roman" w:cs="Times New Roman" w:ascii="Times New Roman" w:hAnsi="Times New Roman"/>
          <w:i/>
          <w:color w:val="222222"/>
          <w:sz w:val="24"/>
          <w:szCs w:val="24"/>
          <w:highlight w:val="white"/>
          <w:lang w:val="en-GB"/>
        </w:rPr>
        <w:t>72</w:t>
      </w:r>
      <w:r>
        <w:rPr>
          <w:rFonts w:eastAsia="Times New Roman" w:cs="Times New Roman" w:ascii="Times New Roman" w:hAnsi="Times New Roman"/>
          <w:color w:val="222222"/>
          <w:sz w:val="24"/>
          <w:szCs w:val="24"/>
          <w:highlight w:val="white"/>
          <w:lang w:val="en-GB"/>
        </w:rPr>
        <w:t>, pp.386-399.</w:t>
      </w:r>
    </w:p>
    <w:p>
      <w:pPr>
        <w:pStyle w:val="Normal1"/>
        <w:spacing w:lineRule="auto" w:line="360"/>
        <w:jc w:val="both"/>
        <w:rPr>
          <w:rFonts w:ascii="Times New Roman" w:hAnsi="Times New Roman" w:eastAsia="Times New Roman" w:cs="Times New Roman"/>
          <w:color w:val="222222"/>
          <w:sz w:val="24"/>
          <w:szCs w:val="24"/>
          <w:highlight w:val="white"/>
          <w:lang w:val="en-GB"/>
        </w:rPr>
      </w:pPr>
      <w:r>
        <w:rPr>
          <w:rFonts w:eastAsia="Times New Roman" w:cs="Times New Roman" w:ascii="Times New Roman" w:hAnsi="Times New Roman"/>
          <w:color w:val="222222"/>
          <w:sz w:val="24"/>
          <w:szCs w:val="24"/>
          <w:highlight w:val="white"/>
          <w:lang w:val="en-GB"/>
        </w:rPr>
        <w:t xml:space="preserve">Prasad, K.D.V., Rao, M. and Vaidya, R., 2019. Recruitment metrics and accomplishments: A study with reference to the information technology sector. </w:t>
      </w:r>
      <w:r>
        <w:rPr>
          <w:rFonts w:eastAsia="Times New Roman" w:cs="Times New Roman" w:ascii="Times New Roman" w:hAnsi="Times New Roman"/>
          <w:i/>
          <w:color w:val="222222"/>
          <w:sz w:val="24"/>
          <w:szCs w:val="24"/>
          <w:highlight w:val="white"/>
          <w:lang w:val="en-GB"/>
        </w:rPr>
        <w:t>Journal of Management Research and Analysis</w:t>
      </w:r>
      <w:r>
        <w:rPr>
          <w:rFonts w:eastAsia="Times New Roman" w:cs="Times New Roman" w:ascii="Times New Roman" w:hAnsi="Times New Roman"/>
          <w:color w:val="222222"/>
          <w:sz w:val="24"/>
          <w:szCs w:val="24"/>
          <w:highlight w:val="white"/>
          <w:lang w:val="en-GB"/>
        </w:rPr>
        <w:t xml:space="preserve">, </w:t>
      </w:r>
      <w:r>
        <w:rPr>
          <w:rFonts w:eastAsia="Times New Roman" w:cs="Times New Roman" w:ascii="Times New Roman" w:hAnsi="Times New Roman"/>
          <w:i/>
          <w:color w:val="222222"/>
          <w:sz w:val="24"/>
          <w:szCs w:val="24"/>
          <w:highlight w:val="white"/>
          <w:lang w:val="en-GB"/>
        </w:rPr>
        <w:t>6</w:t>
      </w:r>
      <w:r>
        <w:rPr>
          <w:rFonts w:eastAsia="Times New Roman" w:cs="Times New Roman" w:ascii="Times New Roman" w:hAnsi="Times New Roman"/>
          <w:color w:val="222222"/>
          <w:sz w:val="24"/>
          <w:szCs w:val="24"/>
          <w:highlight w:val="white"/>
          <w:lang w:val="en-GB"/>
        </w:rPr>
        <w:t>(2), pp.106-111.</w:t>
      </w:r>
    </w:p>
    <w:p>
      <w:pPr>
        <w:pStyle w:val="Normal1"/>
        <w:spacing w:lineRule="auto" w:line="360"/>
        <w:jc w:val="both"/>
        <w:rPr>
          <w:rFonts w:ascii="Times New Roman" w:hAnsi="Times New Roman" w:eastAsia="Times New Roman" w:cs="Times New Roman"/>
          <w:color w:val="222222"/>
          <w:sz w:val="24"/>
          <w:szCs w:val="24"/>
          <w:highlight w:val="white"/>
          <w:lang w:val="en-GB"/>
        </w:rPr>
      </w:pPr>
      <w:r>
        <w:rPr>
          <w:rFonts w:eastAsia="Times New Roman" w:cs="Times New Roman" w:ascii="Times New Roman" w:hAnsi="Times New Roman"/>
          <w:color w:val="222222"/>
          <w:sz w:val="24"/>
          <w:szCs w:val="24"/>
          <w:highlight w:val="white"/>
          <w:lang w:val="en-GB"/>
        </w:rPr>
        <w:t xml:space="preserve">Thornton, B., Usinger, J. and Sanchez, J., 2019. Leading effective building level change. </w:t>
      </w:r>
      <w:r>
        <w:rPr>
          <w:rFonts w:eastAsia="Times New Roman" w:cs="Times New Roman" w:ascii="Times New Roman" w:hAnsi="Times New Roman"/>
          <w:i/>
          <w:color w:val="222222"/>
          <w:sz w:val="24"/>
          <w:szCs w:val="24"/>
          <w:highlight w:val="white"/>
          <w:lang w:val="en-GB"/>
        </w:rPr>
        <w:t>Education</w:t>
      </w:r>
      <w:r>
        <w:rPr>
          <w:rFonts w:eastAsia="Times New Roman" w:cs="Times New Roman" w:ascii="Times New Roman" w:hAnsi="Times New Roman"/>
          <w:color w:val="222222"/>
          <w:sz w:val="24"/>
          <w:szCs w:val="24"/>
          <w:highlight w:val="white"/>
          <w:lang w:val="en-GB"/>
        </w:rPr>
        <w:t xml:space="preserve">, </w:t>
      </w:r>
      <w:r>
        <w:rPr>
          <w:rFonts w:eastAsia="Times New Roman" w:cs="Times New Roman" w:ascii="Times New Roman" w:hAnsi="Times New Roman"/>
          <w:i/>
          <w:color w:val="222222"/>
          <w:sz w:val="24"/>
          <w:szCs w:val="24"/>
          <w:highlight w:val="white"/>
          <w:lang w:val="en-GB"/>
        </w:rPr>
        <w:t>139</w:t>
      </w:r>
      <w:r>
        <w:rPr>
          <w:rFonts w:eastAsia="Times New Roman" w:cs="Times New Roman" w:ascii="Times New Roman" w:hAnsi="Times New Roman"/>
          <w:color w:val="222222"/>
          <w:sz w:val="24"/>
          <w:szCs w:val="24"/>
          <w:highlight w:val="white"/>
          <w:lang w:val="en-GB"/>
        </w:rPr>
        <w:t>(3), pp.131-138.</w:t>
      </w:r>
    </w:p>
    <w:p>
      <w:pPr>
        <w:pStyle w:val="Normal1"/>
        <w:spacing w:lineRule="auto" w:line="360"/>
        <w:jc w:val="both"/>
        <w:rPr>
          <w:rFonts w:ascii="Times New Roman" w:hAnsi="Times New Roman" w:eastAsia="Times New Roman" w:cs="Times New Roman"/>
          <w:color w:val="222222"/>
          <w:sz w:val="24"/>
          <w:szCs w:val="24"/>
          <w:highlight w:val="white"/>
          <w:lang w:val="en-GB"/>
        </w:rPr>
      </w:pPr>
      <w:r>
        <w:rPr>
          <w:rFonts w:eastAsia="Times New Roman" w:cs="Times New Roman" w:ascii="Times New Roman" w:hAnsi="Times New Roman"/>
          <w:color w:val="222222"/>
          <w:sz w:val="24"/>
          <w:szCs w:val="24"/>
          <w:highlight w:val="white"/>
          <w:lang w:val="en-GB"/>
        </w:rPr>
        <w:t xml:space="preserve">Thu, TDT and Thu, HTT, 2022. Change management in Higher Education by Kotter's Model: A Case Study in Vietnam Private University. </w:t>
      </w:r>
      <w:r>
        <w:rPr>
          <w:rFonts w:eastAsia="Times New Roman" w:cs="Times New Roman" w:ascii="Times New Roman" w:hAnsi="Times New Roman"/>
          <w:i/>
          <w:color w:val="222222"/>
          <w:sz w:val="24"/>
          <w:szCs w:val="24"/>
          <w:highlight w:val="white"/>
          <w:lang w:val="en-GB"/>
        </w:rPr>
        <w:t>Journal of International Business and Management</w:t>
      </w:r>
      <w:r>
        <w:rPr>
          <w:rFonts w:eastAsia="Times New Roman" w:cs="Times New Roman" w:ascii="Times New Roman" w:hAnsi="Times New Roman"/>
          <w:color w:val="222222"/>
          <w:sz w:val="24"/>
          <w:szCs w:val="24"/>
          <w:highlight w:val="white"/>
          <w:lang w:val="en-GB"/>
        </w:rPr>
        <w:t xml:space="preserve">, </w:t>
      </w:r>
      <w:r>
        <w:rPr>
          <w:rFonts w:eastAsia="Times New Roman" w:cs="Times New Roman" w:ascii="Times New Roman" w:hAnsi="Times New Roman"/>
          <w:i/>
          <w:color w:val="222222"/>
          <w:sz w:val="24"/>
          <w:szCs w:val="24"/>
          <w:highlight w:val="white"/>
          <w:lang w:val="en-GB"/>
        </w:rPr>
        <w:t>5</w:t>
      </w:r>
      <w:r>
        <w:rPr>
          <w:rFonts w:eastAsia="Times New Roman" w:cs="Times New Roman" w:ascii="Times New Roman" w:hAnsi="Times New Roman"/>
          <w:color w:val="222222"/>
          <w:sz w:val="24"/>
          <w:szCs w:val="24"/>
          <w:highlight w:val="white"/>
          <w:lang w:val="en-GB"/>
        </w:rPr>
        <w:t>(1), pp.01-12.</w:t>
      </w:r>
    </w:p>
    <w:p>
      <w:pPr>
        <w:pStyle w:val="Normal1"/>
        <w:spacing w:lineRule="auto" w:line="360"/>
        <w:jc w:val="both"/>
        <w:rPr>
          <w:rFonts w:ascii="Times New Roman" w:hAnsi="Times New Roman" w:eastAsia="Times New Roman" w:cs="Times New Roman"/>
          <w:color w:val="222222"/>
          <w:sz w:val="24"/>
          <w:szCs w:val="24"/>
          <w:highlight w:val="white"/>
          <w:lang w:val="en-GB"/>
        </w:rPr>
      </w:pPr>
      <w:r>
        <w:rPr>
          <w:rFonts w:eastAsia="Times New Roman" w:cs="Times New Roman" w:ascii="Times New Roman" w:hAnsi="Times New Roman"/>
          <w:color w:val="222222"/>
          <w:sz w:val="24"/>
          <w:szCs w:val="24"/>
          <w:highlight w:val="white"/>
          <w:lang w:val="en-GB"/>
        </w:rPr>
        <w:t>Ullah, N., 2021. Contemporary Change Management Practices and Its Relevance: Application of Maybank.</w:t>
      </w:r>
    </w:p>
    <w:p>
      <w:pPr>
        <w:pStyle w:val="Normal1"/>
        <w:spacing w:lineRule="auto" w:line="360"/>
        <w:jc w:val="both"/>
        <w:rPr>
          <w:rFonts w:ascii="Times New Roman" w:hAnsi="Times New Roman" w:eastAsia="Times New Roman" w:cs="Times New Roman"/>
          <w:sz w:val="24"/>
          <w:szCs w:val="24"/>
          <w:highlight w:val="white"/>
          <w:lang w:val="en-GB"/>
        </w:rPr>
      </w:pPr>
      <w:r>
        <w:rPr>
          <w:rFonts w:eastAsia="Times New Roman" w:cs="Times New Roman" w:ascii="Times New Roman" w:hAnsi="Times New Roman"/>
          <w:sz w:val="24"/>
          <w:szCs w:val="24"/>
          <w:highlight w:val="white"/>
          <w:lang w:val="en-GB"/>
        </w:rPr>
        <w:t>Vodafone.com, 2022. [online] Available at: &lt;https://www.vodafone.com/business/rethinking-the-workplace&gt; [Accessed 25 August 2022].</w:t>
      </w:r>
    </w:p>
    <w:p>
      <w:pPr>
        <w:pStyle w:val="Normal1"/>
        <w:spacing w:lineRule="auto" w:line="360"/>
        <w:jc w:val="both"/>
        <w:rPr>
          <w:rFonts w:ascii="Times New Roman" w:hAnsi="Times New Roman" w:eastAsia="Times New Roman" w:cs="Times New Roman"/>
          <w:color w:val="222222"/>
          <w:sz w:val="24"/>
          <w:szCs w:val="24"/>
          <w:highlight w:val="white"/>
          <w:lang w:val="en-GB"/>
        </w:rPr>
      </w:pPr>
      <w:r>
        <w:rPr>
          <w:rFonts w:eastAsia="Times New Roman" w:cs="Times New Roman" w:ascii="Times New Roman" w:hAnsi="Times New Roman"/>
          <w:color w:val="222222"/>
          <w:sz w:val="24"/>
          <w:szCs w:val="24"/>
          <w:highlight w:val="white"/>
          <w:lang w:val="en-GB"/>
        </w:rPr>
        <w:t xml:space="preserve">Wentworth, D.K., Behson, S.J. and Kelley, C.L., 2020. Implementing a new student evaluation of teaching system using the Kotter change model. </w:t>
      </w:r>
      <w:r>
        <w:rPr>
          <w:rFonts w:eastAsia="Times New Roman" w:cs="Times New Roman" w:ascii="Times New Roman" w:hAnsi="Times New Roman"/>
          <w:i/>
          <w:color w:val="222222"/>
          <w:sz w:val="24"/>
          <w:szCs w:val="24"/>
          <w:highlight w:val="white"/>
          <w:lang w:val="en-GB"/>
        </w:rPr>
        <w:t>Studies in Higher Education</w:t>
      </w:r>
      <w:r>
        <w:rPr>
          <w:rFonts w:eastAsia="Times New Roman" w:cs="Times New Roman" w:ascii="Times New Roman" w:hAnsi="Times New Roman"/>
          <w:color w:val="222222"/>
          <w:sz w:val="24"/>
          <w:szCs w:val="24"/>
          <w:highlight w:val="white"/>
          <w:lang w:val="en-GB"/>
        </w:rPr>
        <w:t xml:space="preserve">, </w:t>
      </w:r>
      <w:r>
        <w:rPr>
          <w:rFonts w:eastAsia="Times New Roman" w:cs="Times New Roman" w:ascii="Times New Roman" w:hAnsi="Times New Roman"/>
          <w:i/>
          <w:color w:val="222222"/>
          <w:sz w:val="24"/>
          <w:szCs w:val="24"/>
          <w:highlight w:val="white"/>
          <w:lang w:val="en-GB"/>
        </w:rPr>
        <w:t>45</w:t>
      </w:r>
      <w:r>
        <w:rPr>
          <w:rFonts w:eastAsia="Times New Roman" w:cs="Times New Roman" w:ascii="Times New Roman" w:hAnsi="Times New Roman"/>
          <w:color w:val="222222"/>
          <w:sz w:val="24"/>
          <w:szCs w:val="24"/>
          <w:highlight w:val="white"/>
          <w:lang w:val="en-GB"/>
        </w:rPr>
        <w:t>(3), pp.511-523.</w:t>
      </w:r>
    </w:p>
    <w:p>
      <w:pPr>
        <w:pStyle w:val="Normal1"/>
        <w:spacing w:lineRule="auto" w:line="360"/>
        <w:jc w:val="both"/>
        <w:rPr/>
      </w:pPr>
      <w:r>
        <w:rPr>
          <w:rFonts w:eastAsia="Times New Roman" w:cs="Times New Roman" w:ascii="Times New Roman" w:hAnsi="Times New Roman"/>
          <w:color w:val="222222"/>
          <w:sz w:val="24"/>
          <w:szCs w:val="24"/>
          <w:highlight w:val="white"/>
          <w:lang w:val="en-GB"/>
        </w:rPr>
        <w:t xml:space="preserve">Yong, J.Y., Yusliza, M.Y., Ramayah, T., Chiappetta Jabbour, C.J., Sehnem, S. and Mani, V., 2020. Pathways towards sustainability in manufacturing organizations: Empirical evidence on the role of green human resource management. </w:t>
      </w:r>
      <w:r>
        <w:rPr>
          <w:rFonts w:eastAsia="Times New Roman" w:cs="Times New Roman" w:ascii="Times New Roman" w:hAnsi="Times New Roman"/>
          <w:i/>
          <w:color w:val="222222"/>
          <w:sz w:val="24"/>
          <w:szCs w:val="24"/>
          <w:highlight w:val="white"/>
          <w:lang w:val="en-GB"/>
        </w:rPr>
        <w:t>Business Strategy and the Environment</w:t>
      </w:r>
      <w:r>
        <w:rPr>
          <w:rFonts w:eastAsia="Times New Roman" w:cs="Times New Roman" w:ascii="Times New Roman" w:hAnsi="Times New Roman"/>
          <w:color w:val="222222"/>
          <w:sz w:val="24"/>
          <w:szCs w:val="24"/>
          <w:highlight w:val="white"/>
          <w:lang w:val="en-GB"/>
        </w:rPr>
        <w:t xml:space="preserve">, </w:t>
      </w:r>
      <w:r>
        <w:rPr>
          <w:rFonts w:eastAsia="Times New Roman" w:cs="Times New Roman" w:ascii="Times New Roman" w:hAnsi="Times New Roman"/>
          <w:i/>
          <w:color w:val="222222"/>
          <w:sz w:val="24"/>
          <w:szCs w:val="24"/>
          <w:highlight w:val="white"/>
          <w:lang w:val="en-GB"/>
        </w:rPr>
        <w:t>29</w:t>
      </w:r>
      <w:r>
        <w:rPr>
          <w:rFonts w:eastAsia="Times New Roman" w:cs="Times New Roman" w:ascii="Times New Roman" w:hAnsi="Times New Roman"/>
          <w:color w:val="222222"/>
          <w:sz w:val="24"/>
          <w:szCs w:val="24"/>
          <w:highlight w:val="white"/>
          <w:lang w:val="en-GB"/>
        </w:rPr>
        <w:t>(1), pp.212-228.</w:t>
      </w:r>
    </w:p>
    <w:sectPr>
      <w:headerReference w:type="default" r:id="rId13"/>
      <w:headerReference w:type="first" r:id="rId14"/>
      <w:footerReference w:type="default" r:id="rId15"/>
      <w:footerReference w:type="first" r:id="rId16"/>
      <w:type w:val="nextPage"/>
      <w:pgSz w:w="11906" w:h="16838"/>
      <w:pgMar w:left="1440" w:right="1440" w:header="720" w:top="1440" w:footer="720" w:bottom="1440" w:gutter="0"/>
      <w:pgNumType w:start="1" w:fmt="decimal"/>
      <w:formProt w:val="false"/>
      <w:titlePg/>
      <w:textDirection w:val="lrTb"/>
      <w:docGrid w:type="default" w:linePitch="299"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Arial">
    <w:charset w:val="00"/>
    <w:family w:val="roman"/>
    <w:pitch w:val="variable"/>
  </w:font>
  <w:font w:name="Tahoma">
    <w:charset w:val="00"/>
    <w:family w:val="roman"/>
    <w:pitch w:val="variable"/>
  </w:font>
  <w:font w:name="Liberation Sans">
    <w:altName w:val="Arial"/>
    <w:charset w:val="00"/>
    <w:family w:val="swiss"/>
    <w:pitch w:val="variable"/>
  </w:font>
  <w:font w:name="Calibr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AutoText"/>
      </w:docPartObj>
      <w:id w:val="684925748"/>
    </w:sdtPr>
    <w:sdtContent>
      <w:p>
        <w:pPr>
          <w:pStyle w:val="Footer"/>
          <w:spacing w:lineRule="auto" w:line="360"/>
          <w:jc w:val="right"/>
          <w:rPr/>
        </w:pPr>
        <w:r>
          <w:rPr/>
          <w:fldChar w:fldCharType="begin"/>
        </w:r>
        <w:r>
          <w:rPr/>
          <w:instrText> PAGE </w:instrText>
        </w:r>
        <w:r>
          <w:rPr/>
          <w:fldChar w:fldCharType="separate"/>
        </w:r>
        <w:r>
          <w:rPr/>
          <w:t>12</w:t>
        </w:r>
        <w:r>
          <w:rPr/>
          <w:fldChar w:fldCharType="end"/>
        </w:r>
      </w:p>
    </w:sdtContent>
  </w:sdt>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settings.xml><?xml version="1.0" encoding="utf-8"?>
<w:settings xmlns:w="http://schemas.openxmlformats.org/wordprocessingml/2006/main">
  <w:zoom w:percent="93"/>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IN"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lang w:val="en-GB" w:eastAsia="zh-CN" w:bidi="hi-IN"/>
      </w:rPr>
    </w:rPrDefault>
    <w:pPrDefault>
      <w:pPr/>
    </w:pPrDefault>
  </w:docDefaults>
  <w:latentStyles w:defLockedState="0" w:defUIPriority="99" w:defSemiHidden="1" w:defUnhideWhenUsed="1" w:defQFormat="0" w:count="260">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0" w:semiHidden="0" w:unhideWhenUsed="0" w:qFormat="1"/>
    <w:lsdException w:name="heading 4" w:uiPriority="0" w:semiHidden="0" w:unhideWhenUsed="0" w:qFormat="1"/>
    <w:lsdException w:name="heading 5" w:uiPriority="0" w:semiHidden="0" w:unhideWhenUsed="0" w:qFormat="1"/>
    <w:lsdException w:name="heading 6" w:uiPriority="0" w:semiHidden="0" w:unhideWhenUsed="0"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semiHidden="0" w:qFormat="1"/>
    <w:lsdException w:name="toc 2" w:uiPriority="39" w:semiHidden="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99"/>
    <w:lsdException w:name="header" w:uiPriority="99" w:qFormat="1"/>
    <w:lsdException w:name="footer" w:uiPriority="99" w:semiHidden="0" w:qFormat="1"/>
    <w:lsdException w:name="index heading" w:uiPriority="99"/>
    <w:lsdException w:name="caption" w:uiPriority="35"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page number" w:uiPriority="99"/>
    <w:lsdException w:name="endnote reference" w:uiPriority="99"/>
    <w:lsdException w:name="endnote text" w:uiPriority="99"/>
    <w:lsdException w:name="table of authorities" w:uiPriority="99"/>
    <w:lsdException w:name="macro" w:uiPriority="99"/>
    <w:lsdException w:name="toa heading" w:uiPriority="99"/>
    <w:lsdException w:name="List" w:uiPriority="99"/>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0" w:semiHidden="0" w:unhideWhenUsed="0" w:qFormat="1"/>
    <w:lsdException w:name="Closing" w:uiPriority="99"/>
    <w:lsdException w:name="Signature" w:uiPriority="99"/>
    <w:lsdException w:name="Default Paragraph Font" w:uiPriority="1" w:qFormat="1"/>
    <w:lsdException w:name="Body Text" w:uiPriority="99"/>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uiPriority="0"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semiHidden="0" w:qFormat="1"/>
    <w:lsdException w:name="FollowedHyperlink" w:uiPriority="99"/>
    <w:lsdException w:name="Strong" w:uiPriority="22" w:semiHidden="0" w:unhideWhenUsed="0" w:qFormat="1"/>
    <w:lsdException w:name="Emphasis" w:uiPriority="20" w:semiHidden="0" w:unhideWhenUsed="0" w:qFormat="1"/>
    <w:lsdException w:name="Document Map" w:uiPriority="99"/>
    <w:lsdException w:name="Plain Text" w:uiPriority="99"/>
    <w:lsdException w:name="E-mail Signature" w:uiPriority="99"/>
    <w:lsdException w:name="Normal (Web)" w:uiPriority="99"/>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qFormat="1"/>
    <w:lsdException w:name="annotation subject"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qFormat="1"/>
    <w:lsdException w:name="Table Grid" w:uiPriority="59"/>
    <w:lsdException w:name="Table Theme" w:uiPriority="99"/>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Normal" w:default="1">
    <w:name w:val="Normal"/>
    <w:uiPriority w:val="0"/>
    <w:qFormat/>
    <w:pPr>
      <w:widowControl/>
      <w:bidi w:val="0"/>
      <w:spacing w:lineRule="auto" w:line="276"/>
      <w:jc w:val="left"/>
    </w:pPr>
    <w:rPr>
      <w:rFonts w:ascii="Arial" w:hAnsi="Arial" w:eastAsia="Arial" w:cs="Arial"/>
      <w:color w:val="auto"/>
      <w:kern w:val="0"/>
      <w:sz w:val="22"/>
      <w:szCs w:val="22"/>
      <w:lang w:val="en-US" w:eastAsia="en-US" w:bidi="ar-SA"/>
    </w:rPr>
  </w:style>
  <w:style w:type="paragraph" w:styleId="Heading1">
    <w:name w:val="Heading 1"/>
    <w:next w:val="Normal1"/>
    <w:uiPriority w:val="0"/>
    <w:qFormat/>
    <w:pPr>
      <w:widowControl/>
      <w:bidi w:val="0"/>
      <w:spacing w:lineRule="auto" w:line="360"/>
      <w:jc w:val="both"/>
      <w:outlineLvl w:val="0"/>
    </w:pPr>
    <w:rPr>
      <w:rFonts w:ascii="Times New Roman" w:hAnsi="Times New Roman" w:eastAsia="Times New Roman" w:cs="Times New Roman"/>
      <w:b/>
      <w:color w:val="auto"/>
      <w:kern w:val="0"/>
      <w:sz w:val="32"/>
      <w:szCs w:val="32"/>
      <w:lang w:val="en-GB" w:eastAsia="zh-CN" w:bidi="hi-IN"/>
    </w:rPr>
  </w:style>
  <w:style w:type="paragraph" w:styleId="Heading2">
    <w:name w:val="Heading 2"/>
    <w:next w:val="Normal1"/>
    <w:uiPriority w:val="0"/>
    <w:qFormat/>
    <w:pPr>
      <w:widowControl/>
      <w:bidi w:val="0"/>
      <w:spacing w:lineRule="auto" w:line="360"/>
      <w:jc w:val="both"/>
      <w:outlineLvl w:val="1"/>
    </w:pPr>
    <w:rPr>
      <w:rFonts w:ascii="Times New Roman" w:hAnsi="Times New Roman" w:eastAsia="Times New Roman" w:cs="Times New Roman"/>
      <w:b/>
      <w:color w:val="auto"/>
      <w:kern w:val="0"/>
      <w:sz w:val="24"/>
      <w:szCs w:val="24"/>
      <w:lang w:val="en-GB" w:eastAsia="zh-CN" w:bidi="hi-IN"/>
    </w:rPr>
  </w:style>
  <w:style w:type="paragraph" w:styleId="Heading3">
    <w:name w:val="Heading 3"/>
    <w:next w:val="Normal1"/>
    <w:uiPriority w:val="0"/>
    <w:qFormat/>
    <w:pPr>
      <w:keepNext w:val="true"/>
      <w:keepLines/>
      <w:widowControl/>
      <w:bidi w:val="0"/>
      <w:spacing w:before="320" w:after="80"/>
      <w:jc w:val="left"/>
      <w:outlineLvl w:val="2"/>
    </w:pPr>
    <w:rPr>
      <w:rFonts w:ascii="Arial" w:hAnsi="Arial" w:eastAsia="Arial" w:cs="Arial"/>
      <w:color w:val="434343"/>
      <w:kern w:val="0"/>
      <w:sz w:val="28"/>
      <w:szCs w:val="28"/>
      <w:lang w:val="en-GB" w:eastAsia="zh-CN" w:bidi="hi-IN"/>
    </w:rPr>
  </w:style>
  <w:style w:type="paragraph" w:styleId="Heading4">
    <w:name w:val="Heading 4"/>
    <w:next w:val="Normal1"/>
    <w:uiPriority w:val="0"/>
    <w:qFormat/>
    <w:pPr>
      <w:keepNext w:val="true"/>
      <w:keepLines/>
      <w:widowControl/>
      <w:bidi w:val="0"/>
      <w:spacing w:before="280" w:after="80"/>
      <w:jc w:val="left"/>
      <w:outlineLvl w:val="3"/>
    </w:pPr>
    <w:rPr>
      <w:rFonts w:ascii="Arial" w:hAnsi="Arial" w:eastAsia="Arial" w:cs="Arial"/>
      <w:color w:val="666666"/>
      <w:kern w:val="0"/>
      <w:sz w:val="24"/>
      <w:szCs w:val="24"/>
      <w:lang w:val="en-GB" w:eastAsia="zh-CN" w:bidi="hi-IN"/>
    </w:rPr>
  </w:style>
  <w:style w:type="paragraph" w:styleId="Heading5">
    <w:name w:val="Heading 5"/>
    <w:next w:val="Normal1"/>
    <w:uiPriority w:val="0"/>
    <w:qFormat/>
    <w:pPr>
      <w:keepNext w:val="true"/>
      <w:keepLines/>
      <w:widowControl/>
      <w:bidi w:val="0"/>
      <w:spacing w:before="240" w:after="80"/>
      <w:jc w:val="left"/>
      <w:outlineLvl w:val="4"/>
    </w:pPr>
    <w:rPr>
      <w:rFonts w:ascii="Arial" w:hAnsi="Arial" w:eastAsia="Arial" w:cs="Arial"/>
      <w:color w:val="666666"/>
      <w:kern w:val="0"/>
      <w:sz w:val="22"/>
      <w:szCs w:val="20"/>
      <w:lang w:val="en-GB" w:eastAsia="zh-CN" w:bidi="hi-IN"/>
    </w:rPr>
  </w:style>
  <w:style w:type="paragraph" w:styleId="Heading6">
    <w:name w:val="Heading 6"/>
    <w:next w:val="Normal1"/>
    <w:uiPriority w:val="0"/>
    <w:qFormat/>
    <w:pPr>
      <w:keepNext w:val="true"/>
      <w:keepLines/>
      <w:widowControl/>
      <w:bidi w:val="0"/>
      <w:spacing w:before="240" w:after="80"/>
      <w:jc w:val="left"/>
      <w:outlineLvl w:val="5"/>
    </w:pPr>
    <w:rPr>
      <w:rFonts w:ascii="Arial" w:hAnsi="Arial" w:eastAsia="Arial" w:cs="Arial"/>
      <w:i/>
      <w:color w:val="666666"/>
      <w:kern w:val="0"/>
      <w:sz w:val="22"/>
      <w:szCs w:val="20"/>
      <w:lang w:val="en-GB" w:eastAsia="zh-CN" w:bidi="hi-IN"/>
    </w:rPr>
  </w:style>
  <w:style w:type="character" w:styleId="DefaultParagraphFont" w:default="1">
    <w:name w:val="Default Paragraph Font"/>
    <w:uiPriority w:val="1"/>
    <w:semiHidden/>
    <w:unhideWhenUsed/>
    <w:qFormat/>
    <w:rPr/>
  </w:style>
  <w:style w:type="character" w:styleId="InternetLink">
    <w:name w:val="Internet Link"/>
    <w:basedOn w:val="DefaultParagraphFont"/>
    <w:uiPriority w:val="99"/>
    <w:unhideWhenUsed/>
    <w:qFormat/>
    <w:rPr>
      <w:color w:val="0000FF" w:themeColor="hyperlink"/>
      <w:u w:val="single"/>
      <w14:textFill>
        <w14:solidFill>
          <w14:schemeClr w14:val="hlink"/>
        </w14:solidFill>
      </w14:textFill>
    </w:rPr>
  </w:style>
  <w:style w:type="character" w:styleId="HeaderChar" w:customStyle="1">
    <w:name w:val="Header Char"/>
    <w:basedOn w:val="DefaultParagraphFont"/>
    <w:link w:val="13"/>
    <w:uiPriority w:val="99"/>
    <w:semiHidden/>
    <w:qFormat/>
    <w:rPr/>
  </w:style>
  <w:style w:type="character" w:styleId="FooterChar" w:customStyle="1">
    <w:name w:val="Footer Char"/>
    <w:basedOn w:val="DefaultParagraphFont"/>
    <w:link w:val="12"/>
    <w:uiPriority w:val="99"/>
    <w:qFormat/>
    <w:rPr/>
  </w:style>
  <w:style w:type="character" w:styleId="BalloonTextChar" w:customStyle="1">
    <w:name w:val="Balloon Text Char"/>
    <w:basedOn w:val="DefaultParagraphFont"/>
    <w:link w:val="11"/>
    <w:uiPriority w:val="99"/>
    <w:semiHidden/>
    <w:qFormat/>
    <w:rPr>
      <w:rFonts w:ascii="Tahoma" w:hAnsi="Tahoma" w:cs="Tahoma"/>
      <w:sz w:val="16"/>
      <w:szCs w:val="16"/>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Normal1" w:customStyle="1">
    <w:name w:val="Normal1"/>
    <w:uiPriority w:val="0"/>
    <w:qFormat/>
    <w:pPr>
      <w:widowControl/>
      <w:bidi w:val="0"/>
      <w:spacing w:lineRule="auto" w:line="276"/>
      <w:jc w:val="left"/>
    </w:pPr>
    <w:rPr>
      <w:rFonts w:ascii="Arial" w:hAnsi="Arial" w:eastAsia="Arial" w:cs="Arial"/>
      <w:color w:val="auto"/>
      <w:kern w:val="0"/>
      <w:sz w:val="22"/>
      <w:szCs w:val="22"/>
      <w:lang w:val="en-US" w:eastAsia="en-US" w:bidi="ar-SA"/>
    </w:rPr>
  </w:style>
  <w:style w:type="paragraph" w:styleId="BalloonText">
    <w:name w:val="Balloon Text"/>
    <w:basedOn w:val="Normal"/>
    <w:link w:val="21"/>
    <w:uiPriority w:val="99"/>
    <w:semiHidden/>
    <w:unhideWhenUsed/>
    <w:qFormat/>
    <w:pPr>
      <w:spacing w:lineRule="auto" w:line="240"/>
    </w:pPr>
    <w:rPr>
      <w:rFonts w:ascii="Tahoma" w:hAnsi="Tahoma" w:cs="Tahoma"/>
      <w:sz w:val="16"/>
      <w:szCs w:val="16"/>
    </w:rPr>
  </w:style>
  <w:style w:type="paragraph" w:styleId="Footer">
    <w:name w:val="Footer"/>
    <w:basedOn w:val="Normal"/>
    <w:link w:val="20"/>
    <w:uiPriority w:val="99"/>
    <w:unhideWhenUsed/>
    <w:qFormat/>
    <w:pPr>
      <w:tabs>
        <w:tab w:val="clear" w:pos="720"/>
        <w:tab w:val="center" w:pos="4680" w:leader="none"/>
        <w:tab w:val="right" w:pos="9360" w:leader="none"/>
      </w:tabs>
      <w:spacing w:lineRule="auto" w:line="240"/>
    </w:pPr>
    <w:rPr/>
  </w:style>
  <w:style w:type="paragraph" w:styleId="Header">
    <w:name w:val="Header"/>
    <w:basedOn w:val="Normal"/>
    <w:link w:val="19"/>
    <w:uiPriority w:val="99"/>
    <w:semiHidden/>
    <w:unhideWhenUsed/>
    <w:qFormat/>
    <w:pPr>
      <w:tabs>
        <w:tab w:val="clear" w:pos="720"/>
        <w:tab w:val="center" w:pos="4680" w:leader="none"/>
        <w:tab w:val="right" w:pos="9360" w:leader="none"/>
      </w:tabs>
      <w:spacing w:lineRule="auto" w:line="240"/>
    </w:pPr>
    <w:rPr/>
  </w:style>
  <w:style w:type="paragraph" w:styleId="Subtitle">
    <w:name w:val="Subtitle"/>
    <w:basedOn w:val="Normal1"/>
    <w:next w:val="Normal1"/>
    <w:uiPriority w:val="0"/>
    <w:qFormat/>
    <w:pPr>
      <w:keepNext w:val="true"/>
      <w:keepLines/>
      <w:spacing w:before="0" w:after="320"/>
    </w:pPr>
    <w:rPr>
      <w:color w:val="666666"/>
      <w:sz w:val="30"/>
      <w:szCs w:val="30"/>
    </w:rPr>
  </w:style>
  <w:style w:type="paragraph" w:styleId="Title">
    <w:name w:val="Title"/>
    <w:basedOn w:val="Normal1"/>
    <w:next w:val="Normal1"/>
    <w:uiPriority w:val="0"/>
    <w:qFormat/>
    <w:pPr>
      <w:keepNext w:val="true"/>
      <w:keepLines/>
      <w:spacing w:before="0" w:after="60"/>
    </w:pPr>
    <w:rPr>
      <w:sz w:val="52"/>
      <w:szCs w:val="52"/>
    </w:rPr>
  </w:style>
  <w:style w:type="paragraph" w:styleId="Contents1">
    <w:name w:val="TOC 1"/>
    <w:basedOn w:val="Normal"/>
    <w:next w:val="Normal"/>
    <w:uiPriority w:val="39"/>
    <w:unhideWhenUsed/>
    <w:qFormat/>
    <w:pPr>
      <w:spacing w:before="0" w:after="100"/>
    </w:pPr>
    <w:rPr/>
  </w:style>
  <w:style w:type="paragraph" w:styleId="Contents2">
    <w:name w:val="TOC 2"/>
    <w:basedOn w:val="Normal"/>
    <w:next w:val="Normal"/>
    <w:uiPriority w:val="39"/>
    <w:unhideWhenUsed/>
    <w:qFormat/>
    <w:pPr>
      <w:spacing w:before="0" w:after="100"/>
      <w:ind w:left="220" w:hanging="0"/>
    </w:pPr>
    <w:rPr/>
  </w:style>
  <w:style w:type="paragraph" w:styleId="TOCHeading" w:customStyle="1">
    <w:name w:val="TOC Heading"/>
    <w:basedOn w:val="Heading1"/>
    <w:next w:val="Normal"/>
    <w:uiPriority w:val="39"/>
    <w:semiHidden/>
    <w:unhideWhenUsed/>
    <w:qFormat/>
    <w:pPr>
      <w:keepNext w:val="true"/>
      <w:keepLines/>
      <w:spacing w:lineRule="auto" w:line="276" w:before="480" w:after="0"/>
      <w:jc w:val="left"/>
    </w:pPr>
    <w:rPr>
      <w:rFonts w:ascii="Calibri" w:hAnsi="Calibri" w:eastAsia="宋体" w:cs="" w:asciiTheme="majorHAnsi" w:cstheme="majorBidi" w:eastAsiaTheme="majorEastAsia" w:hAnsiTheme="majorHAnsi"/>
      <w:bCs/>
      <w:color w:val="376092" w:themeColor="accent1" w:themeShade="bf"/>
      <w:sz w:val="28"/>
      <w:szCs w:val="28"/>
      <w:lang w:val="en-US"/>
    </w:rPr>
  </w:style>
  <w:style w:type="table" w:default="1" w:styleId="10">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diagramData" Target="diagrams/data1.xml"/><Relationship Id="rId3" Type="http://schemas.openxmlformats.org/officeDocument/2006/relationships/diagramLayout" Target="diagrams/layout1.xml"/><Relationship Id="rId4" Type="http://schemas.openxmlformats.org/officeDocument/2006/relationships/diagramQuickStyle" Target="diagrams/quickStyle1.xml"/><Relationship Id="rId5" Type="http://schemas.openxmlformats.org/officeDocument/2006/relationships/diagramColors" Target="diagrams/colors1.xml"/><Relationship Id="rId6" Type="http://schemas.microsoft.com/office/2007/relationships/diagramDrawing" Target="diagrams/drawing1.xml"/><Relationship Id="rId7" Type="http://schemas.openxmlformats.org/officeDocument/2006/relationships/diagramData" Target="diagrams/data2.xml"/><Relationship Id="rId8" Type="http://schemas.openxmlformats.org/officeDocument/2006/relationships/diagramLayout" Target="diagrams/layout2.xml"/><Relationship Id="rId9" Type="http://schemas.openxmlformats.org/officeDocument/2006/relationships/diagramQuickStyle" Target="diagrams/quickStyle2.xml"/><Relationship Id="rId10" Type="http://schemas.openxmlformats.org/officeDocument/2006/relationships/diagramColors" Target="diagrams/colors2.xml"/><Relationship Id="rId11" Type="http://schemas.microsoft.com/office/2007/relationships/diagramDrawing" Target="diagrams/drawing2.xml"/><Relationship Id="rId12" Type="http://schemas.openxmlformats.org/officeDocument/2006/relationships/image" Target="media/image1.png"/><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
</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1BA4EFF8-42A6-4FE5-8489-72C5F282D079}" type="doc">
      <dgm:prSet loTypeId="urn:microsoft.com/office/officeart/2005/8/layout/list1#1" loCatId="list" qsTypeId="urn:microsoft.com/office/officeart/2005/8/quickstyle/simple1" qsCatId="simple" csTypeId="urn:microsoft.com/office/officeart/2005/8/colors/colorful5" csCatId="colorful" phldr="1"/>
      <dgm:spPr/>
      <dgm:t>
        <a:bodyPr/>
        <a:p>
          <a:endParaRPr lang="en-US"/>
        </a:p>
      </dgm:t>
    </dgm:pt>
    <dgm:pt modelId="{1F192F42-F2E6-422B-8E82-A1C2D95FA51C}">
      <dgm:prSet phldrT="[Text]"/>
      <dgm:spPr/>
      <dgm:t>
        <a:bodyPr/>
        <a:p>
          <a:r>
            <a:rPr lang="en-GB" b="1" i="1">
              <a:solidFill>
                <a:schemeClr val="tx1"/>
              </a:solidFill>
            </a:rPr>
            <a:t>Creating urgency</a:t>
          </a:r>
          <a:endParaRPr lang="en-US">
            <a:solidFill>
              <a:schemeClr val="tx1"/>
            </a:solidFill>
          </a:endParaRPr>
        </a:p>
      </dgm:t>
    </dgm:pt>
    <dgm:pt modelId="{1D463E7B-2EFE-4C80-B27B-A431A518D824}" cxnId="{4126B2C7-7143-4E05-B169-DBF9902E5604}" type="parTrans">
      <dgm:prSet/>
      <dgm:spPr/>
      <dgm:t>
        <a:bodyPr/>
        <a:p>
          <a:endParaRPr lang="en-US"/>
        </a:p>
      </dgm:t>
    </dgm:pt>
    <dgm:pt modelId="{38D48672-61CB-45A9-BDC5-C423A8F06B5B}" cxnId="{4126B2C7-7143-4E05-B169-DBF9902E5604}" type="sibTrans">
      <dgm:prSet/>
      <dgm:spPr/>
      <dgm:t>
        <a:bodyPr/>
        <a:p>
          <a:endParaRPr lang="en-US"/>
        </a:p>
      </dgm:t>
    </dgm:pt>
    <dgm:pt modelId="{13845F2E-D627-4A1E-BF43-D82530DA5E15}">
      <dgm:prSet/>
      <dgm:spPr/>
      <dgm:t>
        <a:bodyPr/>
        <a:p>
          <a:r>
            <a:rPr lang="en-GB" b="1" i="1">
              <a:solidFill>
                <a:schemeClr val="tx1"/>
              </a:solidFill>
            </a:rPr>
            <a:t>Building guiding team</a:t>
          </a:r>
          <a:endParaRPr lang="en-US">
            <a:solidFill>
              <a:schemeClr val="tx1"/>
            </a:solidFill>
          </a:endParaRPr>
        </a:p>
      </dgm:t>
    </dgm:pt>
    <dgm:pt modelId="{59272803-C16F-46B0-A3EB-BA2C28A8860E}" cxnId="{6911F547-87D6-4A4A-A4C1-F092D3CA0464}" type="parTrans">
      <dgm:prSet/>
      <dgm:spPr/>
      <dgm:t>
        <a:bodyPr/>
        <a:p>
          <a:endParaRPr lang="en-US"/>
        </a:p>
      </dgm:t>
    </dgm:pt>
    <dgm:pt modelId="{F313F6ED-8054-4495-9742-7C18ABF868C9}" cxnId="{6911F547-87D6-4A4A-A4C1-F092D3CA0464}" type="sibTrans">
      <dgm:prSet/>
      <dgm:spPr/>
      <dgm:t>
        <a:bodyPr/>
        <a:p>
          <a:endParaRPr lang="en-US"/>
        </a:p>
      </dgm:t>
    </dgm:pt>
    <dgm:pt modelId="{CCFBB45D-1119-4937-8139-D7FB614F08B7}">
      <dgm:prSet/>
      <dgm:spPr/>
      <dgm:t>
        <a:bodyPr/>
        <a:p>
          <a:r>
            <a:rPr lang="en-GB" b="1" i="1">
              <a:solidFill>
                <a:schemeClr val="tx1"/>
              </a:solidFill>
            </a:rPr>
            <a:t>Developing vision</a:t>
          </a:r>
          <a:endParaRPr lang="en-US">
            <a:solidFill>
              <a:schemeClr val="tx1"/>
            </a:solidFill>
          </a:endParaRPr>
        </a:p>
      </dgm:t>
    </dgm:pt>
    <dgm:pt modelId="{B0C50D2A-D446-4B83-B89A-18CD68983F23}" cxnId="{8DEE0B1C-5CBE-4A2C-8296-74364F7A296A}" type="parTrans">
      <dgm:prSet/>
      <dgm:spPr/>
      <dgm:t>
        <a:bodyPr/>
        <a:p>
          <a:endParaRPr lang="en-US"/>
        </a:p>
      </dgm:t>
    </dgm:pt>
    <dgm:pt modelId="{871968B6-97D4-4712-BD5D-E668F41B8BDE}" cxnId="{8DEE0B1C-5CBE-4A2C-8296-74364F7A296A}" type="sibTrans">
      <dgm:prSet/>
      <dgm:spPr/>
      <dgm:t>
        <a:bodyPr/>
        <a:p>
          <a:endParaRPr lang="en-US"/>
        </a:p>
      </dgm:t>
    </dgm:pt>
    <dgm:pt modelId="{0C4BC9FF-D2EA-42E8-8B66-9ECE6626EA16}">
      <dgm:prSet/>
      <dgm:spPr/>
      <dgm:t>
        <a:bodyPr/>
        <a:p>
          <a:r>
            <a:rPr lang="en-GB" b="1" i="1">
              <a:solidFill>
                <a:schemeClr val="tx1"/>
              </a:solidFill>
            </a:rPr>
            <a:t>Communicating Vision</a:t>
          </a:r>
          <a:endParaRPr lang="en-US">
            <a:solidFill>
              <a:schemeClr val="tx1"/>
            </a:solidFill>
          </a:endParaRPr>
        </a:p>
      </dgm:t>
    </dgm:pt>
    <dgm:pt modelId="{E43C3A77-6C3B-49DF-A0BF-1756D30B2DF1}" cxnId="{0BA041E7-215F-43EF-9916-78B008C61090}" type="parTrans">
      <dgm:prSet/>
      <dgm:spPr/>
      <dgm:t>
        <a:bodyPr/>
        <a:p>
          <a:endParaRPr lang="en-US"/>
        </a:p>
      </dgm:t>
    </dgm:pt>
    <dgm:pt modelId="{F0E96BA8-F245-4461-9D68-E27BE623F54E}" cxnId="{0BA041E7-215F-43EF-9916-78B008C61090}" type="sibTrans">
      <dgm:prSet/>
      <dgm:spPr/>
      <dgm:t>
        <a:bodyPr/>
        <a:p>
          <a:endParaRPr lang="en-US"/>
        </a:p>
      </dgm:t>
    </dgm:pt>
    <dgm:pt modelId="{C4C50F07-013C-419B-BA56-A73ECB162181}">
      <dgm:prSet/>
      <dgm:spPr/>
      <dgm:t>
        <a:bodyPr/>
        <a:p>
          <a:r>
            <a:rPr lang="en-GB" b="1">
              <a:solidFill>
                <a:schemeClr val="tx1"/>
              </a:solidFill>
            </a:rPr>
            <a:t>Communicating for buy-in</a:t>
          </a:r>
          <a:endParaRPr lang="en-US">
            <a:solidFill>
              <a:schemeClr val="tx1"/>
            </a:solidFill>
          </a:endParaRPr>
        </a:p>
      </dgm:t>
    </dgm:pt>
    <dgm:pt modelId="{358D120C-AF5B-4991-8EE9-7AC6C94D0D6F}" cxnId="{236F48E5-0264-4C8D-A3CA-C75848DAAA80}" type="parTrans">
      <dgm:prSet/>
      <dgm:spPr/>
      <dgm:t>
        <a:bodyPr/>
        <a:p>
          <a:endParaRPr lang="en-US"/>
        </a:p>
      </dgm:t>
    </dgm:pt>
    <dgm:pt modelId="{0A814797-7548-4112-B863-0D8F766D137F}" cxnId="{236F48E5-0264-4C8D-A3CA-C75848DAAA80}" type="sibTrans">
      <dgm:prSet/>
      <dgm:spPr/>
      <dgm:t>
        <a:bodyPr/>
        <a:p>
          <a:endParaRPr lang="en-US"/>
        </a:p>
      </dgm:t>
    </dgm:pt>
    <dgm:pt modelId="{F5104D27-7621-45B8-820E-A51537289868}">
      <dgm:prSet/>
      <dgm:spPr/>
      <dgm:t>
        <a:bodyPr/>
        <a:p>
          <a:r>
            <a:rPr lang="en-GB" b="1" i="1">
              <a:solidFill>
                <a:schemeClr val="tx1"/>
              </a:solidFill>
            </a:rPr>
            <a:t>creating short term wins</a:t>
          </a:r>
          <a:endParaRPr lang="en-US">
            <a:solidFill>
              <a:schemeClr val="tx1"/>
            </a:solidFill>
          </a:endParaRPr>
        </a:p>
      </dgm:t>
    </dgm:pt>
    <dgm:pt modelId="{C2457A2B-3A4B-4800-BC77-3FE16E5968E3}" cxnId="{868C953C-4F8B-4760-9F37-BA41E788A339}" type="parTrans">
      <dgm:prSet/>
      <dgm:spPr/>
      <dgm:t>
        <a:bodyPr/>
        <a:p>
          <a:endParaRPr lang="en-US"/>
        </a:p>
      </dgm:t>
    </dgm:pt>
    <dgm:pt modelId="{48C9EFB3-8BBA-4263-B140-A224912642BB}" cxnId="{868C953C-4F8B-4760-9F37-BA41E788A339}" type="sibTrans">
      <dgm:prSet/>
      <dgm:spPr/>
      <dgm:t>
        <a:bodyPr/>
        <a:p>
          <a:endParaRPr lang="en-US"/>
        </a:p>
      </dgm:t>
    </dgm:pt>
    <dgm:pt modelId="{032DF5CB-E103-44CD-A64A-296919429AE1}">
      <dgm:prSet/>
      <dgm:spPr/>
      <dgm:t>
        <a:bodyPr/>
        <a:p>
          <a:r>
            <a:rPr lang="en-GB" b="1" i="1">
              <a:solidFill>
                <a:schemeClr val="tx1"/>
              </a:solidFill>
            </a:rPr>
            <a:t>don't let up</a:t>
          </a:r>
          <a:endParaRPr lang="en-US">
            <a:solidFill>
              <a:schemeClr val="tx1"/>
            </a:solidFill>
          </a:endParaRPr>
        </a:p>
      </dgm:t>
    </dgm:pt>
    <dgm:pt modelId="{AAF82F2D-B004-45B0-B0EC-C0E752835A85}" cxnId="{30958D25-9435-499B-A178-363626E5AB61}" type="parTrans">
      <dgm:prSet/>
      <dgm:spPr/>
      <dgm:t>
        <a:bodyPr/>
        <a:p>
          <a:endParaRPr lang="en-US"/>
        </a:p>
      </dgm:t>
    </dgm:pt>
    <dgm:pt modelId="{673E66E7-1239-48E0-A03C-EF43523D05CC}" cxnId="{30958D25-9435-499B-A178-363626E5AB61}" type="sibTrans">
      <dgm:prSet/>
      <dgm:spPr/>
      <dgm:t>
        <a:bodyPr/>
        <a:p>
          <a:endParaRPr lang="en-US"/>
        </a:p>
      </dgm:t>
    </dgm:pt>
    <dgm:pt modelId="{271D9FF2-D8EA-43B0-8619-F7DABFB674A1}" type="pres">
      <dgm:prSet presAssocID="{1BA4EFF8-42A6-4FE5-8489-72C5F282D079}" presName="linear" presStyleCnt="0">
        <dgm:presLayoutVars>
          <dgm:dir/>
          <dgm:animLvl val="lvl"/>
          <dgm:resizeHandles val="exact"/>
        </dgm:presLayoutVars>
      </dgm:prSet>
      <dgm:spPr/>
    </dgm:pt>
    <dgm:pt modelId="{6191F3EF-D88F-48D4-9132-E0925F715E88}" type="pres">
      <dgm:prSet presAssocID="{1F192F42-F2E6-422B-8E82-A1C2D95FA51C}" presName="parentLin" presStyleCnt="0"/>
      <dgm:spPr/>
    </dgm:pt>
    <dgm:pt modelId="{329AD70C-43D2-424A-9A9A-A4EFEFC67043}" type="pres">
      <dgm:prSet presAssocID="{1F192F42-F2E6-422B-8E82-A1C2D95FA51C}" presName="parentLeftMargin" presStyleLbl="node1" presStyleIdx="0" presStyleCnt="7"/>
      <dgm:spPr/>
    </dgm:pt>
    <dgm:pt modelId="{6CD36B26-2D92-4DDA-AAEF-F9D31D4E2313}" type="pres">
      <dgm:prSet presAssocID="{1F192F42-F2E6-422B-8E82-A1C2D95FA51C}" presName="parentText" presStyleLbl="node1" presStyleIdx="0" presStyleCnt="7">
        <dgm:presLayoutVars>
          <dgm:chMax val="0"/>
          <dgm:bulletEnabled val="1"/>
        </dgm:presLayoutVars>
      </dgm:prSet>
      <dgm:spPr/>
    </dgm:pt>
    <dgm:pt modelId="{B5C31573-800F-4543-8508-1ECDDBBF4A8C}" type="pres">
      <dgm:prSet presAssocID="{1F192F42-F2E6-422B-8E82-A1C2D95FA51C}" presName="negativeSpace" presStyleCnt="0"/>
      <dgm:spPr/>
    </dgm:pt>
    <dgm:pt modelId="{EEFE9ECE-2432-4C85-9701-D52E8551CD6A}" type="pres">
      <dgm:prSet presAssocID="{1F192F42-F2E6-422B-8E82-A1C2D95FA51C}" presName="childText" presStyleLbl="conFgAcc1" presStyleIdx="0" presStyleCnt="7">
        <dgm:presLayoutVars>
          <dgm:bulletEnabled val="1"/>
        </dgm:presLayoutVars>
      </dgm:prSet>
      <dgm:spPr/>
    </dgm:pt>
    <dgm:pt modelId="{94253936-3EA3-40BC-A94D-2435C2CA81E3}" type="pres">
      <dgm:prSet presAssocID="{38D48672-61CB-45A9-BDC5-C423A8F06B5B}" presName="spaceBetweenRectangles" presStyleCnt="0"/>
      <dgm:spPr/>
    </dgm:pt>
    <dgm:pt modelId="{FEE58215-3F55-43CB-8CC5-BB38EAB72DAF}" type="pres">
      <dgm:prSet presAssocID="{13845F2E-D627-4A1E-BF43-D82530DA5E15}" presName="parentLin" presStyleCnt="0"/>
      <dgm:spPr/>
    </dgm:pt>
    <dgm:pt modelId="{E68DA3D0-6B34-4396-96B6-CDA715D1632C}" type="pres">
      <dgm:prSet presAssocID="{13845F2E-D627-4A1E-BF43-D82530DA5E15}" presName="parentLeftMargin" presStyleLbl="node1" presStyleIdx="0" presStyleCnt="7"/>
      <dgm:spPr/>
    </dgm:pt>
    <dgm:pt modelId="{FAEE465E-B5D0-4325-A511-6467226037E9}" type="pres">
      <dgm:prSet presAssocID="{13845F2E-D627-4A1E-BF43-D82530DA5E15}" presName="parentText" presStyleLbl="node1" presStyleIdx="1" presStyleCnt="7">
        <dgm:presLayoutVars>
          <dgm:chMax val="0"/>
          <dgm:bulletEnabled val="1"/>
        </dgm:presLayoutVars>
      </dgm:prSet>
      <dgm:spPr/>
    </dgm:pt>
    <dgm:pt modelId="{D904887C-DF25-44C7-B9C9-0F4194E3A9AC}" type="pres">
      <dgm:prSet presAssocID="{13845F2E-D627-4A1E-BF43-D82530DA5E15}" presName="negativeSpace" presStyleCnt="0"/>
      <dgm:spPr/>
    </dgm:pt>
    <dgm:pt modelId="{13CC8B0E-2438-47EC-92FB-BD1F52152538}" type="pres">
      <dgm:prSet presAssocID="{13845F2E-D627-4A1E-BF43-D82530DA5E15}" presName="childText" presStyleLbl="conFgAcc1" presStyleIdx="1" presStyleCnt="7">
        <dgm:presLayoutVars>
          <dgm:bulletEnabled val="1"/>
        </dgm:presLayoutVars>
      </dgm:prSet>
      <dgm:spPr/>
    </dgm:pt>
    <dgm:pt modelId="{07C68C4F-21AE-45DB-9D8C-0A43CD117E32}" type="pres">
      <dgm:prSet presAssocID="{F313F6ED-8054-4495-9742-7C18ABF868C9}" presName="spaceBetweenRectangles" presStyleCnt="0"/>
      <dgm:spPr/>
    </dgm:pt>
    <dgm:pt modelId="{93EBCDB3-BBC7-470F-B0DB-27E4A6700216}" type="pres">
      <dgm:prSet presAssocID="{CCFBB45D-1119-4937-8139-D7FB614F08B7}" presName="parentLin" presStyleCnt="0"/>
      <dgm:spPr/>
    </dgm:pt>
    <dgm:pt modelId="{C57BF058-5E7E-44F1-90C0-DD8DD0B9BE01}" type="pres">
      <dgm:prSet presAssocID="{CCFBB45D-1119-4937-8139-D7FB614F08B7}" presName="parentLeftMargin" presStyleLbl="node1" presStyleIdx="1" presStyleCnt="7"/>
      <dgm:spPr/>
    </dgm:pt>
    <dgm:pt modelId="{6AABD04F-4942-46AF-B6CF-6E21E8AE9937}" type="pres">
      <dgm:prSet presAssocID="{CCFBB45D-1119-4937-8139-D7FB614F08B7}" presName="parentText" presStyleLbl="node1" presStyleIdx="2" presStyleCnt="7">
        <dgm:presLayoutVars>
          <dgm:chMax val="0"/>
          <dgm:bulletEnabled val="1"/>
        </dgm:presLayoutVars>
      </dgm:prSet>
      <dgm:spPr/>
    </dgm:pt>
    <dgm:pt modelId="{B71F1738-8606-4BB3-95DA-6829FD63CD9C}" type="pres">
      <dgm:prSet presAssocID="{CCFBB45D-1119-4937-8139-D7FB614F08B7}" presName="negativeSpace" presStyleCnt="0"/>
      <dgm:spPr/>
    </dgm:pt>
    <dgm:pt modelId="{4E68D914-E741-46FD-AAF7-A7F6DC2AD021}" type="pres">
      <dgm:prSet presAssocID="{CCFBB45D-1119-4937-8139-D7FB614F08B7}" presName="childText" presStyleLbl="conFgAcc1" presStyleIdx="2" presStyleCnt="7">
        <dgm:presLayoutVars>
          <dgm:bulletEnabled val="1"/>
        </dgm:presLayoutVars>
      </dgm:prSet>
      <dgm:spPr/>
    </dgm:pt>
    <dgm:pt modelId="{5ECDED52-5115-4C1A-9562-53902F088936}" type="pres">
      <dgm:prSet presAssocID="{871968B6-97D4-4712-BD5D-E668F41B8BDE}" presName="spaceBetweenRectangles" presStyleCnt="0"/>
      <dgm:spPr/>
    </dgm:pt>
    <dgm:pt modelId="{6C31DBFD-A9BD-418D-A4BD-ED1F5B700571}" type="pres">
      <dgm:prSet presAssocID="{0C4BC9FF-D2EA-42E8-8B66-9ECE6626EA16}" presName="parentLin" presStyleCnt="0"/>
      <dgm:spPr/>
    </dgm:pt>
    <dgm:pt modelId="{CF438E20-38C0-45A2-BE5C-68682888ADEA}" type="pres">
      <dgm:prSet presAssocID="{0C4BC9FF-D2EA-42E8-8B66-9ECE6626EA16}" presName="parentLeftMargin" presStyleLbl="node1" presStyleIdx="2" presStyleCnt="7"/>
      <dgm:spPr/>
    </dgm:pt>
    <dgm:pt modelId="{7E8D3286-983A-49B1-BC3F-32EAA6F1790F}" type="pres">
      <dgm:prSet presAssocID="{0C4BC9FF-D2EA-42E8-8B66-9ECE6626EA16}" presName="parentText" presStyleLbl="node1" presStyleIdx="3" presStyleCnt="7">
        <dgm:presLayoutVars>
          <dgm:chMax val="0"/>
          <dgm:bulletEnabled val="1"/>
        </dgm:presLayoutVars>
      </dgm:prSet>
      <dgm:spPr/>
    </dgm:pt>
    <dgm:pt modelId="{B17998B9-37F8-4884-A3A7-A33D96304D09}" type="pres">
      <dgm:prSet presAssocID="{0C4BC9FF-D2EA-42E8-8B66-9ECE6626EA16}" presName="negativeSpace" presStyleCnt="0"/>
      <dgm:spPr/>
    </dgm:pt>
    <dgm:pt modelId="{792602DA-B6B9-46A8-B154-9DBB9735355A}" type="pres">
      <dgm:prSet presAssocID="{0C4BC9FF-D2EA-42E8-8B66-9ECE6626EA16}" presName="childText" presStyleLbl="conFgAcc1" presStyleIdx="3" presStyleCnt="7">
        <dgm:presLayoutVars>
          <dgm:bulletEnabled val="1"/>
        </dgm:presLayoutVars>
      </dgm:prSet>
      <dgm:spPr/>
    </dgm:pt>
    <dgm:pt modelId="{AA438B56-CFB8-4F5B-A96B-87B295553A86}" type="pres">
      <dgm:prSet presAssocID="{F0E96BA8-F245-4461-9D68-E27BE623F54E}" presName="spaceBetweenRectangles" presStyleCnt="0"/>
      <dgm:spPr/>
    </dgm:pt>
    <dgm:pt modelId="{10F7EA10-14CD-425B-BB6B-4ACF82042B67}" type="pres">
      <dgm:prSet presAssocID="{C4C50F07-013C-419B-BA56-A73ECB162181}" presName="parentLin" presStyleCnt="0"/>
      <dgm:spPr/>
    </dgm:pt>
    <dgm:pt modelId="{92D11CBE-D297-4F7D-B7D2-13C017A4D673}" type="pres">
      <dgm:prSet presAssocID="{C4C50F07-013C-419B-BA56-A73ECB162181}" presName="parentLeftMargin" presStyleLbl="node1" presStyleIdx="3" presStyleCnt="7"/>
      <dgm:spPr/>
    </dgm:pt>
    <dgm:pt modelId="{33C7000F-7A06-45BB-A88E-EEA92CCC8FAB}" type="pres">
      <dgm:prSet presAssocID="{C4C50F07-013C-419B-BA56-A73ECB162181}" presName="parentText" presStyleLbl="node1" presStyleIdx="4" presStyleCnt="7">
        <dgm:presLayoutVars>
          <dgm:chMax val="0"/>
          <dgm:bulletEnabled val="1"/>
        </dgm:presLayoutVars>
      </dgm:prSet>
      <dgm:spPr/>
    </dgm:pt>
    <dgm:pt modelId="{4E0A80B4-35D6-401C-A665-305AF67505BF}" type="pres">
      <dgm:prSet presAssocID="{C4C50F07-013C-419B-BA56-A73ECB162181}" presName="negativeSpace" presStyleCnt="0"/>
      <dgm:spPr/>
    </dgm:pt>
    <dgm:pt modelId="{CDD9EB52-2B5B-4561-BD9A-B6A3017FB6EE}" type="pres">
      <dgm:prSet presAssocID="{C4C50F07-013C-419B-BA56-A73ECB162181}" presName="childText" presStyleLbl="conFgAcc1" presStyleIdx="4" presStyleCnt="7">
        <dgm:presLayoutVars>
          <dgm:bulletEnabled val="1"/>
        </dgm:presLayoutVars>
      </dgm:prSet>
      <dgm:spPr/>
    </dgm:pt>
    <dgm:pt modelId="{D5CA8E9B-FE4D-4D6C-A2F7-0405BB1551EF}" type="pres">
      <dgm:prSet presAssocID="{0A814797-7548-4112-B863-0D8F766D137F}" presName="spaceBetweenRectangles" presStyleCnt="0"/>
      <dgm:spPr/>
    </dgm:pt>
    <dgm:pt modelId="{107CAEB8-DC96-439A-9AB8-7AA724E34678}" type="pres">
      <dgm:prSet presAssocID="{F5104D27-7621-45B8-820E-A51537289868}" presName="parentLin" presStyleCnt="0"/>
      <dgm:spPr/>
    </dgm:pt>
    <dgm:pt modelId="{D82358F3-37A4-4657-B730-CDAB3C679595}" type="pres">
      <dgm:prSet presAssocID="{F5104D27-7621-45B8-820E-A51537289868}" presName="parentLeftMargin" presStyleLbl="node1" presStyleIdx="4" presStyleCnt="7"/>
      <dgm:spPr/>
    </dgm:pt>
    <dgm:pt modelId="{5C41A061-53ED-4E8C-BEFE-19CAD2FDEBCA}" type="pres">
      <dgm:prSet presAssocID="{F5104D27-7621-45B8-820E-A51537289868}" presName="parentText" presStyleLbl="node1" presStyleIdx="5" presStyleCnt="7">
        <dgm:presLayoutVars>
          <dgm:chMax val="0"/>
          <dgm:bulletEnabled val="1"/>
        </dgm:presLayoutVars>
      </dgm:prSet>
      <dgm:spPr/>
    </dgm:pt>
    <dgm:pt modelId="{F3ECFED4-5CD6-4703-9D38-CA59D04D0D40}" type="pres">
      <dgm:prSet presAssocID="{F5104D27-7621-45B8-820E-A51537289868}" presName="negativeSpace" presStyleCnt="0"/>
      <dgm:spPr/>
    </dgm:pt>
    <dgm:pt modelId="{76BA51DD-4E4E-41FA-97C2-D5C8EDB8ACC1}" type="pres">
      <dgm:prSet presAssocID="{F5104D27-7621-45B8-820E-A51537289868}" presName="childText" presStyleLbl="conFgAcc1" presStyleIdx="5" presStyleCnt="7">
        <dgm:presLayoutVars>
          <dgm:bulletEnabled val="1"/>
        </dgm:presLayoutVars>
      </dgm:prSet>
      <dgm:spPr/>
    </dgm:pt>
    <dgm:pt modelId="{B99E0D7D-3BA8-488C-9465-C6B97359B840}" type="pres">
      <dgm:prSet presAssocID="{48C9EFB3-8BBA-4263-B140-A224912642BB}" presName="spaceBetweenRectangles" presStyleCnt="0"/>
      <dgm:spPr/>
    </dgm:pt>
    <dgm:pt modelId="{1D25C476-31A0-48C0-9D2A-0BA24454F99A}" type="pres">
      <dgm:prSet presAssocID="{032DF5CB-E103-44CD-A64A-296919429AE1}" presName="parentLin" presStyleCnt="0"/>
      <dgm:spPr/>
    </dgm:pt>
    <dgm:pt modelId="{7CAA1E0A-80FD-409E-8465-9ACCAD155920}" type="pres">
      <dgm:prSet presAssocID="{032DF5CB-E103-44CD-A64A-296919429AE1}" presName="parentLeftMargin" presStyleLbl="node1" presStyleIdx="5" presStyleCnt="7"/>
      <dgm:spPr/>
    </dgm:pt>
    <dgm:pt modelId="{68C5161B-150F-459D-9172-84A7D2ED89C4}" type="pres">
      <dgm:prSet presAssocID="{032DF5CB-E103-44CD-A64A-296919429AE1}" presName="parentText" presStyleLbl="node1" presStyleIdx="6" presStyleCnt="7">
        <dgm:presLayoutVars>
          <dgm:chMax val="0"/>
          <dgm:bulletEnabled val="1"/>
        </dgm:presLayoutVars>
      </dgm:prSet>
      <dgm:spPr/>
    </dgm:pt>
    <dgm:pt modelId="{38D4D572-DCF9-44C2-9383-85DBCF18C7C1}" type="pres">
      <dgm:prSet presAssocID="{032DF5CB-E103-44CD-A64A-296919429AE1}" presName="negativeSpace" presStyleCnt="0"/>
      <dgm:spPr/>
    </dgm:pt>
    <dgm:pt modelId="{A86A3178-ECC6-4E03-BB92-3C196F53C3FA}" type="pres">
      <dgm:prSet presAssocID="{032DF5CB-E103-44CD-A64A-296919429AE1}" presName="childText" presStyleLbl="conFgAcc1" presStyleIdx="6" presStyleCnt="7">
        <dgm:presLayoutVars>
          <dgm:bulletEnabled val="1"/>
        </dgm:presLayoutVars>
      </dgm:prSet>
      <dgm:spPr/>
    </dgm:pt>
  </dgm:ptLst>
  <dgm:cxnLst>
    <dgm:cxn modelId="{F1466306-E736-4E72-864A-C4D14D3CC247}" type="presOf" srcId="{0C4BC9FF-D2EA-42E8-8B66-9ECE6626EA16}" destId="{CF438E20-38C0-45A2-BE5C-68682888ADEA}" srcOrd="0" destOrd="0" presId="urn:microsoft.com/office/officeart/2005/8/layout/list1#1"/>
    <dgm:cxn modelId="{660D0B15-1A33-4A97-A947-16C2223AA4E5}" type="presOf" srcId="{1F192F42-F2E6-422B-8E82-A1C2D95FA51C}" destId="{6CD36B26-2D92-4DDA-AAEF-F9D31D4E2313}" srcOrd="1" destOrd="0" presId="urn:microsoft.com/office/officeart/2005/8/layout/list1#1"/>
    <dgm:cxn modelId="{8DEE0B1C-5CBE-4A2C-8296-74364F7A296A}" srcId="{1BA4EFF8-42A6-4FE5-8489-72C5F282D079}" destId="{CCFBB45D-1119-4937-8139-D7FB614F08B7}" srcOrd="2" destOrd="0" parTransId="{B0C50D2A-D446-4B83-B89A-18CD68983F23}" sibTransId="{871968B6-97D4-4712-BD5D-E668F41B8BDE}"/>
    <dgm:cxn modelId="{30958D25-9435-499B-A178-363626E5AB61}" srcId="{1BA4EFF8-42A6-4FE5-8489-72C5F282D079}" destId="{032DF5CB-E103-44CD-A64A-296919429AE1}" srcOrd="6" destOrd="0" parTransId="{AAF82F2D-B004-45B0-B0EC-C0E752835A85}" sibTransId="{673E66E7-1239-48E0-A03C-EF43523D05CC}"/>
    <dgm:cxn modelId="{783CC627-EBFC-4052-A426-BE7B28C2A31D}" type="presOf" srcId="{CCFBB45D-1119-4937-8139-D7FB614F08B7}" destId="{C57BF058-5E7E-44F1-90C0-DD8DD0B9BE01}" srcOrd="0" destOrd="0" presId="urn:microsoft.com/office/officeart/2005/8/layout/list1#1"/>
    <dgm:cxn modelId="{7EA15C28-EFA6-4CFC-A92E-F9F69686BAB8}" type="presOf" srcId="{F5104D27-7621-45B8-820E-A51537289868}" destId="{5C41A061-53ED-4E8C-BEFE-19CAD2FDEBCA}" srcOrd="1" destOrd="0" presId="urn:microsoft.com/office/officeart/2005/8/layout/list1#1"/>
    <dgm:cxn modelId="{F212EA2F-6075-45E1-95DC-D1E914EBB718}" type="presOf" srcId="{C4C50F07-013C-419B-BA56-A73ECB162181}" destId="{33C7000F-7A06-45BB-A88E-EEA92CCC8FAB}" srcOrd="1" destOrd="0" presId="urn:microsoft.com/office/officeart/2005/8/layout/list1#1"/>
    <dgm:cxn modelId="{61A4C330-3779-4127-83C1-C09BC87F3C80}" type="presOf" srcId="{1F192F42-F2E6-422B-8E82-A1C2D95FA51C}" destId="{329AD70C-43D2-424A-9A9A-A4EFEFC67043}" srcOrd="0" destOrd="0" presId="urn:microsoft.com/office/officeart/2005/8/layout/list1#1"/>
    <dgm:cxn modelId="{868C953C-4F8B-4760-9F37-BA41E788A339}" srcId="{1BA4EFF8-42A6-4FE5-8489-72C5F282D079}" destId="{F5104D27-7621-45B8-820E-A51537289868}" srcOrd="5" destOrd="0" parTransId="{C2457A2B-3A4B-4800-BC77-3FE16E5968E3}" sibTransId="{48C9EFB3-8BBA-4263-B140-A224912642BB}"/>
    <dgm:cxn modelId="{A51D2E3E-6F99-4AC0-9480-B739D96518F8}" type="presOf" srcId="{032DF5CB-E103-44CD-A64A-296919429AE1}" destId="{68C5161B-150F-459D-9172-84A7D2ED89C4}" srcOrd="1" destOrd="0" presId="urn:microsoft.com/office/officeart/2005/8/layout/list1#1"/>
    <dgm:cxn modelId="{6911F547-87D6-4A4A-A4C1-F092D3CA0464}" srcId="{1BA4EFF8-42A6-4FE5-8489-72C5F282D079}" destId="{13845F2E-D627-4A1E-BF43-D82530DA5E15}" srcOrd="1" destOrd="0" parTransId="{59272803-C16F-46B0-A3EB-BA2C28A8860E}" sibTransId="{F313F6ED-8054-4495-9742-7C18ABF868C9}"/>
    <dgm:cxn modelId="{D47B0954-0AE9-41DB-8F43-D008105F05ED}" type="presOf" srcId="{0C4BC9FF-D2EA-42E8-8B66-9ECE6626EA16}" destId="{7E8D3286-983A-49B1-BC3F-32EAA6F1790F}" srcOrd="1" destOrd="0" presId="urn:microsoft.com/office/officeart/2005/8/layout/list1#1"/>
    <dgm:cxn modelId="{3F056055-EE20-4195-9FAC-6E72B248A3DC}" type="presOf" srcId="{1BA4EFF8-42A6-4FE5-8489-72C5F282D079}" destId="{271D9FF2-D8EA-43B0-8619-F7DABFB674A1}" srcOrd="0" destOrd="0" presId="urn:microsoft.com/office/officeart/2005/8/layout/list1#1"/>
    <dgm:cxn modelId="{1BBD3D7D-96F3-40DE-B132-372394196293}" type="presOf" srcId="{F5104D27-7621-45B8-820E-A51537289868}" destId="{D82358F3-37A4-4657-B730-CDAB3C679595}" srcOrd="0" destOrd="0" presId="urn:microsoft.com/office/officeart/2005/8/layout/list1#1"/>
    <dgm:cxn modelId="{B77ABC97-8D5D-4DFB-BFA0-CBEE604D59DD}" type="presOf" srcId="{13845F2E-D627-4A1E-BF43-D82530DA5E15}" destId="{FAEE465E-B5D0-4325-A511-6467226037E9}" srcOrd="1" destOrd="0" presId="urn:microsoft.com/office/officeart/2005/8/layout/list1#1"/>
    <dgm:cxn modelId="{14E2AAB7-4888-421F-A9EB-6A276D9BD64C}" type="presOf" srcId="{C4C50F07-013C-419B-BA56-A73ECB162181}" destId="{92D11CBE-D297-4F7D-B7D2-13C017A4D673}" srcOrd="0" destOrd="0" presId="urn:microsoft.com/office/officeart/2005/8/layout/list1#1"/>
    <dgm:cxn modelId="{4126B2C7-7143-4E05-B169-DBF9902E5604}" srcId="{1BA4EFF8-42A6-4FE5-8489-72C5F282D079}" destId="{1F192F42-F2E6-422B-8E82-A1C2D95FA51C}" srcOrd="0" destOrd="0" parTransId="{1D463E7B-2EFE-4C80-B27B-A431A518D824}" sibTransId="{38D48672-61CB-45A9-BDC5-C423A8F06B5B}"/>
    <dgm:cxn modelId="{47C992D0-7B2C-4ADA-BAEB-7FDE2C107BF0}" type="presOf" srcId="{032DF5CB-E103-44CD-A64A-296919429AE1}" destId="{7CAA1E0A-80FD-409E-8465-9ACCAD155920}" srcOrd="0" destOrd="0" presId="urn:microsoft.com/office/officeart/2005/8/layout/list1#1"/>
    <dgm:cxn modelId="{236F48E5-0264-4C8D-A3CA-C75848DAAA80}" srcId="{1BA4EFF8-42A6-4FE5-8489-72C5F282D079}" destId="{C4C50F07-013C-419B-BA56-A73ECB162181}" srcOrd="4" destOrd="0" parTransId="{358D120C-AF5B-4991-8EE9-7AC6C94D0D6F}" sibTransId="{0A814797-7548-4112-B863-0D8F766D137F}"/>
    <dgm:cxn modelId="{0BA041E7-215F-43EF-9916-78B008C61090}" srcId="{1BA4EFF8-42A6-4FE5-8489-72C5F282D079}" destId="{0C4BC9FF-D2EA-42E8-8B66-9ECE6626EA16}" srcOrd="3" destOrd="0" parTransId="{E43C3A77-6C3B-49DF-A0BF-1756D30B2DF1}" sibTransId="{F0E96BA8-F245-4461-9D68-E27BE623F54E}"/>
    <dgm:cxn modelId="{3E792BED-946C-4BEC-A652-C073D45C76EE}" type="presOf" srcId="{13845F2E-D627-4A1E-BF43-D82530DA5E15}" destId="{E68DA3D0-6B34-4396-96B6-CDA715D1632C}" srcOrd="0" destOrd="0" presId="urn:microsoft.com/office/officeart/2005/8/layout/list1#1"/>
    <dgm:cxn modelId="{02848FF3-F4B8-4561-BEED-3491B867C397}" type="presOf" srcId="{CCFBB45D-1119-4937-8139-D7FB614F08B7}" destId="{6AABD04F-4942-46AF-B6CF-6E21E8AE9937}" srcOrd="1" destOrd="0" presId="urn:microsoft.com/office/officeart/2005/8/layout/list1#1"/>
    <dgm:cxn modelId="{FEED5F62-066B-4E4E-84A1-8BC098CB4847}" type="presParOf" srcId="{271D9FF2-D8EA-43B0-8619-F7DABFB674A1}" destId="{6191F3EF-D88F-48D4-9132-E0925F715E88}" srcOrd="0" destOrd="0" presId="urn:microsoft.com/office/officeart/2005/8/layout/list1#1"/>
    <dgm:cxn modelId="{2098DB3A-ECCD-4744-BD37-75D5AF12994A}" type="presParOf" srcId="{6191F3EF-D88F-48D4-9132-E0925F715E88}" destId="{329AD70C-43D2-424A-9A9A-A4EFEFC67043}" srcOrd="0" destOrd="0" presId="urn:microsoft.com/office/officeart/2005/8/layout/list1#1"/>
    <dgm:cxn modelId="{4817F18B-F34E-46C6-9161-70F07042B040}" type="presParOf" srcId="{6191F3EF-D88F-48D4-9132-E0925F715E88}" destId="{6CD36B26-2D92-4DDA-AAEF-F9D31D4E2313}" srcOrd="1" destOrd="0" presId="urn:microsoft.com/office/officeart/2005/8/layout/list1#1"/>
    <dgm:cxn modelId="{ACB997FA-5D9C-4D44-97F4-3C663328794F}" type="presParOf" srcId="{271D9FF2-D8EA-43B0-8619-F7DABFB674A1}" destId="{B5C31573-800F-4543-8508-1ECDDBBF4A8C}" srcOrd="1" destOrd="0" presId="urn:microsoft.com/office/officeart/2005/8/layout/list1#1"/>
    <dgm:cxn modelId="{672DC2CF-B313-4B73-89F4-84507C180509}" type="presParOf" srcId="{271D9FF2-D8EA-43B0-8619-F7DABFB674A1}" destId="{EEFE9ECE-2432-4C85-9701-D52E8551CD6A}" srcOrd="2" destOrd="0" presId="urn:microsoft.com/office/officeart/2005/8/layout/list1#1"/>
    <dgm:cxn modelId="{C22D1BA2-570F-440D-9461-D8F3C5A8E130}" type="presParOf" srcId="{271D9FF2-D8EA-43B0-8619-F7DABFB674A1}" destId="{94253936-3EA3-40BC-A94D-2435C2CA81E3}" srcOrd="3" destOrd="0" presId="urn:microsoft.com/office/officeart/2005/8/layout/list1#1"/>
    <dgm:cxn modelId="{2AEA73B0-704C-4A83-AC19-F89B86346407}" type="presParOf" srcId="{271D9FF2-D8EA-43B0-8619-F7DABFB674A1}" destId="{FEE58215-3F55-43CB-8CC5-BB38EAB72DAF}" srcOrd="4" destOrd="0" presId="urn:microsoft.com/office/officeart/2005/8/layout/list1#1"/>
    <dgm:cxn modelId="{B49F86E8-A6CD-4691-A46B-E4E7641FD403}" type="presParOf" srcId="{FEE58215-3F55-43CB-8CC5-BB38EAB72DAF}" destId="{E68DA3D0-6B34-4396-96B6-CDA715D1632C}" srcOrd="0" destOrd="0" presId="urn:microsoft.com/office/officeart/2005/8/layout/list1#1"/>
    <dgm:cxn modelId="{C08D5E66-EBA5-48E2-BC33-3B852140269E}" type="presParOf" srcId="{FEE58215-3F55-43CB-8CC5-BB38EAB72DAF}" destId="{FAEE465E-B5D0-4325-A511-6467226037E9}" srcOrd="1" destOrd="0" presId="urn:microsoft.com/office/officeart/2005/8/layout/list1#1"/>
    <dgm:cxn modelId="{0713DBD2-9E15-4DD5-AA5F-3B6D7A3A0A96}" type="presParOf" srcId="{271D9FF2-D8EA-43B0-8619-F7DABFB674A1}" destId="{D904887C-DF25-44C7-B9C9-0F4194E3A9AC}" srcOrd="5" destOrd="0" presId="urn:microsoft.com/office/officeart/2005/8/layout/list1#1"/>
    <dgm:cxn modelId="{51AE908A-FAAF-467F-AEEC-76CA052227AF}" type="presParOf" srcId="{271D9FF2-D8EA-43B0-8619-F7DABFB674A1}" destId="{13CC8B0E-2438-47EC-92FB-BD1F52152538}" srcOrd="6" destOrd="0" presId="urn:microsoft.com/office/officeart/2005/8/layout/list1#1"/>
    <dgm:cxn modelId="{3F21ECDA-1116-4E41-9004-31D0FD60844C}" type="presParOf" srcId="{271D9FF2-D8EA-43B0-8619-F7DABFB674A1}" destId="{07C68C4F-21AE-45DB-9D8C-0A43CD117E32}" srcOrd="7" destOrd="0" presId="urn:microsoft.com/office/officeart/2005/8/layout/list1#1"/>
    <dgm:cxn modelId="{3C29834C-CF3F-476C-BE5C-861CFDD21361}" type="presParOf" srcId="{271D9FF2-D8EA-43B0-8619-F7DABFB674A1}" destId="{93EBCDB3-BBC7-470F-B0DB-27E4A6700216}" srcOrd="8" destOrd="0" presId="urn:microsoft.com/office/officeart/2005/8/layout/list1#1"/>
    <dgm:cxn modelId="{9FED08DD-D595-433C-B8A7-8A6693780FA1}" type="presParOf" srcId="{93EBCDB3-BBC7-470F-B0DB-27E4A6700216}" destId="{C57BF058-5E7E-44F1-90C0-DD8DD0B9BE01}" srcOrd="0" destOrd="0" presId="urn:microsoft.com/office/officeart/2005/8/layout/list1#1"/>
    <dgm:cxn modelId="{3C98C2F7-6534-4CC2-BF84-471278D9266F}" type="presParOf" srcId="{93EBCDB3-BBC7-470F-B0DB-27E4A6700216}" destId="{6AABD04F-4942-46AF-B6CF-6E21E8AE9937}" srcOrd="1" destOrd="0" presId="urn:microsoft.com/office/officeart/2005/8/layout/list1#1"/>
    <dgm:cxn modelId="{48A9041F-AB79-462B-ADF0-E290A7C6EF1A}" type="presParOf" srcId="{271D9FF2-D8EA-43B0-8619-F7DABFB674A1}" destId="{B71F1738-8606-4BB3-95DA-6829FD63CD9C}" srcOrd="9" destOrd="0" presId="urn:microsoft.com/office/officeart/2005/8/layout/list1#1"/>
    <dgm:cxn modelId="{3700EEC5-316A-465B-B136-8D5286576300}" type="presParOf" srcId="{271D9FF2-D8EA-43B0-8619-F7DABFB674A1}" destId="{4E68D914-E741-46FD-AAF7-A7F6DC2AD021}" srcOrd="10" destOrd="0" presId="urn:microsoft.com/office/officeart/2005/8/layout/list1#1"/>
    <dgm:cxn modelId="{1977043A-2743-44A7-B99E-46052534E227}" type="presParOf" srcId="{271D9FF2-D8EA-43B0-8619-F7DABFB674A1}" destId="{5ECDED52-5115-4C1A-9562-53902F088936}" srcOrd="11" destOrd="0" presId="urn:microsoft.com/office/officeart/2005/8/layout/list1#1"/>
    <dgm:cxn modelId="{E98D9C00-2347-4752-852A-6B19B0345FB2}" type="presParOf" srcId="{271D9FF2-D8EA-43B0-8619-F7DABFB674A1}" destId="{6C31DBFD-A9BD-418D-A4BD-ED1F5B700571}" srcOrd="12" destOrd="0" presId="urn:microsoft.com/office/officeart/2005/8/layout/list1#1"/>
    <dgm:cxn modelId="{077AD481-E6CF-41F9-A530-B14FA3603493}" type="presParOf" srcId="{6C31DBFD-A9BD-418D-A4BD-ED1F5B700571}" destId="{CF438E20-38C0-45A2-BE5C-68682888ADEA}" srcOrd="0" destOrd="0" presId="urn:microsoft.com/office/officeart/2005/8/layout/list1#1"/>
    <dgm:cxn modelId="{F34F51F5-A928-49BE-80C8-BA73455278DE}" type="presParOf" srcId="{6C31DBFD-A9BD-418D-A4BD-ED1F5B700571}" destId="{7E8D3286-983A-49B1-BC3F-32EAA6F1790F}" srcOrd="1" destOrd="0" presId="urn:microsoft.com/office/officeart/2005/8/layout/list1#1"/>
    <dgm:cxn modelId="{C36387F2-E489-4B1A-BB69-3DFBBC2D77CE}" type="presParOf" srcId="{271D9FF2-D8EA-43B0-8619-F7DABFB674A1}" destId="{B17998B9-37F8-4884-A3A7-A33D96304D09}" srcOrd="13" destOrd="0" presId="urn:microsoft.com/office/officeart/2005/8/layout/list1#1"/>
    <dgm:cxn modelId="{0FFFB38D-CA5D-4359-8ED0-B04E6FBB99B6}" type="presParOf" srcId="{271D9FF2-D8EA-43B0-8619-F7DABFB674A1}" destId="{792602DA-B6B9-46A8-B154-9DBB9735355A}" srcOrd="14" destOrd="0" presId="urn:microsoft.com/office/officeart/2005/8/layout/list1#1"/>
    <dgm:cxn modelId="{BECF2952-2C53-4DE6-B40B-273A20629AAB}" type="presParOf" srcId="{271D9FF2-D8EA-43B0-8619-F7DABFB674A1}" destId="{AA438B56-CFB8-4F5B-A96B-87B295553A86}" srcOrd="15" destOrd="0" presId="urn:microsoft.com/office/officeart/2005/8/layout/list1#1"/>
    <dgm:cxn modelId="{3C027B05-27B0-4418-B9C5-62E769ACA28A}" type="presParOf" srcId="{271D9FF2-D8EA-43B0-8619-F7DABFB674A1}" destId="{10F7EA10-14CD-425B-BB6B-4ACF82042B67}" srcOrd="16" destOrd="0" presId="urn:microsoft.com/office/officeart/2005/8/layout/list1#1"/>
    <dgm:cxn modelId="{A5445ED8-734C-4BCC-A2F1-3A9C50CE4C89}" type="presParOf" srcId="{10F7EA10-14CD-425B-BB6B-4ACF82042B67}" destId="{92D11CBE-D297-4F7D-B7D2-13C017A4D673}" srcOrd="0" destOrd="0" presId="urn:microsoft.com/office/officeart/2005/8/layout/list1#1"/>
    <dgm:cxn modelId="{1AC3C439-7217-4E38-B786-8A7CC4D8355A}" type="presParOf" srcId="{10F7EA10-14CD-425B-BB6B-4ACF82042B67}" destId="{33C7000F-7A06-45BB-A88E-EEA92CCC8FAB}" srcOrd="1" destOrd="0" presId="urn:microsoft.com/office/officeart/2005/8/layout/list1#1"/>
    <dgm:cxn modelId="{F7DDE098-5EF5-4F79-8049-B9A26AD66CBD}" type="presParOf" srcId="{271D9FF2-D8EA-43B0-8619-F7DABFB674A1}" destId="{4E0A80B4-35D6-401C-A665-305AF67505BF}" srcOrd="17" destOrd="0" presId="urn:microsoft.com/office/officeart/2005/8/layout/list1#1"/>
    <dgm:cxn modelId="{E7F82593-DFDA-4B5D-B2BC-2CC9B4914B74}" type="presParOf" srcId="{271D9FF2-D8EA-43B0-8619-F7DABFB674A1}" destId="{CDD9EB52-2B5B-4561-BD9A-B6A3017FB6EE}" srcOrd="18" destOrd="0" presId="urn:microsoft.com/office/officeart/2005/8/layout/list1#1"/>
    <dgm:cxn modelId="{D99E52CE-098E-4DC0-9171-15DEA5E3CB39}" type="presParOf" srcId="{271D9FF2-D8EA-43B0-8619-F7DABFB674A1}" destId="{D5CA8E9B-FE4D-4D6C-A2F7-0405BB1551EF}" srcOrd="19" destOrd="0" presId="urn:microsoft.com/office/officeart/2005/8/layout/list1#1"/>
    <dgm:cxn modelId="{0518C7D7-8999-4CAB-A055-FD146B8DB195}" type="presParOf" srcId="{271D9FF2-D8EA-43B0-8619-F7DABFB674A1}" destId="{107CAEB8-DC96-439A-9AB8-7AA724E34678}" srcOrd="20" destOrd="0" presId="urn:microsoft.com/office/officeart/2005/8/layout/list1#1"/>
    <dgm:cxn modelId="{A4D93B13-FC1F-4D2C-964D-B7B324F48E3C}" type="presParOf" srcId="{107CAEB8-DC96-439A-9AB8-7AA724E34678}" destId="{D82358F3-37A4-4657-B730-CDAB3C679595}" srcOrd="0" destOrd="0" presId="urn:microsoft.com/office/officeart/2005/8/layout/list1#1"/>
    <dgm:cxn modelId="{CDAA630C-9B7B-49D3-9518-A9BB6EB1C36A}" type="presParOf" srcId="{107CAEB8-DC96-439A-9AB8-7AA724E34678}" destId="{5C41A061-53ED-4E8C-BEFE-19CAD2FDEBCA}" srcOrd="1" destOrd="0" presId="urn:microsoft.com/office/officeart/2005/8/layout/list1#1"/>
    <dgm:cxn modelId="{45C0F185-127E-44AE-9931-28A37C15226A}" type="presParOf" srcId="{271D9FF2-D8EA-43B0-8619-F7DABFB674A1}" destId="{F3ECFED4-5CD6-4703-9D38-CA59D04D0D40}" srcOrd="21" destOrd="0" presId="urn:microsoft.com/office/officeart/2005/8/layout/list1#1"/>
    <dgm:cxn modelId="{3C49E472-A5C7-4CBB-8649-67506AE37460}" type="presParOf" srcId="{271D9FF2-D8EA-43B0-8619-F7DABFB674A1}" destId="{76BA51DD-4E4E-41FA-97C2-D5C8EDB8ACC1}" srcOrd="22" destOrd="0" presId="urn:microsoft.com/office/officeart/2005/8/layout/list1#1"/>
    <dgm:cxn modelId="{9117B7C8-AE0B-4B1F-B046-8665FB6B00F6}" type="presParOf" srcId="{271D9FF2-D8EA-43B0-8619-F7DABFB674A1}" destId="{B99E0D7D-3BA8-488C-9465-C6B97359B840}" srcOrd="23" destOrd="0" presId="urn:microsoft.com/office/officeart/2005/8/layout/list1#1"/>
    <dgm:cxn modelId="{2CE1F702-272C-4587-910D-04494FC9394C}" type="presParOf" srcId="{271D9FF2-D8EA-43B0-8619-F7DABFB674A1}" destId="{1D25C476-31A0-48C0-9D2A-0BA24454F99A}" srcOrd="24" destOrd="0" presId="urn:microsoft.com/office/officeart/2005/8/layout/list1#1"/>
    <dgm:cxn modelId="{A5B9651B-6BD8-4353-9DFD-B23AC366BEF0}" type="presParOf" srcId="{1D25C476-31A0-48C0-9D2A-0BA24454F99A}" destId="{7CAA1E0A-80FD-409E-8465-9ACCAD155920}" srcOrd="0" destOrd="0" presId="urn:microsoft.com/office/officeart/2005/8/layout/list1#1"/>
    <dgm:cxn modelId="{103A0267-8877-46F8-8F5C-BF8A1B2780F1}" type="presParOf" srcId="{1D25C476-31A0-48C0-9D2A-0BA24454F99A}" destId="{68C5161B-150F-459D-9172-84A7D2ED89C4}" srcOrd="1" destOrd="0" presId="urn:microsoft.com/office/officeart/2005/8/layout/list1#1"/>
    <dgm:cxn modelId="{D3FB5C49-005E-484B-80CF-0DE20010FA11}" type="presParOf" srcId="{271D9FF2-D8EA-43B0-8619-F7DABFB674A1}" destId="{38D4D572-DCF9-44C2-9383-85DBCF18C7C1}" srcOrd="25" destOrd="0" presId="urn:microsoft.com/office/officeart/2005/8/layout/list1#1"/>
    <dgm:cxn modelId="{A56E48F6-3632-4EC3-9F46-D8A3E883FA0D}" type="presParOf" srcId="{271D9FF2-D8EA-43B0-8619-F7DABFB674A1}" destId="{A86A3178-ECC6-4E03-BB92-3C196F53C3FA}" srcOrd="26" destOrd="0" presId="urn:microsoft.com/office/officeart/2005/8/layout/list1#1"/>
  </dgm:cxnLst>
  <dgm:bg/>
  <dgm:whole/>
  <dgm:extLst>
    <a:ext uri="http://schemas.microsoft.com/office/drawing/2008/diagram">
      <dsp:dataModelExt xmlns:dsp="http://schemas.microsoft.com/office/drawing/2008/diagram" relId="rId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D0B2EC5-803E-47DB-9D4A-7083BF7815A5}" type="doc">
      <dgm:prSet loTypeId="urn:microsoft.com/office/officeart/2005/8/layout/cycle3#1" loCatId="cycle" qsTypeId="urn:microsoft.com/office/officeart/2005/8/quickstyle/simple1" qsCatId="simple" csTypeId="urn:microsoft.com/office/officeart/2005/8/colors/colorful5" csCatId="colorful" phldr="1"/>
      <dgm:spPr/>
      <dgm:t>
        <a:bodyPr/>
        <a:p>
          <a:endParaRPr lang="en-US"/>
        </a:p>
      </dgm:t>
    </dgm:pt>
    <dgm:pt modelId="{ED57AE2A-EAB0-4F2A-B963-C5148A516478}">
      <dgm:prSet phldrT="[Text]" custT="1"/>
      <dgm:spPr/>
      <dgm:t>
        <a:bodyPr/>
        <a:p>
          <a:r>
            <a:rPr lang="en-GB" sz="1400" b="1">
              <a:solidFill>
                <a:schemeClr val="tx1"/>
              </a:solidFill>
            </a:rPr>
            <a:t>Cost per hire</a:t>
          </a:r>
          <a:endParaRPr lang="en-US" sz="1400">
            <a:solidFill>
              <a:schemeClr val="tx1"/>
            </a:solidFill>
          </a:endParaRPr>
        </a:p>
      </dgm:t>
    </dgm:pt>
    <dgm:pt modelId="{E6FC1021-5E51-45DE-859B-EB3965911E7C}" cxnId="{07A36AD0-BB53-407C-88D6-FF687496A6AB}" type="parTrans">
      <dgm:prSet/>
      <dgm:spPr/>
      <dgm:t>
        <a:bodyPr/>
        <a:p>
          <a:endParaRPr lang="en-US"/>
        </a:p>
      </dgm:t>
    </dgm:pt>
    <dgm:pt modelId="{536E29E9-631B-4211-89DF-78FC8244F864}" cxnId="{07A36AD0-BB53-407C-88D6-FF687496A6AB}" type="sibTrans">
      <dgm:prSet/>
      <dgm:spPr/>
      <dgm:t>
        <a:bodyPr/>
        <a:p>
          <a:endParaRPr lang="en-US"/>
        </a:p>
      </dgm:t>
    </dgm:pt>
    <dgm:pt modelId="{C7682F18-B995-400D-80D6-1F67B5DAEEC4}">
      <dgm:prSet custT="1"/>
      <dgm:spPr/>
      <dgm:t>
        <a:bodyPr/>
        <a:p>
          <a:r>
            <a:rPr lang="en-GB" sz="1400" b="1">
              <a:solidFill>
                <a:schemeClr val="tx1"/>
              </a:solidFill>
            </a:rPr>
            <a:t>Quality of hire</a:t>
          </a:r>
          <a:endParaRPr lang="en-US" sz="1400">
            <a:solidFill>
              <a:schemeClr val="tx1"/>
            </a:solidFill>
          </a:endParaRPr>
        </a:p>
      </dgm:t>
    </dgm:pt>
    <dgm:pt modelId="{FAED116C-58E1-43B9-A289-60FBF81B4A15}" cxnId="{E2528001-DB82-4065-8D5A-F5C7602E200F}" type="parTrans">
      <dgm:prSet/>
      <dgm:spPr/>
      <dgm:t>
        <a:bodyPr/>
        <a:p>
          <a:endParaRPr lang="en-US"/>
        </a:p>
      </dgm:t>
    </dgm:pt>
    <dgm:pt modelId="{F1DA20A6-27F0-479C-8F57-B994775C21C1}" cxnId="{E2528001-DB82-4065-8D5A-F5C7602E200F}" type="sibTrans">
      <dgm:prSet/>
      <dgm:spPr/>
      <dgm:t>
        <a:bodyPr/>
        <a:p>
          <a:endParaRPr lang="en-US"/>
        </a:p>
      </dgm:t>
    </dgm:pt>
    <dgm:pt modelId="{F17B7B1B-DFA1-4903-BDE6-B5F7F7D457DB}">
      <dgm:prSet custT="1"/>
      <dgm:spPr/>
      <dgm:t>
        <a:bodyPr/>
        <a:p>
          <a:r>
            <a:rPr lang="en-GB" sz="1400" b="1">
              <a:solidFill>
                <a:schemeClr val="tx1"/>
              </a:solidFill>
            </a:rPr>
            <a:t>Speed of hire</a:t>
          </a:r>
          <a:endParaRPr lang="en-US" sz="1400">
            <a:solidFill>
              <a:schemeClr val="tx1"/>
            </a:solidFill>
          </a:endParaRPr>
        </a:p>
      </dgm:t>
    </dgm:pt>
    <dgm:pt modelId="{4DC4EEBE-0372-4DBA-B0B9-E9C25F29A5A4}" cxnId="{C0E28F60-075F-4CD1-ACA2-0117A1328418}" type="parTrans">
      <dgm:prSet/>
      <dgm:spPr/>
      <dgm:t>
        <a:bodyPr/>
        <a:p>
          <a:endParaRPr lang="en-US"/>
        </a:p>
      </dgm:t>
    </dgm:pt>
    <dgm:pt modelId="{53D9B228-B9BE-4647-9D50-C965A6ECF951}" cxnId="{C0E28F60-075F-4CD1-ACA2-0117A1328418}" type="sibTrans">
      <dgm:prSet/>
      <dgm:spPr/>
      <dgm:t>
        <a:bodyPr/>
        <a:p>
          <a:endParaRPr lang="en-US"/>
        </a:p>
      </dgm:t>
    </dgm:pt>
    <dgm:pt modelId="{BBEF320E-FCE4-4E41-AACA-B76204DD9CC6}">
      <dgm:prSet custT="1"/>
      <dgm:spPr/>
      <dgm:t>
        <a:bodyPr/>
        <a:p>
          <a:r>
            <a:rPr lang="en-GB" sz="1400" b="1">
              <a:solidFill>
                <a:schemeClr val="tx1"/>
              </a:solidFill>
            </a:rPr>
            <a:t>Yield ratio</a:t>
          </a:r>
          <a:endParaRPr lang="en-US" sz="1400">
            <a:solidFill>
              <a:schemeClr val="tx1"/>
            </a:solidFill>
          </a:endParaRPr>
        </a:p>
      </dgm:t>
    </dgm:pt>
    <dgm:pt modelId="{94C87647-0599-4253-AA74-657AEA944179}" cxnId="{FC138364-7785-469E-810C-489146824B24}" type="parTrans">
      <dgm:prSet/>
      <dgm:spPr/>
      <dgm:t>
        <a:bodyPr/>
        <a:p>
          <a:endParaRPr lang="en-US"/>
        </a:p>
      </dgm:t>
    </dgm:pt>
    <dgm:pt modelId="{32808857-5226-4D08-B6AE-AE0FD531BCF3}" cxnId="{FC138364-7785-469E-810C-489146824B24}" type="sibTrans">
      <dgm:prSet/>
      <dgm:spPr/>
      <dgm:t>
        <a:bodyPr/>
        <a:p>
          <a:endParaRPr lang="en-US"/>
        </a:p>
      </dgm:t>
    </dgm:pt>
    <dgm:pt modelId="{188FCB9A-6C30-49AD-866C-F0A0589AC166}" type="pres">
      <dgm:prSet presAssocID="{ED0B2EC5-803E-47DB-9D4A-7083BF7815A5}" presName="Name0" presStyleCnt="0">
        <dgm:presLayoutVars>
          <dgm:dir/>
          <dgm:resizeHandles val="exact"/>
        </dgm:presLayoutVars>
      </dgm:prSet>
      <dgm:spPr/>
    </dgm:pt>
    <dgm:pt modelId="{12AA9552-2A76-4E74-959B-B6FF3FE0EB60}" type="pres">
      <dgm:prSet presAssocID="{ED0B2EC5-803E-47DB-9D4A-7083BF7815A5}" presName="cycle" presStyleCnt="0"/>
      <dgm:spPr/>
    </dgm:pt>
    <dgm:pt modelId="{7C8FA1F2-BD11-4180-89AF-4BFE35D2B934}" type="pres">
      <dgm:prSet presAssocID="{ED57AE2A-EAB0-4F2A-B963-C5148A516478}" presName="nodeFirstNode" presStyleLbl="node1" presStyleIdx="0" presStyleCnt="4">
        <dgm:presLayoutVars>
          <dgm:bulletEnabled val="1"/>
        </dgm:presLayoutVars>
      </dgm:prSet>
      <dgm:spPr/>
    </dgm:pt>
    <dgm:pt modelId="{C8616AB9-30C4-4A07-9656-91BC2D615560}" type="pres">
      <dgm:prSet presAssocID="{536E29E9-631B-4211-89DF-78FC8244F864}" presName="sibTransFirstNode" presStyleLbl="bgShp" presStyleIdx="0" presStyleCnt="1"/>
      <dgm:spPr/>
    </dgm:pt>
    <dgm:pt modelId="{A033D3EC-703B-444A-B393-8935C544E0A5}" type="pres">
      <dgm:prSet presAssocID="{C7682F18-B995-400D-80D6-1F67B5DAEEC4}" presName="nodeFollowingNodes" presStyleLbl="node1" presStyleIdx="1" presStyleCnt="4">
        <dgm:presLayoutVars>
          <dgm:bulletEnabled val="1"/>
        </dgm:presLayoutVars>
      </dgm:prSet>
      <dgm:spPr/>
    </dgm:pt>
    <dgm:pt modelId="{CB0575C1-D362-4128-8331-4229966358A6}" type="pres">
      <dgm:prSet presAssocID="{F17B7B1B-DFA1-4903-BDE6-B5F7F7D457DB}" presName="nodeFollowingNodes" presStyleLbl="node1" presStyleIdx="2" presStyleCnt="4">
        <dgm:presLayoutVars>
          <dgm:bulletEnabled val="1"/>
        </dgm:presLayoutVars>
      </dgm:prSet>
      <dgm:spPr/>
    </dgm:pt>
    <dgm:pt modelId="{49D59C3D-FD12-4A0A-BDAD-F38772B84CD6}" type="pres">
      <dgm:prSet presAssocID="{BBEF320E-FCE4-4E41-AACA-B76204DD9CC6}" presName="nodeFollowingNodes" presStyleLbl="node1" presStyleIdx="3" presStyleCnt="4">
        <dgm:presLayoutVars>
          <dgm:bulletEnabled val="1"/>
        </dgm:presLayoutVars>
      </dgm:prSet>
      <dgm:spPr/>
    </dgm:pt>
  </dgm:ptLst>
  <dgm:cxnLst>
    <dgm:cxn modelId="{E2528001-DB82-4065-8D5A-F5C7602E200F}" srcId="{ED0B2EC5-803E-47DB-9D4A-7083BF7815A5}" destId="{C7682F18-B995-400D-80D6-1F67B5DAEEC4}" srcOrd="1" destOrd="0" parTransId="{FAED116C-58E1-43B9-A289-60FBF81B4A15}" sibTransId="{F1DA20A6-27F0-479C-8F57-B994775C21C1}"/>
    <dgm:cxn modelId="{3D4AEA06-3DD0-4845-B937-ED6EB8AE07A8}" type="presOf" srcId="{F17B7B1B-DFA1-4903-BDE6-B5F7F7D457DB}" destId="{CB0575C1-D362-4128-8331-4229966358A6}" srcOrd="0" destOrd="0" presId="urn:microsoft.com/office/officeart/2005/8/layout/cycle3#1"/>
    <dgm:cxn modelId="{45EB0912-CEED-4336-ADFA-715829FCEDD6}" type="presOf" srcId="{ED57AE2A-EAB0-4F2A-B963-C5148A516478}" destId="{7C8FA1F2-BD11-4180-89AF-4BFE35D2B934}" srcOrd="0" destOrd="0" presId="urn:microsoft.com/office/officeart/2005/8/layout/cycle3#1"/>
    <dgm:cxn modelId="{C0E28F60-075F-4CD1-ACA2-0117A1328418}" srcId="{ED0B2EC5-803E-47DB-9D4A-7083BF7815A5}" destId="{F17B7B1B-DFA1-4903-BDE6-B5F7F7D457DB}" srcOrd="2" destOrd="0" parTransId="{4DC4EEBE-0372-4DBA-B0B9-E9C25F29A5A4}" sibTransId="{53D9B228-B9BE-4647-9D50-C965A6ECF951}"/>
    <dgm:cxn modelId="{FC138364-7785-469E-810C-489146824B24}" srcId="{ED0B2EC5-803E-47DB-9D4A-7083BF7815A5}" destId="{BBEF320E-FCE4-4E41-AACA-B76204DD9CC6}" srcOrd="3" destOrd="0" parTransId="{94C87647-0599-4253-AA74-657AEA944179}" sibTransId="{32808857-5226-4D08-B6AE-AE0FD531BCF3}"/>
    <dgm:cxn modelId="{D5746B81-AFB0-4312-B1BD-1A2F6C9D6C4F}" type="presOf" srcId="{536E29E9-631B-4211-89DF-78FC8244F864}" destId="{C8616AB9-30C4-4A07-9656-91BC2D615560}" srcOrd="0" destOrd="0" presId="urn:microsoft.com/office/officeart/2005/8/layout/cycle3#1"/>
    <dgm:cxn modelId="{E24FEB99-8301-470E-9C15-CAB50284BC91}" type="presOf" srcId="{C7682F18-B995-400D-80D6-1F67B5DAEEC4}" destId="{A033D3EC-703B-444A-B393-8935C544E0A5}" srcOrd="0" destOrd="0" presId="urn:microsoft.com/office/officeart/2005/8/layout/cycle3#1"/>
    <dgm:cxn modelId="{81CBC4C7-ADBA-4DDC-AD96-3D8BA3D18849}" type="presOf" srcId="{BBEF320E-FCE4-4E41-AACA-B76204DD9CC6}" destId="{49D59C3D-FD12-4A0A-BDAD-F38772B84CD6}" srcOrd="0" destOrd="0" presId="urn:microsoft.com/office/officeart/2005/8/layout/cycle3#1"/>
    <dgm:cxn modelId="{07A36AD0-BB53-407C-88D6-FF687496A6AB}" srcId="{ED0B2EC5-803E-47DB-9D4A-7083BF7815A5}" destId="{ED57AE2A-EAB0-4F2A-B963-C5148A516478}" srcOrd="0" destOrd="0" parTransId="{E6FC1021-5E51-45DE-859B-EB3965911E7C}" sibTransId="{536E29E9-631B-4211-89DF-78FC8244F864}"/>
    <dgm:cxn modelId="{790EBEE4-7224-4FAB-B50D-F72C3583DA8C}" type="presOf" srcId="{ED0B2EC5-803E-47DB-9D4A-7083BF7815A5}" destId="{188FCB9A-6C30-49AD-866C-F0A0589AC166}" srcOrd="0" destOrd="0" presId="urn:microsoft.com/office/officeart/2005/8/layout/cycle3#1"/>
    <dgm:cxn modelId="{DFF9D1A5-B762-44E9-8380-A4141E98BA98}" type="presParOf" srcId="{188FCB9A-6C30-49AD-866C-F0A0589AC166}" destId="{12AA9552-2A76-4E74-959B-B6FF3FE0EB60}" srcOrd="0" destOrd="0" presId="urn:microsoft.com/office/officeart/2005/8/layout/cycle3#1"/>
    <dgm:cxn modelId="{AF8F94A0-D8A8-403D-9238-038DC3019F09}" type="presParOf" srcId="{12AA9552-2A76-4E74-959B-B6FF3FE0EB60}" destId="{7C8FA1F2-BD11-4180-89AF-4BFE35D2B934}" srcOrd="0" destOrd="0" presId="urn:microsoft.com/office/officeart/2005/8/layout/cycle3#1"/>
    <dgm:cxn modelId="{EC55C0D2-EA72-40A7-B666-DC56CE93A9CC}" type="presParOf" srcId="{12AA9552-2A76-4E74-959B-B6FF3FE0EB60}" destId="{C8616AB9-30C4-4A07-9656-91BC2D615560}" srcOrd="1" destOrd="0" presId="urn:microsoft.com/office/officeart/2005/8/layout/cycle3#1"/>
    <dgm:cxn modelId="{98F253BB-548B-47BD-AC89-2E6026D5A67F}" type="presParOf" srcId="{12AA9552-2A76-4E74-959B-B6FF3FE0EB60}" destId="{A033D3EC-703B-444A-B393-8935C544E0A5}" srcOrd="2" destOrd="0" presId="urn:microsoft.com/office/officeart/2005/8/layout/cycle3#1"/>
    <dgm:cxn modelId="{5C5CF6CE-8F47-4C4C-8E21-930985D0C415}" type="presParOf" srcId="{12AA9552-2A76-4E74-959B-B6FF3FE0EB60}" destId="{CB0575C1-D362-4128-8331-4229966358A6}" srcOrd="3" destOrd="0" presId="urn:microsoft.com/office/officeart/2005/8/layout/cycle3#1"/>
    <dgm:cxn modelId="{C19C6639-379B-4354-B7D4-31374F8A348F}" type="presParOf" srcId="{12AA9552-2A76-4E74-959B-B6FF3FE0EB60}" destId="{49D59C3D-FD12-4A0A-BDAD-F38772B84CD6}" srcOrd="4" destOrd="0" presId="urn:microsoft.com/office/officeart/2005/8/layout/cycle3#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5486400" cy="3200400"/>
        <a:chOff x="0" y="0"/>
        <a:chExt cx="5486400" cy="3200400"/>
      </a:xfrm>
    </dsp:grpSpPr>
    <dsp:sp modelId="{EEFE9ECE-2432-4C85-9701-D52E8551CD6A}">
      <dsp:nvSpPr>
        <dsp:cNvPr id="5" name="Rectangles 4"/>
        <dsp:cNvSpPr/>
      </dsp:nvSpPr>
      <dsp:spPr bwMode="white">
        <a:xfrm>
          <a:off x="0" y="187200"/>
          <a:ext cx="5486400" cy="252000"/>
        </a:xfrm>
        <a:prstGeom prst="rect">
          <a:avLst/>
        </a:prstGeom>
      </dsp:spPr>
      <dsp:style>
        <a:lnRef idx="2">
          <a:schemeClr val="accent5">
            <a:hueOff val="0"/>
            <a:satOff val="0"/>
            <a:lumOff val="0"/>
            <a:alpha val="100000"/>
          </a:schemeClr>
        </a:lnRef>
        <a:fillRef idx="1">
          <a:schemeClr val="lt1">
            <a:alpha val="90000"/>
          </a:schemeClr>
        </a:fillRef>
        <a:effectRef idx="0">
          <a:scrgbClr r="0" g="0" b="0"/>
        </a:effectRef>
        <a:fontRef idx="minor"/>
      </dsp:style>
      <dsp:txBody>
        <a:bodyPr lIns="425805" tIns="208279" rIns="425805" bIns="71120" anchor="t"/>
        <a:lstStyle>
          <a:lvl1pPr algn="l">
            <a:defRPr sz="1000"/>
          </a:lvl1pPr>
          <a:lvl2pPr marL="57150" indent="-57150" algn="l">
            <a:defRPr sz="1000"/>
          </a:lvl2pPr>
          <a:lvl3pPr marL="114300" indent="-57150" algn="l">
            <a:defRPr sz="1000"/>
          </a:lvl3pPr>
          <a:lvl4pPr marL="171450" indent="-57150" algn="l">
            <a:defRPr sz="1000"/>
          </a:lvl4pPr>
          <a:lvl5pPr marL="228600" indent="-57150" algn="l">
            <a:defRPr sz="1000"/>
          </a:lvl5pPr>
          <a:lvl6pPr marL="285750" indent="-57150" algn="l">
            <a:defRPr sz="1000"/>
          </a:lvl6pPr>
          <a:lvl7pPr marL="342900" indent="-57150" algn="l">
            <a:defRPr sz="1000"/>
          </a:lvl7pPr>
          <a:lvl8pPr marL="400050" indent="-57150" algn="l">
            <a:defRPr sz="1000"/>
          </a:lvl8pPr>
          <a:lvl9pPr marL="457200" indent="-57150" algn="l">
            <a:defRPr sz="1000"/>
          </a:lvl9pPr>
        </a:lstStyle>
        <a:p>
          <a:endParaRPr>
            <a:solidFill>
              <a:schemeClr val="dk1"/>
            </a:solidFill>
          </a:endParaRPr>
        </a:p>
      </dsp:txBody>
      <dsp:txXfrm>
        <a:off x="0" y="187200"/>
        <a:ext cx="5486400" cy="252000"/>
      </dsp:txXfrm>
    </dsp:sp>
    <dsp:sp modelId="{6CD36B26-2D92-4DDA-AAEF-F9D31D4E2313}">
      <dsp:nvSpPr>
        <dsp:cNvPr id="4" name="Rounded Rectangle 3"/>
        <dsp:cNvSpPr/>
      </dsp:nvSpPr>
      <dsp:spPr bwMode="white">
        <a:xfrm>
          <a:off x="274320" y="39600"/>
          <a:ext cx="3840480" cy="295200"/>
        </a:xfrm>
        <a:prstGeom prst="roundRect">
          <a:avLst/>
        </a:prstGeom>
      </dsp:spPr>
      <dsp:style>
        <a:lnRef idx="2">
          <a:schemeClr val="lt1"/>
        </a:lnRef>
        <a:fillRef idx="1">
          <a:schemeClr val="accent5">
            <a:hueOff val="0"/>
            <a:satOff val="0"/>
            <a:lumOff val="0"/>
            <a:alpha val="100000"/>
          </a:schemeClr>
        </a:fillRef>
        <a:effectRef idx="0">
          <a:scrgbClr r="0" g="0" b="0"/>
        </a:effectRef>
        <a:fontRef idx="minor">
          <a:schemeClr val="lt1"/>
        </a:fontRef>
      </dsp:style>
      <dsp:txBody>
        <a:bodyPr lIns="145161" tIns="0" rIns="145161" bIns="0" anchor="ctr"/>
        <a:lstStyle>
          <a:lvl1pPr algn="l">
            <a:defRPr sz="1000"/>
          </a:lvl1pPr>
          <a:lvl2pPr marL="57150" indent="-57150" algn="l">
            <a:defRPr sz="700"/>
          </a:lvl2pPr>
          <a:lvl3pPr marL="114300" indent="-57150" algn="l">
            <a:defRPr sz="700"/>
          </a:lvl3pPr>
          <a:lvl4pPr marL="171450" indent="-57150" algn="l">
            <a:defRPr sz="700"/>
          </a:lvl4pPr>
          <a:lvl5pPr marL="228600" indent="-57150" algn="l">
            <a:defRPr sz="700"/>
          </a:lvl5pPr>
          <a:lvl6pPr marL="285750" indent="-57150" algn="l">
            <a:defRPr sz="700"/>
          </a:lvl6pPr>
          <a:lvl7pPr marL="342900" indent="-57150" algn="l">
            <a:defRPr sz="700"/>
          </a:lvl7pPr>
          <a:lvl8pPr marL="400050" indent="-57150" algn="l">
            <a:defRPr sz="700"/>
          </a:lvl8pPr>
          <a:lvl9pPr marL="457200" indent="-57150" algn="l">
            <a:defRPr sz="700"/>
          </a:lvl9pPr>
        </a:lstStyle>
        <a:p>
          <a:pPr lvl="0">
            <a:lnSpc>
              <a:spcPct val="100000"/>
            </a:lnSpc>
            <a:spcBef>
              <a:spcPct val="0"/>
            </a:spcBef>
            <a:spcAft>
              <a:spcPct val="35000"/>
            </a:spcAft>
          </a:pPr>
          <a:r>
            <a:rPr lang="en-GB" b="1" i="1">
              <a:solidFill>
                <a:schemeClr val="tx1"/>
              </a:solidFill>
            </a:rPr>
            <a:t>Creating urgency</a:t>
          </a:r>
          <a:endParaRPr lang="en-US">
            <a:solidFill>
              <a:schemeClr val="tx1"/>
            </a:solidFill>
          </a:endParaRPr>
        </a:p>
      </dsp:txBody>
      <dsp:txXfrm>
        <a:off x="274320" y="39600"/>
        <a:ext cx="3840480" cy="295200"/>
      </dsp:txXfrm>
    </dsp:sp>
    <dsp:sp modelId="{13CC8B0E-2438-47EC-92FB-BD1F52152538}">
      <dsp:nvSpPr>
        <dsp:cNvPr id="8" name="Rectangles 7"/>
        <dsp:cNvSpPr/>
      </dsp:nvSpPr>
      <dsp:spPr bwMode="white">
        <a:xfrm>
          <a:off x="0" y="640800"/>
          <a:ext cx="5486400" cy="252000"/>
        </a:xfrm>
        <a:prstGeom prst="rect">
          <a:avLst/>
        </a:prstGeom>
      </dsp:spPr>
      <dsp:style>
        <a:lnRef idx="2">
          <a:schemeClr val="accent5">
            <a:hueOff val="-1650000"/>
            <a:satOff val="6667"/>
            <a:lumOff val="1438"/>
            <a:alpha val="100000"/>
          </a:schemeClr>
        </a:lnRef>
        <a:fillRef idx="1">
          <a:schemeClr val="lt1">
            <a:alpha val="90000"/>
          </a:schemeClr>
        </a:fillRef>
        <a:effectRef idx="0">
          <a:scrgbClr r="0" g="0" b="0"/>
        </a:effectRef>
        <a:fontRef idx="minor"/>
      </dsp:style>
      <dsp:txBody>
        <a:bodyPr lIns="425805" tIns="208279" rIns="425805" bIns="71120" anchor="t"/>
        <a:lstStyle>
          <a:lvl1pPr algn="l">
            <a:defRPr sz="1000"/>
          </a:lvl1pPr>
          <a:lvl2pPr marL="57150" indent="-57150" algn="l">
            <a:defRPr sz="1000"/>
          </a:lvl2pPr>
          <a:lvl3pPr marL="114300" indent="-57150" algn="l">
            <a:defRPr sz="1000"/>
          </a:lvl3pPr>
          <a:lvl4pPr marL="171450" indent="-57150" algn="l">
            <a:defRPr sz="1000"/>
          </a:lvl4pPr>
          <a:lvl5pPr marL="228600" indent="-57150" algn="l">
            <a:defRPr sz="1000"/>
          </a:lvl5pPr>
          <a:lvl6pPr marL="285750" indent="-57150" algn="l">
            <a:defRPr sz="1000"/>
          </a:lvl6pPr>
          <a:lvl7pPr marL="342900" indent="-57150" algn="l">
            <a:defRPr sz="1000"/>
          </a:lvl7pPr>
          <a:lvl8pPr marL="400050" indent="-57150" algn="l">
            <a:defRPr sz="1000"/>
          </a:lvl8pPr>
          <a:lvl9pPr marL="457200" indent="-57150" algn="l">
            <a:defRPr sz="1000"/>
          </a:lvl9pPr>
        </a:lstStyle>
        <a:p>
          <a:endParaRPr>
            <a:solidFill>
              <a:schemeClr val="dk1"/>
            </a:solidFill>
          </a:endParaRPr>
        </a:p>
      </dsp:txBody>
      <dsp:txXfrm>
        <a:off x="0" y="640800"/>
        <a:ext cx="5486400" cy="252000"/>
      </dsp:txXfrm>
    </dsp:sp>
    <dsp:sp modelId="{FAEE465E-B5D0-4325-A511-6467226037E9}">
      <dsp:nvSpPr>
        <dsp:cNvPr id="7" name="Rounded Rectangle 6"/>
        <dsp:cNvSpPr/>
      </dsp:nvSpPr>
      <dsp:spPr bwMode="white">
        <a:xfrm>
          <a:off x="274320" y="493200"/>
          <a:ext cx="3840480" cy="295200"/>
        </a:xfrm>
        <a:prstGeom prst="roundRect">
          <a:avLst/>
        </a:prstGeom>
      </dsp:spPr>
      <dsp:style>
        <a:lnRef idx="2">
          <a:schemeClr val="lt1"/>
        </a:lnRef>
        <a:fillRef idx="1">
          <a:schemeClr val="accent5">
            <a:hueOff val="-1650000"/>
            <a:satOff val="6667"/>
            <a:lumOff val="1438"/>
            <a:alpha val="100000"/>
          </a:schemeClr>
        </a:fillRef>
        <a:effectRef idx="0">
          <a:scrgbClr r="0" g="0" b="0"/>
        </a:effectRef>
        <a:fontRef idx="minor">
          <a:schemeClr val="lt1"/>
        </a:fontRef>
      </dsp:style>
      <dsp:txBody>
        <a:bodyPr lIns="145161" tIns="0" rIns="145161" bIns="0" anchor="ctr"/>
        <a:lstStyle>
          <a:lvl1pPr algn="l">
            <a:defRPr sz="1000"/>
          </a:lvl1pPr>
          <a:lvl2pPr marL="57150" indent="-57150" algn="l">
            <a:defRPr sz="700"/>
          </a:lvl2pPr>
          <a:lvl3pPr marL="114300" indent="-57150" algn="l">
            <a:defRPr sz="700"/>
          </a:lvl3pPr>
          <a:lvl4pPr marL="171450" indent="-57150" algn="l">
            <a:defRPr sz="700"/>
          </a:lvl4pPr>
          <a:lvl5pPr marL="228600" indent="-57150" algn="l">
            <a:defRPr sz="700"/>
          </a:lvl5pPr>
          <a:lvl6pPr marL="285750" indent="-57150" algn="l">
            <a:defRPr sz="700"/>
          </a:lvl6pPr>
          <a:lvl7pPr marL="342900" indent="-57150" algn="l">
            <a:defRPr sz="700"/>
          </a:lvl7pPr>
          <a:lvl8pPr marL="400050" indent="-57150" algn="l">
            <a:defRPr sz="700"/>
          </a:lvl8pPr>
          <a:lvl9pPr marL="457200" indent="-57150" algn="l">
            <a:defRPr sz="700"/>
          </a:lvl9pPr>
        </a:lstStyle>
        <a:p>
          <a:pPr lvl="0">
            <a:lnSpc>
              <a:spcPct val="100000"/>
            </a:lnSpc>
            <a:spcBef>
              <a:spcPct val="0"/>
            </a:spcBef>
            <a:spcAft>
              <a:spcPct val="35000"/>
            </a:spcAft>
          </a:pPr>
          <a:r>
            <a:rPr lang="en-GB" b="1" i="1">
              <a:solidFill>
                <a:schemeClr val="tx1"/>
              </a:solidFill>
            </a:rPr>
            <a:t>Building guiding team</a:t>
          </a:r>
          <a:endParaRPr lang="en-US">
            <a:solidFill>
              <a:schemeClr val="tx1"/>
            </a:solidFill>
          </a:endParaRPr>
        </a:p>
      </dsp:txBody>
      <dsp:txXfrm>
        <a:off x="274320" y="493200"/>
        <a:ext cx="3840480" cy="295200"/>
      </dsp:txXfrm>
    </dsp:sp>
    <dsp:sp modelId="{4E68D914-E741-46FD-AAF7-A7F6DC2AD021}">
      <dsp:nvSpPr>
        <dsp:cNvPr id="11" name="Rectangles 10"/>
        <dsp:cNvSpPr/>
      </dsp:nvSpPr>
      <dsp:spPr bwMode="white">
        <a:xfrm>
          <a:off x="0" y="1094400"/>
          <a:ext cx="5486400" cy="252000"/>
        </a:xfrm>
        <a:prstGeom prst="rect">
          <a:avLst/>
        </a:prstGeom>
      </dsp:spPr>
      <dsp:style>
        <a:lnRef idx="2">
          <a:schemeClr val="accent5">
            <a:hueOff val="-3300000"/>
            <a:satOff val="13333"/>
            <a:lumOff val="2876"/>
            <a:alpha val="100000"/>
          </a:schemeClr>
        </a:lnRef>
        <a:fillRef idx="1">
          <a:schemeClr val="lt1">
            <a:alpha val="90000"/>
          </a:schemeClr>
        </a:fillRef>
        <a:effectRef idx="0">
          <a:scrgbClr r="0" g="0" b="0"/>
        </a:effectRef>
        <a:fontRef idx="minor"/>
      </dsp:style>
      <dsp:txBody>
        <a:bodyPr lIns="425805" tIns="208279" rIns="425805" bIns="71120" anchor="t"/>
        <a:lstStyle>
          <a:lvl1pPr algn="l">
            <a:defRPr sz="1000"/>
          </a:lvl1pPr>
          <a:lvl2pPr marL="57150" indent="-57150" algn="l">
            <a:defRPr sz="1000"/>
          </a:lvl2pPr>
          <a:lvl3pPr marL="114300" indent="-57150" algn="l">
            <a:defRPr sz="1000"/>
          </a:lvl3pPr>
          <a:lvl4pPr marL="171450" indent="-57150" algn="l">
            <a:defRPr sz="1000"/>
          </a:lvl4pPr>
          <a:lvl5pPr marL="228600" indent="-57150" algn="l">
            <a:defRPr sz="1000"/>
          </a:lvl5pPr>
          <a:lvl6pPr marL="285750" indent="-57150" algn="l">
            <a:defRPr sz="1000"/>
          </a:lvl6pPr>
          <a:lvl7pPr marL="342900" indent="-57150" algn="l">
            <a:defRPr sz="1000"/>
          </a:lvl7pPr>
          <a:lvl8pPr marL="400050" indent="-57150" algn="l">
            <a:defRPr sz="1000"/>
          </a:lvl8pPr>
          <a:lvl9pPr marL="457200" indent="-57150" algn="l">
            <a:defRPr sz="1000"/>
          </a:lvl9pPr>
        </a:lstStyle>
        <a:p>
          <a:endParaRPr>
            <a:solidFill>
              <a:schemeClr val="dk1"/>
            </a:solidFill>
          </a:endParaRPr>
        </a:p>
      </dsp:txBody>
      <dsp:txXfrm>
        <a:off x="0" y="1094400"/>
        <a:ext cx="5486400" cy="252000"/>
      </dsp:txXfrm>
    </dsp:sp>
    <dsp:sp modelId="{6AABD04F-4942-46AF-B6CF-6E21E8AE9937}">
      <dsp:nvSpPr>
        <dsp:cNvPr id="10" name="Rounded Rectangle 9"/>
        <dsp:cNvSpPr/>
      </dsp:nvSpPr>
      <dsp:spPr bwMode="white">
        <a:xfrm>
          <a:off x="274320" y="946800"/>
          <a:ext cx="3840480" cy="295200"/>
        </a:xfrm>
        <a:prstGeom prst="roundRect">
          <a:avLst/>
        </a:prstGeom>
      </dsp:spPr>
      <dsp:style>
        <a:lnRef idx="2">
          <a:schemeClr val="lt1"/>
        </a:lnRef>
        <a:fillRef idx="1">
          <a:schemeClr val="accent5">
            <a:hueOff val="-3300000"/>
            <a:satOff val="13333"/>
            <a:lumOff val="2876"/>
            <a:alpha val="100000"/>
          </a:schemeClr>
        </a:fillRef>
        <a:effectRef idx="0">
          <a:scrgbClr r="0" g="0" b="0"/>
        </a:effectRef>
        <a:fontRef idx="minor">
          <a:schemeClr val="lt1"/>
        </a:fontRef>
      </dsp:style>
      <dsp:txBody>
        <a:bodyPr lIns="145161" tIns="0" rIns="145161" bIns="0" anchor="ctr"/>
        <a:lstStyle>
          <a:lvl1pPr algn="l">
            <a:defRPr sz="1000"/>
          </a:lvl1pPr>
          <a:lvl2pPr marL="57150" indent="-57150" algn="l">
            <a:defRPr sz="700"/>
          </a:lvl2pPr>
          <a:lvl3pPr marL="114300" indent="-57150" algn="l">
            <a:defRPr sz="700"/>
          </a:lvl3pPr>
          <a:lvl4pPr marL="171450" indent="-57150" algn="l">
            <a:defRPr sz="700"/>
          </a:lvl4pPr>
          <a:lvl5pPr marL="228600" indent="-57150" algn="l">
            <a:defRPr sz="700"/>
          </a:lvl5pPr>
          <a:lvl6pPr marL="285750" indent="-57150" algn="l">
            <a:defRPr sz="700"/>
          </a:lvl6pPr>
          <a:lvl7pPr marL="342900" indent="-57150" algn="l">
            <a:defRPr sz="700"/>
          </a:lvl7pPr>
          <a:lvl8pPr marL="400050" indent="-57150" algn="l">
            <a:defRPr sz="700"/>
          </a:lvl8pPr>
          <a:lvl9pPr marL="457200" indent="-57150" algn="l">
            <a:defRPr sz="700"/>
          </a:lvl9pPr>
        </a:lstStyle>
        <a:p>
          <a:pPr lvl="0">
            <a:lnSpc>
              <a:spcPct val="100000"/>
            </a:lnSpc>
            <a:spcBef>
              <a:spcPct val="0"/>
            </a:spcBef>
            <a:spcAft>
              <a:spcPct val="35000"/>
            </a:spcAft>
          </a:pPr>
          <a:r>
            <a:rPr lang="en-GB" b="1" i="1">
              <a:solidFill>
                <a:schemeClr val="tx1"/>
              </a:solidFill>
            </a:rPr>
            <a:t>Developing vision</a:t>
          </a:r>
          <a:endParaRPr lang="en-US">
            <a:solidFill>
              <a:schemeClr val="tx1"/>
            </a:solidFill>
          </a:endParaRPr>
        </a:p>
      </dsp:txBody>
      <dsp:txXfrm>
        <a:off x="274320" y="946800"/>
        <a:ext cx="3840480" cy="295200"/>
      </dsp:txXfrm>
    </dsp:sp>
    <dsp:sp modelId="{792602DA-B6B9-46A8-B154-9DBB9735355A}">
      <dsp:nvSpPr>
        <dsp:cNvPr id="14" name="Rectangles 13"/>
        <dsp:cNvSpPr/>
      </dsp:nvSpPr>
      <dsp:spPr bwMode="white">
        <a:xfrm>
          <a:off x="0" y="1548000"/>
          <a:ext cx="5486400" cy="252000"/>
        </a:xfrm>
        <a:prstGeom prst="rect">
          <a:avLst/>
        </a:prstGeom>
      </dsp:spPr>
      <dsp:style>
        <a:lnRef idx="2">
          <a:schemeClr val="accent5">
            <a:hueOff val="-4950000"/>
            <a:satOff val="20000"/>
            <a:lumOff val="4314"/>
            <a:alpha val="100000"/>
          </a:schemeClr>
        </a:lnRef>
        <a:fillRef idx="1">
          <a:schemeClr val="lt1">
            <a:alpha val="90000"/>
          </a:schemeClr>
        </a:fillRef>
        <a:effectRef idx="0">
          <a:scrgbClr r="0" g="0" b="0"/>
        </a:effectRef>
        <a:fontRef idx="minor"/>
      </dsp:style>
      <dsp:txBody>
        <a:bodyPr lIns="425805" tIns="208279" rIns="425805" bIns="71120" anchor="t"/>
        <a:lstStyle>
          <a:lvl1pPr algn="l">
            <a:defRPr sz="1000"/>
          </a:lvl1pPr>
          <a:lvl2pPr marL="57150" indent="-57150" algn="l">
            <a:defRPr sz="1000"/>
          </a:lvl2pPr>
          <a:lvl3pPr marL="114300" indent="-57150" algn="l">
            <a:defRPr sz="1000"/>
          </a:lvl3pPr>
          <a:lvl4pPr marL="171450" indent="-57150" algn="l">
            <a:defRPr sz="1000"/>
          </a:lvl4pPr>
          <a:lvl5pPr marL="228600" indent="-57150" algn="l">
            <a:defRPr sz="1000"/>
          </a:lvl5pPr>
          <a:lvl6pPr marL="285750" indent="-57150" algn="l">
            <a:defRPr sz="1000"/>
          </a:lvl6pPr>
          <a:lvl7pPr marL="342900" indent="-57150" algn="l">
            <a:defRPr sz="1000"/>
          </a:lvl7pPr>
          <a:lvl8pPr marL="400050" indent="-57150" algn="l">
            <a:defRPr sz="1000"/>
          </a:lvl8pPr>
          <a:lvl9pPr marL="457200" indent="-57150" algn="l">
            <a:defRPr sz="1000"/>
          </a:lvl9pPr>
        </a:lstStyle>
        <a:p>
          <a:endParaRPr>
            <a:solidFill>
              <a:schemeClr val="dk1"/>
            </a:solidFill>
          </a:endParaRPr>
        </a:p>
      </dsp:txBody>
      <dsp:txXfrm>
        <a:off x="0" y="1548000"/>
        <a:ext cx="5486400" cy="252000"/>
      </dsp:txXfrm>
    </dsp:sp>
    <dsp:sp modelId="{7E8D3286-983A-49B1-BC3F-32EAA6F1790F}">
      <dsp:nvSpPr>
        <dsp:cNvPr id="13" name="Rounded Rectangle 12"/>
        <dsp:cNvSpPr/>
      </dsp:nvSpPr>
      <dsp:spPr bwMode="white">
        <a:xfrm>
          <a:off x="274320" y="1400400"/>
          <a:ext cx="3840480" cy="295200"/>
        </a:xfrm>
        <a:prstGeom prst="roundRect">
          <a:avLst/>
        </a:prstGeom>
      </dsp:spPr>
      <dsp:style>
        <a:lnRef idx="2">
          <a:schemeClr val="lt1"/>
        </a:lnRef>
        <a:fillRef idx="1">
          <a:schemeClr val="accent5">
            <a:hueOff val="-4950000"/>
            <a:satOff val="20000"/>
            <a:lumOff val="4314"/>
            <a:alpha val="100000"/>
          </a:schemeClr>
        </a:fillRef>
        <a:effectRef idx="0">
          <a:scrgbClr r="0" g="0" b="0"/>
        </a:effectRef>
        <a:fontRef idx="minor">
          <a:schemeClr val="lt1"/>
        </a:fontRef>
      </dsp:style>
      <dsp:txBody>
        <a:bodyPr lIns="145161" tIns="0" rIns="145161" bIns="0" anchor="ctr"/>
        <a:lstStyle>
          <a:lvl1pPr algn="l">
            <a:defRPr sz="1000"/>
          </a:lvl1pPr>
          <a:lvl2pPr marL="57150" indent="-57150" algn="l">
            <a:defRPr sz="700"/>
          </a:lvl2pPr>
          <a:lvl3pPr marL="114300" indent="-57150" algn="l">
            <a:defRPr sz="700"/>
          </a:lvl3pPr>
          <a:lvl4pPr marL="171450" indent="-57150" algn="l">
            <a:defRPr sz="700"/>
          </a:lvl4pPr>
          <a:lvl5pPr marL="228600" indent="-57150" algn="l">
            <a:defRPr sz="700"/>
          </a:lvl5pPr>
          <a:lvl6pPr marL="285750" indent="-57150" algn="l">
            <a:defRPr sz="700"/>
          </a:lvl6pPr>
          <a:lvl7pPr marL="342900" indent="-57150" algn="l">
            <a:defRPr sz="700"/>
          </a:lvl7pPr>
          <a:lvl8pPr marL="400050" indent="-57150" algn="l">
            <a:defRPr sz="700"/>
          </a:lvl8pPr>
          <a:lvl9pPr marL="457200" indent="-57150" algn="l">
            <a:defRPr sz="700"/>
          </a:lvl9pPr>
        </a:lstStyle>
        <a:p>
          <a:pPr lvl="0">
            <a:lnSpc>
              <a:spcPct val="100000"/>
            </a:lnSpc>
            <a:spcBef>
              <a:spcPct val="0"/>
            </a:spcBef>
            <a:spcAft>
              <a:spcPct val="35000"/>
            </a:spcAft>
          </a:pPr>
          <a:r>
            <a:rPr lang="en-GB" b="1" i="1">
              <a:solidFill>
                <a:schemeClr val="tx1"/>
              </a:solidFill>
            </a:rPr>
            <a:t>Communicating Vision</a:t>
          </a:r>
          <a:endParaRPr lang="en-US">
            <a:solidFill>
              <a:schemeClr val="tx1"/>
            </a:solidFill>
          </a:endParaRPr>
        </a:p>
      </dsp:txBody>
      <dsp:txXfrm>
        <a:off x="274320" y="1400400"/>
        <a:ext cx="3840480" cy="295200"/>
      </dsp:txXfrm>
    </dsp:sp>
    <dsp:sp modelId="{CDD9EB52-2B5B-4561-BD9A-B6A3017FB6EE}">
      <dsp:nvSpPr>
        <dsp:cNvPr id="17" name="Rectangles 16"/>
        <dsp:cNvSpPr/>
      </dsp:nvSpPr>
      <dsp:spPr bwMode="white">
        <a:xfrm>
          <a:off x="0" y="2001600"/>
          <a:ext cx="5486400" cy="252000"/>
        </a:xfrm>
        <a:prstGeom prst="rect">
          <a:avLst/>
        </a:prstGeom>
      </dsp:spPr>
      <dsp:style>
        <a:lnRef idx="2">
          <a:schemeClr val="accent5">
            <a:hueOff val="-6600000"/>
            <a:satOff val="26667"/>
            <a:lumOff val="5752"/>
            <a:alpha val="100000"/>
          </a:schemeClr>
        </a:lnRef>
        <a:fillRef idx="1">
          <a:schemeClr val="lt1">
            <a:alpha val="90000"/>
          </a:schemeClr>
        </a:fillRef>
        <a:effectRef idx="0">
          <a:scrgbClr r="0" g="0" b="0"/>
        </a:effectRef>
        <a:fontRef idx="minor"/>
      </dsp:style>
      <dsp:txBody>
        <a:bodyPr lIns="425805" tIns="208279" rIns="425805" bIns="71120" anchor="t"/>
        <a:lstStyle>
          <a:lvl1pPr algn="l">
            <a:defRPr sz="1000"/>
          </a:lvl1pPr>
          <a:lvl2pPr marL="57150" indent="-57150" algn="l">
            <a:defRPr sz="1000"/>
          </a:lvl2pPr>
          <a:lvl3pPr marL="114300" indent="-57150" algn="l">
            <a:defRPr sz="1000"/>
          </a:lvl3pPr>
          <a:lvl4pPr marL="171450" indent="-57150" algn="l">
            <a:defRPr sz="1000"/>
          </a:lvl4pPr>
          <a:lvl5pPr marL="228600" indent="-57150" algn="l">
            <a:defRPr sz="1000"/>
          </a:lvl5pPr>
          <a:lvl6pPr marL="285750" indent="-57150" algn="l">
            <a:defRPr sz="1000"/>
          </a:lvl6pPr>
          <a:lvl7pPr marL="342900" indent="-57150" algn="l">
            <a:defRPr sz="1000"/>
          </a:lvl7pPr>
          <a:lvl8pPr marL="400050" indent="-57150" algn="l">
            <a:defRPr sz="1000"/>
          </a:lvl8pPr>
          <a:lvl9pPr marL="457200" indent="-57150" algn="l">
            <a:defRPr sz="1000"/>
          </a:lvl9pPr>
        </a:lstStyle>
        <a:p>
          <a:endParaRPr>
            <a:solidFill>
              <a:schemeClr val="dk1"/>
            </a:solidFill>
          </a:endParaRPr>
        </a:p>
      </dsp:txBody>
      <dsp:txXfrm>
        <a:off x="0" y="2001600"/>
        <a:ext cx="5486400" cy="252000"/>
      </dsp:txXfrm>
    </dsp:sp>
    <dsp:sp modelId="{33C7000F-7A06-45BB-A88E-EEA92CCC8FAB}">
      <dsp:nvSpPr>
        <dsp:cNvPr id="16" name="Rounded Rectangle 15"/>
        <dsp:cNvSpPr/>
      </dsp:nvSpPr>
      <dsp:spPr bwMode="white">
        <a:xfrm>
          <a:off x="274320" y="1854000"/>
          <a:ext cx="3840480" cy="295200"/>
        </a:xfrm>
        <a:prstGeom prst="roundRect">
          <a:avLst/>
        </a:prstGeom>
      </dsp:spPr>
      <dsp:style>
        <a:lnRef idx="2">
          <a:schemeClr val="lt1"/>
        </a:lnRef>
        <a:fillRef idx="1">
          <a:schemeClr val="accent5">
            <a:hueOff val="-6600000"/>
            <a:satOff val="26667"/>
            <a:lumOff val="5752"/>
            <a:alpha val="100000"/>
          </a:schemeClr>
        </a:fillRef>
        <a:effectRef idx="0">
          <a:scrgbClr r="0" g="0" b="0"/>
        </a:effectRef>
        <a:fontRef idx="minor">
          <a:schemeClr val="lt1"/>
        </a:fontRef>
      </dsp:style>
      <dsp:txBody>
        <a:bodyPr lIns="145161" tIns="0" rIns="145161" bIns="0" anchor="ctr"/>
        <a:lstStyle>
          <a:lvl1pPr algn="l">
            <a:defRPr sz="1000"/>
          </a:lvl1pPr>
          <a:lvl2pPr marL="57150" indent="-57150" algn="l">
            <a:defRPr sz="700"/>
          </a:lvl2pPr>
          <a:lvl3pPr marL="114300" indent="-57150" algn="l">
            <a:defRPr sz="700"/>
          </a:lvl3pPr>
          <a:lvl4pPr marL="171450" indent="-57150" algn="l">
            <a:defRPr sz="700"/>
          </a:lvl4pPr>
          <a:lvl5pPr marL="228600" indent="-57150" algn="l">
            <a:defRPr sz="700"/>
          </a:lvl5pPr>
          <a:lvl6pPr marL="285750" indent="-57150" algn="l">
            <a:defRPr sz="700"/>
          </a:lvl6pPr>
          <a:lvl7pPr marL="342900" indent="-57150" algn="l">
            <a:defRPr sz="700"/>
          </a:lvl7pPr>
          <a:lvl8pPr marL="400050" indent="-57150" algn="l">
            <a:defRPr sz="700"/>
          </a:lvl8pPr>
          <a:lvl9pPr marL="457200" indent="-57150" algn="l">
            <a:defRPr sz="700"/>
          </a:lvl9pPr>
        </a:lstStyle>
        <a:p>
          <a:pPr lvl="0">
            <a:lnSpc>
              <a:spcPct val="100000"/>
            </a:lnSpc>
            <a:spcBef>
              <a:spcPct val="0"/>
            </a:spcBef>
            <a:spcAft>
              <a:spcPct val="35000"/>
            </a:spcAft>
          </a:pPr>
          <a:r>
            <a:rPr lang="en-GB" b="1">
              <a:solidFill>
                <a:schemeClr val="tx1"/>
              </a:solidFill>
            </a:rPr>
            <a:t>Communicating for buy-in</a:t>
          </a:r>
          <a:endParaRPr lang="en-US">
            <a:solidFill>
              <a:schemeClr val="tx1"/>
            </a:solidFill>
          </a:endParaRPr>
        </a:p>
      </dsp:txBody>
      <dsp:txXfrm>
        <a:off x="274320" y="1854000"/>
        <a:ext cx="3840480" cy="295200"/>
      </dsp:txXfrm>
    </dsp:sp>
    <dsp:sp modelId="{76BA51DD-4E4E-41FA-97C2-D5C8EDB8ACC1}">
      <dsp:nvSpPr>
        <dsp:cNvPr id="20" name="Rectangles 19"/>
        <dsp:cNvSpPr/>
      </dsp:nvSpPr>
      <dsp:spPr bwMode="white">
        <a:xfrm>
          <a:off x="0" y="2455200"/>
          <a:ext cx="5486400" cy="252000"/>
        </a:xfrm>
        <a:prstGeom prst="rect">
          <a:avLst/>
        </a:prstGeom>
      </dsp:spPr>
      <dsp:style>
        <a:lnRef idx="2">
          <a:schemeClr val="accent5">
            <a:hueOff val="-8250000"/>
            <a:satOff val="33333"/>
            <a:lumOff val="7190"/>
            <a:alpha val="100000"/>
          </a:schemeClr>
        </a:lnRef>
        <a:fillRef idx="1">
          <a:schemeClr val="lt1">
            <a:alpha val="90000"/>
          </a:schemeClr>
        </a:fillRef>
        <a:effectRef idx="0">
          <a:scrgbClr r="0" g="0" b="0"/>
        </a:effectRef>
        <a:fontRef idx="minor"/>
      </dsp:style>
      <dsp:txBody>
        <a:bodyPr lIns="425805" tIns="208279" rIns="425805" bIns="71120" anchor="t"/>
        <a:lstStyle>
          <a:lvl1pPr algn="l">
            <a:defRPr sz="1000"/>
          </a:lvl1pPr>
          <a:lvl2pPr marL="57150" indent="-57150" algn="l">
            <a:defRPr sz="1000"/>
          </a:lvl2pPr>
          <a:lvl3pPr marL="114300" indent="-57150" algn="l">
            <a:defRPr sz="1000"/>
          </a:lvl3pPr>
          <a:lvl4pPr marL="171450" indent="-57150" algn="l">
            <a:defRPr sz="1000"/>
          </a:lvl4pPr>
          <a:lvl5pPr marL="228600" indent="-57150" algn="l">
            <a:defRPr sz="1000"/>
          </a:lvl5pPr>
          <a:lvl6pPr marL="285750" indent="-57150" algn="l">
            <a:defRPr sz="1000"/>
          </a:lvl6pPr>
          <a:lvl7pPr marL="342900" indent="-57150" algn="l">
            <a:defRPr sz="1000"/>
          </a:lvl7pPr>
          <a:lvl8pPr marL="400050" indent="-57150" algn="l">
            <a:defRPr sz="1000"/>
          </a:lvl8pPr>
          <a:lvl9pPr marL="457200" indent="-57150" algn="l">
            <a:defRPr sz="1000"/>
          </a:lvl9pPr>
        </a:lstStyle>
        <a:p>
          <a:endParaRPr>
            <a:solidFill>
              <a:schemeClr val="dk1"/>
            </a:solidFill>
          </a:endParaRPr>
        </a:p>
      </dsp:txBody>
      <dsp:txXfrm>
        <a:off x="0" y="2455200"/>
        <a:ext cx="5486400" cy="252000"/>
      </dsp:txXfrm>
    </dsp:sp>
    <dsp:sp modelId="{5C41A061-53ED-4E8C-BEFE-19CAD2FDEBCA}">
      <dsp:nvSpPr>
        <dsp:cNvPr id="19" name="Rounded Rectangle 18"/>
        <dsp:cNvSpPr/>
      </dsp:nvSpPr>
      <dsp:spPr bwMode="white">
        <a:xfrm>
          <a:off x="274320" y="2307600"/>
          <a:ext cx="3840480" cy="295200"/>
        </a:xfrm>
        <a:prstGeom prst="roundRect">
          <a:avLst/>
        </a:prstGeom>
      </dsp:spPr>
      <dsp:style>
        <a:lnRef idx="2">
          <a:schemeClr val="lt1"/>
        </a:lnRef>
        <a:fillRef idx="1">
          <a:schemeClr val="accent5">
            <a:hueOff val="-8250000"/>
            <a:satOff val="33333"/>
            <a:lumOff val="7190"/>
            <a:alpha val="100000"/>
          </a:schemeClr>
        </a:fillRef>
        <a:effectRef idx="0">
          <a:scrgbClr r="0" g="0" b="0"/>
        </a:effectRef>
        <a:fontRef idx="minor">
          <a:schemeClr val="lt1"/>
        </a:fontRef>
      </dsp:style>
      <dsp:txBody>
        <a:bodyPr lIns="145161" tIns="0" rIns="145161" bIns="0" anchor="ctr"/>
        <a:lstStyle>
          <a:lvl1pPr algn="l">
            <a:defRPr sz="1000"/>
          </a:lvl1pPr>
          <a:lvl2pPr marL="57150" indent="-57150" algn="l">
            <a:defRPr sz="700"/>
          </a:lvl2pPr>
          <a:lvl3pPr marL="114300" indent="-57150" algn="l">
            <a:defRPr sz="700"/>
          </a:lvl3pPr>
          <a:lvl4pPr marL="171450" indent="-57150" algn="l">
            <a:defRPr sz="700"/>
          </a:lvl4pPr>
          <a:lvl5pPr marL="228600" indent="-57150" algn="l">
            <a:defRPr sz="700"/>
          </a:lvl5pPr>
          <a:lvl6pPr marL="285750" indent="-57150" algn="l">
            <a:defRPr sz="700"/>
          </a:lvl6pPr>
          <a:lvl7pPr marL="342900" indent="-57150" algn="l">
            <a:defRPr sz="700"/>
          </a:lvl7pPr>
          <a:lvl8pPr marL="400050" indent="-57150" algn="l">
            <a:defRPr sz="700"/>
          </a:lvl8pPr>
          <a:lvl9pPr marL="457200" indent="-57150" algn="l">
            <a:defRPr sz="700"/>
          </a:lvl9pPr>
        </a:lstStyle>
        <a:p>
          <a:pPr lvl="0">
            <a:lnSpc>
              <a:spcPct val="100000"/>
            </a:lnSpc>
            <a:spcBef>
              <a:spcPct val="0"/>
            </a:spcBef>
            <a:spcAft>
              <a:spcPct val="35000"/>
            </a:spcAft>
          </a:pPr>
          <a:r>
            <a:rPr lang="en-GB" b="1" i="1">
              <a:solidFill>
                <a:schemeClr val="tx1"/>
              </a:solidFill>
            </a:rPr>
            <a:t>creating short term wins</a:t>
          </a:r>
          <a:endParaRPr lang="en-US">
            <a:solidFill>
              <a:schemeClr val="tx1"/>
            </a:solidFill>
          </a:endParaRPr>
        </a:p>
      </dsp:txBody>
      <dsp:txXfrm>
        <a:off x="274320" y="2307600"/>
        <a:ext cx="3840480" cy="295200"/>
      </dsp:txXfrm>
    </dsp:sp>
    <dsp:sp modelId="{A86A3178-ECC6-4E03-BB92-3C196F53C3FA}">
      <dsp:nvSpPr>
        <dsp:cNvPr id="23" name="Rectangles 22"/>
        <dsp:cNvSpPr/>
      </dsp:nvSpPr>
      <dsp:spPr bwMode="white">
        <a:xfrm>
          <a:off x="0" y="2908800"/>
          <a:ext cx="5486400" cy="252000"/>
        </a:xfrm>
        <a:prstGeom prst="rect">
          <a:avLst/>
        </a:prstGeom>
      </dsp:spPr>
      <dsp:style>
        <a:lnRef idx="2">
          <a:schemeClr val="accent5">
            <a:hueOff val="-9900000"/>
            <a:satOff val="40000"/>
            <a:lumOff val="8627"/>
            <a:alpha val="100000"/>
          </a:schemeClr>
        </a:lnRef>
        <a:fillRef idx="1">
          <a:schemeClr val="lt1">
            <a:alpha val="90000"/>
          </a:schemeClr>
        </a:fillRef>
        <a:effectRef idx="0">
          <a:scrgbClr r="0" g="0" b="0"/>
        </a:effectRef>
        <a:fontRef idx="minor"/>
      </dsp:style>
      <dsp:txBody>
        <a:bodyPr lIns="425805" tIns="208279" rIns="425805" bIns="71120" anchor="t"/>
        <a:lstStyle>
          <a:lvl1pPr algn="l">
            <a:defRPr sz="1000"/>
          </a:lvl1pPr>
          <a:lvl2pPr marL="57150" indent="-57150" algn="l">
            <a:defRPr sz="1000"/>
          </a:lvl2pPr>
          <a:lvl3pPr marL="114300" indent="-57150" algn="l">
            <a:defRPr sz="1000"/>
          </a:lvl3pPr>
          <a:lvl4pPr marL="171450" indent="-57150" algn="l">
            <a:defRPr sz="1000"/>
          </a:lvl4pPr>
          <a:lvl5pPr marL="228600" indent="-57150" algn="l">
            <a:defRPr sz="1000"/>
          </a:lvl5pPr>
          <a:lvl6pPr marL="285750" indent="-57150" algn="l">
            <a:defRPr sz="1000"/>
          </a:lvl6pPr>
          <a:lvl7pPr marL="342900" indent="-57150" algn="l">
            <a:defRPr sz="1000"/>
          </a:lvl7pPr>
          <a:lvl8pPr marL="400050" indent="-57150" algn="l">
            <a:defRPr sz="1000"/>
          </a:lvl8pPr>
          <a:lvl9pPr marL="457200" indent="-57150" algn="l">
            <a:defRPr sz="1000"/>
          </a:lvl9pPr>
        </a:lstStyle>
        <a:p>
          <a:endParaRPr>
            <a:solidFill>
              <a:schemeClr val="dk1"/>
            </a:solidFill>
          </a:endParaRPr>
        </a:p>
      </dsp:txBody>
      <dsp:txXfrm>
        <a:off x="0" y="2908800"/>
        <a:ext cx="5486400" cy="252000"/>
      </dsp:txXfrm>
    </dsp:sp>
    <dsp:sp modelId="{68C5161B-150F-459D-9172-84A7D2ED89C4}">
      <dsp:nvSpPr>
        <dsp:cNvPr id="22" name="Rounded Rectangle 21"/>
        <dsp:cNvSpPr/>
      </dsp:nvSpPr>
      <dsp:spPr bwMode="white">
        <a:xfrm>
          <a:off x="274320" y="2761200"/>
          <a:ext cx="3840480" cy="295200"/>
        </a:xfrm>
        <a:prstGeom prst="roundRect">
          <a:avLst/>
        </a:prstGeom>
      </dsp:spPr>
      <dsp:style>
        <a:lnRef idx="2">
          <a:schemeClr val="lt1"/>
        </a:lnRef>
        <a:fillRef idx="1">
          <a:schemeClr val="accent5">
            <a:hueOff val="-9900000"/>
            <a:satOff val="40000"/>
            <a:lumOff val="8627"/>
            <a:alpha val="100000"/>
          </a:schemeClr>
        </a:fillRef>
        <a:effectRef idx="0">
          <a:scrgbClr r="0" g="0" b="0"/>
        </a:effectRef>
        <a:fontRef idx="minor">
          <a:schemeClr val="lt1"/>
        </a:fontRef>
      </dsp:style>
      <dsp:txBody>
        <a:bodyPr lIns="145161" tIns="0" rIns="145161" bIns="0" anchor="ctr"/>
        <a:lstStyle>
          <a:lvl1pPr algn="l">
            <a:defRPr sz="1000"/>
          </a:lvl1pPr>
          <a:lvl2pPr marL="57150" indent="-57150" algn="l">
            <a:defRPr sz="700"/>
          </a:lvl2pPr>
          <a:lvl3pPr marL="114300" indent="-57150" algn="l">
            <a:defRPr sz="700"/>
          </a:lvl3pPr>
          <a:lvl4pPr marL="171450" indent="-57150" algn="l">
            <a:defRPr sz="700"/>
          </a:lvl4pPr>
          <a:lvl5pPr marL="228600" indent="-57150" algn="l">
            <a:defRPr sz="700"/>
          </a:lvl5pPr>
          <a:lvl6pPr marL="285750" indent="-57150" algn="l">
            <a:defRPr sz="700"/>
          </a:lvl6pPr>
          <a:lvl7pPr marL="342900" indent="-57150" algn="l">
            <a:defRPr sz="700"/>
          </a:lvl7pPr>
          <a:lvl8pPr marL="400050" indent="-57150" algn="l">
            <a:defRPr sz="700"/>
          </a:lvl8pPr>
          <a:lvl9pPr marL="457200" indent="-57150" algn="l">
            <a:defRPr sz="700"/>
          </a:lvl9pPr>
        </a:lstStyle>
        <a:p>
          <a:pPr lvl="0">
            <a:lnSpc>
              <a:spcPct val="100000"/>
            </a:lnSpc>
            <a:spcBef>
              <a:spcPct val="0"/>
            </a:spcBef>
            <a:spcAft>
              <a:spcPct val="35000"/>
            </a:spcAft>
          </a:pPr>
          <a:r>
            <a:rPr lang="en-GB" b="1" i="1">
              <a:solidFill>
                <a:schemeClr val="tx1"/>
              </a:solidFill>
            </a:rPr>
            <a:t>don't let up</a:t>
          </a:r>
          <a:endParaRPr lang="en-US">
            <a:solidFill>
              <a:schemeClr val="tx1"/>
            </a:solidFill>
          </a:endParaRPr>
        </a:p>
      </dsp:txBody>
      <dsp:txXfrm>
        <a:off x="274320" y="2761200"/>
        <a:ext cx="3840480" cy="295200"/>
      </dsp:txXfrm>
    </dsp:sp>
    <dsp:sp modelId="{329AD70C-43D2-424A-9A9A-A4EFEFC67043}">
      <dsp:nvSpPr>
        <dsp:cNvPr id="3" name="Rectangles 2" hidden="1"/>
        <dsp:cNvSpPr/>
      </dsp:nvSpPr>
      <dsp:spPr>
        <a:xfrm>
          <a:off x="0" y="39600"/>
          <a:ext cx="274320" cy="295200"/>
        </a:xfrm>
        <a:prstGeom prst="rect">
          <a:avLst/>
        </a:prstGeom>
      </dsp:spPr>
      <dsp:txXfrm>
        <a:off x="0" y="39600"/>
        <a:ext cx="274320" cy="295200"/>
      </dsp:txXfrm>
    </dsp:sp>
    <dsp:sp modelId="{E68DA3D0-6B34-4396-96B6-CDA715D1632C}">
      <dsp:nvSpPr>
        <dsp:cNvPr id="6" name="Rectangles 5" hidden="1"/>
        <dsp:cNvSpPr/>
      </dsp:nvSpPr>
      <dsp:spPr>
        <a:xfrm>
          <a:off x="0" y="493200"/>
          <a:ext cx="274320" cy="295200"/>
        </a:xfrm>
        <a:prstGeom prst="rect">
          <a:avLst/>
        </a:prstGeom>
      </dsp:spPr>
      <dsp:txXfrm>
        <a:off x="0" y="493200"/>
        <a:ext cx="274320" cy="295200"/>
      </dsp:txXfrm>
    </dsp:sp>
    <dsp:sp modelId="{C57BF058-5E7E-44F1-90C0-DD8DD0B9BE01}">
      <dsp:nvSpPr>
        <dsp:cNvPr id="9" name="Rectangles 8" hidden="1"/>
        <dsp:cNvSpPr/>
      </dsp:nvSpPr>
      <dsp:spPr>
        <a:xfrm>
          <a:off x="0" y="946800"/>
          <a:ext cx="274320" cy="295200"/>
        </a:xfrm>
        <a:prstGeom prst="rect">
          <a:avLst/>
        </a:prstGeom>
      </dsp:spPr>
      <dsp:txXfrm>
        <a:off x="0" y="946800"/>
        <a:ext cx="274320" cy="295200"/>
      </dsp:txXfrm>
    </dsp:sp>
    <dsp:sp modelId="{CF438E20-38C0-45A2-BE5C-68682888ADEA}">
      <dsp:nvSpPr>
        <dsp:cNvPr id="12" name="Rectangles 11" hidden="1"/>
        <dsp:cNvSpPr/>
      </dsp:nvSpPr>
      <dsp:spPr>
        <a:xfrm>
          <a:off x="0" y="1400400"/>
          <a:ext cx="274320" cy="295200"/>
        </a:xfrm>
        <a:prstGeom prst="rect">
          <a:avLst/>
        </a:prstGeom>
      </dsp:spPr>
      <dsp:txXfrm>
        <a:off x="0" y="1400400"/>
        <a:ext cx="274320" cy="295200"/>
      </dsp:txXfrm>
    </dsp:sp>
    <dsp:sp modelId="{92D11CBE-D297-4F7D-B7D2-13C017A4D673}">
      <dsp:nvSpPr>
        <dsp:cNvPr id="15" name="Rectangles 14" hidden="1"/>
        <dsp:cNvSpPr/>
      </dsp:nvSpPr>
      <dsp:spPr>
        <a:xfrm>
          <a:off x="0" y="1854000"/>
          <a:ext cx="274320" cy="295200"/>
        </a:xfrm>
        <a:prstGeom prst="rect">
          <a:avLst/>
        </a:prstGeom>
      </dsp:spPr>
      <dsp:txXfrm>
        <a:off x="0" y="1854000"/>
        <a:ext cx="274320" cy="295200"/>
      </dsp:txXfrm>
    </dsp:sp>
    <dsp:sp modelId="{D82358F3-37A4-4657-B730-CDAB3C679595}">
      <dsp:nvSpPr>
        <dsp:cNvPr id="18" name="Rectangles 17" hidden="1"/>
        <dsp:cNvSpPr/>
      </dsp:nvSpPr>
      <dsp:spPr>
        <a:xfrm>
          <a:off x="0" y="2307600"/>
          <a:ext cx="274320" cy="295200"/>
        </a:xfrm>
        <a:prstGeom prst="rect">
          <a:avLst/>
        </a:prstGeom>
      </dsp:spPr>
      <dsp:txXfrm>
        <a:off x="0" y="2307600"/>
        <a:ext cx="274320" cy="295200"/>
      </dsp:txXfrm>
    </dsp:sp>
    <dsp:sp modelId="{7CAA1E0A-80FD-409E-8465-9ACCAD155920}">
      <dsp:nvSpPr>
        <dsp:cNvPr id="21" name="Rectangles 20" hidden="1"/>
        <dsp:cNvSpPr/>
      </dsp:nvSpPr>
      <dsp:spPr>
        <a:xfrm>
          <a:off x="0" y="2761200"/>
          <a:ext cx="274320" cy="295200"/>
        </a:xfrm>
        <a:prstGeom prst="rect">
          <a:avLst/>
        </a:prstGeom>
      </dsp:spPr>
      <dsp:txXfrm>
        <a:off x="0" y="2761200"/>
        <a:ext cx="274320" cy="2952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5486400" cy="3200400"/>
        <a:chOff x="0" y="0"/>
        <a:chExt cx="5486400" cy="3200400"/>
      </a:xfrm>
    </dsp:grpSpPr>
    <dsp:sp modelId="{C8616AB9-30C4-4A07-9656-91BC2D615560}">
      <dsp:nvSpPr>
        <dsp:cNvPr id="4" name="Circular Arrow 3"/>
        <dsp:cNvSpPr/>
      </dsp:nvSpPr>
      <dsp:spPr bwMode="white">
        <a:xfrm>
          <a:off x="1187825" y="-62042"/>
          <a:ext cx="3110750" cy="3110750"/>
        </a:xfrm>
        <a:prstGeom prst="circularArrow">
          <a:avLst>
            <a:gd name="adj1" fmla="val 5000"/>
            <a:gd name="adj2" fmla="val 360000"/>
            <a:gd name="adj3" fmla="val 12925372"/>
            <a:gd name="adj4" fmla="val 17789797"/>
            <a:gd name="adj5" fmla="val 5500"/>
          </a:avLst>
        </a:prstGeom>
      </dsp:spPr>
      <dsp:style>
        <a:lnRef idx="0">
          <a:schemeClr val="dk1"/>
        </a:lnRef>
        <a:fillRef idx="1">
          <a:schemeClr val="accent5">
            <a:tint val="40000"/>
          </a:schemeClr>
        </a:fillRef>
        <a:effectRef idx="0">
          <a:scrgbClr r="0" g="0" b="0"/>
        </a:effectRef>
        <a:fontRef idx="minor"/>
      </dsp:style>
      <dsp:txXfrm>
        <a:off x="1187825" y="-62042"/>
        <a:ext cx="3110750" cy="3110750"/>
      </dsp:txXfrm>
    </dsp:sp>
    <dsp:sp modelId="{7C8FA1F2-BD11-4180-89AF-4BFE35D2B934}">
      <dsp:nvSpPr>
        <dsp:cNvPr id="3" name="Rounded Rectangle 2"/>
        <dsp:cNvSpPr/>
      </dsp:nvSpPr>
      <dsp:spPr bwMode="white">
        <a:xfrm>
          <a:off x="1766989" y="0"/>
          <a:ext cx="1952423" cy="976211"/>
        </a:xfrm>
        <a:prstGeom prst="roundRect">
          <a:avLst/>
        </a:prstGeom>
      </dsp:spPr>
      <dsp:style>
        <a:lnRef idx="2">
          <a:schemeClr val="lt1"/>
        </a:lnRef>
        <a:fillRef idx="1">
          <a:schemeClr val="accent5">
            <a:hueOff val="0"/>
            <a:satOff val="0"/>
            <a:lumOff val="0"/>
            <a:alpha val="100000"/>
          </a:schemeClr>
        </a:fillRef>
        <a:effectRef idx="0">
          <a:scrgbClr r="0" g="0" b="0"/>
        </a:effectRef>
        <a:fontRef idx="minor">
          <a:schemeClr val="lt1"/>
        </a:fontRef>
      </dsp:style>
      <dsp:txBody>
        <a:bodyPr lIns="53340" tIns="53340" rIns="53340" bIns="5334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GB" sz="1400" b="1">
              <a:solidFill>
                <a:schemeClr val="tx1"/>
              </a:solidFill>
            </a:rPr>
            <a:t>Cost per hire</a:t>
          </a:r>
          <a:endParaRPr lang="en-US" sz="1400">
            <a:solidFill>
              <a:schemeClr val="tx1"/>
            </a:solidFill>
          </a:endParaRPr>
        </a:p>
      </dsp:txBody>
      <dsp:txXfrm>
        <a:off x="1766989" y="0"/>
        <a:ext cx="1952423" cy="976211"/>
      </dsp:txXfrm>
    </dsp:sp>
    <dsp:sp modelId="{A033D3EC-703B-444A-B393-8935C544E0A5}">
      <dsp:nvSpPr>
        <dsp:cNvPr id="5" name="Rounded Rectangle 4"/>
        <dsp:cNvSpPr/>
      </dsp:nvSpPr>
      <dsp:spPr bwMode="white">
        <a:xfrm>
          <a:off x="2879083" y="1112094"/>
          <a:ext cx="1952423" cy="976211"/>
        </a:xfrm>
        <a:prstGeom prst="roundRect">
          <a:avLst/>
        </a:prstGeom>
      </dsp:spPr>
      <dsp:style>
        <a:lnRef idx="2">
          <a:schemeClr val="lt1"/>
        </a:lnRef>
        <a:fillRef idx="1">
          <a:schemeClr val="accent5">
            <a:hueOff val="-3300000"/>
            <a:satOff val="13333"/>
            <a:lumOff val="2876"/>
            <a:alpha val="100000"/>
          </a:schemeClr>
        </a:fillRef>
        <a:effectRef idx="0">
          <a:scrgbClr r="0" g="0" b="0"/>
        </a:effectRef>
        <a:fontRef idx="minor">
          <a:schemeClr val="lt1"/>
        </a:fontRef>
      </dsp:style>
      <dsp:txBody>
        <a:bodyPr lIns="53340" tIns="53340" rIns="53340" bIns="5334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GB" sz="1400" b="1">
              <a:solidFill>
                <a:schemeClr val="tx1"/>
              </a:solidFill>
            </a:rPr>
            <a:t>Quality of hire</a:t>
          </a:r>
          <a:endParaRPr lang="en-US" sz="1400">
            <a:solidFill>
              <a:schemeClr val="tx1"/>
            </a:solidFill>
          </a:endParaRPr>
        </a:p>
      </dsp:txBody>
      <dsp:txXfrm>
        <a:off x="2879083" y="1112094"/>
        <a:ext cx="1952423" cy="976211"/>
      </dsp:txXfrm>
    </dsp:sp>
    <dsp:sp modelId="{CB0575C1-D362-4128-8331-4229966358A6}">
      <dsp:nvSpPr>
        <dsp:cNvPr id="6" name="Rounded Rectangle 5"/>
        <dsp:cNvSpPr/>
      </dsp:nvSpPr>
      <dsp:spPr bwMode="white">
        <a:xfrm>
          <a:off x="1766989" y="2224189"/>
          <a:ext cx="1952423" cy="976211"/>
        </a:xfrm>
        <a:prstGeom prst="roundRect">
          <a:avLst/>
        </a:prstGeom>
      </dsp:spPr>
      <dsp:style>
        <a:lnRef idx="2">
          <a:schemeClr val="lt1"/>
        </a:lnRef>
        <a:fillRef idx="1">
          <a:schemeClr val="accent5">
            <a:hueOff val="-6600000"/>
            <a:satOff val="26667"/>
            <a:lumOff val="5752"/>
            <a:alpha val="100000"/>
          </a:schemeClr>
        </a:fillRef>
        <a:effectRef idx="0">
          <a:scrgbClr r="0" g="0" b="0"/>
        </a:effectRef>
        <a:fontRef idx="minor">
          <a:schemeClr val="lt1"/>
        </a:fontRef>
      </dsp:style>
      <dsp:txBody>
        <a:bodyPr lIns="53340" tIns="53340" rIns="53340" bIns="5334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GB" sz="1400" b="1">
              <a:solidFill>
                <a:schemeClr val="tx1"/>
              </a:solidFill>
            </a:rPr>
            <a:t>Speed of hire</a:t>
          </a:r>
          <a:endParaRPr lang="en-US" sz="1400">
            <a:solidFill>
              <a:schemeClr val="tx1"/>
            </a:solidFill>
          </a:endParaRPr>
        </a:p>
      </dsp:txBody>
      <dsp:txXfrm>
        <a:off x="1766989" y="2224189"/>
        <a:ext cx="1952423" cy="976211"/>
      </dsp:txXfrm>
    </dsp:sp>
    <dsp:sp modelId="{49D59C3D-FD12-4A0A-BDAD-F38772B84CD6}">
      <dsp:nvSpPr>
        <dsp:cNvPr id="7" name="Rounded Rectangle 6"/>
        <dsp:cNvSpPr/>
      </dsp:nvSpPr>
      <dsp:spPr bwMode="white">
        <a:xfrm>
          <a:off x="654894" y="1112094"/>
          <a:ext cx="1952423" cy="976211"/>
        </a:xfrm>
        <a:prstGeom prst="roundRect">
          <a:avLst/>
        </a:prstGeom>
      </dsp:spPr>
      <dsp:style>
        <a:lnRef idx="2">
          <a:schemeClr val="lt1"/>
        </a:lnRef>
        <a:fillRef idx="1">
          <a:schemeClr val="accent5">
            <a:hueOff val="-9900000"/>
            <a:satOff val="40000"/>
            <a:lumOff val="8627"/>
            <a:alpha val="100000"/>
          </a:schemeClr>
        </a:fillRef>
        <a:effectRef idx="0">
          <a:scrgbClr r="0" g="0" b="0"/>
        </a:effectRef>
        <a:fontRef idx="minor">
          <a:schemeClr val="lt1"/>
        </a:fontRef>
      </dsp:style>
      <dsp:txBody>
        <a:bodyPr lIns="53340" tIns="53340" rIns="53340" bIns="5334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GB" sz="1400" b="1">
              <a:solidFill>
                <a:schemeClr val="tx1"/>
              </a:solidFill>
            </a:rPr>
            <a:t>Yield ratio</a:t>
          </a:r>
          <a:endParaRPr lang="en-US" sz="1400">
            <a:solidFill>
              <a:schemeClr val="tx1"/>
            </a:solidFill>
          </a:endParaRPr>
        </a:p>
      </dsp:txBody>
      <dsp:txXfrm>
        <a:off x="654894" y="1112094"/>
        <a:ext cx="1952423" cy="976211"/>
      </dsp:txXfrm>
    </dsp:sp>
  </dsp:spTree>
</dsp:drawing>
</file>

<file path=word/diagrams/layout1.xml><?xml version="1.0" encoding="utf-8"?>
<dgm:layoutDef xmlns:dgm="http://schemas.openxmlformats.org/drawingml/2006/diagram" xmlns:a="http://schemas.openxmlformats.org/drawingml/2006/main" uniqueId="urn:microsoft.com/office/officeart/2005/8/layout/list1#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nodeHorzAlign" val="l"/>
          <dgm:param type="horzAlign" val="l"/>
        </dgm:alg>
      </dgm:if>
      <dgm:else name="Name2">
        <dgm:alg type="lin">
          <dgm:param type="linDir" val="fromT"/>
          <dgm:param type="vertAlign" val="mid"/>
          <dgm:param type="nodeHorzAlign" val="r"/>
          <dgm:param typ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nodeHorzAlign" val="l"/>
              <dgm:param type="horzAlign" val="l"/>
            </dgm:alg>
          </dgm:if>
          <dgm:else name="Name6">
            <dgm:alg type="lin">
              <dgm:param type="linDir" val="fromR"/>
              <dgm:param type="nodeHorzAlign" val="r"/>
              <dgm:param typ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3#1">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dstNode" val="node1"/>
                <dgm:param type="connRout" val="longCurve"/>
                <dgm:param type="begPts" val="midR"/>
                <dgm:param type="endPts" val="midL"/>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dstNode" val="node1"/>
                <dgm:param type="connRout" val="longCurve"/>
                <dgm:param type="begPts" val="midL"/>
                <dgm:param type="endPts" val="midR"/>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dstNode" val="nodeFirstNode"/>
                      <dgm:param type="connRout" val="longCurve"/>
                      <dgm:param type="begPts" val="midR"/>
                      <dgm:param type="endPts" val="midL"/>
                    </dgm:alg>
                  </dgm:if>
                  <dgm:else name="Name15">
                    <dgm:alg type="conn">
                      <dgm:param type="dstNode" val="nodeFirstNode"/>
                      <dgm:param type="connRout" val="longCurve"/>
                      <dgm:param type="begPts" val="midL"/>
                      <dgm:param type="endPts" val="midR"/>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TotalTime>10</TotalTime>
  <Application>Neat_Office/6.2.8.2$Windows_x86 LibreOffice_project/</Application>
  <Pages>12</Pages>
  <Words>3075</Words>
  <Characters>18310</Characters>
  <CharactersWithSpaces>21310</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2022-08-26T01:15:00Z</dcterms:created>
  <dc:creator/>
  <dc:description/>
  <dc:language>en-GB</dc:language>
  <cp:lastModifiedBy/>
  <dcterms:modified xsi:type="dcterms:W3CDTF">2022-09-14T22:25:12Z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ecurity">
    <vt:i4>0</vt:i4>
  </property>
  <property fmtid="{D5CDD505-2E9C-101B-9397-08002B2CF9AE}" pid="3" name="KSOProductBuildVer">
    <vt:lpwstr>1033-4.4.1.7616</vt:lpwstr>
  </property>
  <property fmtid="{D5CDD505-2E9C-101B-9397-08002B2CF9AE}" pid="4" name="LinksUpToDate">
    <vt:bool>0</vt:bool>
  </property>
  <property fmtid="{D5CDD505-2E9C-101B-9397-08002B2CF9AE}" pid="5" name="ScaleCrop">
    <vt:bool>0</vt:bool>
  </property>
</Properties>
</file>