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ajorHAnsi" w:hAnsiTheme="majorHAnsi" w:eastAsiaTheme="majorEastAsia" w:cstheme="majorBidi"/>
          <w:lang w:val="en-GB"/>
        </w:rPr>
        <w:id w:val="1474960588"/>
        <w:docPartObj>
          <w:docPartGallery w:val="autotext"/>
        </w:docPartObj>
      </w:sdtPr>
      <w:sdtEndPr>
        <w:rPr>
          <w:rFonts w:asciiTheme="minorHAnsi" w:hAnsiTheme="minorHAnsi" w:eastAsiaTheme="minorHAnsi" w:cstheme="minorBidi"/>
          <w:lang w:val="en-GB"/>
        </w:rPr>
      </w:sdtEndPr>
      <w:sdtContent>
        <w:sdt>
          <w:sdtPr>
            <w:id w:val="1474960588"/>
            <w:docPartObj>
              <w:docPartGallery w:val="autotext"/>
            </w:docPartObj>
          </w:sdtPr>
          <w:sdtEndPr>
            <w:rPr>
              <w:rFonts w:asciiTheme="minorHAnsi" w:hAnsiTheme="minorHAnsi" w:eastAsiaTheme="minorHAnsi" w:cstheme="minorBidi"/>
              <w:lang w:val="en-GB"/>
            </w:rPr>
          </w:sdtEndPr>
          <w:sdtContent>
            <w:tbl>
              <w:tblPr>
                <w:tblStyle w:val="3"/>
                <w:tblpPr w:leftFromText="187" w:rightFromText="187" w:horzAnchor="margin" w:tblpXSpec="center" w:tblpY="2881"/>
                <w:tblW w:w="4000" w:type="pct"/>
                <w:tblInd w:w="0" w:type="dxa"/>
                <w:tblBorders>
                  <w:top w:val="none" w:color="auto" w:sz="0" w:space="0"/>
                  <w:left w:val="single" w:color="5B9BD5" w:themeColor="accent1" w:sz="18"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6829"/>
              </w:tblGrid>
              <w:tr>
                <w:tblPrEx>
                  <w:tblBorders>
                    <w:top w:val="none" w:color="auto" w:sz="0" w:space="0"/>
                    <w:left w:val="single" w:color="5B9BD5" w:themeColor="accent1" w:sz="18"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7672" w:type="dxa"/>
                    <w:tcMar>
                      <w:top w:w="216" w:type="dxa"/>
                      <w:left w:w="115" w:type="dxa"/>
                      <w:bottom w:w="216" w:type="dxa"/>
                      <w:right w:w="115" w:type="dxa"/>
                    </w:tcMar>
                  </w:tcPr>
                  <w:p>
                    <w:pPr>
                      <w:pStyle w:val="11"/>
                      <w:rPr>
                        <w:rFonts w:asciiTheme="majorHAnsi" w:hAnsiTheme="majorHAnsi" w:eastAsiaTheme="majorEastAsia" w:cstheme="majorBidi"/>
                        <w:sz w:val="36"/>
                        <w:szCs w:val="36"/>
                      </w:rPr>
                    </w:pPr>
                    <w:r>
                      <w:rPr>
                        <w:rFonts w:asciiTheme="majorHAnsi" w:hAnsiTheme="majorHAnsi" w:eastAsiaTheme="majorEastAsia" w:cstheme="majorBidi"/>
                        <w:sz w:val="44"/>
                        <w:szCs w:val="44"/>
                      </w:rPr>
                      <w:t>LEARNING IN THE DIGITAL ERA</w:t>
                    </w:r>
                  </w:p>
                </w:tc>
              </w:tr>
              <w:tr>
                <w:tblPrEx>
                  <w:tblBorders>
                    <w:top w:val="none" w:color="auto" w:sz="0" w:space="0"/>
                    <w:left w:val="single" w:color="5B9BD5" w:themeColor="accent1" w:sz="18"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7672" w:type="dxa"/>
                    <w:tcMar>
                      <w:top w:w="216" w:type="dxa"/>
                      <w:left w:w="115" w:type="dxa"/>
                      <w:bottom w:w="216" w:type="dxa"/>
                      <w:right w:w="115" w:type="dxa"/>
                    </w:tcMar>
                  </w:tcPr>
                  <w:p>
                    <w:pPr>
                      <w:pStyle w:val="11"/>
                      <w:rPr>
                        <w:rFonts w:asciiTheme="majorHAnsi" w:hAnsiTheme="majorHAnsi" w:eastAsiaTheme="majorEastAsia" w:cstheme="majorBidi"/>
                        <w:sz w:val="36"/>
                        <w:szCs w:val="36"/>
                      </w:rPr>
                    </w:pPr>
                  </w:p>
                </w:tc>
              </w:tr>
              <w:tr>
                <w:tblPrEx>
                  <w:tblBorders>
                    <w:top w:val="none" w:color="auto" w:sz="0" w:space="0"/>
                    <w:left w:val="single" w:color="5B9BD5" w:themeColor="accent1" w:sz="18"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7672" w:type="dxa"/>
                  </w:tcPr>
                  <w:sdt>
                    <w:sdtPr>
                      <w:rPr>
                        <w:rFonts w:asciiTheme="majorHAnsi" w:hAnsiTheme="majorHAnsi" w:eastAsiaTheme="majorEastAsia" w:cstheme="majorBidi"/>
                        <w:color w:val="5B9BD5" w:themeColor="accent1"/>
                        <w:sz w:val="36"/>
                        <w:szCs w:val="36"/>
                        <w14:textFill>
                          <w14:solidFill>
                            <w14:schemeClr w14:val="accent1"/>
                          </w14:solidFill>
                        </w14:textFill>
                      </w:rPr>
                      <w:alias w:val="Title"/>
                      <w:id w:val="13406919"/>
                      <w:placeholder>
                        <w:docPart w:val="{052e6a54-61ed-421b-8363-ae11c071776a}"/>
                      </w:placeholder>
                      <w15:dataBinding w:prefixMappings="xmlns:ns0='http://schemas.openxmlformats.org/package/2006/metadata/core-properties' xmlns:ns1='http://purl.org/dc/elements/1.1/'" w:xpath="/ns0:coreProperties[1]/ns1:title[1]" w:storeItemID="{6C3C8BC8-F283-45AE-878A-BAB7291924A1}"/>
                      <w:text/>
                    </w:sdtPr>
                    <w:sdtEndPr>
                      <w:rPr>
                        <w:rFonts w:asciiTheme="majorHAnsi" w:hAnsiTheme="majorHAnsi" w:eastAsiaTheme="majorEastAsia" w:cstheme="majorBidi"/>
                        <w:color w:val="5B9BD5" w:themeColor="accent1"/>
                        <w:sz w:val="36"/>
                        <w:szCs w:val="36"/>
                        <w14:textFill>
                          <w14:solidFill>
                            <w14:schemeClr w14:val="accent1"/>
                          </w14:solidFill>
                        </w14:textFill>
                      </w:rPr>
                    </w:sdtEndPr>
                    <w:sdtContent>
                      <w:p>
                        <w:pPr>
                          <w:pStyle w:val="11"/>
                          <w:rPr>
                            <w:rFonts w:asciiTheme="majorHAnsi" w:hAnsiTheme="majorHAnsi" w:eastAsiaTheme="majorEastAsia" w:cstheme="majorBidi"/>
                            <w:color w:val="5B9BD5" w:themeColor="accent1"/>
                            <w:sz w:val="80"/>
                            <w:szCs w:val="80"/>
                            <w14:textFill>
                              <w14:solidFill>
                                <w14:schemeClr w14:val="accent1"/>
                              </w14:solidFill>
                            </w14:textFill>
                          </w:rPr>
                        </w:pPr>
                        <w:r>
                          <w:rPr>
                            <w:rFonts w:asciiTheme="majorHAnsi" w:hAnsiTheme="majorHAnsi" w:eastAsiaTheme="majorEastAsia" w:cstheme="majorBidi"/>
                            <w:color w:val="5B9BD5" w:themeColor="accent1"/>
                            <w:sz w:val="36"/>
                            <w:szCs w:val="36"/>
                            <w:lang w:val="en-US"/>
                            <w14:textFill>
                              <w14:solidFill>
                                <w14:schemeClr w14:val="accent1"/>
                              </w14:solidFill>
                            </w14:textFill>
                          </w:rPr>
                          <w:t>E-PORTFOLIO</w:t>
                        </w:r>
                      </w:p>
                    </w:sdtContent>
                  </w:sdt>
                </w:tc>
              </w:tr>
              <w:tr>
                <w:tblPrEx>
                  <w:tblBorders>
                    <w:top w:val="none" w:color="auto" w:sz="0" w:space="0"/>
                    <w:left w:val="single" w:color="5B9BD5" w:themeColor="accent1" w:sz="18"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7672" w:type="dxa"/>
                    <w:tcMar>
                      <w:top w:w="216" w:type="dxa"/>
                      <w:left w:w="115" w:type="dxa"/>
                      <w:bottom w:w="216" w:type="dxa"/>
                      <w:right w:w="115" w:type="dxa"/>
                    </w:tcMar>
                  </w:tcPr>
                  <w:p>
                    <w:pPr>
                      <w:pStyle w:val="11"/>
                      <w:rPr>
                        <w:rFonts w:asciiTheme="majorHAnsi" w:hAnsiTheme="majorHAnsi" w:eastAsiaTheme="majorEastAsia" w:cstheme="majorBidi"/>
                      </w:rPr>
                    </w:pPr>
                  </w:p>
                </w:tc>
              </w:tr>
            </w:tbl>
            <w:p/>
            <w:p/>
            <w:tbl>
              <w:tblPr>
                <w:tblStyle w:val="3"/>
                <w:tblpPr w:leftFromText="187" w:rightFromText="187" w:horzAnchor="margin" w:tblpXSpec="center" w:tblpYSpec="bottom"/>
                <w:tblW w:w="4000" w:type="pct"/>
                <w:tblInd w:w="0" w:type="dxa"/>
                <w:tblLayout w:type="autofit"/>
                <w:tblCellMar>
                  <w:top w:w="0" w:type="dxa"/>
                  <w:left w:w="108" w:type="dxa"/>
                  <w:bottom w:w="0" w:type="dxa"/>
                  <w:right w:w="108" w:type="dxa"/>
                </w:tblCellMar>
              </w:tblPr>
              <w:tblGrid>
                <w:gridCol w:w="6829"/>
              </w:tblGrid>
              <w:tr>
                <w:tblPrEx>
                  <w:tblCellMar>
                    <w:top w:w="0" w:type="dxa"/>
                    <w:left w:w="108" w:type="dxa"/>
                    <w:bottom w:w="0" w:type="dxa"/>
                    <w:right w:w="108" w:type="dxa"/>
                  </w:tblCellMar>
                </w:tblPrEx>
                <w:tc>
                  <w:tcPr>
                    <w:tcW w:w="7672" w:type="dxa"/>
                    <w:tcMar>
                      <w:top w:w="216" w:type="dxa"/>
                      <w:left w:w="115" w:type="dxa"/>
                      <w:bottom w:w="216" w:type="dxa"/>
                      <w:right w:w="115" w:type="dxa"/>
                    </w:tcMar>
                  </w:tcPr>
                  <w:p>
                    <w:pPr>
                      <w:spacing w:line="360" w:lineRule="auto"/>
                      <w:jc w:val="both"/>
                      <w:rPr>
                        <w:color w:val="5B9BD5" w:themeColor="accent1"/>
                        <w:sz w:val="28"/>
                        <w:szCs w:val="28"/>
                        <w14:textFill>
                          <w14:solidFill>
                            <w14:schemeClr w14:val="accent1"/>
                          </w14:solidFill>
                        </w14:textFill>
                      </w:rPr>
                    </w:pPr>
                    <w:r>
                      <w:rPr>
                        <w:rFonts w:cstheme="minorHAnsi"/>
                        <w:b/>
                        <w:bCs/>
                        <w:sz w:val="24"/>
                        <w:szCs w:val="24"/>
                      </w:rPr>
                      <w:t xml:space="preserve"> jetmir Gjonaj</w:t>
                    </w:r>
                  </w:p>
                  <w:sdt>
                    <w:sdtPr>
                      <w:rPr>
                        <w:color w:val="5B9BD5" w:themeColor="accent1"/>
                        <w:sz w:val="28"/>
                        <w:szCs w:val="28"/>
                        <w14:textFill>
                          <w14:solidFill>
                            <w14:schemeClr w14:val="accent1"/>
                          </w14:solidFill>
                        </w14:textFill>
                      </w:rPr>
                      <w:alias w:val="Date"/>
                      <w:id w:val="13406932"/>
                      <w:placeholder>
                        <w:docPart w:val="E949C77E70564E648A0CCC8D0CF5B18F"/>
                      </w:placeholder>
                      <w15: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rPr>
                        <w:color w:val="5B9BD5" w:themeColor="accent1"/>
                        <w:sz w:val="28"/>
                        <w:szCs w:val="28"/>
                        <w14:textFill>
                          <w14:solidFill>
                            <w14:schemeClr w14:val="accent1"/>
                          </w14:solidFill>
                        </w14:textFill>
                      </w:rPr>
                    </w:sdtEndPr>
                    <w:sdtContent>
                      <w:p>
                        <w:pPr>
                          <w:pStyle w:val="11"/>
                          <w:rPr>
                            <w:color w:val="5B9BD5" w:themeColor="accent1"/>
                            <w:sz w:val="28"/>
                            <w:szCs w:val="28"/>
                            <w14:textFill>
                              <w14:solidFill>
                                <w14:schemeClr w14:val="accent1"/>
                              </w14:solidFill>
                            </w14:textFill>
                          </w:rPr>
                        </w:pPr>
                      </w:p>
                    </w:sdtContent>
                  </w:sdt>
                  <w:p>
                    <w:pPr>
                      <w:pStyle w:val="11"/>
                      <w:rPr>
                        <w:rFonts w:hint="default"/>
                        <w:color w:val="5B9BD5" w:themeColor="accent1"/>
                        <w:lang w:val="en-US"/>
                        <w14:textFill>
                          <w14:solidFill>
                            <w14:schemeClr w14:val="accent1"/>
                          </w14:solidFill>
                        </w14:textFill>
                      </w:rPr>
                    </w:pPr>
                    <w:r>
                      <w:rPr>
                        <w:rFonts w:hint="default"/>
                        <w:color w:val="5B9BD5" w:themeColor="accent1"/>
                        <w:lang w:val="en-US"/>
                        <w14:textFill>
                          <w14:solidFill>
                            <w14:schemeClr w14:val="accent1"/>
                          </w14:solidFill>
                        </w14:textFill>
                      </w:rPr>
                      <w:t>STUDENT NUMBER : 2132912</w:t>
                    </w:r>
                  </w:p>
                </w:tc>
              </w:tr>
            </w:tbl>
            <w:p/>
            <w:p>
              <w:pPr>
                <w:spacing w:line="360" w:lineRule="auto"/>
                <w:jc w:val="both"/>
                <w:rPr>
                  <w:rFonts w:asciiTheme="minorHAnsi" w:hAnsiTheme="minorHAnsi" w:eastAsiaTheme="minorHAnsi" w:cstheme="minorBidi"/>
                  <w:lang w:val="en-GB"/>
                </w:rPr>
              </w:pPr>
              <w:r>
                <w:br w:type="page"/>
              </w:r>
              <w:bookmarkStart w:id="6" w:name="_GoBack"/>
            </w:p>
          </w:sdtContent>
        </w:sdt>
        <w:bookmarkEnd w:id="6"/>
        <w:p>
          <w:pPr>
            <w:spacing w:line="360" w:lineRule="auto"/>
            <w:jc w:val="both"/>
            <w:rPr>
              <w:rFonts w:ascii="Times New Roman" w:hAnsi="Times New Roman" w:cs="Times New Roman"/>
              <w:b/>
              <w:bCs/>
              <w:sz w:val="24"/>
              <w:szCs w:val="24"/>
            </w:rPr>
          </w:pPr>
        </w:p>
      </w:sdtContent>
    </w:sdt>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ind w:left="360"/>
        <w:jc w:val="both"/>
        <w:rPr>
          <w:rFonts w:ascii="Times New Roman" w:hAnsi="Times New Roman" w:cs="Times New Roman"/>
          <w:b/>
          <w:bCs/>
          <w:sz w:val="24"/>
          <w:szCs w:val="24"/>
        </w:rPr>
      </w:pPr>
    </w:p>
    <w:p>
      <w:pPr>
        <w:pStyle w:val="9"/>
        <w:numPr>
          <w:ilvl w:val="0"/>
          <w:numId w:val="1"/>
        </w:numPr>
        <w:jc w:val="both"/>
        <w:rPr>
          <w:rFonts w:ascii="Times New Roman" w:hAnsi="Times New Roman" w:cs="Times New Roman"/>
          <w:b/>
          <w:bCs/>
          <w:sz w:val="24"/>
          <w:szCs w:val="24"/>
        </w:rPr>
      </w:pPr>
      <w:r>
        <w:rPr>
          <w:rFonts w:ascii="Times New Roman" w:hAnsi="Times New Roman" w:cs="Times New Roman"/>
          <w:b/>
          <w:bCs/>
          <w:sz w:val="24"/>
          <w:szCs w:val="24"/>
        </w:rPr>
        <w:t>Table of content</w:t>
      </w:r>
    </w:p>
    <w:p>
      <w:pPr>
        <w:jc w:val="both"/>
        <w:rPr>
          <w:rFonts w:ascii="Times New Roman" w:hAnsi="Times New Roman" w:cs="Times New Roman"/>
          <w:b/>
          <w:bCs/>
          <w:sz w:val="24"/>
          <w:szCs w:val="24"/>
        </w:rPr>
      </w:pPr>
    </w:p>
    <w:sdt>
      <w:sdtPr>
        <w:rPr>
          <w:rFonts w:ascii="Times New Roman" w:hAnsi="Times New Roman" w:eastAsia="SimSun" w:cs="Times New Roman"/>
          <w:sz w:val="24"/>
          <w:szCs w:val="24"/>
        </w:rPr>
        <w:id w:val="147468401"/>
        <w15:color w:val="DBDBDB"/>
        <w:docPartObj>
          <w:docPartGallery w:val="Table of Contents"/>
          <w:docPartUnique/>
        </w:docPartObj>
      </w:sdtPr>
      <w:sdtEndPr>
        <w:rPr>
          <w:rFonts w:ascii="Times New Roman" w:hAnsi="Times New Roman" w:cs="Times New Roman" w:eastAsiaTheme="minorEastAsia"/>
          <w:bCs/>
          <w:sz w:val="24"/>
          <w:szCs w:val="24"/>
        </w:rPr>
      </w:sdtEndPr>
      <w:sdtContent>
        <w:p>
          <w:pPr>
            <w:spacing w:line="360" w:lineRule="auto"/>
            <w:jc w:val="center"/>
            <w:rPr>
              <w:rFonts w:ascii="Times New Roman" w:hAnsi="Times New Roman" w:cs="Times New Roman"/>
              <w:sz w:val="24"/>
              <w:szCs w:val="24"/>
            </w:rPr>
          </w:pPr>
        </w:p>
        <w:p>
          <w:pPr>
            <w:pStyle w:val="10"/>
            <w:tabs>
              <w:tab w:val="right" w:leader="dot" w:pos="8306"/>
            </w:tabs>
            <w:spacing w:line="360" w:lineRule="auto"/>
            <w:rPr>
              <w:sz w:val="24"/>
              <w:szCs w:val="24"/>
            </w:rPr>
          </w:pPr>
          <w:r>
            <w:rPr>
              <w:b/>
              <w:bCs/>
              <w:sz w:val="24"/>
              <w:szCs w:val="24"/>
            </w:rPr>
            <w:fldChar w:fldCharType="begin"/>
          </w:r>
          <w:r>
            <w:rPr>
              <w:b/>
              <w:bCs/>
              <w:sz w:val="24"/>
              <w:szCs w:val="24"/>
            </w:rPr>
            <w:instrText xml:space="preserve">TOC \o "1-1" \h \u </w:instrText>
          </w:r>
          <w:r>
            <w:rPr>
              <w:b/>
              <w:bCs/>
              <w:sz w:val="24"/>
              <w:szCs w:val="24"/>
            </w:rPr>
            <w:fldChar w:fldCharType="separate"/>
          </w:r>
          <w:r>
            <w:fldChar w:fldCharType="begin"/>
          </w:r>
          <w:r>
            <w:instrText xml:space="preserve"> HYPERLINK \l "_Toc11603" </w:instrText>
          </w:r>
          <w:r>
            <w:fldChar w:fldCharType="separate"/>
          </w:r>
          <w:r>
            <w:rPr>
              <w:bCs/>
              <w:sz w:val="24"/>
              <w:szCs w:val="24"/>
            </w:rPr>
            <w:t>2. Introduction:</w:t>
          </w:r>
          <w:r>
            <w:rPr>
              <w:sz w:val="24"/>
              <w:szCs w:val="24"/>
            </w:rPr>
            <w:tab/>
          </w:r>
          <w:r>
            <w:rPr>
              <w:sz w:val="24"/>
              <w:szCs w:val="24"/>
            </w:rPr>
            <w:fldChar w:fldCharType="begin"/>
          </w:r>
          <w:r>
            <w:rPr>
              <w:sz w:val="24"/>
              <w:szCs w:val="24"/>
            </w:rPr>
            <w:instrText xml:space="preserve"> PAGEREF _Toc11603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10"/>
            <w:tabs>
              <w:tab w:val="right" w:leader="dot" w:pos="8306"/>
            </w:tabs>
            <w:spacing w:line="360" w:lineRule="auto"/>
            <w:rPr>
              <w:sz w:val="24"/>
              <w:szCs w:val="24"/>
            </w:rPr>
          </w:pPr>
          <w:r>
            <w:fldChar w:fldCharType="begin"/>
          </w:r>
          <w:r>
            <w:instrText xml:space="preserve"> HYPERLINK \l "_Toc31992" </w:instrText>
          </w:r>
          <w:r>
            <w:fldChar w:fldCharType="separate"/>
          </w:r>
          <w:r>
            <w:rPr>
              <w:bCs/>
              <w:sz w:val="24"/>
              <w:szCs w:val="24"/>
            </w:rPr>
            <w:t>3. The main findings:</w:t>
          </w:r>
          <w:r>
            <w:rPr>
              <w:sz w:val="24"/>
              <w:szCs w:val="24"/>
            </w:rPr>
            <w:tab/>
          </w:r>
          <w:r>
            <w:rPr>
              <w:sz w:val="24"/>
              <w:szCs w:val="24"/>
            </w:rPr>
            <w:fldChar w:fldCharType="begin"/>
          </w:r>
          <w:r>
            <w:rPr>
              <w:sz w:val="24"/>
              <w:szCs w:val="24"/>
            </w:rPr>
            <w:instrText xml:space="preserve"> PAGEREF _Toc31992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10"/>
            <w:tabs>
              <w:tab w:val="right" w:leader="dot" w:pos="8306"/>
            </w:tabs>
            <w:spacing w:line="360" w:lineRule="auto"/>
            <w:rPr>
              <w:sz w:val="24"/>
              <w:szCs w:val="24"/>
            </w:rPr>
          </w:pPr>
          <w:r>
            <w:fldChar w:fldCharType="begin"/>
          </w:r>
          <w:r>
            <w:instrText xml:space="preserve"> HYPERLINK \l "_Toc25454" </w:instrText>
          </w:r>
          <w:r>
            <w:fldChar w:fldCharType="separate"/>
          </w:r>
          <w:r>
            <w:rPr>
              <w:bCs/>
              <w:sz w:val="24"/>
              <w:szCs w:val="24"/>
            </w:rPr>
            <w:t>4. Academic writings:</w:t>
          </w:r>
          <w:r>
            <w:rPr>
              <w:sz w:val="24"/>
              <w:szCs w:val="24"/>
            </w:rPr>
            <w:tab/>
          </w:r>
          <w:r>
            <w:rPr>
              <w:sz w:val="24"/>
              <w:szCs w:val="24"/>
            </w:rPr>
            <w:fldChar w:fldCharType="begin"/>
          </w:r>
          <w:r>
            <w:rPr>
              <w:sz w:val="24"/>
              <w:szCs w:val="24"/>
            </w:rPr>
            <w:instrText xml:space="preserve"> PAGEREF _Toc25454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10"/>
            <w:tabs>
              <w:tab w:val="right" w:leader="dot" w:pos="8306"/>
            </w:tabs>
            <w:spacing w:line="360" w:lineRule="auto"/>
            <w:rPr>
              <w:sz w:val="24"/>
              <w:szCs w:val="24"/>
            </w:rPr>
          </w:pPr>
          <w:r>
            <w:fldChar w:fldCharType="begin"/>
          </w:r>
          <w:r>
            <w:instrText xml:space="preserve"> HYPERLINK \l "_Toc29070" </w:instrText>
          </w:r>
          <w:r>
            <w:fldChar w:fldCharType="separate"/>
          </w:r>
          <w:r>
            <w:rPr>
              <w:bCs/>
              <w:sz w:val="24"/>
              <w:szCs w:val="24"/>
            </w:rPr>
            <w:t>5. Critical analysis:</w:t>
          </w:r>
          <w:r>
            <w:rPr>
              <w:sz w:val="24"/>
              <w:szCs w:val="24"/>
            </w:rPr>
            <w:tab/>
          </w:r>
          <w:r>
            <w:rPr>
              <w:sz w:val="24"/>
              <w:szCs w:val="24"/>
            </w:rPr>
            <w:fldChar w:fldCharType="begin"/>
          </w:r>
          <w:r>
            <w:rPr>
              <w:sz w:val="24"/>
              <w:szCs w:val="24"/>
            </w:rPr>
            <w:instrText xml:space="preserve"> PAGEREF _Toc29070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0"/>
            <w:tabs>
              <w:tab w:val="right" w:leader="dot" w:pos="8306"/>
            </w:tabs>
            <w:spacing w:line="360" w:lineRule="auto"/>
            <w:rPr>
              <w:sz w:val="24"/>
              <w:szCs w:val="24"/>
            </w:rPr>
          </w:pPr>
          <w:r>
            <w:fldChar w:fldCharType="begin"/>
          </w:r>
          <w:r>
            <w:instrText xml:space="preserve"> HYPERLINK \l "_Toc32153" </w:instrText>
          </w:r>
          <w:r>
            <w:fldChar w:fldCharType="separate"/>
          </w:r>
          <w:r>
            <w:rPr>
              <w:bCs/>
              <w:sz w:val="24"/>
              <w:szCs w:val="24"/>
            </w:rPr>
            <w:t>6. Conclusion</w:t>
          </w:r>
          <w:r>
            <w:rPr>
              <w:sz w:val="24"/>
              <w:szCs w:val="24"/>
            </w:rPr>
            <w:tab/>
          </w:r>
          <w:r>
            <w:rPr>
              <w:sz w:val="24"/>
              <w:szCs w:val="24"/>
            </w:rPr>
            <w:fldChar w:fldCharType="begin"/>
          </w:r>
          <w:r>
            <w:rPr>
              <w:sz w:val="24"/>
              <w:szCs w:val="24"/>
            </w:rPr>
            <w:instrText xml:space="preserve"> PAGEREF _Toc32153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10"/>
            <w:tabs>
              <w:tab w:val="right" w:leader="dot" w:pos="8306"/>
            </w:tabs>
            <w:spacing w:line="360" w:lineRule="auto"/>
            <w:rPr>
              <w:sz w:val="24"/>
              <w:szCs w:val="24"/>
            </w:rPr>
          </w:pPr>
          <w:r>
            <w:fldChar w:fldCharType="begin"/>
          </w:r>
          <w:r>
            <w:instrText xml:space="preserve"> HYPERLINK \l "_Toc1385" </w:instrText>
          </w:r>
          <w:r>
            <w:fldChar w:fldCharType="separate"/>
          </w:r>
          <w:r>
            <w:rPr>
              <w:sz w:val="24"/>
              <w:szCs w:val="24"/>
            </w:rPr>
            <w:t>7. Reference:</w:t>
          </w:r>
          <w:r>
            <w:rPr>
              <w:sz w:val="24"/>
              <w:szCs w:val="24"/>
            </w:rPr>
            <w:tab/>
          </w:r>
          <w:r>
            <w:rPr>
              <w:sz w:val="24"/>
              <w:szCs w:val="24"/>
            </w:rPr>
            <w:fldChar w:fldCharType="begin"/>
          </w:r>
          <w:r>
            <w:rPr>
              <w:sz w:val="24"/>
              <w:szCs w:val="24"/>
            </w:rPr>
            <w:instrText xml:space="preserve"> PAGEREF _Toc1385 \h </w:instrText>
          </w:r>
          <w:r>
            <w:rPr>
              <w:sz w:val="24"/>
              <w:szCs w:val="24"/>
            </w:rPr>
            <w:fldChar w:fldCharType="separate"/>
          </w:r>
          <w:r>
            <w:rPr>
              <w:sz w:val="24"/>
              <w:szCs w:val="24"/>
            </w:rPr>
            <w:t>4</w:t>
          </w:r>
          <w:r>
            <w:rPr>
              <w:sz w:val="24"/>
              <w:szCs w:val="24"/>
            </w:rPr>
            <w:fldChar w:fldCharType="end"/>
          </w:r>
          <w:r>
            <w:rPr>
              <w:sz w:val="24"/>
              <w:szCs w:val="24"/>
            </w:rPr>
            <w:fldChar w:fldCharType="end"/>
          </w:r>
        </w:p>
        <w:p>
          <w:p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fldChar w:fldCharType="end"/>
          </w:r>
        </w:p>
      </w:sdtContent>
    </w:sdt>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pStyle w:val="9"/>
        <w:numPr>
          <w:ilvl w:val="0"/>
          <w:numId w:val="1"/>
        </w:numPr>
        <w:jc w:val="both"/>
        <w:outlineLvl w:val="0"/>
        <w:rPr>
          <w:rFonts w:ascii="Times New Roman" w:hAnsi="Times New Roman" w:cs="Times New Roman"/>
          <w:b/>
          <w:bCs/>
          <w:sz w:val="24"/>
          <w:szCs w:val="24"/>
        </w:rPr>
      </w:pPr>
      <w:bookmarkStart w:id="0" w:name="_Toc11603"/>
      <w:r>
        <w:rPr>
          <w:rFonts w:ascii="Times New Roman" w:hAnsi="Times New Roman" w:cs="Times New Roman"/>
          <w:b/>
          <w:bCs/>
          <w:sz w:val="24"/>
          <w:szCs w:val="24"/>
        </w:rPr>
        <w:t>Introduction:</w:t>
      </w:r>
      <w:bookmarkEnd w:id="0"/>
    </w:p>
    <w:p>
      <w:pPr>
        <w:jc w:val="both"/>
        <w:rPr>
          <w:rFonts w:ascii="Times New Roman" w:hAnsi="Times New Roman" w:cs="Times New Roman"/>
          <w:sz w:val="24"/>
          <w:szCs w:val="24"/>
        </w:rPr>
      </w:pPr>
      <w:r>
        <w:rPr>
          <w:rFonts w:ascii="Times New Roman" w:hAnsi="Times New Roman" w:cs="Times New Roman"/>
          <w:sz w:val="24"/>
          <w:szCs w:val="24"/>
        </w:rPr>
        <w:t xml:space="preserve">The introduction serves as the initial section of a report or paper, where the author outlines the topic to be discussed, the purpose of the report, the methods employed to write it, and the desired outcomes. An effective introduction is crucial in making a positive first impression and piquing the reader's interest. As Lib-guides (2022) suggests, the introduction gives readers an initial sense of the author's argumentative logic, writing style, research quality, and ultimately the validity of the report's findings and conclusions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&lt;EndNote&gt;&lt;Cite&gt;&lt;Author&gt;Flick&lt;/Author&gt;&lt;Year&gt;2015&lt;/Year&gt;&lt;RecNum&gt;7&lt;/RecNum&gt;&lt;DisplayText&gt;(Flick 2015)&lt;/DisplayText&gt;&lt;record&gt;&lt;rec-number&gt;7&lt;/rec-number&gt;&lt;foreign-keys&gt;&lt;key app="EN" db-id="r2fzddrx252fxoezxthxfxfeszdaw2weeafr" timestamp="1677779322"&gt;7&lt;/key&gt;&lt;/foreign-keys&gt;&lt;ref-type name="Book"&gt;6&lt;/ref-type&gt;&lt;contributors&gt;&lt;authors&gt;&lt;author&gt;Flick, Uwe&lt;/author&gt;&lt;/authors&gt;&lt;/contributors&gt;&lt;titles&gt;&lt;title&gt;Introducing research methodology: A beginner&amp;apos;s guide to doing a research project&lt;/title&gt;&lt;/titles&gt;&lt;dates&gt;&lt;year&gt;2015&lt;/year&gt;&lt;/dates&gt;&lt;publisher&gt;Sage&lt;/publisher&gt;&lt;isbn&gt;1473917549&lt;/isbn&gt;&lt;urls&gt;&lt;/urls&gt;&lt;/record&gt;&lt;/Cite&gt;&lt;/EndNote&gt;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(Flick 2015)</w:t>
      </w:r>
      <w:r>
        <w:rPr>
          <w:rFonts w:ascii="Times New Roman" w:hAnsi="Times New Roman" w:cs="Times New Roman"/>
          <w:sz w:val="24"/>
          <w:szCs w:val="24"/>
        </w:rPr>
        <w:fldChar w:fldCharType="end"/>
      </w:r>
      <w:r>
        <w:rPr>
          <w:rFonts w:ascii="Times New Roman" w:hAnsi="Times New Roman" w:cs="Times New Roman"/>
          <w:sz w:val="24"/>
          <w:szCs w:val="24"/>
        </w:rPr>
        <w:t>.</w:t>
      </w: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pStyle w:val="9"/>
        <w:numPr>
          <w:ilvl w:val="0"/>
          <w:numId w:val="1"/>
        </w:numPr>
        <w:jc w:val="both"/>
        <w:outlineLvl w:val="0"/>
        <w:rPr>
          <w:rFonts w:ascii="Times New Roman" w:hAnsi="Times New Roman" w:cs="Times New Roman"/>
          <w:b/>
          <w:bCs/>
          <w:sz w:val="24"/>
          <w:szCs w:val="24"/>
        </w:rPr>
      </w:pPr>
      <w:bookmarkStart w:id="1" w:name="_Toc31992"/>
      <w:r>
        <w:rPr>
          <w:rFonts w:ascii="Times New Roman" w:hAnsi="Times New Roman" w:cs="Times New Roman"/>
          <w:b/>
          <w:bCs/>
          <w:sz w:val="24"/>
          <w:szCs w:val="24"/>
        </w:rPr>
        <w:t>The main findings:</w:t>
      </w:r>
      <w:bookmarkEnd w:id="1"/>
    </w:p>
    <w:p>
      <w:pPr>
        <w:jc w:val="both"/>
        <w:rPr>
          <w:rFonts w:ascii="Times New Roman" w:hAnsi="Times New Roman" w:cs="Times New Roman"/>
          <w:sz w:val="24"/>
          <w:szCs w:val="24"/>
        </w:rPr>
      </w:pPr>
      <w:r>
        <w:rPr>
          <w:rFonts w:ascii="Times New Roman" w:hAnsi="Times New Roman" w:cs="Times New Roman"/>
          <w:sz w:val="24"/>
          <w:szCs w:val="24"/>
        </w:rPr>
        <w:t xml:space="preserve">In the main findings section, the author delves into the ideas presented in the introduction. This portion highlights the research conducted, the data used, and the methods employed to arrive at a particular conclusion. Organizing the information into smaller parts under headings and subheadings is often preferred, with each sub-section dedicated to a particular key topic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&lt;EndNote&gt;&lt;Cite&gt;&lt;Author&gt;Wohlin&lt;/Author&gt;&lt;Year&gt;2012&lt;/Year&gt;&lt;RecNum&gt;8&lt;/RecNum&gt;&lt;DisplayText&gt;(Wohlin, Runeson et al. 2012)&lt;/DisplayText&gt;&lt;record&gt;&lt;rec-number&gt;8&lt;/rec-number&gt;&lt;foreign-keys&gt;&lt;key app="EN" db-id="r2fzddrx252fxoezxthxfxfeszdaw2weeafr" timestamp="1677779377"&gt;8&lt;/key&gt;&lt;/foreign-keys&gt;&lt;ref-type name="Book"&gt;6&lt;/ref-type&gt;&lt;contributors&gt;&lt;authors&gt;&lt;author&gt;Wohlin, Claes&lt;/author&gt;&lt;author&gt;Runeson, Per&lt;/author&gt;&lt;author&gt;Höst, Martin&lt;/author&gt;&lt;author&gt;Ohlsson, Magnus C&lt;/author&gt;&lt;author&gt;Regnell, Björn&lt;/author&gt;&lt;author&gt;Wesslén, Anders&lt;/author&gt;&lt;/authors&gt;&lt;/contributors&gt;&lt;titles&gt;&lt;title&gt;Experimentation in software engineering&lt;/title&gt;&lt;/titles&gt;&lt;dates&gt;&lt;year&gt;2012&lt;/year&gt;&lt;/dates&gt;&lt;publisher&gt;Springer Science &amp;amp; Business Media&lt;/publisher&gt;&lt;isbn&gt;3642290442&lt;/isbn&gt;&lt;urls&gt;&lt;/urls&gt;&lt;/record&gt;&lt;/Cite&gt;&lt;/EndNote&gt;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(Wohlin, Runeson et al. 2012)</w:t>
      </w:r>
      <w:r>
        <w:rPr>
          <w:rFonts w:ascii="Times New Roman" w:hAnsi="Times New Roman" w:cs="Times New Roman"/>
          <w:sz w:val="24"/>
          <w:szCs w:val="24"/>
        </w:rPr>
        <w:fldChar w:fldCharType="end"/>
      </w:r>
      <w:r>
        <w:rPr>
          <w:rFonts w:ascii="Times New Roman" w:hAnsi="Times New Roman" w:cs="Times New Roman"/>
          <w:sz w:val="24"/>
          <w:szCs w:val="24"/>
        </w:rPr>
        <w:t>. The author should provide evidence to support their arguments, as stated by The Open University (2022). The report's points should be logically grouped and arranged, and all sources should be correctly referenced to avoid plagiarism, according to Bangor University (2020).</w:t>
      </w: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pStyle w:val="9"/>
        <w:numPr>
          <w:ilvl w:val="0"/>
          <w:numId w:val="1"/>
        </w:numPr>
        <w:jc w:val="both"/>
        <w:outlineLvl w:val="0"/>
        <w:rPr>
          <w:rFonts w:ascii="Times New Roman" w:hAnsi="Times New Roman" w:cs="Times New Roman"/>
          <w:b/>
          <w:bCs/>
          <w:sz w:val="24"/>
          <w:szCs w:val="24"/>
        </w:rPr>
      </w:pPr>
      <w:bookmarkStart w:id="2" w:name="_Toc25454"/>
      <w:r>
        <w:rPr>
          <w:rFonts w:ascii="Times New Roman" w:hAnsi="Times New Roman" w:cs="Times New Roman"/>
          <w:b/>
          <w:bCs/>
          <w:sz w:val="24"/>
          <w:szCs w:val="24"/>
        </w:rPr>
        <w:t>Academic writings:</w:t>
      </w:r>
      <w:bookmarkEnd w:id="2"/>
    </w:p>
    <w:p>
      <w:pPr>
        <w:jc w:val="both"/>
        <w:rPr>
          <w:rFonts w:ascii="Times New Roman" w:hAnsi="Times New Roman" w:cs="Times New Roman"/>
          <w:sz w:val="24"/>
          <w:szCs w:val="24"/>
        </w:rPr>
      </w:pPr>
      <w:r>
        <w:rPr>
          <w:rFonts w:ascii="Times New Roman" w:hAnsi="Times New Roman" w:cs="Times New Roman"/>
          <w:sz w:val="24"/>
          <w:szCs w:val="24"/>
        </w:rPr>
        <w:t>Academic writing pertains to the formal writing style used in educational works such as journal articles, books, and academic papers such as reports, essays, and dissertations. As stated by Scribbr (2022), academic writing aims to demonstrate the author's knowledge of a particular subject and can be used to explain topics, present research findings, analyze data, and persuade the reader to accept an opinion. Academic writing needs to be tailored to a specific audience and communicated clearly. To avoid the perception of personal or unreliable opinions, external sources must be cited as evidence to support the author's argument, as stated by Chin et al. (2012). Academic writing is an essential skill for students as it fosters critical thinking, develops analytical skills, and improves grammar and vocabulary, among other benefits.</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 xml:space="preserve">A well-written academic study can transform a reader's perspective, according to Davis (2019), by introducing new ideas that encourage further research. The power of knowledge is tremendous enough to effect change in the world. As an interpreter and translator, paraphrasing is a skill that I use regularly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&lt;EndNote&gt;&lt;Cite&gt;&lt;Author&gt;Perfecto&lt;/Author&gt;&lt;Year&gt;2019&lt;/Year&gt;&lt;RecNum&gt;9&lt;/RecNum&gt;&lt;DisplayText&gt;(Perfecto, Vandermeer et al. 2019)&lt;/DisplayText&gt;&lt;record&gt;&lt;rec-number&gt;9&lt;/rec-number&gt;&lt;foreign-keys&gt;&lt;key app="EN" db-id="r2fzddrx252fxoezxthxfxfeszdaw2weeafr" timestamp="1677779416"&gt;9&lt;/key&gt;&lt;/foreign-keys&gt;&lt;ref-type name="Book"&gt;6&lt;/ref-type&gt;&lt;contributors&gt;&lt;authors&gt;&lt;author&gt;Perfecto, Ivette&lt;/author&gt;&lt;author&gt;Vandermeer, John&lt;/author&gt;&lt;author&gt;Wright, Angus&lt;/author&gt;&lt;/authors&gt;&lt;/contributors&gt;&lt;titles&gt;&lt;title&gt;Nature’s matrix: Linking agriculture, biodiversity conservation and food sovereignty&lt;/title&gt;&lt;/titles&gt;&lt;dates&gt;&lt;year&gt;2019&lt;/year&gt;&lt;/dates&gt;&lt;publisher&gt;Routledge&lt;/publisher&gt;&lt;isbn&gt;0429028555&lt;/isbn&gt;&lt;urls&gt;&lt;/urls&gt;&lt;/record&gt;&lt;/Cite&gt;&lt;/EndNote&gt;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(Perfecto, Vandermeer et al. 2019)</w:t>
      </w:r>
      <w:r>
        <w:rPr>
          <w:rFonts w:ascii="Times New Roman" w:hAnsi="Times New Roman" w:cs="Times New Roman"/>
          <w:sz w:val="24"/>
          <w:szCs w:val="24"/>
        </w:rPr>
        <w:fldChar w:fldCharType="end"/>
      </w:r>
      <w:r>
        <w:rPr>
          <w:rFonts w:ascii="Times New Roman" w:hAnsi="Times New Roman" w:cs="Times New Roman"/>
          <w:sz w:val="24"/>
          <w:szCs w:val="24"/>
        </w:rPr>
        <w:t>. Although it is not easy, I strive to understand the text, set the source material aside, and write from memory, continually expanding my vocabulary.</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The writer discusses the definition and purpose of academic writing, as well as the importance of including evidence and properly citing external sources to avoid plagiarism. The writer also highlights the benefits of academic writing, such as the development of critical thinking skills and improved vocabulary and grammar. Additionally, the writer notes that academic writing can have a significant impact on readers, and may even inspire further research.</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 xml:space="preserve">The writer then reflects on their experience with paraphrasing, which is an important skill in academic writing. They note that although they use paraphrasing frequently as an interpreter and translator, it is not always an easy task, and requires a good understanding of the source material and continual improvement of vocabulary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&lt;EndNote&gt;&lt;Cite&gt;&lt;Author&gt;Defazio&lt;/Author&gt;&lt;Year&gt;2010&lt;/Year&gt;&lt;RecNum&gt;4&lt;/RecNum&gt;&lt;DisplayText&gt;(Defazio, Jones et al. 2010)&lt;/DisplayText&gt;&lt;record&gt;&lt;rec-number&gt;4&lt;/rec-number&gt;&lt;foreign-keys&gt;&lt;key app="EN" db-id="axx2vxt5ktwsx5esvpapxft3srex2x5daref" timestamp="1677846636"&gt;4&lt;/key&gt;&lt;/foreign-keys&gt;&lt;ref-type name="Journal Article"&gt;17&lt;/ref-type&gt;&lt;contributors&gt;&lt;authors&gt;&lt;author&gt;Defazio, Joseph&lt;/author&gt;&lt;author&gt;Jones, Josette&lt;/author&gt;&lt;author&gt;Tennant, Felisa&lt;/author&gt;&lt;author&gt;Hook, Sara Anne&lt;/author&gt;&lt;/authors&gt;&lt;/contributors&gt;&lt;titles&gt;&lt;title&gt;Academic Literacy: The Importance and Impact of Writing across the Curriculum--A Case Study&lt;/title&gt;&lt;secondary-title&gt;Journal of the Scholarship of Teaching and Learning&lt;/secondary-title&gt;&lt;/titles&gt;&lt;periodical&gt;&lt;full-title&gt;Journal of the Scholarship of Teaching and Learning&lt;/full-title&gt;&lt;/periodical&gt;&lt;pages&gt;34-47&lt;/pages&gt;&lt;volume&gt;10&lt;/volume&gt;&lt;number&gt;2&lt;/number&gt;&lt;dates&gt;&lt;year&gt;2010&lt;/year&gt;&lt;/dates&gt;&lt;isbn&gt;1527-9316&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(Defazio, Jones et al. 2010)</w:t>
      </w:r>
      <w:r>
        <w:rPr>
          <w:rFonts w:ascii="Times New Roman" w:hAnsi="Times New Roman" w:cs="Times New Roman"/>
          <w:sz w:val="24"/>
          <w:szCs w:val="24"/>
        </w:rPr>
        <w:fldChar w:fldCharType="end"/>
      </w:r>
      <w:r>
        <w:rPr>
          <w:rFonts w:ascii="Times New Roman" w:hAnsi="Times New Roman" w:cs="Times New Roman"/>
          <w:sz w:val="24"/>
          <w:szCs w:val="24"/>
        </w:rPr>
        <w:t>.</w:t>
      </w:r>
    </w:p>
    <w:p>
      <w:pPr>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inline distT="0" distB="0" distL="114300" distR="114300">
            <wp:extent cx="5266690" cy="2266950"/>
            <wp:effectExtent l="0" t="0" r="3810" b="6350"/>
            <wp:docPr id="1" name="Picture 1" descr="WhatsApp Image 2023-03-03 at 6.53.47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sApp Image 2023-03-03 at 6.53.47 PM"/>
                    <pic:cNvPicPr>
                      <a:picLocks noChangeAspect="1"/>
                    </pic:cNvPicPr>
                  </pic:nvPicPr>
                  <pic:blipFill>
                    <a:blip r:embed="rId4"/>
                    <a:stretch>
                      <a:fillRect/>
                    </a:stretch>
                  </pic:blipFill>
                  <pic:spPr>
                    <a:xfrm>
                      <a:off x="0" y="0"/>
                      <a:ext cx="5266690" cy="2266950"/>
                    </a:xfrm>
                    <a:prstGeom prst="rect">
                      <a:avLst/>
                    </a:prstGeom>
                  </pic:spPr>
                </pic:pic>
              </a:graphicData>
            </a:graphic>
          </wp:inline>
        </w:drawing>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Academic writing is crucial for the acquisition of knowledge and skills required for success in academia. Its purpose is to document, create, and disseminate knowledge in various academic disciplines (Belenky et al., 1986). The significance of academic writing lies in its ability to present a coherent argument that is based on a rational analysis of relevant evidence. This kind of writing requires precision, clarity, and the use of a specific vocabulary that is targeted at specific audiences such as scholars, researchers, and educators.</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 xml:space="preserve">The scope of academic writing encompasses the objective analysis of a particular topic or subject, with the aim of advancing knowledge and understanding in that field. The quality of academic writing is a critical factor in its effectiveness and success, as it influences the level of comprehension and engagement of the intended audience. Different forms and styles of academic writing are used to cater to the needs and expectations of diverse readers, such as students, researchers, and experts in the field. Therefore, it is essential to master the skills of academic writing to communicate effectively and excel in academic pursuits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&lt;EndNote&gt;&lt;Cite&gt;&lt;Author&gt;Yarris&lt;/Author&gt;&lt;Year&gt;2020&lt;/Year&gt;&lt;RecNum&gt;3&lt;/RecNum&gt;&lt;DisplayText&gt;(Yarris, Artino Jr et al. 2020)&lt;/DisplayText&gt;&lt;record&gt;&lt;rec-number&gt;3&lt;/rec-number&gt;&lt;foreign-keys&gt;&lt;key app="EN" db-id="axx2vxt5ktwsx5esvpapxft3srex2x5daref" timestamp="1677846478"&gt;3&lt;/key&gt;&lt;/foreign-keys&gt;&lt;ref-type name="Generic"&gt;13&lt;/ref-type&gt;&lt;contributors&gt;&lt;authors&gt;&lt;author&gt;Yarris, Lalena M&lt;/author&gt;&lt;author&gt;Artino Jr, Anthony R&lt;/author&gt;&lt;author&gt;Deiorio, Nicole M&lt;/author&gt;&lt;author&gt;Ten Cate, Olle&lt;/author&gt;&lt;author&gt;Sullivan, Gail M&lt;/author&gt;&lt;author&gt;Simpson, Deborah&lt;/author&gt;&lt;/authors&gt;&lt;/contributors&gt;&lt;titles&gt;&lt;title&gt;Envisioning the future of academic writing&lt;/title&gt;&lt;/titles&gt;&lt;pages&gt;1-6&lt;/pages&gt;&lt;volume&gt;12&lt;/volume&gt;&lt;number&gt;1&lt;/number&gt;&lt;dates&gt;&lt;year&gt;2020&lt;/year&gt;&lt;/dates&gt;&lt;publisher&gt;The Accreditation Council for Graduate Medical Education&lt;/publisher&gt;&lt;isbn&gt;1949-8349&lt;/isbn&gt;&lt;urls&gt;&lt;/urls&gt;&lt;/record&gt;&lt;/Cite&gt;&lt;/EndNote&gt;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(Yarris, Artino Jr et al. 2020)</w:t>
      </w:r>
      <w:r>
        <w:rPr>
          <w:rFonts w:ascii="Times New Roman" w:hAnsi="Times New Roman" w:cs="Times New Roman"/>
          <w:sz w:val="24"/>
          <w:szCs w:val="24"/>
        </w:rPr>
        <w:fldChar w:fldCharType="end"/>
      </w:r>
      <w:r>
        <w:rPr>
          <w:rFonts w:ascii="Times New Roman" w:hAnsi="Times New Roman" w:cs="Times New Roman"/>
          <w:sz w:val="24"/>
          <w:szCs w:val="24"/>
        </w:rPr>
        <w:t>.</w:t>
      </w: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pStyle w:val="9"/>
        <w:numPr>
          <w:ilvl w:val="0"/>
          <w:numId w:val="1"/>
        </w:numPr>
        <w:jc w:val="both"/>
        <w:outlineLvl w:val="0"/>
        <w:rPr>
          <w:rFonts w:ascii="Times New Roman" w:hAnsi="Times New Roman" w:cs="Times New Roman"/>
          <w:b/>
          <w:bCs/>
          <w:sz w:val="24"/>
          <w:szCs w:val="24"/>
        </w:rPr>
      </w:pPr>
      <w:bookmarkStart w:id="3" w:name="_Toc29070"/>
      <w:r>
        <w:rPr>
          <w:rFonts w:ascii="Times New Roman" w:hAnsi="Times New Roman" w:cs="Times New Roman"/>
          <w:b/>
          <w:bCs/>
          <w:sz w:val="24"/>
          <w:szCs w:val="24"/>
        </w:rPr>
        <w:t>Critical analysis:</w:t>
      </w:r>
      <w:bookmarkEnd w:id="3"/>
    </w:p>
    <w:p>
      <w:pPr>
        <w:jc w:val="both"/>
        <w:rPr>
          <w:rFonts w:ascii="Times New Roman" w:hAnsi="Times New Roman" w:cs="Times New Roman"/>
          <w:sz w:val="24"/>
          <w:szCs w:val="24"/>
        </w:rPr>
      </w:pPr>
      <w:r>
        <w:rPr>
          <w:rFonts w:ascii="Times New Roman" w:hAnsi="Times New Roman" w:cs="Times New Roman"/>
          <w:sz w:val="24"/>
          <w:szCs w:val="24"/>
        </w:rPr>
        <w:t xml:space="preserve">Critical analysis is the ability to question the findings of a text or report rather than accepting them without question. Critical analysis involves determining whether the content is useful, whether the methods used are appropriate, and whether any issues exist with the author's ideas or techniques, as described by Singh (2021). Critical analysis entails logically breaking down what is written or read, using research and science to support responses, as stated by Browne and Keeley (2012). Critical analysis is essential in academic writing, as it teaches students to ask open-ended questions about the author and their work, such as who the author is, who the audience is, the implications of the author's work, the timing of the study, and whether there have been recent studies on the topic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&lt;EndNote&gt;&lt;Cite&gt;&lt;Author&gt;Nayak&lt;/Author&gt;&lt;Year&gt;2021&lt;/Year&gt;&lt;RecNum&gt;10&lt;/RecNum&gt;&lt;DisplayText&gt;(Nayak and Singh 2021)&lt;/DisplayText&gt;&lt;record&gt;&lt;rec-number&gt;10&lt;/rec-number&gt;&lt;foreign-keys&gt;&lt;key app="EN" db-id="r2fzddrx252fxoezxthxfxfeszdaw2weeafr" timestamp="1677779449"&gt;10&lt;/key&gt;&lt;/foreign-keys&gt;&lt;ref-type name="Book"&gt;6&lt;/ref-type&gt;&lt;contributors&gt;&lt;authors&gt;&lt;author&gt;Nayak, Jayanta Kumar&lt;/author&gt;&lt;author&gt;Singh, Priyanka&lt;/author&gt;&lt;/authors&gt;&lt;/contributors&gt;&lt;titles&gt;&lt;title&gt;Fundamentals of research methodology problems and prospects&lt;/title&gt;&lt;/titles&gt;&lt;dates&gt;&lt;year&gt;2021&lt;/year&gt;&lt;/dates&gt;&lt;publisher&gt;SSDN Publishers &amp;amp; Distributors&lt;/publisher&gt;&lt;isbn&gt;9383575565&lt;/isbn&gt;&lt;urls&gt;&lt;/urls&gt;&lt;/record&gt;&lt;/Cite&gt;&lt;/EndNote&gt;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(Nayak and Singh 2021)</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Critical thinking enables students to compare concepts and ideas, continuously test their understanding, and differentiate between assumptions and evidence-based facts, as emphasized by the University of Wollongong, Australia (2022). Critical thinking is a valuable skill not only in academic settings but also in everyday life, as it aids in event analysis, problem-solving, and predicting future outcomes, according to Cottrell (2019).</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 xml:space="preserve">Conducting a literature review involves several crucial steps, and one of the commonly overlooked steps is the critical analysis of the collected data. This process involves defining the research questions, identifying the criteria for selecting relevant sources, reviewing and synthesizing the gathered data, and analyzing the findings obtained. Failure to conduct a critical analysis can result in errors and inaccuracies in the literature review, leading to flawed research outcomes. Some of the common mistakes that researchers make when conducting a literature review include failing to state the research questions clearly, citing sources incorrectly, analyzing poorly written papers, and failing to check for plagiarism. To avoid these errors, it is essential to conduct a thorough critical analysis of the collected data to ensure that the research findings are accurate and reliable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&lt;EndNote&gt;&lt;Cite&gt;&lt;Author&gt;Riley&lt;/Author&gt;&lt;Year&gt;2019&lt;/Year&gt;&lt;RecNum&gt;5&lt;/RecNum&gt;&lt;DisplayText&gt;(Riley, Moons et al. 2019)&lt;/DisplayText&gt;&lt;record&gt;&lt;rec-number&gt;5&lt;/rec-number&gt;&lt;foreign-keys&gt;&lt;key app="EN" db-id="axx2vxt5ktwsx5esvpapxft3srex2x5daref" timestamp="1677846926"&gt;5&lt;/key&gt;&lt;/foreign-keys&gt;&lt;ref-type name="Journal Article"&gt;17&lt;/ref-type&gt;&lt;contributors&gt;&lt;authors&gt;&lt;author&gt;Riley, Richard D&lt;/author&gt;&lt;author&gt;Moons, Karel GM&lt;/author&gt;&lt;author&gt;Snell, Kym IE&lt;/author&gt;&lt;author&gt;Ensor, Joie&lt;/author&gt;&lt;author&gt;Hooft, Lotty&lt;/author&gt;&lt;author&gt;Altman, Douglas G&lt;/author&gt;&lt;author&gt;Hayden, Jill&lt;/author&gt;&lt;author&gt;Collins, Gary S&lt;/author&gt;&lt;author&gt;Debray, Thomas PA&lt;/author&gt;&lt;/authors&gt;&lt;/contributors&gt;&lt;titles&gt;&lt;title&gt;A guide to systematic review and meta-analysis of prognostic factor studies&lt;/title&gt;&lt;secondary-title&gt;bmj&lt;/secondary-title&gt;&lt;/titles&gt;&lt;periodical&gt;&lt;full-title&gt;bmj&lt;/full-title&gt;&lt;/periodical&gt;&lt;volume&gt;364&lt;/volume&gt;&lt;dates&gt;&lt;year&gt;2019&lt;/year&gt;&lt;/dates&gt;&lt;isbn&gt;0959-8138&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(Riley, Moons et al. 2019)</w:t>
      </w:r>
      <w:r>
        <w:rPr>
          <w:rFonts w:ascii="Times New Roman" w:hAnsi="Times New Roman" w:cs="Times New Roman"/>
          <w:sz w:val="24"/>
          <w:szCs w:val="24"/>
        </w:rPr>
        <w:fldChar w:fldCharType="end"/>
      </w:r>
      <w:r>
        <w:rPr>
          <w:rFonts w:ascii="Times New Roman" w:hAnsi="Times New Roman" w:cs="Times New Roman"/>
          <w:sz w:val="24"/>
          <w:szCs w:val="24"/>
        </w:rPr>
        <w:t>.</w:t>
      </w: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 xml:space="preserve">Critical analysis is the process of carefully examining a written or spoken text, questioning the validity and accuracy of the information presented rather than blindly accepting it as true. This involves evaluating the content's usefulness, the methods used, and any potential flaws in the author's ideas or methodology. Critical analysis is an essential skill for academic work as it encourages students to ask important questions about the author and their work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&lt;EndNote&gt;&lt;Cite&gt;&lt;Author&gt;Griffin&lt;/Author&gt;&lt;Year&gt;2014&lt;/Year&gt;&lt;RecNum&gt;1&lt;/RecNum&gt;&lt;DisplayText&gt;(Griffin and Care 2014)&lt;/DisplayText&gt;&lt;record&gt;&lt;rec-number&gt;1&lt;/rec-number&gt;&lt;foreign-keys&gt;&lt;key app="EN" db-id="axx2vxt5ktwsx5esvpapxft3srex2x5daref" timestamp="1677779525"&gt;1&lt;/key&gt;&lt;/foreign-keys&gt;&lt;ref-type name="Book"&gt;6&lt;/ref-type&gt;&lt;contributors&gt;&lt;authors&gt;&lt;author&gt;Griffin, Patrick&lt;/author&gt;&lt;author&gt;Care, Esther&lt;/author&gt;&lt;/authors&gt;&lt;/contributors&gt;&lt;titles&gt;&lt;title&gt;Assessment and teaching of 21st century skills: Methods and approach&lt;/title&gt;&lt;/titles&gt;&lt;dates&gt;&lt;year&gt;2014&lt;/year&gt;&lt;/dates&gt;&lt;publisher&gt;Springer&lt;/publisher&gt;&lt;isbn&gt;9401793956&lt;/isbn&gt;&lt;urls&gt;&lt;/urls&gt;&lt;/record&gt;&lt;/Cite&gt;&lt;/EndNote&gt;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(Griffin and Care 2014)</w:t>
      </w:r>
      <w:r>
        <w:rPr>
          <w:rFonts w:ascii="Times New Roman" w:hAnsi="Times New Roman" w:cs="Times New Roman"/>
          <w:sz w:val="24"/>
          <w:szCs w:val="24"/>
        </w:rPr>
        <w:fldChar w:fldCharType="end"/>
      </w:r>
      <w:r>
        <w:rPr>
          <w:rFonts w:ascii="Times New Roman" w:hAnsi="Times New Roman" w:cs="Times New Roman"/>
          <w:sz w:val="24"/>
          <w:szCs w:val="24"/>
        </w:rPr>
        <w:t>. This includes identifying the author's intended audience, understanding the work's implications, and considering the timing of the study in relation to any new research in the field. Critical analysis requires comparing ideas, testing understanding, and distinguishing between assumptions and evidence-based facts. Developing critical thinking skills is essential for success both in academic settings and everyday life. It can help individuals analyze events, generate solutions, and make predictions about the future.</w:t>
      </w: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pStyle w:val="9"/>
        <w:numPr>
          <w:ilvl w:val="0"/>
          <w:numId w:val="1"/>
        </w:numPr>
        <w:jc w:val="both"/>
        <w:outlineLvl w:val="0"/>
        <w:rPr>
          <w:rFonts w:ascii="Times New Roman" w:hAnsi="Times New Roman" w:cs="Times New Roman"/>
          <w:b/>
          <w:bCs/>
          <w:sz w:val="24"/>
          <w:szCs w:val="24"/>
        </w:rPr>
      </w:pPr>
      <w:bookmarkStart w:id="4" w:name="_Toc32153"/>
      <w:r>
        <w:rPr>
          <w:rFonts w:ascii="Times New Roman" w:hAnsi="Times New Roman" w:cs="Times New Roman"/>
          <w:b/>
          <w:bCs/>
          <w:sz w:val="24"/>
          <w:szCs w:val="24"/>
        </w:rPr>
        <w:t>Conclusion</w:t>
      </w:r>
      <w:bookmarkEnd w:id="4"/>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 xml:space="preserve">A well-written conclusion should not simply repeat the main thesis of the report but rather remind the reader of it and the proposed solutions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&lt;EndNote&gt;&lt;Cite&gt;&lt;Author&gt;Hassan&lt;/Author&gt;&lt;Year&gt;2022&lt;/Year&gt;&lt;RecNum&gt;6&lt;/RecNum&gt;&lt;DisplayText&gt;(Hassan, Rehmani et al. 2022)&lt;/DisplayText&gt;&lt;record&gt;&lt;rec-number&gt;6&lt;/rec-number&gt;&lt;foreign-keys&gt;&lt;key app="EN" db-id="axx2vxt5ktwsx5esvpapxft3srex2x5daref" timestamp="1677847007"&gt;6&lt;/key&gt;&lt;/foreign-keys&gt;&lt;ref-type name="Journal Article"&gt;17&lt;/ref-type&gt;&lt;contributors&gt;&lt;authors&gt;&lt;author&gt;Hassan, Muneeb Ul&lt;/author&gt;&lt;author&gt;Rehmani, Mubashir Husain&lt;/author&gt;&lt;author&gt;Chen, Jinjun&lt;/author&gt;&lt;/authors&gt;&lt;/contributors&gt;&lt;titles&gt;&lt;title&gt;Anomaly detection in blockchain networks: A comprehensive survey&lt;/title&gt;&lt;secondary-title&gt;IEEE Communications Surveys &amp;amp; Tutorials&lt;/secondary-title&gt;&lt;/titles&gt;&lt;periodical&gt;&lt;full-title&gt;IEEE Communications Surveys &amp;amp; Tutorials&lt;/full-title&gt;&lt;/periodical&gt;&lt;dates&gt;&lt;year&gt;2022&lt;/year&gt;&lt;/dates&gt;&lt;isbn&gt;1553-877X&lt;/isbn&gt;&lt;urls&gt;&lt;/urls&gt;&lt;/record&gt;&lt;/Cite&gt;&lt;/EndNote&gt;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(Hassan, Rehmani et al. 2022)</w:t>
      </w:r>
      <w:r>
        <w:rPr>
          <w:rFonts w:ascii="Times New Roman" w:hAnsi="Times New Roman" w:cs="Times New Roman"/>
          <w:sz w:val="24"/>
          <w:szCs w:val="24"/>
        </w:rPr>
        <w:fldChar w:fldCharType="end"/>
      </w:r>
      <w:r>
        <w:rPr>
          <w:rFonts w:ascii="Times New Roman" w:hAnsi="Times New Roman" w:cs="Times New Roman"/>
          <w:sz w:val="24"/>
          <w:szCs w:val="24"/>
        </w:rPr>
        <w:t>. It should effectively bring together all the key ideas presented in the report and help the reader to better understand their significance and importance.</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In addition to summarizing the main points of the report, the conclusion should also provide a sense of closure and finality, signaling to the reader that the report has come to an end. It should leave the reader with a clear understanding of the main message of the report and its relevance to the broader context of the topic.</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 xml:space="preserve">Overall, a successful conclusion is one that effectively restates the thesis of the report in a clear and concise manner, while also emphasizing its significance and relevance. It should provide a sense of closure and leave the reader with a clear understanding of the main ideas and arguments presented in the report.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&lt;EndNote&gt;&lt;Cite&gt;&lt;Author&gt;Sulik&lt;/Author&gt;&lt;Year&gt;2014&lt;/Year&gt;&lt;RecNum&gt;2&lt;/RecNum&gt;&lt;DisplayText&gt;(Sulik and Keys 2014)&lt;/DisplayText&gt;&lt;record&gt;&lt;rec-number&gt;2&lt;/rec-number&gt;&lt;foreign-keys&gt;&lt;key app="EN" db-id="axx2vxt5ktwsx5esvpapxft3srex2x5daref" timestamp="1677779577"&gt;2&lt;/key&gt;&lt;/foreign-keys&gt;&lt;ref-type name="Journal Article"&gt;17&lt;/ref-type&gt;&lt;contributors&gt;&lt;authors&gt;&lt;author&gt;Sulik, Gayle&lt;/author&gt;&lt;author&gt;Keys, Jennifer&lt;/author&gt;&lt;/authors&gt;&lt;/contributors&gt;&lt;titles&gt;&lt;title&gt;“Many students really do not yet know how to behave!” The syllabus as a tool for socialization&lt;/title&gt;&lt;secondary-title&gt;Teaching Sociology&lt;/secondary-title&gt;&lt;/titles&gt;&lt;periodical&gt;&lt;full-title&gt;Teaching Sociology&lt;/full-title&gt;&lt;/periodical&gt;&lt;pages&gt;151-160&lt;/pages&gt;&lt;volume&gt;42&lt;/volume&gt;&lt;number&gt;2&lt;/number&gt;&lt;dates&gt;&lt;year&gt;2014&lt;/year&gt;&lt;/dates&gt;&lt;isbn&gt;0092-055X&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(Sulik and Keys 2014)</w:t>
      </w:r>
      <w:r>
        <w:rPr>
          <w:rFonts w:ascii="Times New Roman" w:hAnsi="Times New Roman" w:cs="Times New Roman"/>
          <w:sz w:val="24"/>
          <w:szCs w:val="24"/>
        </w:rPr>
        <w:fldChar w:fldCharType="end"/>
      </w:r>
      <w:r>
        <w:rPr>
          <w:rFonts w:ascii="Times New Roman" w:hAnsi="Times New Roman" w:cs="Times New Roman"/>
          <w:sz w:val="24"/>
          <w:szCs w:val="24"/>
        </w:rPr>
        <w:t>.</w:t>
      </w: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pStyle w:val="9"/>
        <w:numPr>
          <w:ilvl w:val="0"/>
          <w:numId w:val="1"/>
        </w:numPr>
        <w:jc w:val="both"/>
        <w:outlineLvl w:val="0"/>
        <w:rPr>
          <w:rFonts w:ascii="Times New Roman" w:hAnsi="Times New Roman" w:cs="Times New Roman"/>
          <w:b/>
          <w:sz w:val="24"/>
          <w:szCs w:val="24"/>
        </w:rPr>
      </w:pPr>
      <w:bookmarkStart w:id="5" w:name="_Toc1385"/>
      <w:r>
        <w:rPr>
          <w:rFonts w:ascii="Times New Roman" w:hAnsi="Times New Roman" w:cs="Times New Roman"/>
          <w:b/>
          <w:sz w:val="24"/>
          <w:szCs w:val="24"/>
        </w:rPr>
        <w:t>Reference:</w:t>
      </w:r>
      <w:bookmarkEnd w:id="5"/>
    </w:p>
    <w:p>
      <w:pPr>
        <w:pStyle w:val="9"/>
        <w:ind w:left="360"/>
        <w:jc w:val="both"/>
        <w:outlineLvl w:val="0"/>
        <w:rPr>
          <w:rFonts w:ascii="Times New Roman" w:hAnsi="Times New Roman" w:cs="Times New Roman"/>
          <w:b/>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pStyle w:val="7"/>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EN.REFLIST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Defazio, J., et al. (2010). "Academic Literacy: The Importance and Impact of Writing across the Curriculum--A Case Study." </w:t>
      </w:r>
      <w:r>
        <w:rPr>
          <w:rFonts w:ascii="Times New Roman" w:hAnsi="Times New Roman" w:cs="Times New Roman"/>
          <w:sz w:val="24"/>
          <w:szCs w:val="24"/>
          <w:u w:val="single"/>
        </w:rPr>
        <w:t>Journal of the Scholarship of Teaching and Learning</w:t>
      </w:r>
      <w:r>
        <w:rPr>
          <w:rFonts w:ascii="Times New Roman" w:hAnsi="Times New Roman" w:cs="Times New Roman"/>
          <w:sz w:val="24"/>
          <w:szCs w:val="24"/>
        </w:rPr>
        <w:t xml:space="preserve"> </w:t>
      </w:r>
      <w:r>
        <w:rPr>
          <w:rFonts w:ascii="Times New Roman" w:hAnsi="Times New Roman" w:cs="Times New Roman"/>
          <w:b/>
          <w:sz w:val="24"/>
          <w:szCs w:val="24"/>
        </w:rPr>
        <w:t>10</w:t>
      </w:r>
      <w:r>
        <w:rPr>
          <w:rFonts w:ascii="Times New Roman" w:hAnsi="Times New Roman" w:cs="Times New Roman"/>
          <w:sz w:val="24"/>
          <w:szCs w:val="24"/>
        </w:rPr>
        <w:t>(2): 34-47.</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Flick, U. (2015). </w:t>
      </w:r>
      <w:r>
        <w:rPr>
          <w:rFonts w:ascii="Times New Roman" w:hAnsi="Times New Roman" w:cs="Times New Roman"/>
          <w:sz w:val="24"/>
          <w:szCs w:val="24"/>
          <w:u w:val="single"/>
        </w:rPr>
        <w:t>Introducing research methodology: A beginner's guide to doing a research project</w:t>
      </w:r>
      <w:r>
        <w:rPr>
          <w:rFonts w:ascii="Times New Roman" w:hAnsi="Times New Roman" w:cs="Times New Roman"/>
          <w:sz w:val="24"/>
          <w:szCs w:val="24"/>
        </w:rPr>
        <w:t>, Sage.</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Griffin, P. and E. Care (2014). </w:t>
      </w:r>
      <w:r>
        <w:rPr>
          <w:rFonts w:ascii="Times New Roman" w:hAnsi="Times New Roman" w:cs="Times New Roman"/>
          <w:sz w:val="24"/>
          <w:szCs w:val="24"/>
          <w:u w:val="single"/>
        </w:rPr>
        <w:t>Assessment and teaching of 21st century skills: Methods and approach</w:t>
      </w:r>
      <w:r>
        <w:rPr>
          <w:rFonts w:ascii="Times New Roman" w:hAnsi="Times New Roman" w:cs="Times New Roman"/>
          <w:sz w:val="24"/>
          <w:szCs w:val="24"/>
        </w:rPr>
        <w:t>, Springer.</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Hassan, M. U., et al. (2022). "Anomaly detection in blockchain networks: A comprehensive survey." </w:t>
      </w:r>
      <w:r>
        <w:rPr>
          <w:rFonts w:ascii="Times New Roman" w:hAnsi="Times New Roman" w:cs="Times New Roman"/>
          <w:sz w:val="24"/>
          <w:szCs w:val="24"/>
          <w:u w:val="single"/>
        </w:rPr>
        <w:t>IEEE Communications Surveys &amp; Tutorials</w:t>
      </w:r>
      <w:r>
        <w:rPr>
          <w:rFonts w:ascii="Times New Roman" w:hAnsi="Times New Roman" w:cs="Times New Roman"/>
          <w:sz w:val="24"/>
          <w:szCs w:val="24"/>
        </w:rPr>
        <w:t>.</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Nayak, J. K. and P. Singh (2021). </w:t>
      </w:r>
      <w:r>
        <w:rPr>
          <w:rFonts w:ascii="Times New Roman" w:hAnsi="Times New Roman" w:cs="Times New Roman"/>
          <w:sz w:val="24"/>
          <w:szCs w:val="24"/>
          <w:u w:val="single"/>
        </w:rPr>
        <w:t>Fundamentals of research methodology problems and prospects</w:t>
      </w:r>
      <w:r>
        <w:rPr>
          <w:rFonts w:ascii="Times New Roman" w:hAnsi="Times New Roman" w:cs="Times New Roman"/>
          <w:sz w:val="24"/>
          <w:szCs w:val="24"/>
        </w:rPr>
        <w:t>, SSDN Publishers &amp; Distributors.</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Perfecto, I., et al. (2019). </w:t>
      </w:r>
      <w:r>
        <w:rPr>
          <w:rFonts w:ascii="Times New Roman" w:hAnsi="Times New Roman" w:cs="Times New Roman"/>
          <w:sz w:val="24"/>
          <w:szCs w:val="24"/>
          <w:u w:val="single"/>
        </w:rPr>
        <w:t>Nature’s matrix: Linking agriculture, biodiversity conservation and food sovereignty</w:t>
      </w:r>
      <w:r>
        <w:rPr>
          <w:rFonts w:ascii="Times New Roman" w:hAnsi="Times New Roman" w:cs="Times New Roman"/>
          <w:sz w:val="24"/>
          <w:szCs w:val="24"/>
        </w:rPr>
        <w:t>, Routledge.</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Riley, R. D., et al. (2019). "A guide to systematic review and meta-analysis of prognostic factor studies." </w:t>
      </w:r>
      <w:r>
        <w:rPr>
          <w:rFonts w:ascii="Times New Roman" w:hAnsi="Times New Roman" w:cs="Times New Roman"/>
          <w:sz w:val="24"/>
          <w:szCs w:val="24"/>
          <w:u w:val="single"/>
        </w:rPr>
        <w:t>bmj</w:t>
      </w:r>
      <w:r>
        <w:rPr>
          <w:rFonts w:ascii="Times New Roman" w:hAnsi="Times New Roman" w:cs="Times New Roman"/>
          <w:sz w:val="24"/>
          <w:szCs w:val="24"/>
        </w:rPr>
        <w:t xml:space="preserve"> </w:t>
      </w:r>
      <w:r>
        <w:rPr>
          <w:rFonts w:ascii="Times New Roman" w:hAnsi="Times New Roman" w:cs="Times New Roman"/>
          <w:b/>
          <w:sz w:val="24"/>
          <w:szCs w:val="24"/>
        </w:rPr>
        <w:t>364</w:t>
      </w:r>
      <w:r>
        <w:rPr>
          <w:rFonts w:ascii="Times New Roman" w:hAnsi="Times New Roman" w:cs="Times New Roman"/>
          <w:sz w:val="24"/>
          <w:szCs w:val="24"/>
        </w:rPr>
        <w:t>.</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Sulik, G. and J. Keys (2014). "“Many students really do not yet know how to behave!” The syllabus as a tool for socialization." </w:t>
      </w:r>
      <w:r>
        <w:rPr>
          <w:rFonts w:ascii="Times New Roman" w:hAnsi="Times New Roman" w:cs="Times New Roman"/>
          <w:sz w:val="24"/>
          <w:szCs w:val="24"/>
          <w:u w:val="single"/>
        </w:rPr>
        <w:t>Teaching Sociology</w:t>
      </w:r>
      <w:r>
        <w:rPr>
          <w:rFonts w:ascii="Times New Roman" w:hAnsi="Times New Roman" w:cs="Times New Roman"/>
          <w:sz w:val="24"/>
          <w:szCs w:val="24"/>
        </w:rPr>
        <w:t xml:space="preserve"> </w:t>
      </w:r>
      <w:r>
        <w:rPr>
          <w:rFonts w:ascii="Times New Roman" w:hAnsi="Times New Roman" w:cs="Times New Roman"/>
          <w:b/>
          <w:sz w:val="24"/>
          <w:szCs w:val="24"/>
        </w:rPr>
        <w:t>42</w:t>
      </w:r>
      <w:r>
        <w:rPr>
          <w:rFonts w:ascii="Times New Roman" w:hAnsi="Times New Roman" w:cs="Times New Roman"/>
          <w:sz w:val="24"/>
          <w:szCs w:val="24"/>
        </w:rPr>
        <w:t>(2): 151-160.</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Wohlin, C., et al. (2012). </w:t>
      </w:r>
      <w:r>
        <w:rPr>
          <w:rFonts w:ascii="Times New Roman" w:hAnsi="Times New Roman" w:cs="Times New Roman"/>
          <w:sz w:val="24"/>
          <w:szCs w:val="24"/>
          <w:u w:val="single"/>
        </w:rPr>
        <w:t>Experimentation in software engineering</w:t>
      </w:r>
      <w:r>
        <w:rPr>
          <w:rFonts w:ascii="Times New Roman" w:hAnsi="Times New Roman" w:cs="Times New Roman"/>
          <w:sz w:val="24"/>
          <w:szCs w:val="24"/>
        </w:rPr>
        <w:t>, Springer Science &amp; Business Media.</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pStyle w:val="7"/>
        <w:rPr>
          <w:rFonts w:ascii="Times New Roman" w:hAnsi="Times New Roman" w:cs="Times New Roman"/>
          <w:sz w:val="24"/>
          <w:szCs w:val="24"/>
        </w:rPr>
      </w:pPr>
      <w:r>
        <w:rPr>
          <w:rFonts w:ascii="Times New Roman" w:hAnsi="Times New Roman" w:cs="Times New Roman"/>
          <w:sz w:val="24"/>
          <w:szCs w:val="24"/>
        </w:rPr>
        <w:t xml:space="preserve">Yarris, L. M., et al. (2020). Envisioning the future of academic writing, The Accreditation Council for Graduate Medical Education. </w:t>
      </w:r>
      <w:r>
        <w:rPr>
          <w:rFonts w:ascii="Times New Roman" w:hAnsi="Times New Roman" w:cs="Times New Roman"/>
          <w:b/>
          <w:sz w:val="24"/>
          <w:szCs w:val="24"/>
        </w:rPr>
        <w:t xml:space="preserve">12: </w:t>
      </w:r>
      <w:r>
        <w:rPr>
          <w:rFonts w:ascii="Times New Roman" w:hAnsi="Times New Roman" w:cs="Times New Roman"/>
          <w:sz w:val="24"/>
          <w:szCs w:val="24"/>
        </w:rPr>
        <w:t>1-6.</w:t>
      </w:r>
    </w:p>
    <w:p>
      <w:pPr>
        <w:pStyle w:val="7"/>
        <w:ind w:left="720" w:hanging="720"/>
        <w:rPr>
          <w:rFonts w:ascii="Times New Roman" w:hAnsi="Times New Roman" w:cs="Times New Roman"/>
          <w:sz w:val="24"/>
          <w:szCs w:val="24"/>
        </w:rPr>
      </w:pPr>
      <w:r>
        <w:rPr>
          <w:rFonts w:ascii="Times New Roman" w:hAnsi="Times New Roman" w:cs="Times New Roman"/>
          <w:sz w:val="24"/>
          <w:szCs w:val="24"/>
        </w:rPr>
        <w:tab/>
      </w:r>
    </w:p>
    <w:p>
      <w:pPr>
        <w:jc w:val="both"/>
        <w:rPr>
          <w:rFonts w:ascii="Times New Roman" w:hAnsi="Times New Roman" w:cs="Times New Roman"/>
          <w:sz w:val="24"/>
          <w:szCs w:val="24"/>
        </w:rPr>
      </w:pPr>
      <w:r>
        <w:rPr>
          <w:rFonts w:ascii="Times New Roman" w:hAnsi="Times New Roman" w:cs="Times New Roman"/>
          <w:sz w:val="24"/>
          <w:szCs w:val="24"/>
        </w:rPr>
        <w:fldChar w:fldCharType="end"/>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8291842"/>
    <w:multiLevelType w:val="multilevel"/>
    <w:tmpl w:val="18291842"/>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documentProtection w:enforcement="0"/>
  <w:defaultTabStop w:val="720"/>
  <w:drawingGridVerticalSpacing w:val="156"/>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xx2vxt5ktwsx5esvpapxft3srex2x5daref&quot;&gt;jetmir&lt;record-ids&gt;&lt;item&gt;1&lt;/item&gt;&lt;item&gt;2&lt;/item&gt;&lt;item&gt;3&lt;/item&gt;&lt;item&gt;4&lt;/item&gt;&lt;item&gt;5&lt;/item&gt;&lt;item&gt;6&lt;/item&gt;&lt;/record-ids&gt;&lt;/item&gt;&lt;/Libraries&gt;"/>
  </w:docVars>
  <w:rsids>
    <w:rsidRoot w:val="57B57F19"/>
    <w:rsid w:val="000C006B"/>
    <w:rsid w:val="002703DF"/>
    <w:rsid w:val="002817D1"/>
    <w:rsid w:val="00295A21"/>
    <w:rsid w:val="002A5991"/>
    <w:rsid w:val="0034353C"/>
    <w:rsid w:val="0042136A"/>
    <w:rsid w:val="00425F60"/>
    <w:rsid w:val="008435DB"/>
    <w:rsid w:val="008E6C39"/>
    <w:rsid w:val="009F48F0"/>
    <w:rsid w:val="00AA66C2"/>
    <w:rsid w:val="00B76FF7"/>
    <w:rsid w:val="00E5231A"/>
    <w:rsid w:val="00E93157"/>
    <w:rsid w:val="00FA6653"/>
    <w:rsid w:val="031B4E73"/>
    <w:rsid w:val="0C982EB1"/>
    <w:rsid w:val="0D6B035F"/>
    <w:rsid w:val="173C3F12"/>
    <w:rsid w:val="19264565"/>
    <w:rsid w:val="1CB41FA4"/>
    <w:rsid w:val="20284A78"/>
    <w:rsid w:val="20E24984"/>
    <w:rsid w:val="240D0A6F"/>
    <w:rsid w:val="2C031AC9"/>
    <w:rsid w:val="30FD3FE6"/>
    <w:rsid w:val="320A6216"/>
    <w:rsid w:val="33B10BFC"/>
    <w:rsid w:val="3A4F304E"/>
    <w:rsid w:val="3ECF7DD1"/>
    <w:rsid w:val="434D6D26"/>
    <w:rsid w:val="48C01258"/>
    <w:rsid w:val="4D48462C"/>
    <w:rsid w:val="54CC3643"/>
    <w:rsid w:val="57B57F19"/>
    <w:rsid w:val="58EF0CD2"/>
    <w:rsid w:val="59F12F67"/>
    <w:rsid w:val="5A655703"/>
    <w:rsid w:val="71AA2585"/>
    <w:rsid w:val="7BBF23FF"/>
    <w:rsid w:val="7D3F1C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Normal (Web)"/>
    <w:qFormat/>
    <w:uiPriority w:val="0"/>
    <w:pPr>
      <w:spacing w:beforeAutospacing="1" w:afterAutospacing="1"/>
    </w:pPr>
    <w:rPr>
      <w:rFonts w:ascii="Times New Roman" w:hAnsi="Times New Roman" w:eastAsia="SimSun" w:cs="Times New Roman"/>
      <w:sz w:val="24"/>
      <w:szCs w:val="24"/>
      <w:lang w:val="en-US" w:eastAsia="zh-CN" w:bidi="ar-SA"/>
    </w:rPr>
  </w:style>
  <w:style w:type="paragraph" w:customStyle="1" w:styleId="5">
    <w:name w:val="EndNote Bibliography Title"/>
    <w:basedOn w:val="1"/>
    <w:link w:val="6"/>
    <w:uiPriority w:val="0"/>
    <w:pPr>
      <w:jc w:val="center"/>
    </w:pPr>
    <w:rPr>
      <w:rFonts w:ascii="Calibri" w:hAnsi="Calibri" w:cs="Calibri"/>
    </w:rPr>
  </w:style>
  <w:style w:type="character" w:customStyle="1" w:styleId="6">
    <w:name w:val="EndNote Bibliography Title Char"/>
    <w:basedOn w:val="2"/>
    <w:link w:val="5"/>
    <w:qFormat/>
    <w:uiPriority w:val="0"/>
    <w:rPr>
      <w:rFonts w:ascii="Calibri" w:hAnsi="Calibri" w:cs="Calibri" w:eastAsiaTheme="minorEastAsia"/>
      <w:lang w:eastAsia="zh-CN"/>
    </w:rPr>
  </w:style>
  <w:style w:type="paragraph" w:customStyle="1" w:styleId="7">
    <w:name w:val="EndNote Bibliography"/>
    <w:basedOn w:val="1"/>
    <w:link w:val="8"/>
    <w:qFormat/>
    <w:uiPriority w:val="0"/>
    <w:pPr>
      <w:jc w:val="both"/>
    </w:pPr>
    <w:rPr>
      <w:rFonts w:ascii="Calibri" w:hAnsi="Calibri" w:cs="Calibri"/>
    </w:rPr>
  </w:style>
  <w:style w:type="character" w:customStyle="1" w:styleId="8">
    <w:name w:val="EndNote Bibliography Char"/>
    <w:basedOn w:val="2"/>
    <w:link w:val="7"/>
    <w:qFormat/>
    <w:uiPriority w:val="0"/>
    <w:rPr>
      <w:rFonts w:ascii="Calibri" w:hAnsi="Calibri" w:cs="Calibri" w:eastAsiaTheme="minorEastAsia"/>
      <w:lang w:eastAsia="zh-CN"/>
    </w:rPr>
  </w:style>
  <w:style w:type="paragraph" w:styleId="9">
    <w:name w:val="List Paragraph"/>
    <w:basedOn w:val="1"/>
    <w:uiPriority w:val="99"/>
    <w:pPr>
      <w:ind w:left="720"/>
      <w:contextualSpacing/>
    </w:pPr>
  </w:style>
  <w:style w:type="paragraph" w:customStyle="1" w:styleId="10">
    <w:name w:val="WPSOffice手动目录 1"/>
    <w:qFormat/>
    <w:uiPriority w:val="0"/>
    <w:rPr>
      <w:rFonts w:ascii="Times New Roman" w:hAnsi="Times New Roman" w:eastAsia="SimSun" w:cs="Times New Roman"/>
      <w:lang w:val="en-US" w:eastAsia="en-US" w:bidi="ar-SA"/>
    </w:rPr>
  </w:style>
  <w:style w:type="paragraph" w:styleId="11">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052e6a54-61ed-421b-8363-ae11c071776a}"/>
        <w:style w:val=""/>
        <w:category>
          <w:name w:val="General"/>
          <w:gallery w:val="placeholder"/>
        </w:category>
        <w:types>
          <w:type w:val="bbPlcHdr"/>
        </w:types>
        <w:behaviors>
          <w:behavior w:val="content"/>
        </w:behaviors>
        <w:description w:val=""/>
        <w:guid w:val="{052e6a54-61ed-421b-8363-ae11c071776a}"/>
      </w:docPartPr>
      <w:docPartBody>
        <w:p>
          <w:pPr>
            <w:pStyle w:val="1"/>
          </w:pPr>
          <w:r>
            <w:rPr>
              <w:rFonts w:asciiTheme="majorHAnsi" w:hAnsiTheme="majorHAnsi" w:eastAsiaTheme="majorEastAsia" w:cstheme="majorBidi"/>
              <w:color w:val="5B9BD5" w:themeColor="accent1"/>
              <w:sz w:val="80"/>
              <w:szCs w:val="80"/>
              <w14:textFill>
                <w14:solidFill>
                  <w14:schemeClr w14:val="accent1"/>
                </w14:solidFill>
              </w14:textFill>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compa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style w:type="paragraph" w:customStyle="1" w:styleId="1">
    <w:name w:val="DD41AF5A35CD4DC89C99202ECE84AAF1"/>
    <w:qFormat/>
    <w:uiPriority w:val="0"/>
    <w:pPr>
      <w:spacing w:after="200" w:line="276" w:lineRule="auto"/>
    </w:pPr>
    <w:rPr>
      <w:rFonts w:asciiTheme="minorHAnsi" w:hAnsiTheme="minorHAnsi" w:eastAsiaTheme="minorEastAsia" w:cstheme="minorBidi"/>
      <w:sz w:val="22"/>
      <w:szCs w:val="22"/>
      <w:lang w:val="en-GB" w:eastAsia="en-GB" w:bidi="ar-SA"/>
    </w:rPr>
  </w:style>
  <w:style w:type="paragraph" w:customStyle="1" w:styleId="2">
    <w:name w:val="589D5CC57B45438290C4C6DBB38DA244"/>
    <w:qFormat/>
    <w:uiPriority w:val="0"/>
    <w:pPr>
      <w:spacing w:after="200" w:line="276" w:lineRule="auto"/>
    </w:pPr>
    <w:rPr>
      <w:rFonts w:asciiTheme="minorHAnsi" w:hAnsiTheme="minorHAnsi" w:eastAsiaTheme="minorEastAsia" w:cstheme="minorBidi"/>
      <w:sz w:val="22"/>
      <w:szCs w:val="22"/>
      <w:lang w:val="en-GB" w:eastAsia="en-GB" w:bidi="ar-SA"/>
    </w:rPr>
  </w:style>
  <w:style w:type="paragraph" w:customStyle="1" w:styleId="3">
    <w:name w:val="A413180D236C4C788D3C839277E66563"/>
    <w:qFormat/>
    <w:uiPriority w:val="0"/>
    <w:pPr>
      <w:spacing w:after="200" w:line="276"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E9F74E-8C05-41FA-A754-91FB05D1B7E9}">
  <ds:schemaRefs/>
</ds:datastoreItem>
</file>

<file path=docProps/app.xml><?xml version="1.0" encoding="utf-8"?>
<Properties xmlns="http://schemas.openxmlformats.org/officeDocument/2006/extended-properties" xmlns:vt="http://schemas.openxmlformats.org/officeDocument/2006/docPropsVTypes">
  <Template>Normal.dotm</Template>
  <Pages>8</Pages>
  <Words>2836</Words>
  <Characters>16166</Characters>
  <Lines>134</Lines>
  <Paragraphs>37</Paragraphs>
  <TotalTime>3</TotalTime>
  <ScaleCrop>false</ScaleCrop>
  <LinksUpToDate>false</LinksUpToDate>
  <CharactersWithSpaces>18965</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2023-03-02T15:06:00Z</dcterms:created>
  <dc:creator>maamirmayo1</dc:creator>
  <cp:lastModifiedBy>maamirmayo1</cp:lastModifiedBy>
  <dcterms:modified xsi:type="dcterms:W3CDTF">2023-03-03T14:06:40Z</dcterms:modified>
  <dc:title>E-PORTFOLIO</dc:title>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0C353A6285FA4ABD94D1052ABA0CAAE6</vt:lpwstr>
  </property>
</Properties>
</file>