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13E7570F" w14:textId="26305C5D" w:rsidR="007129D6" w:rsidRPr="0068658C" w:rsidRDefault="007129D6" w:rsidP="00322EBA">
      <w:pPr>
        <w:rPr>
          <w:rFonts w:cstheme="minorHAnsi"/>
          <w:sz w:val="28"/>
          <w:szCs w:val="28"/>
        </w:rPr>
      </w:pPr>
      <w:r w:rsidRPr="0068658C">
        <w:rPr>
          <w:rFonts w:cstheme="minorHAnsi"/>
          <w:sz w:val="28"/>
          <w:szCs w:val="28"/>
        </w:rPr>
        <w:t>Care plan</w:t>
      </w:r>
    </w:p>
    <w:p w14:paraId="5CE59DC4" w14:textId="660B87BE" w:rsidR="002561B5" w:rsidRPr="0068658C" w:rsidRDefault="007129D6" w:rsidP="00322EBA">
      <w:pPr>
        <w:rPr>
          <w:rFonts w:cstheme="minorHAnsi"/>
          <w:sz w:val="28"/>
          <w:szCs w:val="28"/>
        </w:rPr>
      </w:pPr>
      <w:r w:rsidRPr="0068658C">
        <w:rPr>
          <w:rFonts w:cstheme="minorHAnsi"/>
          <w:sz w:val="28"/>
          <w:szCs w:val="28"/>
        </w:rPr>
        <w:t xml:space="preserve">Emily is a 14-year-old girl who recently entered foster care after experiencing prolonged sexual abuse, physical abuse, and neglect in her biological family. Before placement, she faced inconsistent access to food, poor hygiene, and a lack of appropriate clothing, alongside emotional and physical harm from </w:t>
      </w:r>
      <w:r w:rsidR="000E0E82" w:rsidRPr="0068658C">
        <w:rPr>
          <w:rFonts w:cstheme="minorHAnsi"/>
          <w:sz w:val="28"/>
          <w:szCs w:val="28"/>
        </w:rPr>
        <w:t xml:space="preserve">her </w:t>
      </w:r>
      <w:r w:rsidRPr="0068658C">
        <w:rPr>
          <w:rFonts w:cstheme="minorHAnsi"/>
          <w:sz w:val="28"/>
          <w:szCs w:val="28"/>
        </w:rPr>
        <w:t>parents. Since entering foster care, Emily has shown signs of withdrawal, aggression, attention difficulties, and struggles to form relationships with peers and caregivers. These challenges are common among youth in foster care with histories of multiple types of maltreatment</w:t>
      </w:r>
      <w:r w:rsidR="00655CDA" w:rsidRPr="0068658C">
        <w:rPr>
          <w:rFonts w:cstheme="minorHAnsi"/>
          <w:sz w:val="28"/>
          <w:szCs w:val="28"/>
        </w:rPr>
        <w:t>. They</w:t>
      </w:r>
      <w:r w:rsidRPr="0068658C">
        <w:rPr>
          <w:rFonts w:cstheme="minorHAnsi"/>
          <w:sz w:val="28"/>
          <w:szCs w:val="28"/>
        </w:rPr>
        <w:t xml:space="preserve"> are linked to increased risks of emotional, behavioural, and mental health problems, including anxiety, depression, and post-traumatic stress </w:t>
      </w:r>
      <w:r w:rsidR="000E0E82" w:rsidRPr="0068658C">
        <w:rPr>
          <w:rFonts w:cstheme="minorHAnsi"/>
          <w:sz w:val="28"/>
          <w:szCs w:val="28"/>
        </w:rPr>
        <w:t>disorder</w:t>
      </w:r>
      <w:r w:rsidRPr="0068658C">
        <w:rPr>
          <w:rFonts w:cstheme="minorHAnsi"/>
          <w:sz w:val="28"/>
          <w:szCs w:val="28"/>
        </w:rPr>
        <w:t xml:space="preserve"> </w:t>
      </w:r>
      <w:r w:rsidR="000E0E82" w:rsidRPr="0068658C">
        <w:rPr>
          <w:rFonts w:cstheme="minorHAnsi"/>
          <w:sz w:val="28"/>
          <w:szCs w:val="28"/>
        </w:rPr>
        <w:t xml:space="preserve">(PTSD) </w:t>
      </w:r>
      <w:r w:rsidRPr="0068658C">
        <w:rPr>
          <w:rFonts w:cstheme="minorHAnsi"/>
          <w:sz w:val="28"/>
          <w:szCs w:val="28"/>
        </w:rPr>
        <w:t>(</w:t>
      </w:r>
      <w:r w:rsidR="00655CDA" w:rsidRPr="0068658C">
        <w:rPr>
          <w:rFonts w:cstheme="minorHAnsi"/>
          <w:sz w:val="28"/>
          <w:szCs w:val="28"/>
        </w:rPr>
        <w:t>McGuire et</w:t>
      </w:r>
      <w:r w:rsidRPr="0068658C">
        <w:rPr>
          <w:rFonts w:cstheme="minorHAnsi"/>
          <w:sz w:val="28"/>
          <w:szCs w:val="28"/>
        </w:rPr>
        <w:t xml:space="preserve"> al., 2021). Placement in foster care can provide safety, but adjustment is often complicated </w:t>
      </w:r>
      <w:r w:rsidR="000E0E82" w:rsidRPr="0068658C">
        <w:rPr>
          <w:rFonts w:cstheme="minorHAnsi"/>
          <w:sz w:val="28"/>
          <w:szCs w:val="28"/>
        </w:rPr>
        <w:t xml:space="preserve">by </w:t>
      </w:r>
      <w:r w:rsidRPr="0068658C">
        <w:rPr>
          <w:rFonts w:cstheme="minorHAnsi"/>
          <w:sz w:val="28"/>
          <w:szCs w:val="28"/>
        </w:rPr>
        <w:t>trauma and instability, making targeted, trauma-informed support essential for recovery and resilience (Brunner, 2025).</w:t>
      </w:r>
    </w:p>
    <w:p w14:paraId="01F62FD9" w14:textId="3A0AD795" w:rsidR="002561B5" w:rsidRPr="0068658C" w:rsidRDefault="002561B5" w:rsidP="00322EBA">
      <w:pPr>
        <w:rPr>
          <w:rFonts w:cstheme="minorHAnsi"/>
          <w:sz w:val="28"/>
          <w:szCs w:val="28"/>
        </w:rPr>
      </w:pPr>
      <w:r w:rsidRPr="0068658C">
        <w:rPr>
          <w:rFonts w:cstheme="minorHAnsi"/>
          <w:sz w:val="28"/>
          <w:szCs w:val="28"/>
        </w:rPr>
        <w:t xml:space="preserve">Target to </w:t>
      </w:r>
      <w:r w:rsidR="005C4D1C" w:rsidRPr="0068658C">
        <w:rPr>
          <w:rFonts w:cstheme="minorHAnsi"/>
          <w:sz w:val="28"/>
          <w:szCs w:val="28"/>
        </w:rPr>
        <w:t>achieve</w:t>
      </w:r>
      <w:r w:rsidRPr="0068658C">
        <w:rPr>
          <w:rFonts w:cstheme="minorHAnsi"/>
          <w:sz w:val="28"/>
          <w:szCs w:val="28"/>
        </w:rPr>
        <w:t>:</w:t>
      </w:r>
    </w:p>
    <w:p w14:paraId="311D698F" w14:textId="77777777" w:rsidR="000C63A5" w:rsidRPr="0068658C" w:rsidRDefault="00EC3E3C" w:rsidP="000C63A5">
      <w:pPr>
        <w:pStyle w:val="ListParagraph"/>
        <w:numPr>
          <w:ilvl w:val="0"/>
          <w:numId w:val="1"/>
        </w:numPr>
        <w:rPr>
          <w:rFonts w:cstheme="minorHAnsi"/>
          <w:sz w:val="28"/>
          <w:szCs w:val="28"/>
        </w:rPr>
      </w:pPr>
      <w:r w:rsidRPr="0068658C">
        <w:rPr>
          <w:rFonts w:cstheme="minorHAnsi"/>
          <w:sz w:val="28"/>
          <w:szCs w:val="28"/>
        </w:rPr>
        <w:t>Reduce aggressive and antisocial behaviours and enhance control over emotions</w:t>
      </w:r>
      <w:r w:rsidR="00C05C65" w:rsidRPr="0068658C">
        <w:rPr>
          <w:rFonts w:cstheme="minorHAnsi"/>
          <w:sz w:val="28"/>
          <w:szCs w:val="28"/>
        </w:rPr>
        <w:t>.</w:t>
      </w:r>
    </w:p>
    <w:p w14:paraId="519933D2" w14:textId="5FBFEF2D" w:rsidR="00C05C65" w:rsidRPr="0068658C" w:rsidRDefault="004F6024" w:rsidP="00A00E97">
      <w:pPr>
        <w:pStyle w:val="ListParagraph"/>
        <w:rPr>
          <w:rFonts w:cstheme="minorHAnsi"/>
          <w:sz w:val="28"/>
          <w:szCs w:val="28"/>
        </w:rPr>
      </w:pPr>
      <w:r w:rsidRPr="0068658C">
        <w:rPr>
          <w:rFonts w:cstheme="minorHAnsi"/>
          <w:sz w:val="28"/>
          <w:szCs w:val="28"/>
        </w:rPr>
        <w:t>To reduce Emily’s aggressive behaviour and improve emotional regulation over a 3–6 month period. Working with her therapist, Emily will identify triggers such as raised voices or sudden routine changes, which can activate her amygdala</w:t>
      </w:r>
      <w:r w:rsidR="007129D6" w:rsidRPr="0068658C">
        <w:rPr>
          <w:rFonts w:cstheme="minorHAnsi"/>
          <w:sz w:val="28"/>
          <w:szCs w:val="28"/>
        </w:rPr>
        <w:t>,</w:t>
      </w:r>
      <w:r w:rsidRPr="0068658C">
        <w:rPr>
          <w:rFonts w:cstheme="minorHAnsi"/>
          <w:sz w:val="28"/>
          <w:szCs w:val="28"/>
        </w:rPr>
        <w:t xml:space="preserve"> which is often hypersensitive in young people who have experienced prolonged trauma</w:t>
      </w:r>
      <w:r w:rsidR="000C63A5" w:rsidRPr="0068658C">
        <w:rPr>
          <w:rFonts w:cstheme="minorHAnsi"/>
          <w:sz w:val="28"/>
          <w:szCs w:val="28"/>
        </w:rPr>
        <w:t xml:space="preserve"> </w:t>
      </w:r>
      <w:r w:rsidRPr="0068658C">
        <w:rPr>
          <w:rFonts w:cstheme="minorHAnsi"/>
          <w:sz w:val="28"/>
          <w:szCs w:val="28"/>
        </w:rPr>
        <w:t>and trigger a heightened threat response. Trauma can also weaken prefrontal cortex functioning, making it harder for her to regulate impulses</w:t>
      </w:r>
      <w:r w:rsidR="00A00E97" w:rsidRPr="0068658C">
        <w:rPr>
          <w:rFonts w:cstheme="minorHAnsi"/>
          <w:sz w:val="28"/>
          <w:szCs w:val="28"/>
        </w:rPr>
        <w:t xml:space="preserve"> (</w:t>
      </w:r>
      <w:proofErr w:type="spellStart"/>
      <w:r w:rsidR="00A00E97" w:rsidRPr="0068658C">
        <w:rPr>
          <w:rFonts w:cstheme="minorHAnsi"/>
          <w:sz w:val="28"/>
          <w:szCs w:val="28"/>
        </w:rPr>
        <w:t>Konkiewitz</w:t>
      </w:r>
      <w:proofErr w:type="spellEnd"/>
      <w:r w:rsidR="00A00E97" w:rsidRPr="0068658C">
        <w:rPr>
          <w:rFonts w:cstheme="minorHAnsi"/>
          <w:sz w:val="28"/>
          <w:szCs w:val="28"/>
        </w:rPr>
        <w:t xml:space="preserve"> et al., 2020)</w:t>
      </w:r>
      <w:r w:rsidRPr="0068658C">
        <w:rPr>
          <w:rFonts w:cstheme="minorHAnsi"/>
          <w:sz w:val="28"/>
          <w:szCs w:val="28"/>
        </w:rPr>
        <w:t>. To support brain regulation, Emily will learn diaphragmatic breathing, grounding techniques, and expressive writing. She will also be taught cognitive reframing, helping her replace trauma-driven negative thoughts with safer, more balanced alternatives. A safe exit plan and gradual exposure to social situations will increase confidence and reduce hypervigilance</w:t>
      </w:r>
      <w:r w:rsidR="00A00E97" w:rsidRPr="0068658C">
        <w:rPr>
          <w:rFonts w:cstheme="minorHAnsi"/>
          <w:sz w:val="28"/>
          <w:szCs w:val="28"/>
        </w:rPr>
        <w:t xml:space="preserve"> (Yosep et al., 2024).</w:t>
      </w:r>
    </w:p>
    <w:p w14:paraId="6D6E27D7" w14:textId="77777777" w:rsidR="00A00E97" w:rsidRPr="0068658C" w:rsidRDefault="00A00E97" w:rsidP="00A00E97">
      <w:pPr>
        <w:pStyle w:val="ListParagraph"/>
        <w:rPr>
          <w:rFonts w:cstheme="minorHAnsi"/>
          <w:sz w:val="28"/>
          <w:szCs w:val="28"/>
        </w:rPr>
      </w:pPr>
    </w:p>
    <w:p w14:paraId="004020D4" w14:textId="77777777" w:rsidR="00C05C65" w:rsidRPr="0068658C" w:rsidRDefault="00C05C65" w:rsidP="00C05C65">
      <w:pPr>
        <w:pStyle w:val="ListParagraph"/>
        <w:numPr>
          <w:ilvl w:val="0"/>
          <w:numId w:val="1"/>
        </w:numPr>
        <w:spacing w:after="0" w:line="240" w:lineRule="auto"/>
        <w:rPr>
          <w:rFonts w:eastAsia="Times New Roman" w:cstheme="minorHAnsi"/>
          <w:kern w:val="0"/>
          <w:sz w:val="28"/>
          <w:szCs w:val="28"/>
          <w:lang w:eastAsia="en-GB"/>
          <w14:ligatures w14:val="none"/>
        </w:rPr>
      </w:pPr>
      <w:r w:rsidRPr="0068658C">
        <w:rPr>
          <w:rFonts w:eastAsia="Times New Roman" w:cstheme="minorHAnsi"/>
          <w:kern w:val="0"/>
          <w:sz w:val="28"/>
          <w:szCs w:val="28"/>
          <w:lang w:eastAsia="en-GB"/>
          <w14:ligatures w14:val="none"/>
        </w:rPr>
        <w:t>Improve focus and involvement in the classroom</w:t>
      </w:r>
    </w:p>
    <w:p w14:paraId="2A29FCDD" w14:textId="268A5612" w:rsidR="00C05C65" w:rsidRPr="0068658C" w:rsidRDefault="00C05C65" w:rsidP="00C05C65">
      <w:pPr>
        <w:spacing w:after="0" w:line="240" w:lineRule="auto"/>
        <w:ind w:left="720"/>
        <w:rPr>
          <w:rFonts w:eastAsia="Times New Roman" w:cstheme="minorHAnsi"/>
          <w:kern w:val="0"/>
          <w:sz w:val="28"/>
          <w:szCs w:val="28"/>
          <w:lang w:eastAsia="en-GB"/>
          <w14:ligatures w14:val="none"/>
        </w:rPr>
      </w:pPr>
      <w:r w:rsidRPr="0068658C">
        <w:rPr>
          <w:rFonts w:eastAsia="Times New Roman" w:cstheme="minorHAnsi"/>
          <w:kern w:val="0"/>
          <w:sz w:val="28"/>
          <w:szCs w:val="28"/>
          <w:lang w:eastAsia="en-GB"/>
          <w14:ligatures w14:val="none"/>
        </w:rPr>
        <w:t xml:space="preserve">The aim is to improve Emily’s attention, classroom engagement, and academic confidence by collaborating with school staff to implement </w:t>
      </w:r>
      <w:r w:rsidRPr="0068658C">
        <w:rPr>
          <w:rFonts w:eastAsia="Times New Roman" w:cstheme="minorHAnsi"/>
          <w:kern w:val="0"/>
          <w:sz w:val="28"/>
          <w:szCs w:val="28"/>
          <w:lang w:eastAsia="en-GB"/>
          <w14:ligatures w14:val="none"/>
        </w:rPr>
        <w:lastRenderedPageBreak/>
        <w:t xml:space="preserve">trauma-informed strategies </w:t>
      </w:r>
      <w:r w:rsidR="008C2278" w:rsidRPr="0068658C">
        <w:rPr>
          <w:rFonts w:eastAsia="Times New Roman" w:cstheme="minorHAnsi"/>
          <w:kern w:val="0"/>
          <w:sz w:val="28"/>
          <w:szCs w:val="28"/>
          <w:lang w:eastAsia="en-GB"/>
          <w14:ligatures w14:val="none"/>
        </w:rPr>
        <w:t xml:space="preserve">in </w:t>
      </w:r>
      <w:r w:rsidRPr="0068658C">
        <w:rPr>
          <w:rFonts w:eastAsia="Times New Roman" w:cstheme="minorHAnsi"/>
          <w:kern w:val="0"/>
          <w:sz w:val="28"/>
          <w:szCs w:val="28"/>
          <w:lang w:eastAsia="en-GB"/>
          <w14:ligatures w14:val="none"/>
        </w:rPr>
        <w:t>3-6 months. Teachers will support predictable routines and reduce sensory overload, which can prevent amygdala activation and help Emily remain regulated</w:t>
      </w:r>
      <w:r w:rsidR="001E7044" w:rsidRPr="0068658C">
        <w:rPr>
          <w:rFonts w:eastAsia="Times New Roman" w:cstheme="minorHAnsi"/>
          <w:kern w:val="0"/>
          <w:sz w:val="28"/>
          <w:szCs w:val="28"/>
          <w:lang w:eastAsia="en-GB"/>
          <w14:ligatures w14:val="none"/>
        </w:rPr>
        <w:t xml:space="preserve"> (Avery et al., 2020)</w:t>
      </w:r>
      <w:r w:rsidRPr="0068658C">
        <w:rPr>
          <w:rFonts w:eastAsia="Times New Roman" w:cstheme="minorHAnsi"/>
          <w:kern w:val="0"/>
          <w:sz w:val="28"/>
          <w:szCs w:val="28"/>
          <w:lang w:eastAsia="en-GB"/>
          <w14:ligatures w14:val="none"/>
        </w:rPr>
        <w:t xml:space="preserve">. </w:t>
      </w:r>
      <w:r w:rsidR="008C2278" w:rsidRPr="0068658C">
        <w:rPr>
          <w:rFonts w:eastAsia="Times New Roman" w:cstheme="minorHAnsi"/>
          <w:kern w:val="0"/>
          <w:sz w:val="28"/>
          <w:szCs w:val="28"/>
          <w:lang w:eastAsia="en-GB"/>
          <w14:ligatures w14:val="none"/>
        </w:rPr>
        <w:t>C</w:t>
      </w:r>
      <w:r w:rsidRPr="0068658C">
        <w:rPr>
          <w:rFonts w:eastAsia="Times New Roman" w:cstheme="minorHAnsi"/>
          <w:kern w:val="0"/>
          <w:sz w:val="28"/>
          <w:szCs w:val="28"/>
          <w:lang w:eastAsia="en-GB"/>
          <w14:ligatures w14:val="none"/>
        </w:rPr>
        <w:t>hronic trauma can disrupt prefrontal cortex functioning and impair executive skills such as attention and working memory</w:t>
      </w:r>
      <w:r w:rsidR="001E7044" w:rsidRPr="0068658C">
        <w:rPr>
          <w:rFonts w:eastAsia="Times New Roman" w:cstheme="minorHAnsi"/>
          <w:kern w:val="0"/>
          <w:sz w:val="28"/>
          <w:szCs w:val="28"/>
          <w:lang w:eastAsia="en-GB"/>
          <w14:ligatures w14:val="none"/>
        </w:rPr>
        <w:t xml:space="preserve"> (Kira et al., 2022). </w:t>
      </w:r>
      <w:r w:rsidRPr="0068658C">
        <w:rPr>
          <w:rFonts w:eastAsia="Times New Roman" w:cstheme="minorHAnsi"/>
          <w:kern w:val="0"/>
          <w:sz w:val="28"/>
          <w:szCs w:val="28"/>
          <w:lang w:eastAsia="en-GB"/>
          <w14:ligatures w14:val="none"/>
        </w:rPr>
        <w:t>Emily will be taught mindfulness practices and</w:t>
      </w:r>
      <w:r w:rsidR="001E7044" w:rsidRPr="0068658C">
        <w:rPr>
          <w:rFonts w:eastAsia="Times New Roman" w:cstheme="minorHAnsi"/>
          <w:kern w:val="0"/>
          <w:sz w:val="28"/>
          <w:szCs w:val="28"/>
          <w:lang w:eastAsia="en-GB"/>
          <w14:ligatures w14:val="none"/>
        </w:rPr>
        <w:t xml:space="preserve"> Cognitive Behavioural Therapy </w:t>
      </w:r>
      <w:r w:rsidRPr="0068658C">
        <w:rPr>
          <w:rFonts w:eastAsia="Times New Roman" w:cstheme="minorHAnsi"/>
          <w:kern w:val="0"/>
          <w:sz w:val="28"/>
          <w:szCs w:val="28"/>
          <w:lang w:eastAsia="en-GB"/>
          <w14:ligatures w14:val="none"/>
        </w:rPr>
        <w:t xml:space="preserve"> </w:t>
      </w:r>
      <w:r w:rsidR="001E7044" w:rsidRPr="0068658C">
        <w:rPr>
          <w:rFonts w:eastAsia="Times New Roman" w:cstheme="minorHAnsi"/>
          <w:kern w:val="0"/>
          <w:sz w:val="28"/>
          <w:szCs w:val="28"/>
          <w:lang w:eastAsia="en-GB"/>
          <w14:ligatures w14:val="none"/>
        </w:rPr>
        <w:t>(</w:t>
      </w:r>
      <w:r w:rsidRPr="0068658C">
        <w:rPr>
          <w:rFonts w:eastAsia="Times New Roman" w:cstheme="minorHAnsi"/>
          <w:kern w:val="0"/>
          <w:sz w:val="28"/>
          <w:szCs w:val="28"/>
          <w:lang w:eastAsia="en-GB"/>
          <w14:ligatures w14:val="none"/>
        </w:rPr>
        <w:t>CBT</w:t>
      </w:r>
      <w:r w:rsidR="001E7044" w:rsidRPr="0068658C">
        <w:rPr>
          <w:rFonts w:eastAsia="Times New Roman" w:cstheme="minorHAnsi"/>
          <w:kern w:val="0"/>
          <w:sz w:val="28"/>
          <w:szCs w:val="28"/>
          <w:lang w:eastAsia="en-GB"/>
          <w14:ligatures w14:val="none"/>
        </w:rPr>
        <w:t xml:space="preserve">) </w:t>
      </w:r>
      <w:r w:rsidRPr="0068658C">
        <w:rPr>
          <w:rFonts w:eastAsia="Times New Roman" w:cstheme="minorHAnsi"/>
          <w:kern w:val="0"/>
          <w:sz w:val="28"/>
          <w:szCs w:val="28"/>
          <w:lang w:eastAsia="en-GB"/>
          <w14:ligatures w14:val="none"/>
        </w:rPr>
        <w:t>based techniques, including brief grounding and thought-refocusing exercises, to strengthen cognitive control. School staff wil</w:t>
      </w:r>
      <w:r w:rsidR="000C63A5" w:rsidRPr="0068658C">
        <w:rPr>
          <w:rFonts w:eastAsia="Times New Roman" w:cstheme="minorHAnsi"/>
          <w:kern w:val="0"/>
          <w:sz w:val="28"/>
          <w:szCs w:val="28"/>
          <w:lang w:eastAsia="en-GB"/>
          <w14:ligatures w14:val="none"/>
        </w:rPr>
        <w:t xml:space="preserve">l </w:t>
      </w:r>
      <w:r w:rsidRPr="0068658C">
        <w:rPr>
          <w:rFonts w:eastAsia="Times New Roman" w:cstheme="minorHAnsi"/>
          <w:kern w:val="0"/>
          <w:sz w:val="28"/>
          <w:szCs w:val="28"/>
          <w:lang w:eastAsia="en-GB"/>
          <w14:ligatures w14:val="none"/>
        </w:rPr>
        <w:t>help her set small, achievable academic goals, allowing her to experience success and gradually rebuild concentration, motivation, and confidence</w:t>
      </w:r>
      <w:r w:rsidR="00687A26" w:rsidRPr="0068658C">
        <w:rPr>
          <w:rFonts w:eastAsia="Times New Roman" w:cstheme="minorHAnsi"/>
          <w:kern w:val="0"/>
          <w:sz w:val="28"/>
          <w:szCs w:val="28"/>
          <w:lang w:eastAsia="en-GB"/>
          <w14:ligatures w14:val="none"/>
        </w:rPr>
        <w:t xml:space="preserve"> (Tiba, 2024).</w:t>
      </w:r>
    </w:p>
    <w:p w14:paraId="263E50D4" w14:textId="77777777" w:rsidR="00C05C65" w:rsidRPr="0068658C" w:rsidRDefault="00C05C65" w:rsidP="00C05C65">
      <w:pPr>
        <w:spacing w:after="0" w:line="240" w:lineRule="auto"/>
        <w:ind w:left="720"/>
        <w:rPr>
          <w:rFonts w:eastAsia="Times New Roman" w:cstheme="minorHAnsi"/>
          <w:kern w:val="0"/>
          <w:sz w:val="28"/>
          <w:szCs w:val="28"/>
          <w:lang w:eastAsia="en-GB"/>
          <w14:ligatures w14:val="none"/>
        </w:rPr>
      </w:pPr>
    </w:p>
    <w:p w14:paraId="49EE5E29" w14:textId="77777777" w:rsidR="00C05C65" w:rsidRPr="0068658C" w:rsidRDefault="00C05C65" w:rsidP="00C05C65">
      <w:pPr>
        <w:spacing w:after="0" w:line="240" w:lineRule="auto"/>
        <w:ind w:left="720"/>
        <w:rPr>
          <w:rFonts w:eastAsia="Times New Roman" w:cstheme="minorHAnsi"/>
          <w:kern w:val="0"/>
          <w:sz w:val="28"/>
          <w:szCs w:val="28"/>
          <w:lang w:eastAsia="en-GB"/>
          <w14:ligatures w14:val="none"/>
        </w:rPr>
      </w:pPr>
    </w:p>
    <w:p w14:paraId="5F39D5C5" w14:textId="77777777" w:rsidR="001E7044" w:rsidRPr="0068658C" w:rsidRDefault="001E7044" w:rsidP="00C05C65">
      <w:pPr>
        <w:spacing w:after="0" w:line="240" w:lineRule="auto"/>
        <w:ind w:left="720"/>
        <w:rPr>
          <w:rFonts w:eastAsia="Times New Roman" w:cstheme="minorHAnsi"/>
          <w:kern w:val="0"/>
          <w:sz w:val="28"/>
          <w:szCs w:val="28"/>
          <w:lang w:eastAsia="en-GB"/>
          <w14:ligatures w14:val="none"/>
        </w:rPr>
      </w:pPr>
    </w:p>
    <w:p w14:paraId="2E8B7A54" w14:textId="77777777" w:rsidR="000C63A5" w:rsidRPr="0068658C" w:rsidRDefault="00C05C65" w:rsidP="000C63A5">
      <w:pPr>
        <w:pStyle w:val="ListParagraph"/>
        <w:numPr>
          <w:ilvl w:val="0"/>
          <w:numId w:val="1"/>
        </w:numPr>
        <w:spacing w:after="0" w:line="240" w:lineRule="auto"/>
        <w:rPr>
          <w:rFonts w:eastAsia="Times New Roman" w:cstheme="minorHAnsi"/>
          <w:kern w:val="0"/>
          <w:sz w:val="28"/>
          <w:szCs w:val="28"/>
          <w:lang w:eastAsia="en-GB"/>
          <w14:ligatures w14:val="none"/>
        </w:rPr>
      </w:pPr>
      <w:r w:rsidRPr="0068658C">
        <w:rPr>
          <w:rFonts w:eastAsia="Times New Roman" w:cstheme="minorHAnsi"/>
          <w:kern w:val="0"/>
          <w:sz w:val="28"/>
          <w:szCs w:val="28"/>
          <w:lang w:eastAsia="en-GB"/>
          <w14:ligatures w14:val="none"/>
        </w:rPr>
        <w:t>Strengthen interactions for confidence and encouragement between peers and caregivers.</w:t>
      </w:r>
    </w:p>
    <w:p w14:paraId="6CB45E76" w14:textId="67F3619B" w:rsidR="00655CDA" w:rsidRPr="0068658C" w:rsidRDefault="008C2278" w:rsidP="008C2278">
      <w:pPr>
        <w:spacing w:after="0" w:line="240" w:lineRule="auto"/>
        <w:ind w:left="720"/>
        <w:rPr>
          <w:rFonts w:eastAsia="Times New Roman" w:cstheme="minorHAnsi"/>
          <w:kern w:val="0"/>
          <w:sz w:val="28"/>
          <w:szCs w:val="28"/>
          <w:lang w:eastAsia="en-GB"/>
          <w14:ligatures w14:val="none"/>
        </w:rPr>
      </w:pPr>
      <w:r w:rsidRPr="0068658C">
        <w:rPr>
          <w:rFonts w:eastAsia="Times New Roman" w:cstheme="minorHAnsi"/>
          <w:kern w:val="0"/>
          <w:sz w:val="28"/>
          <w:szCs w:val="28"/>
          <w:lang w:eastAsia="en-GB"/>
          <w14:ligatures w14:val="none"/>
        </w:rPr>
        <w:t xml:space="preserve">Over a 6 to </w:t>
      </w:r>
      <w:r w:rsidRPr="0068658C">
        <w:rPr>
          <w:rFonts w:eastAsia="Times New Roman" w:cstheme="minorHAnsi"/>
          <w:kern w:val="0"/>
          <w:sz w:val="28"/>
          <w:szCs w:val="28"/>
          <w:lang w:eastAsia="en-GB"/>
          <w14:ligatures w14:val="none"/>
        </w:rPr>
        <w:t>12-month</w:t>
      </w:r>
      <w:r w:rsidRPr="0068658C">
        <w:rPr>
          <w:rFonts w:eastAsia="Times New Roman" w:cstheme="minorHAnsi"/>
          <w:kern w:val="0"/>
          <w:sz w:val="28"/>
          <w:szCs w:val="28"/>
          <w:lang w:eastAsia="en-GB"/>
          <w14:ligatures w14:val="none"/>
        </w:rPr>
        <w:t xml:space="preserve"> period, the aim is to support Emily in rebuilding safe peer relationships and developing social confidence. Chronic trauma can heighten amygdala reactivity, contributing to social anxiety and hypervigilance, while </w:t>
      </w:r>
      <w:r w:rsidRPr="0068658C">
        <w:rPr>
          <w:rFonts w:eastAsia="Times New Roman" w:cstheme="minorHAnsi"/>
          <w:kern w:val="0"/>
          <w:sz w:val="28"/>
          <w:szCs w:val="28"/>
          <w:lang w:eastAsia="en-GB"/>
          <w14:ligatures w14:val="none"/>
        </w:rPr>
        <w:t>underdeveloped</w:t>
      </w:r>
      <w:r w:rsidRPr="0068658C">
        <w:rPr>
          <w:rFonts w:eastAsia="Times New Roman" w:cstheme="minorHAnsi"/>
          <w:kern w:val="0"/>
          <w:sz w:val="28"/>
          <w:szCs w:val="28"/>
          <w:lang w:eastAsia="en-GB"/>
          <w14:ligatures w14:val="none"/>
        </w:rPr>
        <w:t xml:space="preserve"> prefrontal cortex functioning can impair emotional regulation during interpersonal situations (</w:t>
      </w:r>
      <w:proofErr w:type="spellStart"/>
      <w:r w:rsidRPr="0068658C">
        <w:rPr>
          <w:rFonts w:eastAsia="Times New Roman" w:cstheme="minorHAnsi"/>
          <w:kern w:val="0"/>
          <w:sz w:val="28"/>
          <w:szCs w:val="28"/>
          <w:lang w:eastAsia="en-GB"/>
          <w14:ligatures w14:val="none"/>
        </w:rPr>
        <w:t>Kredlow</w:t>
      </w:r>
      <w:proofErr w:type="spellEnd"/>
      <w:r w:rsidRPr="0068658C">
        <w:rPr>
          <w:rFonts w:eastAsia="Times New Roman" w:cstheme="minorHAnsi"/>
          <w:kern w:val="0"/>
          <w:sz w:val="28"/>
          <w:szCs w:val="28"/>
          <w:lang w:eastAsia="en-GB"/>
          <w14:ligatures w14:val="none"/>
        </w:rPr>
        <w:t xml:space="preserve"> et al., 2022). Emily will be encouraged to </w:t>
      </w:r>
      <w:r w:rsidRPr="0068658C">
        <w:rPr>
          <w:rFonts w:eastAsia="Times New Roman" w:cstheme="minorHAnsi"/>
          <w:kern w:val="0"/>
          <w:sz w:val="28"/>
          <w:szCs w:val="28"/>
          <w:lang w:eastAsia="en-GB"/>
          <w14:ligatures w14:val="none"/>
        </w:rPr>
        <w:t>participate</w:t>
      </w:r>
      <w:r w:rsidRPr="0068658C">
        <w:rPr>
          <w:rFonts w:eastAsia="Times New Roman" w:cstheme="minorHAnsi"/>
          <w:kern w:val="0"/>
          <w:sz w:val="28"/>
          <w:szCs w:val="28"/>
          <w:lang w:eastAsia="en-GB"/>
          <w14:ligatures w14:val="none"/>
        </w:rPr>
        <w:t xml:space="preserve"> </w:t>
      </w:r>
      <w:r w:rsidRPr="0068658C">
        <w:rPr>
          <w:rFonts w:eastAsia="Times New Roman" w:cstheme="minorHAnsi"/>
          <w:kern w:val="0"/>
          <w:sz w:val="28"/>
          <w:szCs w:val="28"/>
          <w:lang w:eastAsia="en-GB"/>
          <w14:ligatures w14:val="none"/>
        </w:rPr>
        <w:t xml:space="preserve">in </w:t>
      </w:r>
      <w:r w:rsidRPr="0068658C">
        <w:rPr>
          <w:rFonts w:eastAsia="Times New Roman" w:cstheme="minorHAnsi"/>
          <w:kern w:val="0"/>
          <w:sz w:val="28"/>
          <w:szCs w:val="28"/>
          <w:lang w:eastAsia="en-GB"/>
          <w14:ligatures w14:val="none"/>
        </w:rPr>
        <w:t>structured</w:t>
      </w:r>
      <w:r w:rsidRPr="0068658C">
        <w:rPr>
          <w:rFonts w:eastAsia="Times New Roman" w:cstheme="minorHAnsi"/>
          <w:kern w:val="0"/>
          <w:sz w:val="28"/>
          <w:szCs w:val="28"/>
          <w:lang w:eastAsia="en-GB"/>
          <w14:ligatures w14:val="none"/>
        </w:rPr>
        <w:t xml:space="preserve">, </w:t>
      </w:r>
      <w:r w:rsidRPr="0068658C">
        <w:rPr>
          <w:rFonts w:eastAsia="Times New Roman" w:cstheme="minorHAnsi"/>
          <w:kern w:val="0"/>
          <w:sz w:val="28"/>
          <w:szCs w:val="28"/>
          <w:lang w:eastAsia="en-GB"/>
          <w14:ligatures w14:val="none"/>
        </w:rPr>
        <w:t>predictable peer activities such as group therapy and creative sessions, which offer graded social exposure and opportunities for co-regulation. Foster carers will maintain open and attuned communication to reinforce safety and relational trust. Engagement in personal interests</w:t>
      </w:r>
      <w:r w:rsidRPr="0068658C">
        <w:rPr>
          <w:rFonts w:eastAsia="Times New Roman" w:cstheme="minorHAnsi"/>
          <w:kern w:val="0"/>
          <w:sz w:val="28"/>
          <w:szCs w:val="28"/>
          <w:lang w:eastAsia="en-GB"/>
          <w14:ligatures w14:val="none"/>
        </w:rPr>
        <w:t>,</w:t>
      </w:r>
      <w:r w:rsidRPr="0068658C">
        <w:rPr>
          <w:rFonts w:eastAsia="Times New Roman" w:cstheme="minorHAnsi"/>
          <w:kern w:val="0"/>
          <w:sz w:val="28"/>
          <w:szCs w:val="28"/>
          <w:lang w:eastAsia="en-GB"/>
          <w14:ligatures w14:val="none"/>
        </w:rPr>
        <w:t xml:space="preserve"> including writing, art, and music</w:t>
      </w:r>
      <w:r w:rsidRPr="0068658C">
        <w:rPr>
          <w:rFonts w:eastAsia="Times New Roman" w:cstheme="minorHAnsi"/>
          <w:kern w:val="0"/>
          <w:sz w:val="28"/>
          <w:szCs w:val="28"/>
          <w:lang w:eastAsia="en-GB"/>
          <w14:ligatures w14:val="none"/>
        </w:rPr>
        <w:t>,</w:t>
      </w:r>
      <w:r w:rsidRPr="0068658C">
        <w:rPr>
          <w:rFonts w:eastAsia="Times New Roman" w:cstheme="minorHAnsi"/>
          <w:kern w:val="0"/>
          <w:sz w:val="28"/>
          <w:szCs w:val="28"/>
          <w:lang w:eastAsia="en-GB"/>
          <w14:ligatures w14:val="none"/>
        </w:rPr>
        <w:t xml:space="preserve"> will activate neural pathways linked to positive emotional expression, reduce stress, and strengthen resilience in social environments (Murray et al., 2023).</w:t>
      </w:r>
    </w:p>
    <w:p w14:paraId="4A6328A1" w14:textId="77777777" w:rsidR="008C2278" w:rsidRPr="0068658C" w:rsidRDefault="008C2278" w:rsidP="000C63A5">
      <w:pPr>
        <w:spacing w:after="0" w:line="240" w:lineRule="auto"/>
        <w:rPr>
          <w:rFonts w:eastAsia="Times New Roman" w:cstheme="minorHAnsi"/>
          <w:kern w:val="0"/>
          <w:sz w:val="28"/>
          <w:szCs w:val="28"/>
          <w:lang w:eastAsia="en-GB"/>
          <w14:ligatures w14:val="none"/>
        </w:rPr>
      </w:pPr>
    </w:p>
    <w:p w14:paraId="74AD46E7" w14:textId="43920D24" w:rsidR="000C63A5" w:rsidRPr="0068658C" w:rsidRDefault="00655CDA" w:rsidP="000C63A5">
      <w:pPr>
        <w:spacing w:after="0" w:line="240" w:lineRule="auto"/>
        <w:rPr>
          <w:rFonts w:eastAsia="Times New Roman" w:cstheme="minorHAnsi"/>
          <w:kern w:val="0"/>
          <w:sz w:val="28"/>
          <w:szCs w:val="28"/>
          <w:lang w:eastAsia="en-GB"/>
          <w14:ligatures w14:val="none"/>
        </w:rPr>
      </w:pPr>
      <w:r w:rsidRPr="0068658C">
        <w:rPr>
          <w:rFonts w:eastAsia="Times New Roman" w:cstheme="minorHAnsi"/>
          <w:kern w:val="0"/>
          <w:sz w:val="28"/>
          <w:szCs w:val="28"/>
          <w:lang w:eastAsia="en-GB"/>
          <w14:ligatures w14:val="none"/>
        </w:rPr>
        <w:t>Explanation</w:t>
      </w:r>
    </w:p>
    <w:p w14:paraId="50048D93" w14:textId="77777777" w:rsidR="000C63A5" w:rsidRPr="0068658C" w:rsidRDefault="000C63A5" w:rsidP="000C63A5">
      <w:pPr>
        <w:spacing w:after="0" w:line="240" w:lineRule="auto"/>
        <w:rPr>
          <w:rFonts w:eastAsia="Times New Roman" w:cstheme="minorHAnsi"/>
          <w:kern w:val="0"/>
          <w:sz w:val="28"/>
          <w:szCs w:val="28"/>
          <w:lang w:eastAsia="en-GB"/>
          <w14:ligatures w14:val="none"/>
        </w:rPr>
      </w:pPr>
    </w:p>
    <w:p w14:paraId="0A9C429E" w14:textId="14DD6728" w:rsidR="000C63A5" w:rsidRPr="0068658C" w:rsidRDefault="008C2278" w:rsidP="000C63A5">
      <w:pPr>
        <w:spacing w:after="0" w:line="240" w:lineRule="auto"/>
        <w:rPr>
          <w:rFonts w:eastAsia="Times New Roman" w:cstheme="minorHAnsi"/>
          <w:kern w:val="0"/>
          <w:sz w:val="28"/>
          <w:szCs w:val="28"/>
          <w:lang w:eastAsia="en-GB"/>
          <w14:ligatures w14:val="none"/>
        </w:rPr>
      </w:pPr>
      <w:r w:rsidRPr="0068658C">
        <w:rPr>
          <w:rFonts w:eastAsia="Times New Roman" w:cstheme="minorHAnsi"/>
          <w:kern w:val="0"/>
          <w:sz w:val="28"/>
          <w:szCs w:val="28"/>
          <w:lang w:eastAsia="en-GB"/>
          <w14:ligatures w14:val="none"/>
        </w:rPr>
        <w:t xml:space="preserve">Emotional dysregulation, aggression, and withdrawal commonly follow chronic trauma, reflecting amygdala </w:t>
      </w:r>
      <w:r w:rsidRPr="0068658C">
        <w:rPr>
          <w:rFonts w:eastAsia="Times New Roman" w:cstheme="minorHAnsi"/>
          <w:kern w:val="0"/>
          <w:sz w:val="28"/>
          <w:szCs w:val="28"/>
          <w:lang w:eastAsia="en-GB"/>
          <w14:ligatures w14:val="none"/>
        </w:rPr>
        <w:t>hyperactivation</w:t>
      </w:r>
      <w:r w:rsidRPr="0068658C">
        <w:rPr>
          <w:rFonts w:eastAsia="Times New Roman" w:cstheme="minorHAnsi"/>
          <w:kern w:val="0"/>
          <w:sz w:val="28"/>
          <w:szCs w:val="28"/>
          <w:lang w:eastAsia="en-GB"/>
          <w14:ligatures w14:val="none"/>
        </w:rPr>
        <w:t xml:space="preserve"> and impaired prefrontal cortex functioning. Interventions such as CBT and emotion-focused therapy are evidence-based approaches that help young people recognise and reframe maladaptive thoughts, regulate emotions, and reduce behavioural difficulties, thus improving overall functioning (</w:t>
      </w:r>
      <w:proofErr w:type="spellStart"/>
      <w:r w:rsidRPr="0068658C">
        <w:rPr>
          <w:rFonts w:eastAsia="Times New Roman" w:cstheme="minorHAnsi"/>
          <w:kern w:val="0"/>
          <w:sz w:val="28"/>
          <w:szCs w:val="28"/>
          <w:lang w:eastAsia="en-GB"/>
          <w14:ligatures w14:val="none"/>
        </w:rPr>
        <w:t>Diachkova</w:t>
      </w:r>
      <w:proofErr w:type="spellEnd"/>
      <w:r w:rsidRPr="0068658C">
        <w:rPr>
          <w:rFonts w:eastAsia="Times New Roman" w:cstheme="minorHAnsi"/>
          <w:kern w:val="0"/>
          <w:sz w:val="28"/>
          <w:szCs w:val="28"/>
          <w:lang w:eastAsia="en-GB"/>
          <w14:ligatures w14:val="none"/>
        </w:rPr>
        <w:t xml:space="preserve"> et al., 2024). Trauma can also impair attention, learning, and classroom engagement, so trauma-informed school strategies combined with CBT-based methods support concentration, </w:t>
      </w:r>
      <w:r w:rsidRPr="0068658C">
        <w:rPr>
          <w:rFonts w:eastAsia="Times New Roman" w:cstheme="minorHAnsi"/>
          <w:kern w:val="0"/>
          <w:sz w:val="28"/>
          <w:szCs w:val="28"/>
          <w:lang w:eastAsia="en-GB"/>
          <w14:ligatures w14:val="none"/>
        </w:rPr>
        <w:lastRenderedPageBreak/>
        <w:t>working memory, and academic progress. Rebuilding trust is essential for recovery, and relational interventions—including safe peer support, creative expression, and consistent caregiver involvement—foster attachment repair, relational security, and resilience. Together, these methods address the complex impacts of trauma on relationships, behaviour, and psychological processes (Maynard et al., 2019).</w:t>
      </w:r>
    </w:p>
    <w:p w14:paraId="1F3EC9A0" w14:textId="77777777" w:rsidR="000C63A5" w:rsidRPr="0068658C" w:rsidRDefault="000C63A5" w:rsidP="000C63A5">
      <w:pPr>
        <w:spacing w:after="0" w:line="240" w:lineRule="auto"/>
        <w:rPr>
          <w:rFonts w:eastAsia="Times New Roman" w:cstheme="minorHAnsi"/>
          <w:kern w:val="0"/>
          <w:sz w:val="28"/>
          <w:szCs w:val="28"/>
          <w:lang w:eastAsia="en-GB"/>
          <w14:ligatures w14:val="none"/>
        </w:rPr>
      </w:pPr>
    </w:p>
    <w:p w14:paraId="2A099F00" w14:textId="00CEB001" w:rsidR="000C63A5" w:rsidRPr="0068658C" w:rsidRDefault="007129D6" w:rsidP="000C63A5">
      <w:pPr>
        <w:spacing w:after="0" w:line="240" w:lineRule="auto"/>
        <w:rPr>
          <w:rFonts w:eastAsia="Times New Roman" w:cstheme="minorHAnsi"/>
          <w:kern w:val="0"/>
          <w:sz w:val="28"/>
          <w:szCs w:val="28"/>
          <w:lang w:eastAsia="en-GB"/>
          <w14:ligatures w14:val="none"/>
        </w:rPr>
      </w:pPr>
      <w:r w:rsidRPr="0068658C">
        <w:rPr>
          <w:rFonts w:eastAsia="Times New Roman" w:cstheme="minorHAnsi"/>
          <w:kern w:val="0"/>
          <w:sz w:val="28"/>
          <w:szCs w:val="28"/>
          <w:lang w:eastAsia="en-GB"/>
          <w14:ligatures w14:val="none"/>
        </w:rPr>
        <w:t>Trauma-informed</w:t>
      </w:r>
      <w:r w:rsidR="000C63A5" w:rsidRPr="0068658C">
        <w:rPr>
          <w:rFonts w:eastAsia="Times New Roman" w:cstheme="minorHAnsi"/>
          <w:kern w:val="0"/>
          <w:sz w:val="28"/>
          <w:szCs w:val="28"/>
          <w:lang w:eastAsia="en-GB"/>
          <w14:ligatures w14:val="none"/>
        </w:rPr>
        <w:t xml:space="preserve"> approach</w:t>
      </w:r>
    </w:p>
    <w:p w14:paraId="45596C13" w14:textId="07CF67A6" w:rsidR="000C63A5" w:rsidRPr="0068658C" w:rsidRDefault="000C63A5" w:rsidP="000C63A5">
      <w:pPr>
        <w:pStyle w:val="ListParagraph"/>
        <w:numPr>
          <w:ilvl w:val="0"/>
          <w:numId w:val="2"/>
        </w:numPr>
        <w:spacing w:before="100" w:beforeAutospacing="1" w:after="100" w:afterAutospacing="1" w:line="240" w:lineRule="auto"/>
        <w:rPr>
          <w:rFonts w:eastAsia="Times New Roman" w:cstheme="minorHAnsi"/>
          <w:kern w:val="0"/>
          <w:sz w:val="28"/>
          <w:szCs w:val="28"/>
          <w:lang w:eastAsia="en-GB"/>
          <w14:ligatures w14:val="none"/>
        </w:rPr>
      </w:pPr>
      <w:r w:rsidRPr="0068658C">
        <w:rPr>
          <w:rFonts w:eastAsia="Times New Roman" w:cstheme="minorHAnsi"/>
          <w:kern w:val="0"/>
          <w:sz w:val="28"/>
          <w:szCs w:val="28"/>
          <w:lang w:eastAsia="en-GB"/>
          <w14:ligatures w14:val="none"/>
        </w:rPr>
        <w:t xml:space="preserve">Cognitive </w:t>
      </w:r>
      <w:r w:rsidR="005C4D1C" w:rsidRPr="0068658C">
        <w:rPr>
          <w:rFonts w:eastAsia="Times New Roman" w:cstheme="minorHAnsi"/>
          <w:kern w:val="0"/>
          <w:sz w:val="28"/>
          <w:szCs w:val="28"/>
          <w:lang w:eastAsia="en-GB"/>
          <w14:ligatures w14:val="none"/>
        </w:rPr>
        <w:t>Behavioural</w:t>
      </w:r>
      <w:r w:rsidRPr="0068658C">
        <w:rPr>
          <w:rFonts w:eastAsia="Times New Roman" w:cstheme="minorHAnsi"/>
          <w:kern w:val="0"/>
          <w:sz w:val="28"/>
          <w:szCs w:val="28"/>
          <w:lang w:eastAsia="en-GB"/>
          <w14:ligatures w14:val="none"/>
        </w:rPr>
        <w:t xml:space="preserve"> Therapy</w:t>
      </w:r>
    </w:p>
    <w:p w14:paraId="15F6E6CB" w14:textId="03133313" w:rsidR="000C63A5" w:rsidRPr="0068658C" w:rsidRDefault="000C63A5" w:rsidP="000C63A5">
      <w:pPr>
        <w:pStyle w:val="ListParagraph"/>
        <w:spacing w:before="100" w:beforeAutospacing="1" w:after="100" w:afterAutospacing="1" w:line="240" w:lineRule="auto"/>
        <w:rPr>
          <w:rFonts w:eastAsia="Times New Roman" w:cstheme="minorHAnsi"/>
          <w:kern w:val="0"/>
          <w:sz w:val="28"/>
          <w:szCs w:val="28"/>
          <w:lang w:eastAsia="en-GB"/>
          <w14:ligatures w14:val="none"/>
        </w:rPr>
      </w:pPr>
      <w:r w:rsidRPr="0068658C">
        <w:rPr>
          <w:rFonts w:eastAsia="Times New Roman" w:cstheme="minorHAnsi"/>
          <w:kern w:val="0"/>
          <w:sz w:val="28"/>
          <w:szCs w:val="28"/>
          <w:lang w:eastAsia="en-GB"/>
          <w14:ligatures w14:val="none"/>
        </w:rPr>
        <w:t xml:space="preserve">Emily will engage in weekly individual Trauma-Focused Cognitive </w:t>
      </w:r>
      <w:r w:rsidR="005C4D1C" w:rsidRPr="0068658C">
        <w:rPr>
          <w:rFonts w:eastAsia="Times New Roman" w:cstheme="minorHAnsi"/>
          <w:kern w:val="0"/>
          <w:sz w:val="28"/>
          <w:szCs w:val="28"/>
          <w:lang w:eastAsia="en-GB"/>
          <w14:ligatures w14:val="none"/>
        </w:rPr>
        <w:t>Behavioural</w:t>
      </w:r>
      <w:r w:rsidRPr="0068658C">
        <w:rPr>
          <w:rFonts w:eastAsia="Times New Roman" w:cstheme="minorHAnsi"/>
          <w:kern w:val="0"/>
          <w:sz w:val="28"/>
          <w:szCs w:val="28"/>
          <w:lang w:eastAsia="en-GB"/>
          <w14:ligatures w14:val="none"/>
        </w:rPr>
        <w:t xml:space="preserve"> Therapy, which integrates psychoeducation, emotional regulation skills, gradual trauma processing, and caregiver involvement. This approach is trauma-informed, recognising that her aggression, withdrawal, and hypervigilance are adaptive responses to chronic abuse and neglect. The therapy will help her identify and reframe maladaptive thoughts, develop coping strategies, and safely process traumatic memories while fostering trust with adults</w:t>
      </w:r>
      <w:r w:rsidR="00C8155D" w:rsidRPr="0068658C">
        <w:rPr>
          <w:rFonts w:eastAsia="Times New Roman" w:cstheme="minorHAnsi"/>
          <w:kern w:val="0"/>
          <w:sz w:val="28"/>
          <w:szCs w:val="28"/>
          <w:lang w:eastAsia="en-GB"/>
          <w14:ligatures w14:val="none"/>
        </w:rPr>
        <w:t xml:space="preserve"> (</w:t>
      </w:r>
      <w:r w:rsidR="00C8155D" w:rsidRPr="0068658C">
        <w:rPr>
          <w:rFonts w:cstheme="minorHAnsi"/>
          <w:sz w:val="28"/>
          <w:szCs w:val="28"/>
        </w:rPr>
        <w:t>Sharma et al, 2023).</w:t>
      </w:r>
      <w:r w:rsidRPr="0068658C">
        <w:rPr>
          <w:rFonts w:eastAsia="Times New Roman" w:cstheme="minorHAnsi"/>
          <w:kern w:val="0"/>
          <w:sz w:val="28"/>
          <w:szCs w:val="28"/>
          <w:lang w:eastAsia="en-GB"/>
          <w14:ligatures w14:val="none"/>
        </w:rPr>
        <w:t xml:space="preserve"> Expected challenges include difficulty engaging due to fear or mistrust, emotional distress when confronting trauma, and potential disruption from placement changes. Caregiver involvement and consistent support aim to mitigate these risks and reinforce safety and relational stability</w:t>
      </w:r>
      <w:r w:rsidR="00E82E9C" w:rsidRPr="0068658C">
        <w:rPr>
          <w:rFonts w:eastAsia="Times New Roman" w:cstheme="minorHAnsi"/>
          <w:kern w:val="0"/>
          <w:sz w:val="28"/>
          <w:szCs w:val="28"/>
          <w:lang w:eastAsia="en-GB"/>
          <w14:ligatures w14:val="none"/>
        </w:rPr>
        <w:t xml:space="preserve"> (</w:t>
      </w:r>
      <w:r w:rsidR="00E82E9C" w:rsidRPr="0068658C">
        <w:rPr>
          <w:rFonts w:cstheme="minorHAnsi"/>
          <w:sz w:val="28"/>
          <w:szCs w:val="28"/>
        </w:rPr>
        <w:t>Young et al., 2021)</w:t>
      </w:r>
      <w:r w:rsidRPr="0068658C">
        <w:rPr>
          <w:rFonts w:eastAsia="Times New Roman" w:cstheme="minorHAnsi"/>
          <w:kern w:val="0"/>
          <w:sz w:val="28"/>
          <w:szCs w:val="28"/>
          <w:lang w:eastAsia="en-GB"/>
          <w14:ligatures w14:val="none"/>
        </w:rPr>
        <w:t>.</w:t>
      </w:r>
    </w:p>
    <w:p w14:paraId="22E98A74" w14:textId="77777777" w:rsidR="002A72A4" w:rsidRPr="0068658C" w:rsidRDefault="002A72A4" w:rsidP="000C63A5">
      <w:pPr>
        <w:pStyle w:val="ListParagraph"/>
        <w:spacing w:before="100" w:beforeAutospacing="1" w:after="100" w:afterAutospacing="1" w:line="240" w:lineRule="auto"/>
        <w:rPr>
          <w:rFonts w:eastAsia="Times New Roman" w:cstheme="minorHAnsi"/>
          <w:kern w:val="0"/>
          <w:sz w:val="28"/>
          <w:szCs w:val="28"/>
          <w:lang w:eastAsia="en-GB"/>
          <w14:ligatures w14:val="none"/>
        </w:rPr>
      </w:pPr>
    </w:p>
    <w:p w14:paraId="0EACE244" w14:textId="43B899BF" w:rsidR="000C63A5" w:rsidRPr="0068658C" w:rsidRDefault="00B566D2" w:rsidP="000C63A5">
      <w:pPr>
        <w:pStyle w:val="ListParagraph"/>
        <w:numPr>
          <w:ilvl w:val="0"/>
          <w:numId w:val="2"/>
        </w:numPr>
        <w:spacing w:before="100" w:beforeAutospacing="1" w:after="100" w:afterAutospacing="1" w:line="240" w:lineRule="auto"/>
        <w:rPr>
          <w:rFonts w:eastAsia="Times New Roman" w:cstheme="minorHAnsi"/>
          <w:kern w:val="0"/>
          <w:sz w:val="28"/>
          <w:szCs w:val="28"/>
          <w:lang w:eastAsia="en-GB"/>
          <w14:ligatures w14:val="none"/>
        </w:rPr>
      </w:pPr>
      <w:r w:rsidRPr="0068658C">
        <w:rPr>
          <w:rFonts w:eastAsia="Times New Roman" w:cstheme="minorHAnsi"/>
          <w:kern w:val="0"/>
          <w:sz w:val="28"/>
          <w:szCs w:val="28"/>
          <w:lang w:eastAsia="en-GB"/>
          <w14:ligatures w14:val="none"/>
        </w:rPr>
        <w:t>Emily will participate in SPARCS (Structured Psychotherapy for Adolescents Responding to Chronic Stress</w:t>
      </w:r>
      <w:r w:rsidRPr="0068658C">
        <w:rPr>
          <w:rFonts w:eastAsia="Times New Roman" w:cstheme="minorHAnsi"/>
          <w:b/>
          <w:bCs/>
          <w:kern w:val="0"/>
          <w:sz w:val="28"/>
          <w:szCs w:val="28"/>
          <w:lang w:eastAsia="en-GB"/>
          <w14:ligatures w14:val="none"/>
        </w:rPr>
        <w:t>)</w:t>
      </w:r>
      <w:r w:rsidRPr="0068658C">
        <w:rPr>
          <w:rFonts w:eastAsia="Times New Roman" w:cstheme="minorHAnsi"/>
          <w:kern w:val="0"/>
          <w:sz w:val="28"/>
          <w:szCs w:val="28"/>
          <w:lang w:eastAsia="en-GB"/>
          <w14:ligatures w14:val="none"/>
        </w:rPr>
        <w:t>, a trauma-informed group therapy program designed to help adolescents who have experienced complex or prolonged trauma. SPARCS aims to develop social skills, provide peer support, and teach coping strategies for managing emotional distress</w:t>
      </w:r>
      <w:r w:rsidR="00AA1C25" w:rsidRPr="0068658C">
        <w:rPr>
          <w:rFonts w:eastAsia="Times New Roman" w:cstheme="minorHAnsi"/>
          <w:kern w:val="0"/>
          <w:sz w:val="28"/>
          <w:szCs w:val="28"/>
          <w:lang w:eastAsia="en-GB"/>
          <w14:ligatures w14:val="none"/>
        </w:rPr>
        <w:t xml:space="preserve"> (</w:t>
      </w:r>
      <w:r w:rsidR="00AA1C25" w:rsidRPr="0068658C">
        <w:rPr>
          <w:rFonts w:cstheme="minorHAnsi"/>
          <w:sz w:val="28"/>
          <w:szCs w:val="28"/>
        </w:rPr>
        <w:t>NC Child Treatment Program, 2025).</w:t>
      </w:r>
      <w:r w:rsidRPr="0068658C">
        <w:rPr>
          <w:rFonts w:eastAsia="Times New Roman" w:cstheme="minorHAnsi"/>
          <w:kern w:val="0"/>
          <w:sz w:val="28"/>
          <w:szCs w:val="28"/>
          <w:lang w:eastAsia="en-GB"/>
          <w14:ligatures w14:val="none"/>
        </w:rPr>
        <w:t xml:space="preserve"> Sessions will be held every two weeks in a structured, predictable format to reduce anxiety and promote safety. This approach addresses trauma-related hypervigilance and amygdala overactivation, supporting prefrontal cortex engagement to improve emotional regulation and interpersonal functioning. Expected challenges include initial social anxiety and reluctance to engage due to mistrust, which will be mitigated through facilitator support and consistent encouragement from foster carers</w:t>
      </w:r>
      <w:r w:rsidR="002D7D1C" w:rsidRPr="0068658C">
        <w:rPr>
          <w:rFonts w:eastAsia="Times New Roman" w:cstheme="minorHAnsi"/>
          <w:kern w:val="0"/>
          <w:sz w:val="28"/>
          <w:szCs w:val="28"/>
          <w:lang w:eastAsia="en-GB"/>
          <w14:ligatures w14:val="none"/>
        </w:rPr>
        <w:t xml:space="preserve"> (</w:t>
      </w:r>
      <w:r w:rsidR="002D7D1C" w:rsidRPr="0068658C">
        <w:rPr>
          <w:rFonts w:cstheme="minorHAnsi"/>
          <w:sz w:val="28"/>
          <w:szCs w:val="28"/>
        </w:rPr>
        <w:t>Manthey et al., 2021).</w:t>
      </w:r>
    </w:p>
    <w:p w14:paraId="0D5E05D5" w14:textId="77777777" w:rsidR="00B566D2" w:rsidRPr="0068658C" w:rsidRDefault="00B566D2" w:rsidP="00B566D2">
      <w:pPr>
        <w:pStyle w:val="ListParagraph"/>
        <w:spacing w:before="100" w:beforeAutospacing="1" w:after="100" w:afterAutospacing="1" w:line="240" w:lineRule="auto"/>
        <w:rPr>
          <w:rFonts w:eastAsia="Times New Roman" w:cstheme="minorHAnsi"/>
          <w:kern w:val="0"/>
          <w:sz w:val="28"/>
          <w:szCs w:val="28"/>
          <w:lang w:eastAsia="en-GB"/>
          <w14:ligatures w14:val="none"/>
        </w:rPr>
      </w:pPr>
    </w:p>
    <w:p w14:paraId="57D51674" w14:textId="078B6AAC" w:rsidR="002A72A4" w:rsidRPr="0068658C" w:rsidRDefault="002A72A4" w:rsidP="00B566D2">
      <w:pPr>
        <w:spacing w:before="100" w:beforeAutospacing="1" w:after="100" w:afterAutospacing="1" w:line="240" w:lineRule="auto"/>
        <w:rPr>
          <w:rFonts w:eastAsia="Times New Roman" w:cstheme="minorHAnsi"/>
          <w:kern w:val="0"/>
          <w:sz w:val="28"/>
          <w:szCs w:val="28"/>
          <w:lang w:eastAsia="en-GB"/>
          <w14:ligatures w14:val="none"/>
        </w:rPr>
      </w:pPr>
      <w:r w:rsidRPr="0068658C">
        <w:rPr>
          <w:rFonts w:eastAsia="Times New Roman" w:cstheme="minorHAnsi"/>
          <w:kern w:val="0"/>
          <w:sz w:val="28"/>
          <w:szCs w:val="28"/>
          <w:lang w:eastAsia="en-GB"/>
          <w14:ligatures w14:val="none"/>
        </w:rPr>
        <w:lastRenderedPageBreak/>
        <w:t>Emily will engage in creative and expressive therapies, including writing, art, and music, on an ongoing basis. These trauma-informed approaches offer a safe, non-verbal way to</w:t>
      </w:r>
      <w:r w:rsidR="000E0E82" w:rsidRPr="0068658C">
        <w:rPr>
          <w:rFonts w:eastAsia="Times New Roman" w:cstheme="minorHAnsi"/>
          <w:kern w:val="0"/>
          <w:sz w:val="28"/>
          <w:szCs w:val="28"/>
          <w:lang w:eastAsia="en-GB"/>
          <w14:ligatures w14:val="none"/>
        </w:rPr>
        <w:t xml:space="preserve"> </w:t>
      </w:r>
      <w:r w:rsidRPr="0068658C">
        <w:rPr>
          <w:rFonts w:eastAsia="Times New Roman" w:cstheme="minorHAnsi"/>
          <w:kern w:val="0"/>
          <w:sz w:val="28"/>
          <w:szCs w:val="28"/>
          <w:lang w:eastAsia="en-GB"/>
          <w14:ligatures w14:val="none"/>
        </w:rPr>
        <w:t xml:space="preserve">express emotions linked to her experiences of abuse and neglect. Creative activities help regulate the nervous system by reducing amygdala hyperactivity and enhancing prefrontal cortex engagement, which is often underdeveloped in young people with chronic trauma (Woollett et al., 2020). By integrating emotional expression with executive control, these therapies promote self-regulation, resilience, and a sense of </w:t>
      </w:r>
      <w:r w:rsidR="000E0E82" w:rsidRPr="0068658C">
        <w:rPr>
          <w:rFonts w:eastAsia="Times New Roman" w:cstheme="minorHAnsi"/>
          <w:kern w:val="0"/>
          <w:sz w:val="28"/>
          <w:szCs w:val="28"/>
          <w:lang w:eastAsia="en-GB"/>
          <w14:ligatures w14:val="none"/>
        </w:rPr>
        <w:t>control</w:t>
      </w:r>
      <w:r w:rsidRPr="0068658C">
        <w:rPr>
          <w:rFonts w:eastAsia="Times New Roman" w:cstheme="minorHAnsi"/>
          <w:kern w:val="0"/>
          <w:sz w:val="28"/>
          <w:szCs w:val="28"/>
          <w:lang w:eastAsia="en-GB"/>
          <w14:ligatures w14:val="none"/>
        </w:rPr>
        <w:t>. Expected challenges include variable engagement, as Emily may initially withdraw or feel anxious, which can be addressed through encouragement, choice, and alignment with her personal interests (Xian-Yu et al., 2020).</w:t>
      </w:r>
    </w:p>
    <w:p w14:paraId="4283EE33" w14:textId="2C732166" w:rsidR="00655CDA" w:rsidRPr="0068658C" w:rsidRDefault="00655CDA" w:rsidP="00B566D2">
      <w:pPr>
        <w:spacing w:before="100" w:beforeAutospacing="1" w:after="100" w:afterAutospacing="1" w:line="240" w:lineRule="auto"/>
        <w:rPr>
          <w:rFonts w:eastAsia="Times New Roman" w:cstheme="minorHAnsi"/>
          <w:kern w:val="0"/>
          <w:sz w:val="28"/>
          <w:szCs w:val="28"/>
          <w:lang w:eastAsia="en-GB"/>
          <w14:ligatures w14:val="none"/>
        </w:rPr>
      </w:pPr>
      <w:r w:rsidRPr="0068658C">
        <w:rPr>
          <w:rFonts w:eastAsia="Times New Roman" w:cstheme="minorHAnsi"/>
          <w:kern w:val="0"/>
          <w:sz w:val="28"/>
          <w:szCs w:val="28"/>
          <w:lang w:eastAsia="en-GB"/>
          <w14:ligatures w14:val="none"/>
        </w:rPr>
        <w:t xml:space="preserve">Explanation </w:t>
      </w:r>
    </w:p>
    <w:p w14:paraId="4578F6A9" w14:textId="29073DB5" w:rsidR="002A72A4" w:rsidRPr="0068658C" w:rsidRDefault="002A72A4" w:rsidP="00B566D2">
      <w:pPr>
        <w:spacing w:before="100" w:beforeAutospacing="1" w:after="100" w:afterAutospacing="1" w:line="240" w:lineRule="auto"/>
        <w:rPr>
          <w:rFonts w:eastAsia="Times New Roman" w:cstheme="minorHAnsi"/>
          <w:kern w:val="0"/>
          <w:sz w:val="28"/>
          <w:szCs w:val="28"/>
          <w:lang w:eastAsia="en-GB"/>
          <w14:ligatures w14:val="none"/>
        </w:rPr>
      </w:pPr>
      <w:r w:rsidRPr="0068658C">
        <w:rPr>
          <w:rFonts w:eastAsia="Times New Roman" w:cstheme="minorHAnsi"/>
          <w:kern w:val="0"/>
          <w:sz w:val="28"/>
          <w:szCs w:val="28"/>
          <w:lang w:eastAsia="en-GB"/>
          <w14:ligatures w14:val="none"/>
        </w:rPr>
        <w:t>Trauma-Focused Cognitive Behavioural Therapy is the most evidence-based intervention for adolescents with complex trauma, demonstrating significant improvements in PTSD symptoms, depression, and overall functioning, even within foster care settings (Lee and Brown, 2022). Complementary approaches</w:t>
      </w:r>
      <w:r w:rsidRPr="0068658C">
        <w:rPr>
          <w:rFonts w:eastAsia="Times New Roman" w:cstheme="minorHAnsi"/>
          <w:kern w:val="0"/>
          <w:sz w:val="28"/>
          <w:szCs w:val="28"/>
          <w:lang w:eastAsia="en-GB"/>
          <w14:ligatures w14:val="none"/>
        </w:rPr>
        <w:t>,</w:t>
      </w:r>
      <w:r w:rsidRPr="0068658C">
        <w:rPr>
          <w:rFonts w:eastAsia="Times New Roman" w:cstheme="minorHAnsi"/>
          <w:kern w:val="0"/>
          <w:sz w:val="28"/>
          <w:szCs w:val="28"/>
          <w:lang w:eastAsia="en-GB"/>
          <w14:ligatures w14:val="none"/>
        </w:rPr>
        <w:t xml:space="preserve"> such as group therapies like SPARCS and creative modalities including writing, art, and music</w:t>
      </w:r>
      <w:r w:rsidRPr="0068658C">
        <w:rPr>
          <w:rFonts w:eastAsia="Times New Roman" w:cstheme="minorHAnsi"/>
          <w:kern w:val="0"/>
          <w:sz w:val="28"/>
          <w:szCs w:val="28"/>
          <w:lang w:eastAsia="en-GB"/>
          <w14:ligatures w14:val="none"/>
        </w:rPr>
        <w:t>,</w:t>
      </w:r>
      <w:r w:rsidRPr="0068658C">
        <w:rPr>
          <w:rFonts w:eastAsia="Times New Roman" w:cstheme="minorHAnsi"/>
          <w:kern w:val="0"/>
          <w:sz w:val="28"/>
          <w:szCs w:val="28"/>
          <w:lang w:eastAsia="en-GB"/>
          <w14:ligatures w14:val="none"/>
        </w:rPr>
        <w:t xml:space="preserve"> support social skills, self-expression, and peer connection, which are vital for isolated youth. Anticipated challenges include engagement difficulties, emotional distress during trauma processing, and placement instability. These can be mitigated through consistent support, flexible pacing, and integrating the young person’s interests to promote participation and resilience (Rodwin et al., 2022).</w:t>
      </w:r>
    </w:p>
    <w:p w14:paraId="42723E33" w14:textId="77777777" w:rsidR="00CA576E" w:rsidRPr="0068658C" w:rsidRDefault="00CA576E" w:rsidP="00B566D2">
      <w:pPr>
        <w:spacing w:before="100" w:beforeAutospacing="1" w:after="100" w:afterAutospacing="1" w:line="240" w:lineRule="auto"/>
        <w:rPr>
          <w:rFonts w:eastAsia="Times New Roman" w:cstheme="minorHAnsi"/>
          <w:kern w:val="0"/>
          <w:sz w:val="28"/>
          <w:szCs w:val="28"/>
          <w:lang w:eastAsia="en-GB"/>
          <w14:ligatures w14:val="none"/>
        </w:rPr>
      </w:pPr>
    </w:p>
    <w:p w14:paraId="3F4E1FBA" w14:textId="77777777" w:rsidR="00B566D2" w:rsidRPr="0068658C" w:rsidRDefault="00B566D2" w:rsidP="00B566D2">
      <w:pPr>
        <w:spacing w:before="100" w:beforeAutospacing="1" w:after="100" w:afterAutospacing="1" w:line="240" w:lineRule="auto"/>
        <w:rPr>
          <w:rFonts w:eastAsia="Times New Roman" w:cstheme="minorHAnsi"/>
          <w:kern w:val="0"/>
          <w:sz w:val="28"/>
          <w:szCs w:val="28"/>
          <w:lang w:eastAsia="en-GB"/>
          <w14:ligatures w14:val="none"/>
        </w:rPr>
      </w:pPr>
    </w:p>
    <w:p w14:paraId="23708F6D" w14:textId="77777777" w:rsidR="004D3636" w:rsidRPr="0068658C" w:rsidRDefault="004D3636" w:rsidP="004D3636">
      <w:pPr>
        <w:rPr>
          <w:rFonts w:cstheme="minorHAnsi"/>
          <w:sz w:val="28"/>
          <w:szCs w:val="28"/>
        </w:rPr>
      </w:pPr>
    </w:p>
    <w:p w14:paraId="47550730" w14:textId="77777777" w:rsidR="004D3636" w:rsidRPr="0068658C" w:rsidRDefault="004D3636" w:rsidP="004D3636">
      <w:pPr>
        <w:rPr>
          <w:rFonts w:cstheme="minorHAnsi"/>
          <w:sz w:val="28"/>
          <w:szCs w:val="28"/>
        </w:rPr>
      </w:pPr>
    </w:p>
    <w:p w14:paraId="6EDA51D6" w14:textId="77777777" w:rsidR="004D3636" w:rsidRPr="0068658C" w:rsidRDefault="004D3636" w:rsidP="004D3636">
      <w:pPr>
        <w:rPr>
          <w:rFonts w:cstheme="minorHAnsi"/>
          <w:sz w:val="28"/>
          <w:szCs w:val="28"/>
        </w:rPr>
      </w:pPr>
    </w:p>
    <w:p w14:paraId="51A317C8" w14:textId="77777777" w:rsidR="004D3636" w:rsidRPr="0068658C" w:rsidRDefault="004D3636" w:rsidP="004D3636">
      <w:pPr>
        <w:rPr>
          <w:rFonts w:cstheme="minorHAnsi"/>
          <w:sz w:val="28"/>
          <w:szCs w:val="28"/>
        </w:rPr>
      </w:pPr>
    </w:p>
    <w:p w14:paraId="7E94964C" w14:textId="77777777" w:rsidR="004D3636" w:rsidRPr="0068658C" w:rsidRDefault="004D3636" w:rsidP="004D3636">
      <w:pPr>
        <w:rPr>
          <w:rFonts w:cstheme="minorHAnsi"/>
          <w:sz w:val="28"/>
          <w:szCs w:val="28"/>
        </w:rPr>
      </w:pPr>
    </w:p>
    <w:p w14:paraId="1080C18E" w14:textId="77777777" w:rsidR="004D3636" w:rsidRPr="0068658C" w:rsidRDefault="004D3636" w:rsidP="004D3636">
      <w:pPr>
        <w:rPr>
          <w:rFonts w:cstheme="minorHAnsi"/>
          <w:sz w:val="28"/>
          <w:szCs w:val="28"/>
        </w:rPr>
      </w:pPr>
    </w:p>
    <w:p w14:paraId="054F0334" w14:textId="77777777" w:rsidR="004D3636" w:rsidRPr="0068658C" w:rsidRDefault="004D3636" w:rsidP="004D3636">
      <w:pPr>
        <w:rPr>
          <w:rFonts w:cstheme="minorHAnsi"/>
          <w:sz w:val="28"/>
          <w:szCs w:val="28"/>
        </w:rPr>
      </w:pPr>
    </w:p>
    <w:p w14:paraId="3841F72D" w14:textId="29337B64" w:rsidR="004D3636" w:rsidRDefault="0068658C" w:rsidP="004D3636">
      <w:pPr>
        <w:rPr>
          <w:rFonts w:cstheme="minorHAnsi"/>
          <w:sz w:val="28"/>
          <w:szCs w:val="28"/>
        </w:rPr>
      </w:pPr>
      <w:r>
        <w:rPr>
          <w:rFonts w:cstheme="minorHAnsi"/>
          <w:sz w:val="28"/>
          <w:szCs w:val="28"/>
        </w:rPr>
        <w:lastRenderedPageBreak/>
        <w:t>References:</w:t>
      </w:r>
    </w:p>
    <w:p w14:paraId="7B29384D" w14:textId="77777777" w:rsidR="0068658C" w:rsidRPr="00D34C47" w:rsidRDefault="0068658C" w:rsidP="0068658C">
      <w:pPr>
        <w:spacing w:after="0" w:line="240" w:lineRule="auto"/>
        <w:rPr>
          <w:rFonts w:eastAsia="Times New Roman" w:cstheme="minorHAnsi"/>
          <w:kern w:val="0"/>
          <w:sz w:val="28"/>
          <w:szCs w:val="28"/>
          <w:lang w:eastAsia="en-GB"/>
          <w14:ligatures w14:val="none"/>
        </w:rPr>
      </w:pPr>
      <w:bookmarkStart w:id="0" w:name="_Hlk216295380"/>
      <w:r w:rsidRPr="00D34C47">
        <w:rPr>
          <w:rFonts w:eastAsia="Times New Roman" w:cstheme="minorHAnsi"/>
          <w:kern w:val="0"/>
          <w:sz w:val="28"/>
          <w:szCs w:val="28"/>
          <w:lang w:eastAsia="en-GB"/>
          <w14:ligatures w14:val="none"/>
        </w:rPr>
        <w:t>Avery</w:t>
      </w:r>
      <w:bookmarkEnd w:id="0"/>
      <w:r w:rsidRPr="00D34C47">
        <w:rPr>
          <w:rFonts w:eastAsia="Times New Roman" w:cstheme="minorHAnsi"/>
          <w:kern w:val="0"/>
          <w:sz w:val="28"/>
          <w:szCs w:val="28"/>
          <w:lang w:eastAsia="en-GB"/>
          <w14:ligatures w14:val="none"/>
        </w:rPr>
        <w:t xml:space="preserve">, J. C., Morris, H., Galvin, E., Misso, M., Savaglio, M., and </w:t>
      </w:r>
      <w:proofErr w:type="spellStart"/>
      <w:r w:rsidRPr="00D34C47">
        <w:rPr>
          <w:rFonts w:eastAsia="Times New Roman" w:cstheme="minorHAnsi"/>
          <w:kern w:val="0"/>
          <w:sz w:val="28"/>
          <w:szCs w:val="28"/>
          <w:lang w:eastAsia="en-GB"/>
          <w14:ligatures w14:val="none"/>
        </w:rPr>
        <w:t>Skouteris</w:t>
      </w:r>
      <w:proofErr w:type="spellEnd"/>
      <w:r w:rsidRPr="00D34C47">
        <w:rPr>
          <w:rFonts w:eastAsia="Times New Roman" w:cstheme="minorHAnsi"/>
          <w:kern w:val="0"/>
          <w:sz w:val="28"/>
          <w:szCs w:val="28"/>
          <w:lang w:eastAsia="en-GB"/>
          <w14:ligatures w14:val="none"/>
        </w:rPr>
        <w:t xml:space="preserve">, H. (2020) ‘Systematic Review of School-Wide Trauma-Informed Approaches’, </w:t>
      </w:r>
      <w:r w:rsidRPr="00D34C47">
        <w:rPr>
          <w:rFonts w:eastAsia="Times New Roman" w:cstheme="minorHAnsi"/>
          <w:i/>
          <w:iCs/>
          <w:kern w:val="0"/>
          <w:sz w:val="28"/>
          <w:szCs w:val="28"/>
          <w:lang w:eastAsia="en-GB"/>
          <w14:ligatures w14:val="none"/>
        </w:rPr>
        <w:t>Journal of child &amp; adolescent trauma</w:t>
      </w:r>
      <w:r w:rsidRPr="00D34C47">
        <w:rPr>
          <w:rFonts w:eastAsia="Times New Roman" w:cstheme="minorHAnsi"/>
          <w:kern w:val="0"/>
          <w:sz w:val="28"/>
          <w:szCs w:val="28"/>
          <w:lang w:eastAsia="en-GB"/>
          <w14:ligatures w14:val="none"/>
        </w:rPr>
        <w:t>, 14(3), pp. 381–397.</w:t>
      </w:r>
    </w:p>
    <w:p w14:paraId="7761E013" w14:textId="77777777" w:rsidR="0068658C" w:rsidRPr="00D34C47" w:rsidRDefault="0068658C" w:rsidP="0068658C">
      <w:pPr>
        <w:spacing w:after="0" w:line="240" w:lineRule="auto"/>
        <w:rPr>
          <w:rFonts w:eastAsia="Times New Roman" w:cstheme="minorHAnsi"/>
          <w:kern w:val="0"/>
          <w:sz w:val="28"/>
          <w:szCs w:val="28"/>
          <w:lang w:eastAsia="en-GB"/>
          <w14:ligatures w14:val="none"/>
        </w:rPr>
      </w:pPr>
    </w:p>
    <w:p w14:paraId="00DE2DB8" w14:textId="77777777" w:rsidR="0068658C" w:rsidRPr="00D34C47" w:rsidRDefault="0068658C" w:rsidP="0068658C">
      <w:pPr>
        <w:spacing w:after="0" w:line="240" w:lineRule="auto"/>
        <w:rPr>
          <w:rFonts w:cstheme="minorHAnsi"/>
          <w:sz w:val="28"/>
          <w:szCs w:val="28"/>
        </w:rPr>
      </w:pPr>
      <w:bookmarkStart w:id="1" w:name="_Hlk216286408"/>
      <w:r w:rsidRPr="00D34C47">
        <w:rPr>
          <w:rFonts w:cstheme="minorHAnsi"/>
          <w:sz w:val="28"/>
          <w:szCs w:val="28"/>
        </w:rPr>
        <w:t xml:space="preserve">Brunner, T. S. (2025) </w:t>
      </w:r>
      <w:bookmarkEnd w:id="1"/>
      <w:r w:rsidRPr="00D34C47">
        <w:rPr>
          <w:rFonts w:cstheme="minorHAnsi"/>
          <w:sz w:val="28"/>
          <w:szCs w:val="28"/>
        </w:rPr>
        <w:t>‘Fostering Success: Trauma, Stability, and Academic Outcomes in Foster Youth’, </w:t>
      </w:r>
      <w:r w:rsidRPr="00D34C47">
        <w:rPr>
          <w:rFonts w:cstheme="minorHAnsi"/>
          <w:i/>
          <w:iCs/>
          <w:sz w:val="28"/>
          <w:szCs w:val="28"/>
        </w:rPr>
        <w:t>Journal of College Student Retention: Research, Theory &amp; Practice</w:t>
      </w:r>
      <w:r w:rsidRPr="00D34C47">
        <w:rPr>
          <w:rFonts w:cstheme="minorHAnsi"/>
          <w:sz w:val="28"/>
          <w:szCs w:val="28"/>
        </w:rPr>
        <w:t>, 1(2). pp. e15210251251334073.</w:t>
      </w:r>
    </w:p>
    <w:p w14:paraId="668CA636" w14:textId="77777777" w:rsidR="0068658C" w:rsidRPr="00D34C47" w:rsidRDefault="0068658C" w:rsidP="0068658C">
      <w:pPr>
        <w:spacing w:after="0" w:line="240" w:lineRule="auto"/>
        <w:rPr>
          <w:rFonts w:cstheme="minorHAnsi"/>
          <w:sz w:val="28"/>
          <w:szCs w:val="28"/>
        </w:rPr>
      </w:pPr>
    </w:p>
    <w:p w14:paraId="3CD15291" w14:textId="77777777" w:rsidR="0068658C" w:rsidRPr="00D34C47" w:rsidRDefault="0068658C" w:rsidP="0068658C">
      <w:pPr>
        <w:spacing w:after="0" w:line="240" w:lineRule="auto"/>
        <w:rPr>
          <w:rFonts w:cstheme="minorHAnsi"/>
          <w:sz w:val="28"/>
          <w:szCs w:val="28"/>
        </w:rPr>
      </w:pPr>
      <w:bookmarkStart w:id="2" w:name="_Hlk216296109"/>
      <w:proofErr w:type="spellStart"/>
      <w:r w:rsidRPr="00D34C47">
        <w:rPr>
          <w:rFonts w:cstheme="minorHAnsi"/>
          <w:sz w:val="28"/>
          <w:szCs w:val="28"/>
        </w:rPr>
        <w:t>Diachkova</w:t>
      </w:r>
      <w:bookmarkEnd w:id="2"/>
      <w:proofErr w:type="spellEnd"/>
      <w:r w:rsidRPr="00D34C47">
        <w:rPr>
          <w:rFonts w:cstheme="minorHAnsi"/>
          <w:sz w:val="28"/>
          <w:szCs w:val="28"/>
        </w:rPr>
        <w:t>, O., Yeremenko, L., Donets, I., Klymenko, I., and Kononenko, A. (2024) ‘Harnessing Positive Thinking: A Cognitive Behavioural Approach to Stress Management’, </w:t>
      </w:r>
      <w:r w:rsidRPr="00D34C47">
        <w:rPr>
          <w:rFonts w:cstheme="minorHAnsi"/>
          <w:i/>
          <w:iCs/>
          <w:sz w:val="28"/>
          <w:szCs w:val="28"/>
        </w:rPr>
        <w:t>International Journal of Religion</w:t>
      </w:r>
      <w:r w:rsidRPr="00D34C47">
        <w:rPr>
          <w:rFonts w:cstheme="minorHAnsi"/>
          <w:sz w:val="28"/>
          <w:szCs w:val="28"/>
        </w:rPr>
        <w:t>, 5(9), pp. 380-389.</w:t>
      </w:r>
    </w:p>
    <w:p w14:paraId="455947A9" w14:textId="77777777" w:rsidR="0068658C" w:rsidRPr="00D34C47" w:rsidRDefault="0068658C" w:rsidP="0068658C">
      <w:pPr>
        <w:spacing w:after="0" w:line="240" w:lineRule="auto"/>
        <w:rPr>
          <w:rFonts w:eastAsia="Times New Roman" w:cstheme="minorHAnsi"/>
          <w:kern w:val="0"/>
          <w:sz w:val="28"/>
          <w:szCs w:val="28"/>
          <w:lang w:eastAsia="en-GB"/>
          <w14:ligatures w14:val="none"/>
        </w:rPr>
      </w:pPr>
    </w:p>
    <w:p w14:paraId="0D1F0713" w14:textId="77777777" w:rsidR="0068658C" w:rsidRDefault="0068658C" w:rsidP="0068658C">
      <w:pPr>
        <w:spacing w:after="0" w:line="240" w:lineRule="auto"/>
        <w:rPr>
          <w:rFonts w:eastAsia="Times New Roman" w:cstheme="minorHAnsi"/>
          <w:kern w:val="0"/>
          <w:sz w:val="28"/>
          <w:szCs w:val="28"/>
          <w:lang w:eastAsia="en-GB"/>
          <w14:ligatures w14:val="none"/>
        </w:rPr>
      </w:pPr>
      <w:r w:rsidRPr="00D34C47">
        <w:rPr>
          <w:rFonts w:eastAsia="Times New Roman" w:cstheme="minorHAnsi"/>
          <w:kern w:val="0"/>
          <w:sz w:val="28"/>
          <w:szCs w:val="28"/>
          <w:lang w:eastAsia="en-GB"/>
          <w14:ligatures w14:val="none"/>
        </w:rPr>
        <w:t xml:space="preserve">Kira, I. A., </w:t>
      </w:r>
      <w:proofErr w:type="spellStart"/>
      <w:r w:rsidRPr="00D34C47">
        <w:rPr>
          <w:rFonts w:eastAsia="Times New Roman" w:cstheme="minorHAnsi"/>
          <w:kern w:val="0"/>
          <w:sz w:val="28"/>
          <w:szCs w:val="28"/>
          <w:lang w:eastAsia="en-GB"/>
          <w14:ligatures w14:val="none"/>
        </w:rPr>
        <w:t>Shuweikh</w:t>
      </w:r>
      <w:proofErr w:type="spellEnd"/>
      <w:r w:rsidRPr="00D34C47">
        <w:rPr>
          <w:rFonts w:eastAsia="Times New Roman" w:cstheme="minorHAnsi"/>
          <w:kern w:val="0"/>
          <w:sz w:val="28"/>
          <w:szCs w:val="28"/>
          <w:lang w:eastAsia="en-GB"/>
          <w14:ligatures w14:val="none"/>
        </w:rPr>
        <w:t xml:space="preserve">, H., Al-Huwailiah, A., El-Wakeel, S. A., </w:t>
      </w:r>
      <w:proofErr w:type="spellStart"/>
      <w:r w:rsidRPr="00D34C47">
        <w:rPr>
          <w:rFonts w:eastAsia="Times New Roman" w:cstheme="minorHAnsi"/>
          <w:kern w:val="0"/>
          <w:sz w:val="28"/>
          <w:szCs w:val="28"/>
          <w:lang w:eastAsia="en-GB"/>
          <w14:ligatures w14:val="none"/>
        </w:rPr>
        <w:t>Waheep</w:t>
      </w:r>
      <w:proofErr w:type="spellEnd"/>
      <w:r w:rsidRPr="00D34C47">
        <w:rPr>
          <w:rFonts w:eastAsia="Times New Roman" w:cstheme="minorHAnsi"/>
          <w:kern w:val="0"/>
          <w:sz w:val="28"/>
          <w:szCs w:val="28"/>
          <w:lang w:eastAsia="en-GB"/>
          <w14:ligatures w14:val="none"/>
        </w:rPr>
        <w:t xml:space="preserve">, N. N., </w:t>
      </w:r>
      <w:proofErr w:type="spellStart"/>
      <w:r w:rsidRPr="00D34C47">
        <w:rPr>
          <w:rFonts w:eastAsia="Times New Roman" w:cstheme="minorHAnsi"/>
          <w:kern w:val="0"/>
          <w:sz w:val="28"/>
          <w:szCs w:val="28"/>
          <w:lang w:eastAsia="en-GB"/>
          <w14:ligatures w14:val="none"/>
        </w:rPr>
        <w:t>Ebada</w:t>
      </w:r>
      <w:proofErr w:type="spellEnd"/>
      <w:r w:rsidRPr="00D34C47">
        <w:rPr>
          <w:rFonts w:eastAsia="Times New Roman" w:cstheme="minorHAnsi"/>
          <w:kern w:val="0"/>
          <w:sz w:val="28"/>
          <w:szCs w:val="28"/>
          <w:lang w:eastAsia="en-GB"/>
          <w14:ligatures w14:val="none"/>
        </w:rPr>
        <w:t xml:space="preserve">, E. E., and Ibrahim, E. S. R. (2022) ‘The direct and indirect impact of trauma types and cumulative stressors and traumas on executive functions’, </w:t>
      </w:r>
      <w:r w:rsidRPr="00D34C47">
        <w:rPr>
          <w:rFonts w:eastAsia="Times New Roman" w:cstheme="minorHAnsi"/>
          <w:i/>
          <w:iCs/>
          <w:kern w:val="0"/>
          <w:sz w:val="28"/>
          <w:szCs w:val="28"/>
          <w:lang w:eastAsia="en-GB"/>
          <w14:ligatures w14:val="none"/>
        </w:rPr>
        <w:t>Applied Neuropsychology</w:t>
      </w:r>
      <w:r w:rsidRPr="00D34C47">
        <w:rPr>
          <w:rFonts w:eastAsia="Times New Roman" w:cstheme="minorHAnsi"/>
          <w:kern w:val="0"/>
          <w:sz w:val="28"/>
          <w:szCs w:val="28"/>
          <w:lang w:eastAsia="en-GB"/>
          <w14:ligatures w14:val="none"/>
        </w:rPr>
        <w:t>, 29(5), pp.1078-1094.</w:t>
      </w:r>
    </w:p>
    <w:p w14:paraId="7A5F0DDC" w14:textId="77777777" w:rsidR="0068658C" w:rsidRDefault="0068658C" w:rsidP="0068658C">
      <w:pPr>
        <w:spacing w:after="0" w:line="240" w:lineRule="auto"/>
        <w:rPr>
          <w:rFonts w:eastAsia="Times New Roman" w:cstheme="minorHAnsi"/>
          <w:kern w:val="0"/>
          <w:sz w:val="28"/>
          <w:szCs w:val="28"/>
          <w:lang w:eastAsia="en-GB"/>
          <w14:ligatures w14:val="none"/>
        </w:rPr>
      </w:pPr>
    </w:p>
    <w:p w14:paraId="2BA3A656" w14:textId="77777777" w:rsidR="0068658C" w:rsidRPr="00D34C47" w:rsidRDefault="0068658C" w:rsidP="0068658C">
      <w:pPr>
        <w:spacing w:after="0" w:line="240" w:lineRule="auto"/>
        <w:rPr>
          <w:rFonts w:eastAsia="Times New Roman" w:cstheme="minorHAnsi"/>
          <w:kern w:val="0"/>
          <w:sz w:val="28"/>
          <w:szCs w:val="28"/>
          <w:lang w:eastAsia="en-GB"/>
          <w14:ligatures w14:val="none"/>
        </w:rPr>
      </w:pPr>
      <w:proofErr w:type="spellStart"/>
      <w:r w:rsidRPr="00D34C47">
        <w:rPr>
          <w:rFonts w:eastAsia="Times New Roman" w:cstheme="minorHAnsi"/>
          <w:kern w:val="0"/>
          <w:sz w:val="28"/>
          <w:szCs w:val="28"/>
          <w:lang w:eastAsia="en-GB"/>
          <w14:ligatures w14:val="none"/>
        </w:rPr>
        <w:t>Kredlow</w:t>
      </w:r>
      <w:proofErr w:type="spellEnd"/>
      <w:r w:rsidRPr="00D34C47">
        <w:rPr>
          <w:rFonts w:eastAsia="Times New Roman" w:cstheme="minorHAnsi"/>
          <w:kern w:val="0"/>
          <w:sz w:val="28"/>
          <w:szCs w:val="28"/>
          <w:lang w:eastAsia="en-GB"/>
          <w14:ligatures w14:val="none"/>
        </w:rPr>
        <w:t xml:space="preserve">, M., Fenster, R. J., Laurent, E. S., Ressler, K. J., and Phelps, E. A. (2022) ‘Prefrontal cortex, amygdala, and threat processing: implications for PTSD’, </w:t>
      </w:r>
      <w:r w:rsidRPr="00D34C47">
        <w:rPr>
          <w:rFonts w:eastAsia="Times New Roman" w:cstheme="minorHAnsi"/>
          <w:i/>
          <w:iCs/>
          <w:kern w:val="0"/>
          <w:sz w:val="28"/>
          <w:szCs w:val="28"/>
          <w:lang w:eastAsia="en-GB"/>
          <w14:ligatures w14:val="none"/>
        </w:rPr>
        <w:t>Neuropsychopharmacology</w:t>
      </w:r>
      <w:r w:rsidRPr="00D34C47">
        <w:rPr>
          <w:rFonts w:eastAsia="Times New Roman" w:cstheme="minorHAnsi"/>
          <w:kern w:val="0"/>
          <w:sz w:val="28"/>
          <w:szCs w:val="28"/>
          <w:lang w:eastAsia="en-GB"/>
          <w14:ligatures w14:val="none"/>
        </w:rPr>
        <w:t>, 47(1), 247-259.</w:t>
      </w:r>
    </w:p>
    <w:p w14:paraId="4030FCFF" w14:textId="77777777" w:rsidR="0068658C" w:rsidRPr="00D34C47" w:rsidRDefault="0068658C" w:rsidP="0068658C">
      <w:pPr>
        <w:spacing w:after="0" w:line="240" w:lineRule="auto"/>
        <w:rPr>
          <w:rFonts w:cstheme="minorHAnsi"/>
          <w:sz w:val="28"/>
          <w:szCs w:val="28"/>
        </w:rPr>
      </w:pPr>
    </w:p>
    <w:p w14:paraId="32668E9D" w14:textId="77777777" w:rsidR="0068658C" w:rsidRPr="00D34C47" w:rsidRDefault="0068658C" w:rsidP="0068658C">
      <w:pPr>
        <w:spacing w:after="0" w:line="240" w:lineRule="auto"/>
        <w:rPr>
          <w:rFonts w:cstheme="minorHAnsi"/>
          <w:sz w:val="28"/>
          <w:szCs w:val="28"/>
        </w:rPr>
      </w:pPr>
      <w:proofErr w:type="spellStart"/>
      <w:r w:rsidRPr="00D34C47">
        <w:rPr>
          <w:rFonts w:cstheme="minorHAnsi"/>
          <w:sz w:val="28"/>
          <w:szCs w:val="28"/>
        </w:rPr>
        <w:t>Konkiewitz</w:t>
      </w:r>
      <w:proofErr w:type="spellEnd"/>
      <w:r w:rsidRPr="00D34C47">
        <w:rPr>
          <w:rFonts w:cstheme="minorHAnsi"/>
          <w:sz w:val="28"/>
          <w:szCs w:val="28"/>
        </w:rPr>
        <w:t xml:space="preserve">, E. C., Seedat, S., and Ziff, E. (2020) ‘Early childhood abuse: adult impulsivity and risky </w:t>
      </w:r>
      <w:proofErr w:type="spellStart"/>
      <w:r w:rsidRPr="00D34C47">
        <w:rPr>
          <w:rFonts w:cstheme="minorHAnsi"/>
          <w:sz w:val="28"/>
          <w:szCs w:val="28"/>
        </w:rPr>
        <w:t>behavior</w:t>
      </w:r>
      <w:proofErr w:type="spellEnd"/>
      <w:r w:rsidRPr="00D34C47">
        <w:rPr>
          <w:rFonts w:cstheme="minorHAnsi"/>
          <w:sz w:val="28"/>
          <w:szCs w:val="28"/>
        </w:rPr>
        <w:t xml:space="preserve">’, </w:t>
      </w:r>
      <w:proofErr w:type="spellStart"/>
      <w:r w:rsidRPr="00D34C47">
        <w:rPr>
          <w:rFonts w:cstheme="minorHAnsi"/>
          <w:i/>
          <w:iCs/>
          <w:sz w:val="28"/>
          <w:szCs w:val="28"/>
        </w:rPr>
        <w:t>Ciências</w:t>
      </w:r>
      <w:proofErr w:type="spellEnd"/>
      <w:r w:rsidRPr="00D34C47">
        <w:rPr>
          <w:rFonts w:cstheme="minorHAnsi"/>
          <w:i/>
          <w:iCs/>
          <w:sz w:val="28"/>
          <w:szCs w:val="28"/>
        </w:rPr>
        <w:t xml:space="preserve"> &amp; </w:t>
      </w:r>
      <w:proofErr w:type="spellStart"/>
      <w:r w:rsidRPr="00D34C47">
        <w:rPr>
          <w:rFonts w:cstheme="minorHAnsi"/>
          <w:i/>
          <w:iCs/>
          <w:sz w:val="28"/>
          <w:szCs w:val="28"/>
        </w:rPr>
        <w:t>Cognição</w:t>
      </w:r>
      <w:proofErr w:type="spellEnd"/>
      <w:r w:rsidRPr="00D34C47">
        <w:rPr>
          <w:rFonts w:cstheme="minorHAnsi"/>
          <w:sz w:val="28"/>
          <w:szCs w:val="28"/>
        </w:rPr>
        <w:t>, 25(1), pp. 61-81.</w:t>
      </w:r>
    </w:p>
    <w:p w14:paraId="2379FDEB" w14:textId="77777777" w:rsidR="0068658C" w:rsidRPr="00D34C47" w:rsidRDefault="0068658C" w:rsidP="0068658C">
      <w:pPr>
        <w:spacing w:after="0" w:line="240" w:lineRule="auto"/>
        <w:rPr>
          <w:rFonts w:cstheme="minorHAnsi"/>
          <w:sz w:val="28"/>
          <w:szCs w:val="28"/>
        </w:rPr>
      </w:pPr>
    </w:p>
    <w:p w14:paraId="1A0EF4E5" w14:textId="77777777" w:rsidR="0068658C" w:rsidRPr="00D34C47" w:rsidRDefault="0068658C" w:rsidP="0068658C">
      <w:pPr>
        <w:spacing w:after="0" w:line="240" w:lineRule="auto"/>
        <w:rPr>
          <w:rFonts w:eastAsia="Times New Roman" w:cstheme="minorHAnsi"/>
          <w:kern w:val="0"/>
          <w:sz w:val="28"/>
          <w:szCs w:val="28"/>
          <w:lang w:eastAsia="en-GB"/>
          <w14:ligatures w14:val="none"/>
        </w:rPr>
      </w:pPr>
      <w:bookmarkStart w:id="3" w:name="_Hlk216296423"/>
      <w:r w:rsidRPr="00D34C47">
        <w:rPr>
          <w:rFonts w:eastAsia="Times New Roman" w:cstheme="minorHAnsi"/>
          <w:kern w:val="0"/>
          <w:sz w:val="28"/>
          <w:szCs w:val="28"/>
          <w:lang w:eastAsia="en-GB"/>
          <w14:ligatures w14:val="none"/>
        </w:rPr>
        <w:t>Maynard</w:t>
      </w:r>
      <w:bookmarkEnd w:id="3"/>
      <w:r w:rsidRPr="00D34C47">
        <w:rPr>
          <w:rFonts w:eastAsia="Times New Roman" w:cstheme="minorHAnsi"/>
          <w:kern w:val="0"/>
          <w:sz w:val="28"/>
          <w:szCs w:val="28"/>
          <w:lang w:eastAsia="en-GB"/>
          <w14:ligatures w14:val="none"/>
        </w:rPr>
        <w:t xml:space="preserve">, B. R., Farina, A., Dell, N. A., and Kelly, M. S. (2019) ‘Effects of trauma-informed approaches in schools: A systematic review’, </w:t>
      </w:r>
      <w:r w:rsidRPr="00D34C47">
        <w:rPr>
          <w:rFonts w:eastAsia="Times New Roman" w:cstheme="minorHAnsi"/>
          <w:i/>
          <w:iCs/>
          <w:kern w:val="0"/>
          <w:sz w:val="28"/>
          <w:szCs w:val="28"/>
          <w:lang w:eastAsia="en-GB"/>
          <w14:ligatures w14:val="none"/>
        </w:rPr>
        <w:t xml:space="preserve">Campbell systematic reviews, </w:t>
      </w:r>
      <w:r w:rsidRPr="00D34C47">
        <w:rPr>
          <w:rFonts w:eastAsia="Times New Roman" w:cstheme="minorHAnsi"/>
          <w:kern w:val="0"/>
          <w:sz w:val="28"/>
          <w:szCs w:val="28"/>
          <w:lang w:eastAsia="en-GB"/>
          <w14:ligatures w14:val="none"/>
        </w:rPr>
        <w:t>15(3), pp. 1-2.</w:t>
      </w:r>
    </w:p>
    <w:p w14:paraId="4AD5A479" w14:textId="77777777" w:rsidR="0068658C" w:rsidRPr="00D34C47" w:rsidRDefault="0068658C" w:rsidP="0068658C">
      <w:pPr>
        <w:spacing w:after="0" w:line="240" w:lineRule="auto"/>
        <w:rPr>
          <w:rFonts w:eastAsia="Times New Roman" w:cstheme="minorHAnsi"/>
          <w:kern w:val="0"/>
          <w:sz w:val="28"/>
          <w:szCs w:val="28"/>
          <w:lang w:eastAsia="en-GB"/>
          <w14:ligatures w14:val="none"/>
        </w:rPr>
      </w:pPr>
    </w:p>
    <w:p w14:paraId="0113810A" w14:textId="77777777" w:rsidR="0068658C" w:rsidRPr="00D34C47" w:rsidRDefault="0068658C" w:rsidP="0068658C">
      <w:pPr>
        <w:spacing w:after="0" w:line="240" w:lineRule="auto"/>
        <w:rPr>
          <w:rFonts w:eastAsia="Times New Roman" w:cstheme="minorHAnsi"/>
          <w:kern w:val="0"/>
          <w:sz w:val="28"/>
          <w:szCs w:val="28"/>
          <w:lang w:eastAsia="en-GB"/>
          <w14:ligatures w14:val="none"/>
        </w:rPr>
      </w:pPr>
      <w:r w:rsidRPr="00D34C47">
        <w:rPr>
          <w:rFonts w:eastAsia="Times New Roman" w:cstheme="minorHAnsi"/>
          <w:kern w:val="0"/>
          <w:sz w:val="28"/>
          <w:szCs w:val="28"/>
          <w:lang w:eastAsia="en-GB"/>
          <w14:ligatures w14:val="none"/>
        </w:rPr>
        <w:t xml:space="preserve">McGuire, A., Huffhines, L., and Jackson, Y. (2021) ‘The trajectory of PTSD among youth in foster care: A survival analysis examining maltreatment experiences prior to entry into care’, </w:t>
      </w:r>
      <w:r w:rsidRPr="00D34C47">
        <w:rPr>
          <w:rFonts w:eastAsia="Times New Roman" w:cstheme="minorHAnsi"/>
          <w:i/>
          <w:iCs/>
          <w:kern w:val="0"/>
          <w:sz w:val="28"/>
          <w:szCs w:val="28"/>
          <w:lang w:eastAsia="en-GB"/>
          <w14:ligatures w14:val="none"/>
        </w:rPr>
        <w:t>Child Abuse &amp; Neglect</w:t>
      </w:r>
      <w:r w:rsidRPr="00D34C47">
        <w:rPr>
          <w:rFonts w:eastAsia="Times New Roman" w:cstheme="minorHAnsi"/>
          <w:kern w:val="0"/>
          <w:sz w:val="28"/>
          <w:szCs w:val="28"/>
          <w:lang w:eastAsia="en-GB"/>
          <w14:ligatures w14:val="none"/>
        </w:rPr>
        <w:t xml:space="preserve">, 115, pp. e105026. </w:t>
      </w:r>
    </w:p>
    <w:p w14:paraId="644A1042" w14:textId="77777777" w:rsidR="0068658C" w:rsidRPr="00D34C47" w:rsidRDefault="0068658C" w:rsidP="0068658C">
      <w:pPr>
        <w:spacing w:after="0" w:line="240" w:lineRule="auto"/>
        <w:rPr>
          <w:rFonts w:cstheme="minorHAnsi"/>
          <w:sz w:val="28"/>
          <w:szCs w:val="28"/>
        </w:rPr>
      </w:pPr>
    </w:p>
    <w:p w14:paraId="085E9397" w14:textId="77777777" w:rsidR="0068658C" w:rsidRPr="00D34C47" w:rsidRDefault="0068658C" w:rsidP="0068658C">
      <w:pPr>
        <w:spacing w:after="0" w:line="240" w:lineRule="auto"/>
        <w:rPr>
          <w:rFonts w:cstheme="minorHAnsi"/>
          <w:sz w:val="28"/>
          <w:szCs w:val="28"/>
        </w:rPr>
      </w:pPr>
      <w:bookmarkStart w:id="4" w:name="_Hlk216295961"/>
      <w:r w:rsidRPr="00D34C47">
        <w:rPr>
          <w:rFonts w:cstheme="minorHAnsi"/>
          <w:sz w:val="28"/>
          <w:szCs w:val="28"/>
        </w:rPr>
        <w:t>Murray</w:t>
      </w:r>
      <w:bookmarkEnd w:id="4"/>
      <w:r w:rsidRPr="00D34C47">
        <w:rPr>
          <w:rFonts w:cstheme="minorHAnsi"/>
          <w:sz w:val="28"/>
          <w:szCs w:val="28"/>
        </w:rPr>
        <w:t xml:space="preserve">, D. W., Rackers, H., Meyer, A., McKenzie, K. J., Malm, K., Sepulveda, K., and Heath, C. (2023) ‘Co-regulation as a support for older youth in the context of foster care: A scoping review of the </w:t>
      </w:r>
      <w:proofErr w:type="spellStart"/>
      <w:r w:rsidRPr="00D34C47">
        <w:rPr>
          <w:rFonts w:cstheme="minorHAnsi"/>
          <w:sz w:val="28"/>
          <w:szCs w:val="28"/>
        </w:rPr>
        <w:t>literature’</w:t>
      </w:r>
      <w:r>
        <w:rPr>
          <w:rFonts w:cstheme="minorHAnsi"/>
          <w:sz w:val="28"/>
          <w:szCs w:val="28"/>
        </w:rPr>
        <w:t>,</w:t>
      </w:r>
      <w:r w:rsidRPr="00D34C47">
        <w:rPr>
          <w:rFonts w:cstheme="minorHAnsi"/>
          <w:i/>
          <w:iCs/>
          <w:sz w:val="28"/>
          <w:szCs w:val="28"/>
        </w:rPr>
        <w:t>Prevention</w:t>
      </w:r>
      <w:proofErr w:type="spellEnd"/>
      <w:r w:rsidRPr="00D34C47">
        <w:rPr>
          <w:rFonts w:cstheme="minorHAnsi"/>
          <w:i/>
          <w:iCs/>
          <w:sz w:val="28"/>
          <w:szCs w:val="28"/>
        </w:rPr>
        <w:t xml:space="preserve"> Science</w:t>
      </w:r>
      <w:r w:rsidRPr="00D34C47">
        <w:rPr>
          <w:rFonts w:cstheme="minorHAnsi"/>
          <w:sz w:val="28"/>
          <w:szCs w:val="28"/>
        </w:rPr>
        <w:t>, 24(6), pp. 1187-1197.</w:t>
      </w:r>
    </w:p>
    <w:p w14:paraId="2F50BE1B" w14:textId="77777777" w:rsidR="0068658C" w:rsidRDefault="0068658C" w:rsidP="0068658C">
      <w:pPr>
        <w:spacing w:after="0" w:line="240" w:lineRule="auto"/>
        <w:rPr>
          <w:rFonts w:cstheme="minorHAnsi"/>
          <w:sz w:val="28"/>
          <w:szCs w:val="28"/>
        </w:rPr>
      </w:pPr>
    </w:p>
    <w:p w14:paraId="4799D8C4" w14:textId="77777777" w:rsidR="0068658C" w:rsidRPr="00D34C47" w:rsidRDefault="0068658C" w:rsidP="0068658C">
      <w:pPr>
        <w:spacing w:after="0" w:line="240" w:lineRule="auto"/>
        <w:rPr>
          <w:rFonts w:cstheme="minorHAnsi"/>
          <w:sz w:val="28"/>
          <w:szCs w:val="28"/>
        </w:rPr>
      </w:pPr>
      <w:r w:rsidRPr="00D34C47">
        <w:rPr>
          <w:rFonts w:cstheme="minorHAnsi"/>
          <w:sz w:val="28"/>
          <w:szCs w:val="28"/>
        </w:rPr>
        <w:lastRenderedPageBreak/>
        <w:t xml:space="preserve">Tiba, A. I. (2024) ‘The grounded cognition foundation of the first cognitive model in cognitive </w:t>
      </w:r>
      <w:r>
        <w:rPr>
          <w:rFonts w:cstheme="minorHAnsi"/>
          <w:sz w:val="28"/>
          <w:szCs w:val="28"/>
        </w:rPr>
        <w:t>behaviour</w:t>
      </w:r>
      <w:r w:rsidRPr="00D34C47">
        <w:rPr>
          <w:rFonts w:cstheme="minorHAnsi"/>
          <w:sz w:val="28"/>
          <w:szCs w:val="28"/>
        </w:rPr>
        <w:t xml:space="preserve"> therapy: implications for practice’, </w:t>
      </w:r>
      <w:r w:rsidRPr="00D34C47">
        <w:rPr>
          <w:rFonts w:cstheme="minorHAnsi"/>
          <w:i/>
          <w:iCs/>
          <w:sz w:val="28"/>
          <w:szCs w:val="28"/>
        </w:rPr>
        <w:t>Frontiers in psychology</w:t>
      </w:r>
      <w:r w:rsidRPr="00D34C47">
        <w:rPr>
          <w:rFonts w:cstheme="minorHAnsi"/>
          <w:sz w:val="28"/>
          <w:szCs w:val="28"/>
        </w:rPr>
        <w:t xml:space="preserve">, 15(2), 136-139. </w:t>
      </w:r>
    </w:p>
    <w:p w14:paraId="741DB190" w14:textId="77777777" w:rsidR="0068658C" w:rsidRPr="00D34C47" w:rsidRDefault="0068658C" w:rsidP="0068658C">
      <w:pPr>
        <w:spacing w:after="0" w:line="240" w:lineRule="auto"/>
        <w:rPr>
          <w:rFonts w:cstheme="minorHAnsi"/>
          <w:sz w:val="28"/>
          <w:szCs w:val="28"/>
        </w:rPr>
      </w:pPr>
    </w:p>
    <w:p w14:paraId="3231E3C4" w14:textId="77777777" w:rsidR="0068658C" w:rsidRPr="00D34C47" w:rsidRDefault="0068658C" w:rsidP="0068658C">
      <w:pPr>
        <w:spacing w:after="0" w:line="240" w:lineRule="auto"/>
        <w:rPr>
          <w:rFonts w:cstheme="minorHAnsi"/>
          <w:sz w:val="28"/>
          <w:szCs w:val="28"/>
        </w:rPr>
      </w:pPr>
      <w:bookmarkStart w:id="5" w:name="_Hlk216296808"/>
      <w:r w:rsidRPr="00D34C47">
        <w:rPr>
          <w:rFonts w:cstheme="minorHAnsi"/>
          <w:sz w:val="28"/>
          <w:szCs w:val="28"/>
        </w:rPr>
        <w:t>Sharma</w:t>
      </w:r>
      <w:bookmarkEnd w:id="5"/>
      <w:r w:rsidRPr="00D34C47">
        <w:rPr>
          <w:rFonts w:cstheme="minorHAnsi"/>
          <w:sz w:val="28"/>
          <w:szCs w:val="28"/>
        </w:rPr>
        <w:t>, A., Rushton, K., Lin, I., Wadden, D., Lucas, K., Miner, A., and Althoff, T. (2023) 'Cognitive reframing of negative thoughts through human-language model interaction', In Proceedings of the 61st Annual Meeting of the Association for Computational Linguistics. 1, pp. 9977-10000.</w:t>
      </w:r>
    </w:p>
    <w:p w14:paraId="3EFB92D2" w14:textId="77777777" w:rsidR="0068658C" w:rsidRPr="00D34C47" w:rsidRDefault="0068658C" w:rsidP="0068658C">
      <w:pPr>
        <w:spacing w:after="0" w:line="240" w:lineRule="auto"/>
        <w:rPr>
          <w:rFonts w:cstheme="minorHAnsi"/>
          <w:sz w:val="28"/>
          <w:szCs w:val="28"/>
        </w:rPr>
      </w:pPr>
    </w:p>
    <w:p w14:paraId="543C5A1B" w14:textId="77777777" w:rsidR="0068658C" w:rsidRPr="00D34C47" w:rsidRDefault="0068658C" w:rsidP="0068658C">
      <w:pPr>
        <w:spacing w:after="0" w:line="240" w:lineRule="auto"/>
        <w:rPr>
          <w:rFonts w:cstheme="minorHAnsi"/>
          <w:sz w:val="28"/>
          <w:szCs w:val="28"/>
        </w:rPr>
      </w:pPr>
      <w:r w:rsidRPr="00D34C47">
        <w:rPr>
          <w:rFonts w:cstheme="minorHAnsi"/>
          <w:sz w:val="28"/>
          <w:szCs w:val="28"/>
        </w:rPr>
        <w:t xml:space="preserve">Yosep, I., Suryani, S., </w:t>
      </w:r>
      <w:proofErr w:type="spellStart"/>
      <w:r w:rsidRPr="00D34C47">
        <w:rPr>
          <w:rFonts w:cstheme="minorHAnsi"/>
          <w:sz w:val="28"/>
          <w:szCs w:val="28"/>
        </w:rPr>
        <w:t>Mediani</w:t>
      </w:r>
      <w:proofErr w:type="spellEnd"/>
      <w:r w:rsidRPr="00D34C47">
        <w:rPr>
          <w:rFonts w:cstheme="minorHAnsi"/>
          <w:sz w:val="28"/>
          <w:szCs w:val="28"/>
        </w:rPr>
        <w:t xml:space="preserve">, H., </w:t>
      </w:r>
      <w:proofErr w:type="spellStart"/>
      <w:r w:rsidRPr="00D34C47">
        <w:rPr>
          <w:rFonts w:cstheme="minorHAnsi"/>
          <w:sz w:val="28"/>
          <w:szCs w:val="28"/>
        </w:rPr>
        <w:t>Mardhiyah</w:t>
      </w:r>
      <w:proofErr w:type="spellEnd"/>
      <w:r w:rsidRPr="00D34C47">
        <w:rPr>
          <w:rFonts w:cstheme="minorHAnsi"/>
          <w:sz w:val="28"/>
          <w:szCs w:val="28"/>
        </w:rPr>
        <w:t xml:space="preserve">, A., and </w:t>
      </w:r>
      <w:proofErr w:type="spellStart"/>
      <w:r w:rsidRPr="00D34C47">
        <w:rPr>
          <w:rFonts w:cstheme="minorHAnsi"/>
          <w:sz w:val="28"/>
          <w:szCs w:val="28"/>
        </w:rPr>
        <w:t>Hernawaty</w:t>
      </w:r>
      <w:proofErr w:type="spellEnd"/>
      <w:r w:rsidRPr="00D34C47">
        <w:rPr>
          <w:rFonts w:cstheme="minorHAnsi"/>
          <w:sz w:val="28"/>
          <w:szCs w:val="28"/>
        </w:rPr>
        <w:t>, T. (2024) ‘A scoping review of nursing interventions to reduce PTSD in adolescents who have been sexually abused’, </w:t>
      </w:r>
      <w:r w:rsidRPr="00D34C47">
        <w:rPr>
          <w:rFonts w:cstheme="minorHAnsi"/>
          <w:i/>
          <w:iCs/>
          <w:sz w:val="28"/>
          <w:szCs w:val="28"/>
        </w:rPr>
        <w:t>BMC Nursing</w:t>
      </w:r>
      <w:r w:rsidRPr="00D34C47">
        <w:rPr>
          <w:rFonts w:cstheme="minorHAnsi"/>
          <w:sz w:val="28"/>
          <w:szCs w:val="28"/>
        </w:rPr>
        <w:t>, 23(470) pp. 40-48.</w:t>
      </w:r>
    </w:p>
    <w:p w14:paraId="2A599327" w14:textId="77777777" w:rsidR="0068658C" w:rsidRPr="00D34C47" w:rsidRDefault="0068658C" w:rsidP="0068658C">
      <w:pPr>
        <w:spacing w:after="0" w:line="240" w:lineRule="auto"/>
        <w:rPr>
          <w:rFonts w:cstheme="minorHAnsi"/>
          <w:sz w:val="28"/>
          <w:szCs w:val="28"/>
        </w:rPr>
      </w:pPr>
    </w:p>
    <w:p w14:paraId="496F14BC" w14:textId="77777777" w:rsidR="0068658C" w:rsidRPr="00D34C47" w:rsidRDefault="0068658C" w:rsidP="0068658C">
      <w:pPr>
        <w:spacing w:after="0" w:line="240" w:lineRule="auto"/>
        <w:rPr>
          <w:sz w:val="28"/>
          <w:szCs w:val="28"/>
        </w:rPr>
      </w:pPr>
      <w:bookmarkStart w:id="6" w:name="_Hlk216296992"/>
      <w:r w:rsidRPr="00D34C47">
        <w:rPr>
          <w:rFonts w:cstheme="minorHAnsi"/>
          <w:sz w:val="28"/>
          <w:szCs w:val="28"/>
        </w:rPr>
        <w:t>Young</w:t>
      </w:r>
      <w:bookmarkEnd w:id="6"/>
      <w:r w:rsidRPr="00D34C47">
        <w:rPr>
          <w:rFonts w:cstheme="minorHAnsi"/>
          <w:sz w:val="28"/>
          <w:szCs w:val="28"/>
        </w:rPr>
        <w:t xml:space="preserve">, K., Chessell, Z. J., Chisholm, A., Brady, F., Akbar, S., Vann, M., and Dixon, L. (2021) 'A cognitive behavioural therapy (CBT) approach for working with strong feelings of guilt after traumatic events', </w:t>
      </w:r>
      <w:r w:rsidRPr="00D34C47">
        <w:rPr>
          <w:rFonts w:cstheme="minorHAnsi"/>
          <w:i/>
          <w:iCs/>
          <w:sz w:val="28"/>
          <w:szCs w:val="28"/>
        </w:rPr>
        <w:t>The Cognit</w:t>
      </w:r>
      <w:r w:rsidRPr="00D34C47">
        <w:rPr>
          <w:i/>
          <w:iCs/>
          <w:sz w:val="28"/>
          <w:szCs w:val="28"/>
        </w:rPr>
        <w:t>ive Behaviour Therapist</w:t>
      </w:r>
      <w:r w:rsidRPr="00D34C47">
        <w:rPr>
          <w:sz w:val="28"/>
          <w:szCs w:val="28"/>
        </w:rPr>
        <w:t>, 14, pp. 26.</w:t>
      </w:r>
    </w:p>
    <w:p w14:paraId="317A2A7B" w14:textId="77777777" w:rsidR="0068658C" w:rsidRPr="0068658C" w:rsidRDefault="0068658C" w:rsidP="004D3636">
      <w:pPr>
        <w:rPr>
          <w:rFonts w:cstheme="minorHAnsi"/>
          <w:sz w:val="28"/>
          <w:szCs w:val="28"/>
        </w:rPr>
      </w:pPr>
    </w:p>
    <w:p w14:paraId="0166CFEF" w14:textId="77777777" w:rsidR="004D3636" w:rsidRPr="0068658C" w:rsidRDefault="004D3636" w:rsidP="004D3636">
      <w:pPr>
        <w:rPr>
          <w:rFonts w:cstheme="minorHAnsi"/>
          <w:sz w:val="28"/>
          <w:szCs w:val="28"/>
        </w:rPr>
      </w:pPr>
    </w:p>
    <w:p w14:paraId="1FD6426B" w14:textId="77777777" w:rsidR="004D3636" w:rsidRPr="0068658C" w:rsidRDefault="004D3636" w:rsidP="004D3636">
      <w:pPr>
        <w:rPr>
          <w:rFonts w:cstheme="minorHAnsi"/>
          <w:sz w:val="28"/>
          <w:szCs w:val="28"/>
        </w:rPr>
      </w:pPr>
    </w:p>
    <w:p w14:paraId="24C241DE" w14:textId="77777777" w:rsidR="004D3636" w:rsidRPr="0068658C" w:rsidRDefault="004D3636" w:rsidP="004D3636">
      <w:pPr>
        <w:rPr>
          <w:rFonts w:cstheme="minorHAnsi"/>
          <w:sz w:val="28"/>
          <w:szCs w:val="28"/>
        </w:rPr>
      </w:pPr>
    </w:p>
    <w:p w14:paraId="1C1EAA34" w14:textId="77777777" w:rsidR="004D3636" w:rsidRPr="0068658C" w:rsidRDefault="004D3636" w:rsidP="004D3636">
      <w:pPr>
        <w:pStyle w:val="ListParagraph"/>
        <w:rPr>
          <w:rFonts w:cstheme="minorHAnsi"/>
          <w:sz w:val="28"/>
          <w:szCs w:val="28"/>
        </w:rPr>
      </w:pPr>
    </w:p>
    <w:p w14:paraId="3BE8254E" w14:textId="77777777" w:rsidR="004D3636" w:rsidRPr="0068658C" w:rsidRDefault="004D3636" w:rsidP="004D3636">
      <w:pPr>
        <w:pStyle w:val="ListParagraph"/>
        <w:rPr>
          <w:rFonts w:cstheme="minorHAnsi"/>
          <w:sz w:val="28"/>
          <w:szCs w:val="28"/>
        </w:rPr>
      </w:pPr>
    </w:p>
    <w:p w14:paraId="75C6ACAC" w14:textId="1DAF63F4" w:rsidR="008521D4" w:rsidRPr="0068658C" w:rsidRDefault="008521D4">
      <w:pPr>
        <w:rPr>
          <w:rFonts w:cstheme="minorHAnsi"/>
          <w:sz w:val="28"/>
          <w:szCs w:val="28"/>
        </w:rPr>
      </w:pPr>
    </w:p>
    <w:p w14:paraId="0F00CDB7" w14:textId="77777777" w:rsidR="008521D4" w:rsidRPr="0068658C" w:rsidRDefault="008521D4">
      <w:pPr>
        <w:rPr>
          <w:rFonts w:cstheme="minorHAnsi"/>
          <w:sz w:val="28"/>
          <w:szCs w:val="28"/>
        </w:rPr>
      </w:pPr>
    </w:p>
    <w:sectPr w:rsidR="008521D4" w:rsidRPr="0068658C">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Calibri Light">
    <w:panose1 w:val="020F0302020204030204"/>
    <w:charset w:val="00"/>
    <w:family w:val="swiss"/>
    <w:pitch w:val="variable"/>
    <w:sig w:usb0="E4002EFF" w:usb1="C2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508A07A5"/>
    <w:multiLevelType w:val="hybridMultilevel"/>
    <w:tmpl w:val="DC30D1D2"/>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 w15:restartNumberingAfterBreak="0">
    <w:nsid w:val="7ED9222F"/>
    <w:multiLevelType w:val="hybridMultilevel"/>
    <w:tmpl w:val="C832C106"/>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16cid:durableId="585379635">
    <w:abstractNumId w:val="0"/>
  </w:num>
  <w:num w:numId="2" w16cid:durableId="11153226">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8521D4"/>
    <w:rsid w:val="000C63A5"/>
    <w:rsid w:val="000D7E95"/>
    <w:rsid w:val="000E0E82"/>
    <w:rsid w:val="001E7044"/>
    <w:rsid w:val="002276AB"/>
    <w:rsid w:val="002561B5"/>
    <w:rsid w:val="002A72A4"/>
    <w:rsid w:val="002D7D1C"/>
    <w:rsid w:val="00322EBA"/>
    <w:rsid w:val="003E70A4"/>
    <w:rsid w:val="0045689A"/>
    <w:rsid w:val="004D3636"/>
    <w:rsid w:val="004F6024"/>
    <w:rsid w:val="005C4D1C"/>
    <w:rsid w:val="00655CDA"/>
    <w:rsid w:val="0068658C"/>
    <w:rsid w:val="00687A26"/>
    <w:rsid w:val="007129D6"/>
    <w:rsid w:val="008521D4"/>
    <w:rsid w:val="008C2278"/>
    <w:rsid w:val="009B5626"/>
    <w:rsid w:val="00A00E97"/>
    <w:rsid w:val="00AA1C25"/>
    <w:rsid w:val="00B566D2"/>
    <w:rsid w:val="00C05C65"/>
    <w:rsid w:val="00C8155D"/>
    <w:rsid w:val="00CA576E"/>
    <w:rsid w:val="00E82E9C"/>
    <w:rsid w:val="00EC3E3C"/>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9CAC8B6"/>
  <w15:chartTrackingRefBased/>
  <w15:docId w15:val="{4FBC0340-5115-4B4C-B90A-9270C21D5C0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4"/>
        <w:lang w:val="en-GB"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8521D4"/>
    <w:pPr>
      <w:keepNext/>
      <w:keepLines/>
      <w:spacing w:before="360" w:after="80"/>
      <w:outlineLvl w:val="0"/>
    </w:pPr>
    <w:rPr>
      <w:rFonts w:asciiTheme="majorHAnsi" w:eastAsiaTheme="majorEastAsia" w:hAnsiTheme="majorHAnsi" w:cstheme="majorBidi"/>
      <w:color w:val="2F5496" w:themeColor="accent1" w:themeShade="BF"/>
      <w:sz w:val="40"/>
      <w:szCs w:val="40"/>
    </w:rPr>
  </w:style>
  <w:style w:type="paragraph" w:styleId="Heading2">
    <w:name w:val="heading 2"/>
    <w:basedOn w:val="Normal"/>
    <w:next w:val="Normal"/>
    <w:link w:val="Heading2Char"/>
    <w:uiPriority w:val="9"/>
    <w:semiHidden/>
    <w:unhideWhenUsed/>
    <w:qFormat/>
    <w:rsid w:val="008521D4"/>
    <w:pPr>
      <w:keepNext/>
      <w:keepLines/>
      <w:spacing w:before="160" w:after="80"/>
      <w:outlineLvl w:val="1"/>
    </w:pPr>
    <w:rPr>
      <w:rFonts w:asciiTheme="majorHAnsi" w:eastAsiaTheme="majorEastAsia" w:hAnsiTheme="majorHAnsi" w:cstheme="majorBidi"/>
      <w:color w:val="2F5496" w:themeColor="accent1" w:themeShade="BF"/>
      <w:sz w:val="32"/>
      <w:szCs w:val="32"/>
    </w:rPr>
  </w:style>
  <w:style w:type="paragraph" w:styleId="Heading3">
    <w:name w:val="heading 3"/>
    <w:basedOn w:val="Normal"/>
    <w:next w:val="Normal"/>
    <w:link w:val="Heading3Char"/>
    <w:uiPriority w:val="9"/>
    <w:semiHidden/>
    <w:unhideWhenUsed/>
    <w:qFormat/>
    <w:rsid w:val="008521D4"/>
    <w:pPr>
      <w:keepNext/>
      <w:keepLines/>
      <w:spacing w:before="160" w:after="80"/>
      <w:outlineLvl w:val="2"/>
    </w:pPr>
    <w:rPr>
      <w:rFonts w:eastAsiaTheme="majorEastAsia" w:cstheme="majorBidi"/>
      <w:color w:val="2F5496" w:themeColor="accent1" w:themeShade="BF"/>
      <w:sz w:val="28"/>
      <w:szCs w:val="28"/>
    </w:rPr>
  </w:style>
  <w:style w:type="paragraph" w:styleId="Heading4">
    <w:name w:val="heading 4"/>
    <w:basedOn w:val="Normal"/>
    <w:next w:val="Normal"/>
    <w:link w:val="Heading4Char"/>
    <w:uiPriority w:val="9"/>
    <w:semiHidden/>
    <w:unhideWhenUsed/>
    <w:qFormat/>
    <w:rsid w:val="008521D4"/>
    <w:pPr>
      <w:keepNext/>
      <w:keepLines/>
      <w:spacing w:before="80" w:after="40"/>
      <w:outlineLvl w:val="3"/>
    </w:pPr>
    <w:rPr>
      <w:rFonts w:eastAsiaTheme="majorEastAsia" w:cstheme="majorBidi"/>
      <w:i/>
      <w:iCs/>
      <w:color w:val="2F5496" w:themeColor="accent1" w:themeShade="BF"/>
    </w:rPr>
  </w:style>
  <w:style w:type="paragraph" w:styleId="Heading5">
    <w:name w:val="heading 5"/>
    <w:basedOn w:val="Normal"/>
    <w:next w:val="Normal"/>
    <w:link w:val="Heading5Char"/>
    <w:uiPriority w:val="9"/>
    <w:semiHidden/>
    <w:unhideWhenUsed/>
    <w:qFormat/>
    <w:rsid w:val="008521D4"/>
    <w:pPr>
      <w:keepNext/>
      <w:keepLines/>
      <w:spacing w:before="80" w:after="40"/>
      <w:outlineLvl w:val="4"/>
    </w:pPr>
    <w:rPr>
      <w:rFonts w:eastAsiaTheme="majorEastAsia" w:cstheme="majorBidi"/>
      <w:color w:val="2F5496" w:themeColor="accent1" w:themeShade="BF"/>
    </w:rPr>
  </w:style>
  <w:style w:type="paragraph" w:styleId="Heading6">
    <w:name w:val="heading 6"/>
    <w:basedOn w:val="Normal"/>
    <w:next w:val="Normal"/>
    <w:link w:val="Heading6Char"/>
    <w:uiPriority w:val="9"/>
    <w:semiHidden/>
    <w:unhideWhenUsed/>
    <w:qFormat/>
    <w:rsid w:val="008521D4"/>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8521D4"/>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8521D4"/>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8521D4"/>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8521D4"/>
    <w:rPr>
      <w:rFonts w:asciiTheme="majorHAnsi" w:eastAsiaTheme="majorEastAsia" w:hAnsiTheme="majorHAnsi" w:cstheme="majorBidi"/>
      <w:color w:val="2F5496" w:themeColor="accent1" w:themeShade="BF"/>
      <w:sz w:val="40"/>
      <w:szCs w:val="40"/>
    </w:rPr>
  </w:style>
  <w:style w:type="character" w:customStyle="1" w:styleId="Heading2Char">
    <w:name w:val="Heading 2 Char"/>
    <w:basedOn w:val="DefaultParagraphFont"/>
    <w:link w:val="Heading2"/>
    <w:uiPriority w:val="9"/>
    <w:semiHidden/>
    <w:rsid w:val="008521D4"/>
    <w:rPr>
      <w:rFonts w:asciiTheme="majorHAnsi" w:eastAsiaTheme="majorEastAsia" w:hAnsiTheme="majorHAnsi" w:cstheme="majorBidi"/>
      <w:color w:val="2F5496" w:themeColor="accent1" w:themeShade="BF"/>
      <w:sz w:val="32"/>
      <w:szCs w:val="32"/>
    </w:rPr>
  </w:style>
  <w:style w:type="character" w:customStyle="1" w:styleId="Heading3Char">
    <w:name w:val="Heading 3 Char"/>
    <w:basedOn w:val="DefaultParagraphFont"/>
    <w:link w:val="Heading3"/>
    <w:uiPriority w:val="9"/>
    <w:semiHidden/>
    <w:rsid w:val="008521D4"/>
    <w:rPr>
      <w:rFonts w:eastAsiaTheme="majorEastAsia" w:cstheme="majorBidi"/>
      <w:color w:val="2F5496" w:themeColor="accent1" w:themeShade="BF"/>
      <w:sz w:val="28"/>
      <w:szCs w:val="28"/>
    </w:rPr>
  </w:style>
  <w:style w:type="character" w:customStyle="1" w:styleId="Heading4Char">
    <w:name w:val="Heading 4 Char"/>
    <w:basedOn w:val="DefaultParagraphFont"/>
    <w:link w:val="Heading4"/>
    <w:uiPriority w:val="9"/>
    <w:semiHidden/>
    <w:rsid w:val="008521D4"/>
    <w:rPr>
      <w:rFonts w:eastAsiaTheme="majorEastAsia" w:cstheme="majorBidi"/>
      <w:i/>
      <w:iCs/>
      <w:color w:val="2F5496" w:themeColor="accent1" w:themeShade="BF"/>
    </w:rPr>
  </w:style>
  <w:style w:type="character" w:customStyle="1" w:styleId="Heading5Char">
    <w:name w:val="Heading 5 Char"/>
    <w:basedOn w:val="DefaultParagraphFont"/>
    <w:link w:val="Heading5"/>
    <w:uiPriority w:val="9"/>
    <w:semiHidden/>
    <w:rsid w:val="008521D4"/>
    <w:rPr>
      <w:rFonts w:eastAsiaTheme="majorEastAsia" w:cstheme="majorBidi"/>
      <w:color w:val="2F5496" w:themeColor="accent1" w:themeShade="BF"/>
    </w:rPr>
  </w:style>
  <w:style w:type="character" w:customStyle="1" w:styleId="Heading6Char">
    <w:name w:val="Heading 6 Char"/>
    <w:basedOn w:val="DefaultParagraphFont"/>
    <w:link w:val="Heading6"/>
    <w:uiPriority w:val="9"/>
    <w:semiHidden/>
    <w:rsid w:val="008521D4"/>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8521D4"/>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8521D4"/>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8521D4"/>
    <w:rPr>
      <w:rFonts w:eastAsiaTheme="majorEastAsia" w:cstheme="majorBidi"/>
      <w:color w:val="272727" w:themeColor="text1" w:themeTint="D8"/>
    </w:rPr>
  </w:style>
  <w:style w:type="paragraph" w:styleId="Title">
    <w:name w:val="Title"/>
    <w:basedOn w:val="Normal"/>
    <w:next w:val="Normal"/>
    <w:link w:val="TitleChar"/>
    <w:uiPriority w:val="10"/>
    <w:qFormat/>
    <w:rsid w:val="008521D4"/>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8521D4"/>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8521D4"/>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8521D4"/>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8521D4"/>
    <w:pPr>
      <w:spacing w:before="160"/>
      <w:jc w:val="center"/>
    </w:pPr>
    <w:rPr>
      <w:i/>
      <w:iCs/>
      <w:color w:val="404040" w:themeColor="text1" w:themeTint="BF"/>
    </w:rPr>
  </w:style>
  <w:style w:type="character" w:customStyle="1" w:styleId="QuoteChar">
    <w:name w:val="Quote Char"/>
    <w:basedOn w:val="DefaultParagraphFont"/>
    <w:link w:val="Quote"/>
    <w:uiPriority w:val="29"/>
    <w:rsid w:val="008521D4"/>
    <w:rPr>
      <w:i/>
      <w:iCs/>
      <w:color w:val="404040" w:themeColor="text1" w:themeTint="BF"/>
    </w:rPr>
  </w:style>
  <w:style w:type="paragraph" w:styleId="ListParagraph">
    <w:name w:val="List Paragraph"/>
    <w:basedOn w:val="Normal"/>
    <w:uiPriority w:val="34"/>
    <w:qFormat/>
    <w:rsid w:val="008521D4"/>
    <w:pPr>
      <w:ind w:left="720"/>
      <w:contextualSpacing/>
    </w:pPr>
  </w:style>
  <w:style w:type="character" w:styleId="IntenseEmphasis">
    <w:name w:val="Intense Emphasis"/>
    <w:basedOn w:val="DefaultParagraphFont"/>
    <w:uiPriority w:val="21"/>
    <w:qFormat/>
    <w:rsid w:val="008521D4"/>
    <w:rPr>
      <w:i/>
      <w:iCs/>
      <w:color w:val="2F5496" w:themeColor="accent1" w:themeShade="BF"/>
    </w:rPr>
  </w:style>
  <w:style w:type="paragraph" w:styleId="IntenseQuote">
    <w:name w:val="Intense Quote"/>
    <w:basedOn w:val="Normal"/>
    <w:next w:val="Normal"/>
    <w:link w:val="IntenseQuoteChar"/>
    <w:uiPriority w:val="30"/>
    <w:qFormat/>
    <w:rsid w:val="008521D4"/>
    <w:pPr>
      <w:pBdr>
        <w:top w:val="single" w:sz="4" w:space="10" w:color="2F5496" w:themeColor="accent1" w:themeShade="BF"/>
        <w:bottom w:val="single" w:sz="4" w:space="10" w:color="2F5496" w:themeColor="accent1" w:themeShade="BF"/>
      </w:pBdr>
      <w:spacing w:before="360" w:after="360"/>
      <w:ind w:left="864" w:right="864"/>
      <w:jc w:val="center"/>
    </w:pPr>
    <w:rPr>
      <w:i/>
      <w:iCs/>
      <w:color w:val="2F5496" w:themeColor="accent1" w:themeShade="BF"/>
    </w:rPr>
  </w:style>
  <w:style w:type="character" w:customStyle="1" w:styleId="IntenseQuoteChar">
    <w:name w:val="Intense Quote Char"/>
    <w:basedOn w:val="DefaultParagraphFont"/>
    <w:link w:val="IntenseQuote"/>
    <w:uiPriority w:val="30"/>
    <w:rsid w:val="008521D4"/>
    <w:rPr>
      <w:i/>
      <w:iCs/>
      <w:color w:val="2F5496" w:themeColor="accent1" w:themeShade="BF"/>
    </w:rPr>
  </w:style>
  <w:style w:type="character" w:styleId="IntenseReference">
    <w:name w:val="Intense Reference"/>
    <w:basedOn w:val="DefaultParagraphFont"/>
    <w:uiPriority w:val="32"/>
    <w:qFormat/>
    <w:rsid w:val="008521D4"/>
    <w:rPr>
      <w:b/>
      <w:bCs/>
      <w:smallCaps/>
      <w:color w:val="2F5496" w:themeColor="accent1" w:themeShade="BF"/>
      <w:spacing w:val="5"/>
    </w:rPr>
  </w:style>
  <w:style w:type="character" w:styleId="Hyperlink">
    <w:name w:val="Hyperlink"/>
    <w:basedOn w:val="DefaultParagraphFont"/>
    <w:uiPriority w:val="99"/>
    <w:unhideWhenUsed/>
    <w:rsid w:val="002561B5"/>
    <w:rPr>
      <w:color w:val="0563C1" w:themeColor="hyperlink"/>
      <w:u w:val="single"/>
    </w:rPr>
  </w:style>
  <w:style w:type="character" w:styleId="UnresolvedMention">
    <w:name w:val="Unresolved Mention"/>
    <w:basedOn w:val="DefaultParagraphFont"/>
    <w:uiPriority w:val="99"/>
    <w:semiHidden/>
    <w:unhideWhenUsed/>
    <w:rsid w:val="002561B5"/>
    <w:rPr>
      <w:color w:val="605E5C"/>
      <w:shd w:val="clear" w:color="auto" w:fill="E1DFDD"/>
    </w:rPr>
  </w:style>
  <w:style w:type="paragraph" w:styleId="NormalWeb">
    <w:name w:val="Normal (Web)"/>
    <w:basedOn w:val="Normal"/>
    <w:uiPriority w:val="99"/>
    <w:semiHidden/>
    <w:unhideWhenUsed/>
    <w:rsid w:val="003E70A4"/>
    <w:rPr>
      <w:rFonts w:ascii="Times New Roman" w:hAnsi="Times New Roman" w:cs="Times New Roman"/>
    </w:rPr>
  </w:style>
  <w:style w:type="character" w:styleId="Strong">
    <w:name w:val="Strong"/>
    <w:basedOn w:val="DefaultParagraphFont"/>
    <w:uiPriority w:val="22"/>
    <w:qFormat/>
    <w:rsid w:val="00B566D2"/>
    <w:rPr>
      <w:b/>
      <w:b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6</Pages>
  <Words>1673</Words>
  <Characters>9538</Characters>
  <Application>Microsoft Office Word</Application>
  <DocSecurity>0</DocSecurity>
  <Lines>79</Lines>
  <Paragraphs>22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11189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Anna Klepczarek</dc:creator>
  <cp:keywords/>
  <dc:description/>
  <cp:lastModifiedBy>Anna Klepczarek</cp:lastModifiedBy>
  <cp:revision>8</cp:revision>
  <dcterms:created xsi:type="dcterms:W3CDTF">2025-12-10T03:58:00Z</dcterms:created>
  <dcterms:modified xsi:type="dcterms:W3CDTF">2025-12-11T18:59:00Z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fb6c1cf9-2859-4f7a-874d-8a966119cfd0</vt:lpwstr>
  </property>
</Properties>
</file>