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CC4137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65352" w:rsidRPr="00FD6101">
              <w:rPr>
                <w:rFonts w:ascii="Times New Roman" w:hAnsi="Times New Roman" w:cs="Times New Roman"/>
                <w:bCs/>
                <w:color w:val="auto"/>
                <w:sz w:val="48"/>
              </w:rPr>
              <w:t>Rhodd Young</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1585A0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65352">
              <w:t xml:space="preserve"> </w:t>
            </w:r>
            <w:r w:rsidR="00765352" w:rsidRPr="00765352">
              <w:rPr>
                <w:rFonts w:ascii="Times New Roman" w:hAnsi="Times New Roman" w:cs="Times New Roman"/>
                <w:bCs/>
                <w:color w:val="auto"/>
                <w:sz w:val="48"/>
              </w:rPr>
              <w:t>2329656@student.uwtsd.ac.uk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567E55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65352">
              <w:t xml:space="preserve"> </w:t>
            </w:r>
            <w:r w:rsidR="00765352" w:rsidRPr="00765352">
              <w:rPr>
                <w:rFonts w:ascii="Times New Roman" w:hAnsi="Times New Roman" w:cs="Times New Roman"/>
                <w:bCs/>
                <w:color w:val="auto"/>
                <w:sz w:val="36"/>
                <w:szCs w:val="36"/>
              </w:rPr>
              <w:t>2329656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29B8C710"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INTRODUCTION</w:t>
            </w:r>
          </w:p>
          <w:p w14:paraId="30B976DF"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This case study will critically reflect on my involvement in the assessment and safeguarding of 3, an older female adult who disclosed a long history of domestic abuse. It will explore the safeguarding procedures followed, the assessment of her care and support needs and the professional judgments made throughout the process. It will also consider how relevant legislation, policies and social work theories informed my practice, alongside my collaborative working with 3 and other professionals. The case study will consider the specific context of practising social work in Wales, including relevant Welsh, UK and international frameworks.</w:t>
            </w:r>
          </w:p>
          <w:p w14:paraId="56121C7B"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lastRenderedPageBreak/>
              <w:t>SAFEGUARDING CONCERN</w:t>
            </w:r>
          </w:p>
          <w:p w14:paraId="0FDB81DD"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In this section, I will explain the safeguarding concern, the steps taken following 3’s disclosure, and why these steps were taken in relation to safeguarding procedures.</w:t>
            </w:r>
          </w:p>
          <w:p w14:paraId="7311B354"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3 was admitted to hospital due to health-related conditions. She disclosed to staff on the ward that she has been experiencing abuse from her husband for approximately 50 years. She reported experiencing emotional, coercive and physical abuse. Following this disclosure, the ward made a safeguarding referral to the local authority in accordance with Section 128 of the Social Services and Wellbeing (Wales) Act 2014 (SSWBA), which places a duty on relevant partners to inform the local authority where they have reasonable cause to suspect that an adult is at risk of abuse or neglect. Section 126 of the SSWBA defines an adult at risk and places a duty on the local authority to make enquiries where there is reasonable cause to suspect that an adult is at risk. In this case, 3 met the criteria as she had care and support needs, was experiencing or at risk of abuse, and because of her circumstances may have been unable to protect herself from the abuse. </w:t>
            </w:r>
          </w:p>
          <w:p w14:paraId="091998A0" w14:textId="030690E5"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Following the referral, a strategy safeguarding meeting was arranged in line with the Wales Safeguarding Procedures. These procedures provide national guidance for responding to safeguarding concerns in Wales. Before the meeting took place, the safeguarding lead asked me to gather further information from 3 to help inform the discussion. The purpose was to develop a clearer understanding of the concerns, level of risk, and 3’s wishes and feelings about what she wanted to happen. This was important because safeguarding practice considers the adult's wishes and feelings alongside identified </w:t>
            </w:r>
            <w:r w:rsidRPr="00BE07C6">
              <w:rPr>
                <w:rFonts w:ascii="Times New Roman" w:eastAsia="Aptos" w:hAnsi="Times New Roman" w:cs="Times New Roman"/>
                <w:color w:val="auto"/>
                <w:kern w:val="2"/>
                <w:sz w:val="24"/>
                <w:szCs w:val="24"/>
                <w:lang w:eastAsia="en-US"/>
                <w14:ligatures w14:val="standardContextual"/>
              </w:rPr>
              <w:lastRenderedPageBreak/>
              <w:t xml:space="preserve">risks, supporting a proportionate response that balances their safety with their autonomy (Safeguarding Wales, </w:t>
            </w:r>
            <w:r w:rsidR="00D77282">
              <w:rPr>
                <w:rFonts w:ascii="Times New Roman" w:eastAsia="Aptos" w:hAnsi="Times New Roman" w:cs="Times New Roman"/>
                <w:color w:val="auto"/>
                <w:kern w:val="2"/>
                <w:sz w:val="24"/>
                <w:szCs w:val="24"/>
                <w:lang w:eastAsia="en-US"/>
                <w14:ligatures w14:val="standardContextual"/>
              </w:rPr>
              <w:t>2019</w:t>
            </w:r>
            <w:r w:rsidRPr="00BE07C6">
              <w:rPr>
                <w:rFonts w:ascii="Times New Roman" w:eastAsia="Aptos" w:hAnsi="Times New Roman" w:cs="Times New Roman"/>
                <w:color w:val="auto"/>
                <w:kern w:val="2"/>
                <w:sz w:val="24"/>
                <w:szCs w:val="24"/>
                <w:lang w:eastAsia="en-US"/>
                <w14:ligatures w14:val="standardContextual"/>
              </w:rPr>
              <w:t xml:space="preserve">). </w:t>
            </w:r>
          </w:p>
          <w:p w14:paraId="3600F663"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I explained my role to 3 and that I was there to discuss the disclosure with her in more detail. As I was already aware that 3 had experienced many years of abuse, I used a trauma-informed approach. I focused on creating an environment where she could speak openly and feel able to express her wishes. I ensured that we could speak privately, showed empathy and maintained a non-judgemental approach. 3 openly spoke about her experiences but explained that she did not want the safeguarding referral to progress further than the initial meeting and that she would like to return home despite the risks. I found this challenging as trauma-informed practice recognises that a person’s responses and presentation can be influenced by previous experiences of trauma (Magee, 2021). However, I was mindful not to assume how the abuse affected her or why she wished to return home. Instead, I respected her choice, and we discussed support available to her. </w:t>
            </w:r>
          </w:p>
          <w:p w14:paraId="5DF8F9A6"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I also reflected on the power imbalance within the discussion. As a social worker, I held a position of professional authority, particularly as I was involved in gathering information that would contribute to a safeguarding meeting. I was mindful that this could have affected how 3 felt able to express her wishes. I therefore focused on how I could support 3. This included being transparent about my role, explaining why information was being gathered and ensuring that 3 understood that her voice would be heard.</w:t>
            </w:r>
          </w:p>
          <w:p w14:paraId="338E2C4C"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I then shared the information I gathered with the safeguarding lead and contributed to the strategy safeguarding meeting. In accordance with the Wales Safeguarding Procedures, information gathered during the safeguarding enquiry should be used to inform multi-agency decision-making and </w:t>
            </w:r>
            <w:r w:rsidRPr="00BE07C6">
              <w:rPr>
                <w:rFonts w:ascii="Times New Roman" w:eastAsia="Aptos" w:hAnsi="Times New Roman" w:cs="Times New Roman"/>
                <w:color w:val="auto"/>
                <w:kern w:val="2"/>
                <w:sz w:val="24"/>
                <w:szCs w:val="24"/>
                <w:lang w:eastAsia="en-US"/>
                <w14:ligatures w14:val="standardContextual"/>
              </w:rPr>
              <w:lastRenderedPageBreak/>
              <w:t xml:space="preserve">determine appropriate response to the concern identified. Strategy meetings bring together relevant professionals to share information, consider the concerns and risks identified, and agree what action should be taken. The meeting considers the adult at risk’s wishes and feelings, their immediate safety and care and support needs, whether further enquiries are required and how risks can be managed. In 3’s case, the information she provided was important because although she disclosed experiencing prolonged abuse, she did not want safeguarding enquiry to progress further and expressed a wish to return home. Her wishes therefore needed to be considered alongside the risks identified. The safeguarding process recognises that an adult at risk should be involved in decisions about their safeguarding wherever possible, including consideration of their consent and personal outcomes. Following the meeting, it was agreed that the safeguarding process would be closed, </w:t>
            </w:r>
            <w:proofErr w:type="gramStart"/>
            <w:r w:rsidRPr="00BE07C6">
              <w:rPr>
                <w:rFonts w:ascii="Times New Roman" w:eastAsia="Aptos" w:hAnsi="Times New Roman" w:cs="Times New Roman"/>
                <w:color w:val="auto"/>
                <w:kern w:val="2"/>
                <w:sz w:val="24"/>
                <w:szCs w:val="24"/>
                <w:lang w:eastAsia="en-US"/>
                <w14:ligatures w14:val="standardContextual"/>
              </w:rPr>
              <w:t>taking into account</w:t>
            </w:r>
            <w:proofErr w:type="gramEnd"/>
            <w:r w:rsidRPr="00BE07C6">
              <w:rPr>
                <w:rFonts w:ascii="Times New Roman" w:eastAsia="Aptos" w:hAnsi="Times New Roman" w:cs="Times New Roman"/>
                <w:color w:val="auto"/>
                <w:kern w:val="2"/>
                <w:sz w:val="24"/>
                <w:szCs w:val="24"/>
                <w:lang w:eastAsia="en-US"/>
                <w14:ligatures w14:val="standardContextual"/>
              </w:rPr>
              <w:t xml:space="preserve"> 3’s wishes, her capacity and the information available regarding the risks.  An agreed action was for 3 to be allocated a social worker to assess her care and support needs and support her with discharge. I then became her allocated social worker.  Although the safeguarding process was closed, the information regarding the domestic abuse remained relevant to my subsequent assessment and professional judgement.</w:t>
            </w:r>
          </w:p>
          <w:p w14:paraId="70463506"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It is also important to consider what could have happened had 3 wished to continue with the safeguarding process. Under the Wales Safeguarding Procedures, further enquiries could have been undertaken to establish the extent of the concerns and identify appropriate actions to reduce the risk of further harm. This could have resulted in a safeguarding plan setting out agreed actions, responsibilities and timescales, with the plan to be reviewed to ensure that the identified risks were being effectively managed. </w:t>
            </w:r>
          </w:p>
          <w:p w14:paraId="506D2A14"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lastRenderedPageBreak/>
              <w:t>ASSESSMENT</w:t>
            </w:r>
          </w:p>
          <w:p w14:paraId="06F427B2"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As the newly allocated social worker, my role changed from gathering information for the safeguarding process to completing a care and support assessment to establish what support 3 required to return home from hospital. Before revisiting 3, I reviewed the information already available and spoke with relevant professionals who were involved. The domestic abuse key worker had become involved following 3’s disclosure of domestic abuse and provided information about her circumstances and the concerns identified. I also spoke with the staff nurse to gain a wider understanding of 3’s needs. This helped me to develop a wider understanding of 3’s needs and circumstances, as my previous involvement has mainly focused on the safeguarding concern and the disclosure of abuse. However, I was mindful that the information provided by other professionals reflected their perspectives, and I needed to remain open-minded and avoid letting those views influence my assessment before hearing directly from 3. Although the safeguarding process had closed, the domestic abuse remained relevant to my assessment. I therefore considered how the reported abuse affected 3’s safety, support networks and the risk associated with returning home. Considering this alongside 3’s own views helped inform my professional judgement about her care and support needs. Dixon (2023) highlights the importance of drawing on information from different sources when social workers assess and manage safeguarding risk, while also considering the views of the individual. This reflected my practice as I considered information from other professionals alongside 3’s own views.</w:t>
            </w:r>
          </w:p>
          <w:p w14:paraId="5FA396C1"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To assess 3’s care and support needs, I used the ‘what matters’ conversation, which is described as a skilled method of working with individuals to understand what is important to them and how they </w:t>
            </w:r>
            <w:r w:rsidRPr="00BE07C6">
              <w:rPr>
                <w:rFonts w:ascii="Times New Roman" w:eastAsia="Aptos" w:hAnsi="Times New Roman" w:cs="Times New Roman"/>
                <w:color w:val="auto"/>
                <w:kern w:val="2"/>
                <w:sz w:val="24"/>
                <w:szCs w:val="24"/>
                <w:lang w:eastAsia="en-US"/>
                <w14:ligatures w14:val="standardContextual"/>
              </w:rPr>
              <w:lastRenderedPageBreak/>
              <w:t xml:space="preserve">would like to live their lives, and the challenges that may be preventing them from achieving this (Social Care Wales, 2022). We focused on 3’s wish to return home and explored what support she felt she would need to return home safely. Rather than focusing solely on difficulties, I applied a strengths-based approach, and we considered existing strengths, abilities and support networks. This kept the assessment focused on her personal outcomes and what could be arranged to support her independence. The strengths-based approach was used because it is empowering and recognises that everyone has strengths that can help individuals achieve their goals (Teater, 2014). I felt that this approach was effective as we explored strengths together, and I felt that 3 began to recognise what she was able to manage independently.  The approach has received some criticism for being too optimistic and potentially overlooking the reality of individuals’ problems (Teater, 2014). I therefore recognised that focusing on 3’s strengths could not mean overlooking the domestic abuse concerns or the risks associated with returning home. I needed to consider her abilities alongside the potential risks within her home environment when considering what support was required. Although I wanted to promote her independence, I also needed to consider the areas where she required support and whether the available support would be sufficient to enable her to return home safely. This meant balancing a strengths-based approach with professional judgement about the risks and care and support needs identified during the assessment. I will discuss more approaches used later in this case study. </w:t>
            </w:r>
          </w:p>
          <w:p w14:paraId="21DB41B5"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The assessment identified that 3 had some difficulties with aspects of daily living, particularly in relation to her mobility, aspects of personal care and preparing meals, which could affect her ability to manage safely at home. However, she could manage many aspects of daily living independently and had existing support through her family and community networks. We therefore explored what </w:t>
            </w:r>
            <w:r w:rsidRPr="00BE07C6">
              <w:rPr>
                <w:rFonts w:ascii="Times New Roman" w:eastAsia="Aptos" w:hAnsi="Times New Roman" w:cs="Times New Roman"/>
                <w:color w:val="auto"/>
                <w:kern w:val="2"/>
                <w:sz w:val="24"/>
                <w:szCs w:val="24"/>
                <w:lang w:eastAsia="en-US"/>
                <w14:ligatures w14:val="standardContextual"/>
              </w:rPr>
              <w:lastRenderedPageBreak/>
              <w:t>support could enable her to achieve her desired outcome of returning home and developed a support plan which included carers. As support in her area was limited to a short-term service, I used professional judgement to consider whether this would be sufficient to meet her needs. I discussed my concerns with 3 that she would be left without carer support after two weeks and may struggle to manage, and I explained alternative options, including a temporary placement until a longer-term package became available. However, I also needed to consider the risk of 3 returning to a home where she had reported experiencing emotional, coercive and physical abuse from her husband for approximately 50 years. The domestic abuse key worker did not continue to be involved because 3 did not want this support, and their continued involvement was considered a potential risk to her. This meant I needed to consider how to support 3’s safety while respecting her wishes and avoiding interventions that could increase her risk. 3 understood the risks and available options and chose to return home with the short-term service. As she had capacity to make this decision, I respected her choice while recognising my professional responsibility to consider and manage the identified risks. This reflected the SSWBA by promoting her wellbeing, voice and control while balancing this with my responsibility to consider risk.</w:t>
            </w:r>
          </w:p>
          <w:p w14:paraId="73747D30"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THEORIES INFORMING PRACTICE</w:t>
            </w:r>
          </w:p>
          <w:p w14:paraId="56F3A2BB"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In addition to the strengths-based approach discussed above, I also used the ecological systems theory and task-centred approach to inform my practice. The ecological systems theory considers how an individual’s experiences are influenced by the different systems and relationships surrounding them (O’Donoghue and Maidment, 2005). This was relevant to 3 as her ability to return home and remain </w:t>
            </w:r>
            <w:r w:rsidRPr="00BE07C6">
              <w:rPr>
                <w:rFonts w:ascii="Times New Roman" w:eastAsia="Aptos" w:hAnsi="Times New Roman" w:cs="Times New Roman"/>
                <w:color w:val="auto"/>
                <w:kern w:val="2"/>
                <w:sz w:val="24"/>
                <w:szCs w:val="24"/>
                <w:lang w:eastAsia="en-US"/>
                <w14:ligatures w14:val="standardContextual"/>
              </w:rPr>
              <w:lastRenderedPageBreak/>
              <w:t>independent was influenced not only by her physical health and mobility, but also by her relationship with her husband and the support available to her.</w:t>
            </w:r>
          </w:p>
          <w:p w14:paraId="5BB6C95B"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For example, 3’s mobility difficulties meant that she struggled to prepare meals. I initially considered what informal support may have been available to her, including support from her husband. However, based on the information available to me, I could not assume that he would provide this support. Before her hospital admission, when 3 was experiencing significant health issues, she reported that her husband had not provided her with food or water for several days. She also explained that his views about gender roles meant that he did not believe he should be responsible for caring for her. This history of alleged abuse influenced my assessment of the safety and sustainability of the home environment, as relying on her husband for support could potentially increase 3’s vulnerability. Considering this within the ecological perspective helped me to recognise that her relationship with her husband could affect her ability to manage safely at home.  I therefore considered alternative sources of support, including family, community networks and formal care services, to reduce reliance on her husband and support 3’s safety and independence.</w:t>
            </w:r>
          </w:p>
          <w:p w14:paraId="0E5797B5" w14:textId="3D07F20E"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The ecological perspective helped me to understand that 3’s care and support needs could not be considered in isolation, as her wider environment and relationships influenced her ability to achieve her desired outcomes. This was particularly relevant to her experience of domestic abuse, as the lack of support from her husband affected the support available to her at home. O’Donoghue and </w:t>
            </w:r>
            <w:r w:rsidR="00D77282">
              <w:rPr>
                <w:rFonts w:ascii="Times New Roman" w:eastAsia="Aptos" w:hAnsi="Times New Roman" w:cs="Times New Roman"/>
                <w:color w:val="auto"/>
                <w:kern w:val="2"/>
                <w:sz w:val="24"/>
                <w:szCs w:val="24"/>
                <w:lang w:eastAsia="en-US"/>
                <w14:ligatures w14:val="standardContextual"/>
              </w:rPr>
              <w:t>Maidment</w:t>
            </w:r>
            <w:r w:rsidRPr="00BE07C6">
              <w:rPr>
                <w:rFonts w:ascii="Times New Roman" w:eastAsia="Aptos" w:hAnsi="Times New Roman" w:cs="Times New Roman"/>
                <w:color w:val="auto"/>
                <w:kern w:val="2"/>
                <w:sz w:val="24"/>
                <w:szCs w:val="24"/>
                <w:lang w:eastAsia="en-US"/>
                <w14:ligatures w14:val="standardContextual"/>
              </w:rPr>
              <w:t xml:space="preserve"> (2005) identify the ability to explore the relationship systems surrounding an individual as a strength of the ecological perspective. However, they also recognise that the approach provides limited guidance about which interventions social workers should use. I therefore needed to consider </w:t>
            </w:r>
            <w:r w:rsidRPr="00BE07C6">
              <w:rPr>
                <w:rFonts w:ascii="Times New Roman" w:eastAsia="Aptos" w:hAnsi="Times New Roman" w:cs="Times New Roman"/>
                <w:color w:val="auto"/>
                <w:kern w:val="2"/>
                <w:sz w:val="24"/>
                <w:szCs w:val="24"/>
                <w:lang w:eastAsia="en-US"/>
                <w14:ligatures w14:val="standardContextual"/>
              </w:rPr>
              <w:lastRenderedPageBreak/>
              <w:t xml:space="preserve">the history of domestic abuse alongside practical support available to 3, as her home environment could present risks to her safety as well as challenges in meeting her care and support needs. This meant I needed to combine the ecological perspective with professional judgement when deciding what support would enable 3 to return home safely. </w:t>
            </w:r>
          </w:p>
          <w:p w14:paraId="5163A098"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I also used the task-centred approach to support my assessment with 3. Teater (2014) describes the approach as a problem-solving method that focuses on specific tasks agreed between the social worker and the individual to help them work towards a goal. This was relevant to my work with 3 as we worked together to identify what needed to happen for her to return home. We discussed tasks for both of us, including what 3 could do herself and what I needed to arrange and explore as available support. This gave the assessment a clear focus and helped us work together towards her goal of returning home.</w:t>
            </w:r>
          </w:p>
          <w:p w14:paraId="7614B6A4"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The main strength of this approach was that it was practical and allowed us to break the situation down into manageable tasks. The model was also useful because it could be used alongside other approaches and theories (Teater, 2014). As mentioned above, I also used the ecological model, which worked well alongside it by considering both the practical tasks and the wider systems around 3. However, a limitation of the approach was that it focuses on specific problems and short-term goals (Teater, 2014). In 3’s case, her situation was much more complex due to her long history of domestic abuse. Identifying and completing individual tasks could help with her immediate care and support needs but would not address the wider issues within her relationship. This highlighted the tension between autonomy and protection in my practice, as safeguarding adults requires practitioners to balance respect for an individual’s choice with consideration of protection from harm (Brammer &amp; </w:t>
            </w:r>
            <w:r w:rsidRPr="00BE07C6">
              <w:rPr>
                <w:rFonts w:ascii="Times New Roman" w:eastAsia="Aptos" w:hAnsi="Times New Roman" w:cs="Times New Roman"/>
                <w:color w:val="auto"/>
                <w:kern w:val="2"/>
                <w:sz w:val="24"/>
                <w:szCs w:val="24"/>
                <w:lang w:eastAsia="en-US"/>
                <w14:ligatures w14:val="standardContextual"/>
              </w:rPr>
              <w:lastRenderedPageBreak/>
              <w:t>Pritchard-Jones, 2019). While the practical tasks supported 3’s wish to return home, I also needed to consider the safeguarding risks associated with returning to a relationship where she had reported experiencing domestic abuse. I therefore had to balance supporting 3’s voice and control with my professional responsibility to consider her safety and how to manage the identified risks.</w:t>
            </w:r>
          </w:p>
          <w:p w14:paraId="13AFA01A"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From this experience, I have learned that using different methods and approaches allowed me to benefit from the strengths of each one. The strengths-based approach helped me focus on 3’s abilities and resources, the ecological model helped me to consider the wider relationships and systems around her, and the task-centred approach helped me to break down her goals into practical tasks. Using these approaches together helped me work with 3 in a person-centred way while also considering the safeguarding risks associated with her experience of domestic abuse. This helped me recognise that practical care and support needs cannot be considered separately from safeguarding concerns, and that professional judgement is needed to balance 3’s wishes with the risks identified. Moving forward, I will use a combination of theories and approaches to guide my practice and interventions, while ensuring safeguarding concerns remain central to my practice.</w:t>
            </w:r>
          </w:p>
          <w:p w14:paraId="539DB5EC"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LEGISLATION</w:t>
            </w:r>
          </w:p>
          <w:p w14:paraId="64590C94"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Several pieces of legislation and guidance informed my practice throughout this case. These provided a framework for safeguarding, assessing 3’s care and support needs and balancing her rights and choices with my professional responsibilities.</w:t>
            </w:r>
          </w:p>
          <w:p w14:paraId="47446E8B"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The Violence against Women, Domestic Abuse and Sexual Violence (Wales) Act 2015 was relevant to this case as I was practising as a social worker with an adult experiencing abuse within Wales. The </w:t>
            </w:r>
            <w:r w:rsidRPr="00BE07C6">
              <w:rPr>
                <w:rFonts w:ascii="Times New Roman" w:eastAsia="Aptos" w:hAnsi="Times New Roman" w:cs="Times New Roman"/>
                <w:color w:val="auto"/>
                <w:kern w:val="2"/>
                <w:sz w:val="24"/>
                <w:szCs w:val="24"/>
                <w:lang w:eastAsia="en-US"/>
                <w14:ligatures w14:val="standardContextual"/>
              </w:rPr>
              <w:lastRenderedPageBreak/>
              <w:t>Act aims to improve the prevention of domestic abuse and provide better protection and support for those affected (s.1 (a)(b)(c)). In 3’s case, hospital staff, the police, the safeguarding lead and domestic abuse key worker contributed to the initial safeguarding response. However, following 3’s wishes, their involvement did not continue as she did not want ongoing support.</w:t>
            </w:r>
          </w:p>
          <w:p w14:paraId="2751B01A"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The VAWDASV Act sits alongside the Domestic Abuse Act 2021 (DA), which applies to both England and Wales. However, the legislation applies differently because some areas are devolved to Wales, while others remain the responsibility of the UK Government. Social care is a devolved area in Wales, whereas areas such as policing and criminal justice remain reserved to the UK Government. In practice, Welsh social care services follow Welsh legislation and guidance, while UK legislation is more relevant where police or criminal justice services are involved. In this case, I worked under the Welsh legislation but was aware of the link to UK legislation.</w:t>
            </w:r>
          </w:p>
          <w:p w14:paraId="03DD949D"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The Mental Capacity Act 2005 (MCA) was also relevant to this case as 3 had capacity to make decisions about her own life, and where she would like to live. The Act states that a person should be supported to make their own decisions and should not be treated as lacking capacity just because their decision could be seen as ‘unwise’. I established that 3 had capacity to make this decision because she could understand and retain the relevant information, weigh the risks and options available to her, and communicate her decision to return home. This was important in this case as 3 understood the risks of returning home but still chose to return home to her husband. Although 3 had experienced coercive abuse, I recognised that this did not mean that she lacked capacity to make the decision. I therefore had to respect her decision while also ensuring she understood the risks and how they could be </w:t>
            </w:r>
            <w:r w:rsidRPr="00BE07C6">
              <w:rPr>
                <w:rFonts w:ascii="Times New Roman" w:eastAsia="Aptos" w:hAnsi="Times New Roman" w:cs="Times New Roman"/>
                <w:color w:val="auto"/>
                <w:kern w:val="2"/>
                <w:sz w:val="24"/>
                <w:szCs w:val="24"/>
                <w:lang w:eastAsia="en-US"/>
                <w14:ligatures w14:val="standardContextual"/>
              </w:rPr>
              <w:lastRenderedPageBreak/>
              <w:t xml:space="preserve">managed. This created a dilemma for me as I was concerned about her safety, but I also had to recognise her right to make her own decisions under the MCA. </w:t>
            </w:r>
          </w:p>
          <w:p w14:paraId="669B033B"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The Human Rights Act 1998 was also relevant to this case. The Act protects the rights and freedoms set out in the European Convention on Human Rights, which provides a framework for protecting human rights across Europe (Council of Europe, 1950). Article 8, ‘the right to respect for private and family life’, was particularly relevant to 3 as she wanted to return home and remain with her husband. I had to consider her right to make choices about her own life alongside my concerns about her safety. This demonstrated that her right to respect for private and family life could not be considered separately from my responsibility to consider the risks of harm associated with returning home.</w:t>
            </w:r>
          </w:p>
          <w:p w14:paraId="63D7D11D"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As a social worker practising in Wales, I also needed to be aware of the Welsh language requirements within social care. The Welsh Language (Wales) Measure 2011 established the Welsh Language standards, and the ‘more than just words’ framework promotes the use of Welsh in health and social care. The active offer means that the Welsh language should be offered without the individual having to request Welsh. In this case, 3 was an English speaker and did not want services in Welsh. Her language preference was respected.  This is important in safeguarding because effective communication and understanding are essential to ensure that individuals can express their wishes, understand risks and participate in decisions about their safety (Welsh Government, 2022).</w:t>
            </w:r>
          </w:p>
          <w:p w14:paraId="697E27D7"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The United Nations Principles for Older Persons (1991) also provide a wider international context for my practice. The principles promote independence, participation, care and dignity for older people (United Nations, 1991). This was relevant to 3 as I respected her wish to return home while also considering her safety in the context of the domestic abuse she had experienced. The principles were </w:t>
            </w:r>
            <w:r w:rsidRPr="00BE07C6">
              <w:rPr>
                <w:rFonts w:ascii="Times New Roman" w:eastAsia="Aptos" w:hAnsi="Times New Roman" w:cs="Times New Roman"/>
                <w:color w:val="auto"/>
                <w:kern w:val="2"/>
                <w:sz w:val="24"/>
                <w:szCs w:val="24"/>
                <w:lang w:eastAsia="en-US"/>
                <w14:ligatures w14:val="standardContextual"/>
              </w:rPr>
              <w:lastRenderedPageBreak/>
              <w:t>particularly relevant to the safeguarding dilemma as they recognise both an older person’s right to live in dignity and security, free from abuse. This highlighted the need to balance 3’s autonomy with my responsibility to consider the risks associated with her experience of domestic abuse.</w:t>
            </w:r>
          </w:p>
          <w:p w14:paraId="27CB48EF"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COLLABORATIVE WORKING</w:t>
            </w:r>
          </w:p>
          <w:p w14:paraId="3CB9CCE5"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Collaborative working was an important part of my involvement with 3. I worked with 3 throughout the assessment </w:t>
            </w:r>
            <w:proofErr w:type="gramStart"/>
            <w:r w:rsidRPr="00BE07C6">
              <w:rPr>
                <w:rFonts w:ascii="Times New Roman" w:eastAsia="Aptos" w:hAnsi="Times New Roman" w:cs="Times New Roman"/>
                <w:color w:val="auto"/>
                <w:kern w:val="2"/>
                <w:sz w:val="24"/>
                <w:szCs w:val="24"/>
                <w:lang w:eastAsia="en-US"/>
                <w14:ligatures w14:val="standardContextual"/>
              </w:rPr>
              <w:t>and also</w:t>
            </w:r>
            <w:proofErr w:type="gramEnd"/>
            <w:r w:rsidRPr="00BE07C6">
              <w:rPr>
                <w:rFonts w:ascii="Times New Roman" w:eastAsia="Aptos" w:hAnsi="Times New Roman" w:cs="Times New Roman"/>
                <w:color w:val="auto"/>
                <w:kern w:val="2"/>
                <w:sz w:val="24"/>
                <w:szCs w:val="24"/>
                <w:lang w:eastAsia="en-US"/>
                <w14:ligatures w14:val="standardContextual"/>
              </w:rPr>
              <w:t xml:space="preserve"> communicated with other professionals involved in her care and safeguarding. I will reflect further on this in relation to the Code of Professional Practice for Social Care Workers. The code states that practitioners must work with individuals in a way that maximises their decision-making and control over their own lives (Social Care Wales, 2026). This was relevant in my practice as I involved 3 throughout the assessment and supported her to express her views about where she wanted to live and what support she felt she needed. This also linked to the Code’s requirement to balance risks with an individual’s rights and personal choices (Social Care Wales, 2026). I had concerns about 3 returning home due to the abuse and limited care available after two weeks. However, rather than letting my concerns determine the outcome, I discussed the risks and available options so 3 could make an informed decision. As she had capacity, I respected her decision to return home. Looking back, I feel I worked effectively in collaboration with 3, as her voice was central to the assessment and decision-making. However, this was challenging because I had professional concerns about her safety and had to balance these with her right to make her own choices. The history of domestic abuse meant that I needed to ensure 3’s wishes were heard while also considering the safeguarding risks associated with returning home.</w:t>
            </w:r>
          </w:p>
          <w:p w14:paraId="3EF63F63"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lastRenderedPageBreak/>
              <w:t>Effective communication was also important in maintaining this partnership with 3. The code states that communication should be appropriate, open, clear and meaningful (Social Care Wales, 2026). I was open with 3 about the limitations of the care package available for approximately two weeks. I also discussed the alternative of a temporary placement so that she understood the choices available to her.</w:t>
            </w:r>
          </w:p>
          <w:p w14:paraId="07EA9CC6"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My collaborative working with other professionals was mainly during the safeguarding process. I communicated with the safeguarding lead, domestic abuse key worker and ward staff to gather information and understand 3’s circumstances. Information from the domestic abuse key worker helped me understand the history of abuse and the potential risks associated with 3 returning home, which informed my assessment and professional judgement. Once the safeguarding process was closed, my role focused on care and support assessment and discharge planning. The domestic abuse key worker did not remain involved because 3 did not want ongoing support, and their continued involvement was considered a potential risk to her. Therefore, although ongoing multi-agency involvement was limited, the information shared during safeguarding remained important when considering 3’s safety and the support available to her.</w:t>
            </w:r>
          </w:p>
          <w:p w14:paraId="4E8D094F"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From this experience, I have learned that effective multi-agency working can provide information that strengthens professional judgement, particularly where safeguarding concerns are complex. Information from the domestic abuse key worker helped me understand the wider risks affecting 3, while her wishes also influenced the decision not to continue their involvement. In future, where safeguarding concerns remain, I will consider whether further multi-agency input or ongoing support </w:t>
            </w:r>
            <w:r w:rsidRPr="00BE07C6">
              <w:rPr>
                <w:rFonts w:ascii="Times New Roman" w:eastAsia="Aptos" w:hAnsi="Times New Roman" w:cs="Times New Roman"/>
                <w:color w:val="auto"/>
                <w:kern w:val="2"/>
                <w:sz w:val="24"/>
                <w:szCs w:val="24"/>
                <w:lang w:eastAsia="en-US"/>
                <w14:ligatures w14:val="standardContextual"/>
              </w:rPr>
              <w:lastRenderedPageBreak/>
              <w:t>could be beneficial, while also considering whether continued involvement could increase risk or conflict with the individual’s wishes.</w:t>
            </w:r>
          </w:p>
          <w:p w14:paraId="13AAEA14"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PROFESSIONAL JUDGEMENT</w:t>
            </w:r>
          </w:p>
          <w:p w14:paraId="1EE2B498"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Professional judgement was required throughout my involvement with 3’s case as I was working within a complex situation involving safeguarding, domestic abuse, capacity, risk and care and support needs. I had to manage my role carefully and recognise the limits of my professional responsibility. My role was to complete a care and support assessment, not investigate the safeguarding concerns. However, the domestic abuse concerns remained relevant to my assessment and professional judgment, as I needed to consider the risks associated with 3 returning home and how these could be managed while respecting her wishes.</w:t>
            </w:r>
          </w:p>
          <w:p w14:paraId="7A36EEF3"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I also had to be accountable for the decisions I made within my role. I considered the information available, discussed the available options with 3 and used professional knowledge to develop a plan that reflected her needs and wishes. When I was uncertain, I sought advice from more experienced colleagues and considered information from other professionals rather than relying solely on my own judgement. I also discussed the case in supervision with my manager, using this as an opportunity to check and reflect on my practice.</w:t>
            </w:r>
          </w:p>
          <w:p w14:paraId="2879E846"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Reflecting on my involvement with 3, I recognise that working in complex situations requires me to be clear and confident about my role, use the information available to me, and explain and justify my professional decisions. In this case, being accountable meant using the information available to me, discussing my concerns about 3’s safety with my manager and using supervision to reflect on my </w:t>
            </w:r>
            <w:r w:rsidRPr="00BE07C6">
              <w:rPr>
                <w:rFonts w:ascii="Times New Roman" w:eastAsia="Aptos" w:hAnsi="Times New Roman" w:cs="Times New Roman"/>
                <w:color w:val="auto"/>
                <w:kern w:val="2"/>
                <w:sz w:val="24"/>
                <w:szCs w:val="24"/>
                <w:lang w:eastAsia="en-US"/>
                <w14:ligatures w14:val="standardContextual"/>
              </w:rPr>
              <w:lastRenderedPageBreak/>
              <w:t xml:space="preserve">professional decisions. Moving forward, I will continue to seek support and use supervision and reflection to build my confidence when working in complex situations. </w:t>
            </w:r>
          </w:p>
          <w:p w14:paraId="67D092FA" w14:textId="77777777"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CONCLUSION</w:t>
            </w:r>
          </w:p>
          <w:p w14:paraId="6696B4FB" w14:textId="3E8DD4EC" w:rsidR="00BE07C6" w:rsidRPr="00BE07C6" w:rsidRDefault="00BE07C6" w:rsidP="00BE07C6">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 xml:space="preserve">In conclusion, this case study has demonstrated my critical reflection on my involvement with an individual who has experienced a long history of abuse. The case study demonstrated the safeguarding procedures in Wales, with reference to other relevant legislation. I also critically reflected on my assessment, my collaboration skills and professional judgement. I applied the ecological model and task-centred practice to my work, which helped me understand 3’s circumstances and work towards her </w:t>
            </w:r>
            <w:r w:rsidR="00FD6101">
              <w:rPr>
                <w:rFonts w:ascii="Times New Roman" w:eastAsia="Aptos" w:hAnsi="Times New Roman" w:cs="Times New Roman"/>
                <w:color w:val="auto"/>
                <w:kern w:val="2"/>
                <w:sz w:val="24"/>
                <w:szCs w:val="24"/>
                <w:lang w:eastAsia="en-US"/>
                <w14:ligatures w14:val="standardContextual"/>
              </w:rPr>
              <w:t>goals</w:t>
            </w:r>
            <w:r w:rsidRPr="00BE07C6">
              <w:rPr>
                <w:rFonts w:ascii="Times New Roman" w:eastAsia="Aptos" w:hAnsi="Times New Roman" w:cs="Times New Roman"/>
                <w:color w:val="auto"/>
                <w:kern w:val="2"/>
                <w:sz w:val="24"/>
                <w:szCs w:val="24"/>
                <w:lang w:eastAsia="en-US"/>
                <w14:ligatures w14:val="standardContextual"/>
              </w:rPr>
              <w:t>. This case has reinforced the importance of keeping the individual’s voice central while balancing this with professional responsibilities around safeguarding and risk. In future practice, I will continue to use professional judgement, multi-agency information and supervision to consider safeguarding risks while ensuring that individuals remain involved in decisions about their lives.</w:t>
            </w:r>
          </w:p>
          <w:p w14:paraId="5C222972" w14:textId="221ACECD" w:rsidR="00D3203C" w:rsidRPr="00765352" w:rsidRDefault="00BE07C6" w:rsidP="00765352">
            <w:pPr>
              <w:overflowPunct/>
              <w:autoSpaceDE/>
              <w:autoSpaceDN/>
              <w:adjustRightInd/>
              <w:spacing w:before="240" w:after="160" w:line="480" w:lineRule="auto"/>
              <w:textAlignment w:val="auto"/>
              <w:rPr>
                <w:rFonts w:ascii="Times New Roman" w:eastAsia="Aptos" w:hAnsi="Times New Roman" w:cs="Times New Roman"/>
                <w:color w:val="auto"/>
                <w:kern w:val="2"/>
                <w:sz w:val="24"/>
                <w:szCs w:val="24"/>
                <w:lang w:eastAsia="en-US"/>
                <w14:ligatures w14:val="standardContextual"/>
              </w:rPr>
            </w:pPr>
            <w:r w:rsidRPr="00BE07C6">
              <w:rPr>
                <w:rFonts w:ascii="Times New Roman" w:eastAsia="Aptos" w:hAnsi="Times New Roman" w:cs="Times New Roman"/>
                <w:color w:val="auto"/>
                <w:kern w:val="2"/>
                <w:sz w:val="24"/>
                <w:szCs w:val="24"/>
                <w:lang w:eastAsia="en-US"/>
                <w14:ligatures w14:val="standardContextual"/>
              </w:rPr>
              <w:t>435</w:t>
            </w:r>
            <w:r w:rsidR="00FD6101">
              <w:rPr>
                <w:rFonts w:ascii="Times New Roman" w:eastAsia="Aptos" w:hAnsi="Times New Roman" w:cs="Times New Roman"/>
                <w:color w:val="auto"/>
                <w:kern w:val="2"/>
                <w:sz w:val="24"/>
                <w:szCs w:val="24"/>
                <w:lang w:eastAsia="en-US"/>
                <w14:ligatures w14:val="standardContextual"/>
              </w:rPr>
              <w:t>6</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D1B6A" w14:textId="77777777" w:rsidR="00AD2E40" w:rsidRDefault="00AD2E40">
      <w:r>
        <w:separator/>
      </w:r>
    </w:p>
  </w:endnote>
  <w:endnote w:type="continuationSeparator" w:id="0">
    <w:p w14:paraId="60E7E954" w14:textId="77777777" w:rsidR="00AD2E40" w:rsidRDefault="00AD2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A477B" w14:textId="77777777" w:rsidR="00AD2E40" w:rsidRDefault="00AD2E40">
      <w:r>
        <w:separator/>
      </w:r>
    </w:p>
  </w:footnote>
  <w:footnote w:type="continuationSeparator" w:id="0">
    <w:p w14:paraId="5E79BE0A" w14:textId="77777777" w:rsidR="00AD2E40" w:rsidRDefault="00AD2E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54561"/>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1A03"/>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352"/>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6A2E"/>
    <w:rsid w:val="00AA7960"/>
    <w:rsid w:val="00AB5518"/>
    <w:rsid w:val="00AC3A0E"/>
    <w:rsid w:val="00AC4A04"/>
    <w:rsid w:val="00AC5679"/>
    <w:rsid w:val="00AD2E40"/>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7C6"/>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7282"/>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4450"/>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101"/>
    <w:rsid w:val="00FE0C16"/>
    <w:rsid w:val="00FE14B1"/>
    <w:rsid w:val="00FE155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4399</Words>
  <Characters>25078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Rhodd Niamh Young (OEDOLION)</cp:lastModifiedBy>
  <cp:revision>5</cp:revision>
  <cp:lastPrinted>2020-02-11T19:20:00Z</cp:lastPrinted>
  <dcterms:created xsi:type="dcterms:W3CDTF">2026-09-28T13:15:00Z</dcterms:created>
  <dcterms:modified xsi:type="dcterms:W3CDTF">2026-10-04T13:09:00Z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