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426E2" w14:textId="6E194E1C" w:rsidR="00C81E69" w:rsidRDefault="0043318F">
      <w:pPr>
        <w:rPr>
          <w:rFonts w:ascii="Times New Roman" w:hAnsi="Times New Roman" w:cs="Times New Roman"/>
        </w:rPr>
      </w:pPr>
      <w:r>
        <w:rPr>
          <w:rFonts w:ascii="Times New Roman" w:hAnsi="Times New Roman" w:cs="Times New Roman"/>
        </w:rPr>
        <w:t>Gobbet</w:t>
      </w:r>
    </w:p>
    <w:p w14:paraId="36DBEFBB" w14:textId="0A85F4E7" w:rsidR="007958FA" w:rsidRDefault="007958FA">
      <w:pPr>
        <w:rPr>
          <w:rFonts w:ascii="Times New Roman" w:hAnsi="Times New Roman" w:cs="Times New Roman"/>
        </w:rPr>
      </w:pPr>
      <w:r w:rsidRPr="007958FA">
        <w:rPr>
          <w:rFonts w:ascii="Times New Roman" w:hAnsi="Times New Roman" w:cs="Times New Roman"/>
        </w:rPr>
        <w:t xml:space="preserve">In Chapter One of Paul Gilroy’s </w:t>
      </w:r>
      <w:r w:rsidR="004135AD" w:rsidRPr="007958FA">
        <w:rPr>
          <w:rFonts w:ascii="Times New Roman" w:hAnsi="Times New Roman" w:cs="Times New Roman"/>
        </w:rPr>
        <w:t>work,</w:t>
      </w:r>
      <w:r>
        <w:rPr>
          <w:rFonts w:ascii="Times New Roman" w:hAnsi="Times New Roman" w:cs="Times New Roman"/>
        </w:rPr>
        <w:t xml:space="preserve"> he notes that the chapter is split into three sections, the first addressing nationalistic issues in cultural studies that hinder the growth of the transc</w:t>
      </w:r>
      <w:r w:rsidR="004135AD">
        <w:rPr>
          <w:rFonts w:ascii="Times New Roman" w:hAnsi="Times New Roman" w:cs="Times New Roman"/>
        </w:rPr>
        <w:t xml:space="preserve">ultural black diaspora – The Black Atlantic. The second section uses the writings of Martin Delaney to understand black nationalism as a response to modernity while the final section goes into detail about specific </w:t>
      </w:r>
      <w:r w:rsidR="00BB5718">
        <w:rPr>
          <w:rFonts w:ascii="Times New Roman" w:hAnsi="Times New Roman" w:cs="Times New Roman"/>
        </w:rPr>
        <w:t>countercultures</w:t>
      </w:r>
      <w:r w:rsidR="004135AD">
        <w:rPr>
          <w:rFonts w:ascii="Times New Roman" w:hAnsi="Times New Roman" w:cs="Times New Roman"/>
        </w:rPr>
        <w:t xml:space="preserve"> to modern</w:t>
      </w:r>
      <w:r w:rsidR="00BB5718">
        <w:rPr>
          <w:rFonts w:ascii="Times New Roman" w:hAnsi="Times New Roman" w:cs="Times New Roman"/>
        </w:rPr>
        <w:t xml:space="preserve">ity within black intellectuals and highlights some points about the internality of the black populace of America. To stay concise </w:t>
      </w:r>
      <w:r w:rsidR="00764F8D">
        <w:rPr>
          <w:rFonts w:ascii="Times New Roman" w:hAnsi="Times New Roman" w:cs="Times New Roman"/>
        </w:rPr>
        <w:t>but to also give an over-arching analysis of the whole source I will be giving individual analyses to each of these sections</w:t>
      </w:r>
      <w:r w:rsidR="00BB5718">
        <w:rPr>
          <w:rFonts w:ascii="Times New Roman" w:hAnsi="Times New Roman" w:cs="Times New Roman"/>
        </w:rPr>
        <w:t xml:space="preserve">. </w:t>
      </w:r>
    </w:p>
    <w:p w14:paraId="7022154E" w14:textId="3B2C664D" w:rsidR="00764F8D" w:rsidRDefault="00764F8D">
      <w:pPr>
        <w:rPr>
          <w:rFonts w:ascii="Times New Roman" w:hAnsi="Times New Roman" w:cs="Times New Roman"/>
        </w:rPr>
      </w:pPr>
      <w:r>
        <w:rPr>
          <w:rFonts w:ascii="Times New Roman" w:hAnsi="Times New Roman" w:cs="Times New Roman"/>
        </w:rPr>
        <w:t xml:space="preserve">The first point that Gilroy raises is the embedded racism in Western philosophy among </w:t>
      </w:r>
      <w:r w:rsidR="007A2AE6">
        <w:rPr>
          <w:rFonts w:ascii="Times New Roman" w:hAnsi="Times New Roman" w:cs="Times New Roman"/>
        </w:rPr>
        <w:t>Philosophers</w:t>
      </w:r>
      <w:r>
        <w:rPr>
          <w:rFonts w:ascii="Times New Roman" w:hAnsi="Times New Roman" w:cs="Times New Roman"/>
        </w:rPr>
        <w:t xml:space="preserve"> such as Hegel, </w:t>
      </w:r>
      <w:r w:rsidR="00BF1B8C">
        <w:rPr>
          <w:rFonts w:ascii="Times New Roman" w:hAnsi="Times New Roman" w:cs="Times New Roman"/>
        </w:rPr>
        <w:t>Schopenhauer,</w:t>
      </w:r>
      <w:r>
        <w:rPr>
          <w:rFonts w:ascii="Times New Roman" w:hAnsi="Times New Roman" w:cs="Times New Roman"/>
        </w:rPr>
        <w:t xml:space="preserve"> and Nietzsche</w:t>
      </w:r>
      <w:r w:rsidR="00BF1B8C">
        <w:rPr>
          <w:rStyle w:val="FootnoteReference"/>
          <w:rFonts w:ascii="Times New Roman" w:hAnsi="Times New Roman" w:cs="Times New Roman"/>
        </w:rPr>
        <w:footnoteReference w:id="1"/>
      </w:r>
      <w:r w:rsidR="00BF1B8C">
        <w:rPr>
          <w:rFonts w:ascii="Times New Roman" w:hAnsi="Times New Roman" w:cs="Times New Roman"/>
        </w:rPr>
        <w:t xml:space="preserve">. The figure of the black man is often depicted in the works of these Enlightenment era </w:t>
      </w:r>
      <w:r w:rsidR="007A2AE6">
        <w:rPr>
          <w:rFonts w:ascii="Times New Roman" w:hAnsi="Times New Roman" w:cs="Times New Roman"/>
        </w:rPr>
        <w:t>philosophers</w:t>
      </w:r>
      <w:r w:rsidR="00BF1B8C">
        <w:rPr>
          <w:rFonts w:ascii="Times New Roman" w:hAnsi="Times New Roman" w:cs="Times New Roman"/>
        </w:rPr>
        <w:t xml:space="preserve"> as submissive and </w:t>
      </w:r>
      <w:r w:rsidR="007A2AE6">
        <w:rPr>
          <w:rFonts w:ascii="Times New Roman" w:hAnsi="Times New Roman" w:cs="Times New Roman"/>
        </w:rPr>
        <w:t xml:space="preserve">as a weakened character in the face of the white man. </w:t>
      </w:r>
      <w:r w:rsidR="00CE1274">
        <w:rPr>
          <w:rFonts w:ascii="Times New Roman" w:hAnsi="Times New Roman" w:cs="Times New Roman"/>
        </w:rPr>
        <w:t>Gilroy attests that these philosophic views have created a state in which the white and black cultures of America have been perceived as a Manichean</w:t>
      </w:r>
      <w:r w:rsidR="00A05780">
        <w:rPr>
          <w:rStyle w:val="FootnoteReference"/>
          <w:rFonts w:ascii="Times New Roman" w:hAnsi="Times New Roman" w:cs="Times New Roman"/>
        </w:rPr>
        <w:footnoteReference w:id="2"/>
      </w:r>
      <w:r w:rsidR="00CE1274">
        <w:rPr>
          <w:rFonts w:ascii="Times New Roman" w:hAnsi="Times New Roman" w:cs="Times New Roman"/>
        </w:rPr>
        <w:t xml:space="preserve"> dynamic of good versus evil with the white culture being good while the black is evil. </w:t>
      </w:r>
      <w:r w:rsidR="00A76E73">
        <w:rPr>
          <w:rFonts w:ascii="Times New Roman" w:hAnsi="Times New Roman" w:cs="Times New Roman"/>
        </w:rPr>
        <w:t>These ethnocentric cultural studies</w:t>
      </w:r>
      <w:r w:rsidR="00A377CC">
        <w:rPr>
          <w:rFonts w:ascii="Times New Roman" w:hAnsi="Times New Roman" w:cs="Times New Roman"/>
        </w:rPr>
        <w:t>, Gilroy says, are directly responsible for political racism and nationalism found across Europe</w:t>
      </w:r>
      <w:r w:rsidR="00A377CC">
        <w:rPr>
          <w:rStyle w:val="FootnoteReference"/>
          <w:rFonts w:ascii="Times New Roman" w:hAnsi="Times New Roman" w:cs="Times New Roman"/>
        </w:rPr>
        <w:footnoteReference w:id="3"/>
      </w:r>
      <w:r w:rsidR="00CE1274">
        <w:rPr>
          <w:rFonts w:ascii="Times New Roman" w:hAnsi="Times New Roman" w:cs="Times New Roman"/>
        </w:rPr>
        <w:t xml:space="preserve"> </w:t>
      </w:r>
      <w:r w:rsidR="00A377CC">
        <w:rPr>
          <w:rFonts w:ascii="Times New Roman" w:hAnsi="Times New Roman" w:cs="Times New Roman"/>
        </w:rPr>
        <w:t xml:space="preserve">and questions how scholars can deem the works of the Enlightenment such as the master-slave relationships of Hegel or Nietzsche to be reliable when </w:t>
      </w:r>
      <w:r w:rsidR="00F56E17">
        <w:rPr>
          <w:rFonts w:ascii="Times New Roman" w:hAnsi="Times New Roman" w:cs="Times New Roman"/>
        </w:rPr>
        <w:t>narratives such as Frederick Douglass’s exist that directly oppose such notions.</w:t>
      </w:r>
      <w:r w:rsidR="00F56E17">
        <w:rPr>
          <w:rStyle w:val="FootnoteReference"/>
          <w:rFonts w:ascii="Times New Roman" w:hAnsi="Times New Roman" w:cs="Times New Roman"/>
        </w:rPr>
        <w:footnoteReference w:id="4"/>
      </w:r>
      <w:r w:rsidR="00556897">
        <w:rPr>
          <w:rFonts w:ascii="Times New Roman" w:hAnsi="Times New Roman" w:cs="Times New Roman"/>
        </w:rPr>
        <w:t xml:space="preserve"> Gilroy argues that black history should not be regarded with the “outsider/insider”</w:t>
      </w:r>
      <w:r w:rsidR="00556897">
        <w:rPr>
          <w:rStyle w:val="FootnoteReference"/>
          <w:rFonts w:ascii="Times New Roman" w:hAnsi="Times New Roman" w:cs="Times New Roman"/>
        </w:rPr>
        <w:footnoteReference w:id="5"/>
      </w:r>
      <w:r w:rsidR="00556897">
        <w:rPr>
          <w:rFonts w:ascii="Times New Roman" w:hAnsi="Times New Roman" w:cs="Times New Roman"/>
        </w:rPr>
        <w:t xml:space="preserve"> view that depicts a Euro-centric (and therefore ethnocentric) view that only includes the introduction of black history as separate entities that run subservient, and instead the entire Black Atlantic should be studied as a single growing organism that has grown in a transnational rhizomorphic fashion</w:t>
      </w:r>
      <w:r w:rsidR="00A05780">
        <w:rPr>
          <w:rStyle w:val="FootnoteReference"/>
          <w:rFonts w:ascii="Times New Roman" w:hAnsi="Times New Roman" w:cs="Times New Roman"/>
        </w:rPr>
        <w:footnoteReference w:id="6"/>
      </w:r>
      <w:r w:rsidR="00556897">
        <w:rPr>
          <w:rFonts w:ascii="Times New Roman" w:hAnsi="Times New Roman" w:cs="Times New Roman"/>
        </w:rPr>
        <w:t>.</w:t>
      </w:r>
    </w:p>
    <w:p w14:paraId="315D6467" w14:textId="78656A5C" w:rsidR="00B212B1" w:rsidRDefault="00B212B1">
      <w:pPr>
        <w:rPr>
          <w:rFonts w:ascii="Times New Roman" w:hAnsi="Times New Roman" w:cs="Times New Roman"/>
        </w:rPr>
      </w:pPr>
      <w:r>
        <w:rPr>
          <w:rFonts w:ascii="Times New Roman" w:hAnsi="Times New Roman" w:cs="Times New Roman"/>
        </w:rPr>
        <w:t>The works of Martin Delaney are used in this section as a case study to understand the black diaspora being supporters of science and modernity in similar ways to the philosophers of the Enlightenment in that upon visiting Africa, Delaney was overwhelmed with a sense of national pride and the urge to create an autonomous black ethno-state</w:t>
      </w:r>
      <w:r>
        <w:rPr>
          <w:rStyle w:val="FootnoteReference"/>
          <w:rFonts w:ascii="Times New Roman" w:hAnsi="Times New Roman" w:cs="Times New Roman"/>
        </w:rPr>
        <w:footnoteReference w:id="7"/>
      </w:r>
      <w:r>
        <w:rPr>
          <w:rFonts w:ascii="Times New Roman" w:hAnsi="Times New Roman" w:cs="Times New Roman"/>
        </w:rPr>
        <w:t>.</w:t>
      </w:r>
      <w:r w:rsidR="005E3604">
        <w:rPr>
          <w:rFonts w:ascii="Times New Roman" w:hAnsi="Times New Roman" w:cs="Times New Roman"/>
        </w:rPr>
        <w:t xml:space="preserve"> Gilroy uses this point as an argument against nationalism itself, saying that if both white and black people can have similar notions of superiority and nationalistic pride then the slave-master dynamic can not exist. </w:t>
      </w:r>
      <w:r w:rsidR="0043318F">
        <w:rPr>
          <w:rFonts w:ascii="Times New Roman" w:hAnsi="Times New Roman" w:cs="Times New Roman"/>
        </w:rPr>
        <w:t>Gilroy goes on to discuss how Delaney’s views on sexuality gender and race were much more progressive than that of contemporary society and that black people were generally living in a culture closer to post-modernity in a Modern era.</w:t>
      </w:r>
    </w:p>
    <w:p w14:paraId="1283D0F4" w14:textId="65AE3E96" w:rsidR="00787831" w:rsidRDefault="00787831">
      <w:pPr>
        <w:rPr>
          <w:rFonts w:ascii="Times New Roman" w:hAnsi="Times New Roman" w:cs="Times New Roman"/>
        </w:rPr>
      </w:pPr>
      <w:r>
        <w:rPr>
          <w:rFonts w:ascii="Times New Roman" w:hAnsi="Times New Roman" w:cs="Times New Roman"/>
        </w:rPr>
        <w:t xml:space="preserve">Gilroy discusses a “counterculture to modernity” that has risen in the Black Atlantic as he defines it. For starters, the Black Atlantic is a phrase coined by Gilroy and the title of his book – it is a phrase used to describe the black diaspora spread out across the Atlantic defined and formed by the routes of the slave ships used to transport Africans across the Atlantic into The Americas. </w:t>
      </w:r>
      <w:r w:rsidR="00A05780">
        <w:rPr>
          <w:rFonts w:ascii="Times New Roman" w:hAnsi="Times New Roman" w:cs="Times New Roman"/>
        </w:rPr>
        <w:t xml:space="preserve">Modernity is </w:t>
      </w:r>
      <w:r w:rsidR="007461AB">
        <w:rPr>
          <w:rFonts w:ascii="Times New Roman" w:hAnsi="Times New Roman" w:cs="Times New Roman"/>
        </w:rPr>
        <w:t>a</w:t>
      </w:r>
      <w:r w:rsidR="00A05780">
        <w:rPr>
          <w:rFonts w:ascii="Times New Roman" w:hAnsi="Times New Roman" w:cs="Times New Roman"/>
        </w:rPr>
        <w:t xml:space="preserve"> social construct</w:t>
      </w:r>
      <w:r w:rsidR="007461AB">
        <w:rPr>
          <w:rFonts w:ascii="Times New Roman" w:hAnsi="Times New Roman" w:cs="Times New Roman"/>
        </w:rPr>
        <w:t xml:space="preserve"> that depicts modern society, as previously stated, Gilroy believes modernity to be rooted in racist Enlightenment era philosophy.</w:t>
      </w:r>
      <w:r w:rsidR="003C57C6">
        <w:rPr>
          <w:rFonts w:ascii="Times New Roman" w:hAnsi="Times New Roman" w:cs="Times New Roman"/>
        </w:rPr>
        <w:t xml:space="preserve"> The counterculture to this modernity is largely described as being expressed through black music such as hip hop and rap as these were “</w:t>
      </w:r>
      <w:r w:rsidR="009E5FDF">
        <w:rPr>
          <w:rFonts w:ascii="Times New Roman" w:hAnsi="Times New Roman" w:cs="Times New Roman"/>
        </w:rPr>
        <w:t>sprang intact</w:t>
      </w:r>
      <w:r w:rsidR="003C57C6">
        <w:rPr>
          <w:rFonts w:ascii="Times New Roman" w:hAnsi="Times New Roman" w:cs="Times New Roman"/>
        </w:rPr>
        <w:t xml:space="preserve"> </w:t>
      </w:r>
      <w:r w:rsidR="009E5FDF">
        <w:rPr>
          <w:rFonts w:ascii="Times New Roman" w:hAnsi="Times New Roman" w:cs="Times New Roman"/>
        </w:rPr>
        <w:t>from</w:t>
      </w:r>
      <w:r w:rsidR="003C57C6">
        <w:rPr>
          <w:rFonts w:ascii="Times New Roman" w:hAnsi="Times New Roman" w:cs="Times New Roman"/>
        </w:rPr>
        <w:t xml:space="preserve"> the </w:t>
      </w:r>
      <w:r w:rsidR="003C57C6">
        <w:rPr>
          <w:rFonts w:ascii="Times New Roman" w:hAnsi="Times New Roman" w:cs="Times New Roman"/>
        </w:rPr>
        <w:lastRenderedPageBreak/>
        <w:t>entrails of</w:t>
      </w:r>
      <w:r w:rsidR="009E5FDF">
        <w:rPr>
          <w:rFonts w:ascii="Times New Roman" w:hAnsi="Times New Roman" w:cs="Times New Roman"/>
        </w:rPr>
        <w:t xml:space="preserve"> the</w:t>
      </w:r>
      <w:r w:rsidR="003C57C6">
        <w:rPr>
          <w:rFonts w:ascii="Times New Roman" w:hAnsi="Times New Roman" w:cs="Times New Roman"/>
        </w:rPr>
        <w:t xml:space="preserve"> blues”</w:t>
      </w:r>
      <w:r w:rsidR="009E5FDF">
        <w:rPr>
          <w:rStyle w:val="FootnoteReference"/>
          <w:rFonts w:ascii="Times New Roman" w:hAnsi="Times New Roman" w:cs="Times New Roman"/>
        </w:rPr>
        <w:footnoteReference w:id="8"/>
      </w:r>
      <w:r w:rsidR="009E5FDF">
        <w:rPr>
          <w:rFonts w:ascii="Times New Roman" w:hAnsi="Times New Roman" w:cs="Times New Roman"/>
        </w:rPr>
        <w:t>. The blues as a genre famously, are deeply rooted in slave culture and inspired directly from slave songs. Gilroy comments on the origins of slave songs, noting that textual evidence and linear conceptions of time and history were destroyed for slaves with the banning of reading and writing</w:t>
      </w:r>
      <w:r w:rsidR="007461AB">
        <w:rPr>
          <w:rFonts w:ascii="Times New Roman" w:hAnsi="Times New Roman" w:cs="Times New Roman"/>
        </w:rPr>
        <w:t xml:space="preserve"> </w:t>
      </w:r>
      <w:r w:rsidR="009E5FDF">
        <w:rPr>
          <w:rFonts w:ascii="Times New Roman" w:hAnsi="Times New Roman" w:cs="Times New Roman"/>
        </w:rPr>
        <w:t xml:space="preserve">for slaves, this led to slaves using the acoustics of the slave ships to </w:t>
      </w:r>
      <w:r w:rsidR="0029256B">
        <w:rPr>
          <w:rFonts w:ascii="Times New Roman" w:hAnsi="Times New Roman" w:cs="Times New Roman"/>
        </w:rPr>
        <w:t>form choruses and communicate</w:t>
      </w:r>
      <w:r w:rsidR="009E5FDF">
        <w:rPr>
          <w:rFonts w:ascii="Times New Roman" w:hAnsi="Times New Roman" w:cs="Times New Roman"/>
        </w:rPr>
        <w:t xml:space="preserve"> to one another without the people above deck knowing. </w:t>
      </w:r>
      <w:r w:rsidR="00A05780">
        <w:rPr>
          <w:rFonts w:ascii="Times New Roman" w:hAnsi="Times New Roman" w:cs="Times New Roman"/>
        </w:rPr>
        <w:t xml:space="preserve">While one of Gilroy’s key concepts, the idea of a double consciousness does not really get fleshed out until the final section of the chapter. Gilroy discusses the idea that the Black Diaspora are </w:t>
      </w:r>
      <w:r w:rsidR="0029256B">
        <w:rPr>
          <w:rFonts w:ascii="Times New Roman" w:hAnsi="Times New Roman" w:cs="Times New Roman"/>
        </w:rPr>
        <w:t xml:space="preserve">the biggest critiques of modernity but also its biggest advocates, discussing the idea that African-Americans value their roots in Africa and the heritage of their people but also recognise that much of this heritage was destroyed by the slavers and as such also recognise their place in America (or whichever country they are in) and value the society they have helped build on the other side of the Atlantic. Only wishing that they were appreciated equally in society. </w:t>
      </w:r>
    </w:p>
    <w:p w14:paraId="68A3E15F" w14:textId="3ABDFF90" w:rsidR="0043318F" w:rsidRDefault="0043318F">
      <w:pPr>
        <w:rPr>
          <w:rFonts w:ascii="Times New Roman" w:hAnsi="Times New Roman" w:cs="Times New Roman"/>
        </w:rPr>
      </w:pPr>
      <w:r>
        <w:rPr>
          <w:rFonts w:ascii="Times New Roman" w:hAnsi="Times New Roman" w:cs="Times New Roman"/>
        </w:rPr>
        <w:t xml:space="preserve">Overall, Gilroy discusses the state of the modern society and how it is fundamentally based in racism and nationalistic views of philosophers from the Enlightenment period, he then discusses how these views are skewed and cannot be taken as reliable due to the flawed logic in which they rely on. Gilroy comments that the master-slave dynamic that society has given to black people is not a just expression of black culture as the dehumanising nature of this dynamic is false and the black people resent it. Finally, Gilroy discusses the counterculture of music among black people and the double consciousness that the black diaspora </w:t>
      </w:r>
      <w:proofErr w:type="gramStart"/>
      <w:r>
        <w:rPr>
          <w:rFonts w:ascii="Times New Roman" w:hAnsi="Times New Roman" w:cs="Times New Roman"/>
        </w:rPr>
        <w:t>feel</w:t>
      </w:r>
      <w:proofErr w:type="gramEnd"/>
      <w:r>
        <w:rPr>
          <w:rFonts w:ascii="Times New Roman" w:hAnsi="Times New Roman" w:cs="Times New Roman"/>
        </w:rPr>
        <w:t xml:space="preserve"> despite the injustices they experience living in the Atlantic.</w:t>
      </w:r>
    </w:p>
    <w:p w14:paraId="26021905" w14:textId="77777777" w:rsidR="0043318F" w:rsidRDefault="0043318F">
      <w:pPr>
        <w:rPr>
          <w:rFonts w:ascii="Times New Roman" w:hAnsi="Times New Roman" w:cs="Times New Roman"/>
        </w:rPr>
      </w:pPr>
      <w:r>
        <w:rPr>
          <w:rFonts w:ascii="Times New Roman" w:hAnsi="Times New Roman" w:cs="Times New Roman"/>
        </w:rPr>
        <w:br w:type="page"/>
      </w:r>
    </w:p>
    <w:p w14:paraId="49C236D2" w14:textId="22826E4D" w:rsidR="0043318F" w:rsidRDefault="0043318F">
      <w:pPr>
        <w:rPr>
          <w:rFonts w:ascii="Times New Roman" w:hAnsi="Times New Roman" w:cs="Times New Roman"/>
          <w:u w:val="single"/>
        </w:rPr>
      </w:pPr>
      <w:r w:rsidRPr="0043318F">
        <w:rPr>
          <w:rFonts w:ascii="Times New Roman" w:hAnsi="Times New Roman" w:cs="Times New Roman"/>
          <w:u w:val="single"/>
        </w:rPr>
        <w:lastRenderedPageBreak/>
        <w:t>Bibliography</w:t>
      </w:r>
    </w:p>
    <w:p w14:paraId="00CE4DD4" w14:textId="597508D7" w:rsidR="0043318F" w:rsidRDefault="0043318F">
      <w:pPr>
        <w:rPr>
          <w:rFonts w:ascii="Times New Roman" w:hAnsi="Times New Roman" w:cs="Times New Roman"/>
          <w:u w:val="single"/>
        </w:rPr>
      </w:pPr>
      <w:r>
        <w:rPr>
          <w:rFonts w:ascii="Times New Roman" w:hAnsi="Times New Roman" w:cs="Times New Roman"/>
          <w:u w:val="single"/>
        </w:rPr>
        <w:t>Books</w:t>
      </w:r>
    </w:p>
    <w:p w14:paraId="79E11358" w14:textId="630B40AB" w:rsidR="0043318F" w:rsidRPr="0043318F" w:rsidRDefault="0043318F">
      <w:pPr>
        <w:rPr>
          <w:rFonts w:ascii="Times New Roman" w:hAnsi="Times New Roman" w:cs="Times New Roman"/>
        </w:rPr>
      </w:pPr>
      <w:r w:rsidRPr="0043318F">
        <w:rPr>
          <w:rFonts w:ascii="Times New Roman" w:hAnsi="Times New Roman" w:cs="Times New Roman"/>
        </w:rPr>
        <w:t>Gilroy,</w:t>
      </w:r>
      <w:r>
        <w:rPr>
          <w:rFonts w:ascii="Times New Roman" w:hAnsi="Times New Roman" w:cs="Times New Roman"/>
        </w:rPr>
        <w:t xml:space="preserve"> </w:t>
      </w:r>
      <w:r w:rsidRPr="0043318F">
        <w:rPr>
          <w:rFonts w:ascii="Times New Roman" w:hAnsi="Times New Roman" w:cs="Times New Roman"/>
        </w:rPr>
        <w:t>Paul</w:t>
      </w:r>
      <w:r>
        <w:rPr>
          <w:rFonts w:ascii="Times New Roman" w:hAnsi="Times New Roman" w:cs="Times New Roman"/>
        </w:rPr>
        <w:t>.</w:t>
      </w:r>
      <w:r w:rsidRPr="0043318F">
        <w:rPr>
          <w:rFonts w:ascii="Times New Roman" w:hAnsi="Times New Roman" w:cs="Times New Roman"/>
        </w:rPr>
        <w:t xml:space="preserve"> </w:t>
      </w:r>
      <w:r w:rsidRPr="0043318F">
        <w:rPr>
          <w:rFonts w:ascii="Times New Roman" w:hAnsi="Times New Roman" w:cs="Times New Roman"/>
          <w:i/>
          <w:iCs/>
        </w:rPr>
        <w:t>The Black Atlantic: Modernity and Double consciousness</w:t>
      </w:r>
      <w:r w:rsidRPr="0043318F">
        <w:rPr>
          <w:rFonts w:ascii="Times New Roman" w:hAnsi="Times New Roman" w:cs="Times New Roman"/>
        </w:rPr>
        <w:t xml:space="preserve"> (Harvard University Press: 1993</w:t>
      </w:r>
      <w:r>
        <w:rPr>
          <w:rFonts w:ascii="Times New Roman" w:hAnsi="Times New Roman" w:cs="Times New Roman"/>
        </w:rPr>
        <w:t>)</w:t>
      </w:r>
    </w:p>
    <w:p w14:paraId="38D79684" w14:textId="70133773" w:rsidR="0043318F" w:rsidRDefault="0043318F">
      <w:pPr>
        <w:rPr>
          <w:rFonts w:ascii="Times New Roman" w:hAnsi="Times New Roman" w:cs="Times New Roman"/>
          <w:u w:val="single"/>
        </w:rPr>
      </w:pPr>
      <w:r>
        <w:rPr>
          <w:rFonts w:ascii="Times New Roman" w:hAnsi="Times New Roman" w:cs="Times New Roman"/>
          <w:u w:val="single"/>
        </w:rPr>
        <w:t>Web Documents</w:t>
      </w:r>
    </w:p>
    <w:p w14:paraId="35DCA8EC" w14:textId="5672702E" w:rsidR="0043318F" w:rsidRDefault="0043318F">
      <w:pPr>
        <w:rPr>
          <w:rFonts w:ascii="Times New Roman" w:hAnsi="Times New Roman" w:cs="Times New Roman"/>
        </w:rPr>
      </w:pPr>
      <w:r w:rsidRPr="0043318F">
        <w:rPr>
          <w:rFonts w:ascii="Times New Roman" w:hAnsi="Times New Roman" w:cs="Times New Roman"/>
        </w:rPr>
        <w:t>“Rhizomorph.” </w:t>
      </w:r>
      <w:r w:rsidRPr="0043318F">
        <w:rPr>
          <w:rFonts w:ascii="Times New Roman" w:hAnsi="Times New Roman" w:cs="Times New Roman"/>
          <w:i/>
          <w:iCs/>
        </w:rPr>
        <w:t>Merriam-Webster.com Dictionary</w:t>
      </w:r>
      <w:r w:rsidRPr="0043318F">
        <w:rPr>
          <w:rFonts w:ascii="Times New Roman" w:hAnsi="Times New Roman" w:cs="Times New Roman"/>
        </w:rPr>
        <w:t>, Merriam-Webster, https://www.merriam-webster.com/dictionary/rhizomorph</w:t>
      </w:r>
    </w:p>
    <w:p w14:paraId="2C4321B4" w14:textId="1D35D943" w:rsidR="0043318F" w:rsidRPr="0043318F" w:rsidRDefault="0043318F">
      <w:pPr>
        <w:rPr>
          <w:rFonts w:ascii="Times New Roman" w:hAnsi="Times New Roman" w:cs="Times New Roman"/>
        </w:rPr>
      </w:pPr>
      <w:r w:rsidRPr="0043318F">
        <w:rPr>
          <w:rFonts w:ascii="Times New Roman" w:hAnsi="Times New Roman" w:cs="Times New Roman"/>
        </w:rPr>
        <w:t xml:space="preserve">DLEIGH11, </w:t>
      </w:r>
      <w:r w:rsidRPr="0043318F">
        <w:rPr>
          <w:rFonts w:ascii="Times New Roman" w:hAnsi="Times New Roman" w:cs="Times New Roman"/>
          <w:i/>
          <w:iCs/>
        </w:rPr>
        <w:t>Review of The Black Atlantic: Modernity and Double Consciousness by Paul Gilroy</w:t>
      </w:r>
      <w:r>
        <w:rPr>
          <w:rFonts w:ascii="Times New Roman" w:hAnsi="Times New Roman" w:cs="Times New Roman"/>
        </w:rPr>
        <w:t xml:space="preserve">, </w:t>
      </w:r>
      <w:r w:rsidRPr="0043318F">
        <w:rPr>
          <w:rFonts w:ascii="Times New Roman" w:hAnsi="Times New Roman" w:cs="Times New Roman"/>
        </w:rPr>
        <w:t xml:space="preserve">In </w:t>
      </w:r>
      <w:r>
        <w:rPr>
          <w:rFonts w:ascii="Times New Roman" w:hAnsi="Times New Roman" w:cs="Times New Roman"/>
        </w:rPr>
        <w:t>“</w:t>
      </w:r>
      <w:r w:rsidRPr="0043318F">
        <w:rPr>
          <w:rFonts w:ascii="Times New Roman" w:hAnsi="Times New Roman" w:cs="Times New Roman"/>
        </w:rPr>
        <w:t>Reviews,</w:t>
      </w:r>
      <w:r>
        <w:rPr>
          <w:rFonts w:ascii="Times New Roman" w:hAnsi="Times New Roman" w:cs="Times New Roman"/>
        </w:rPr>
        <w:t>”</w:t>
      </w:r>
      <w:r w:rsidRPr="0043318F">
        <w:rPr>
          <w:rFonts w:ascii="Times New Roman" w:hAnsi="Times New Roman" w:cs="Times New Roman"/>
        </w:rPr>
        <w:t xml:space="preserve"> </w:t>
      </w:r>
      <w:proofErr w:type="spellStart"/>
      <w:r w:rsidRPr="0043318F">
        <w:rPr>
          <w:rFonts w:ascii="Times New Roman" w:hAnsi="Times New Roman" w:cs="Times New Roman"/>
        </w:rPr>
        <w:t>Lakefronthistorian</w:t>
      </w:r>
      <w:proofErr w:type="spellEnd"/>
      <w:r w:rsidRPr="0043318F">
        <w:rPr>
          <w:rFonts w:ascii="Times New Roman" w:hAnsi="Times New Roman" w:cs="Times New Roman"/>
        </w:rPr>
        <w:t xml:space="preserve"> (May 29, 2014) &lt;https://lakefronthistorian.com/2014/05/29/review-of-the-black-atlantic-modernity-and-double-consciousness-by-paul-gilroy/&gt;</w:t>
      </w:r>
    </w:p>
    <w:sectPr w:rsidR="0043318F" w:rsidRPr="004331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26968" w14:textId="77777777" w:rsidR="00503BC4" w:rsidRDefault="00503BC4" w:rsidP="00BF1B8C">
      <w:pPr>
        <w:spacing w:after="0" w:line="240" w:lineRule="auto"/>
      </w:pPr>
      <w:r>
        <w:separator/>
      </w:r>
    </w:p>
  </w:endnote>
  <w:endnote w:type="continuationSeparator" w:id="0">
    <w:p w14:paraId="3E0E9703" w14:textId="77777777" w:rsidR="00503BC4" w:rsidRDefault="00503BC4" w:rsidP="00BF1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1A490" w14:textId="77777777" w:rsidR="00503BC4" w:rsidRDefault="00503BC4" w:rsidP="00BF1B8C">
      <w:pPr>
        <w:spacing w:after="0" w:line="240" w:lineRule="auto"/>
      </w:pPr>
      <w:r>
        <w:separator/>
      </w:r>
    </w:p>
  </w:footnote>
  <w:footnote w:type="continuationSeparator" w:id="0">
    <w:p w14:paraId="7DC85B81" w14:textId="77777777" w:rsidR="00503BC4" w:rsidRDefault="00503BC4" w:rsidP="00BF1B8C">
      <w:pPr>
        <w:spacing w:after="0" w:line="240" w:lineRule="auto"/>
      </w:pPr>
      <w:r>
        <w:continuationSeparator/>
      </w:r>
    </w:p>
  </w:footnote>
  <w:footnote w:id="1">
    <w:p w14:paraId="735AEF7D" w14:textId="270F541F" w:rsidR="00BF1B8C" w:rsidRPr="00BF1B8C" w:rsidRDefault="00BF1B8C">
      <w:pPr>
        <w:pStyle w:val="FootnoteText"/>
      </w:pPr>
      <w:r>
        <w:rPr>
          <w:rStyle w:val="FootnoteReference"/>
        </w:rPr>
        <w:footnoteRef/>
      </w:r>
      <w:r>
        <w:t xml:space="preserve"> Paul Gilroy, </w:t>
      </w:r>
      <w:r w:rsidRPr="00BF1B8C">
        <w:rPr>
          <w:i/>
          <w:iCs/>
        </w:rPr>
        <w:t>The Black Atlantic: Modernity and Double consciousness</w:t>
      </w:r>
      <w:r>
        <w:rPr>
          <w:i/>
          <w:iCs/>
        </w:rPr>
        <w:t xml:space="preserve"> </w:t>
      </w:r>
      <w:r>
        <w:t>(Harvard University Press: 1993) p. 8</w:t>
      </w:r>
    </w:p>
  </w:footnote>
  <w:footnote w:id="2">
    <w:p w14:paraId="57B5486F" w14:textId="791A67D9" w:rsidR="00A05780" w:rsidRDefault="00A05780">
      <w:pPr>
        <w:pStyle w:val="FootnoteText"/>
      </w:pPr>
      <w:r>
        <w:rPr>
          <w:rStyle w:val="FootnoteReference"/>
        </w:rPr>
        <w:footnoteRef/>
      </w:r>
      <w:r>
        <w:t xml:space="preserve"> </w:t>
      </w:r>
      <w:r w:rsidRPr="00A05780">
        <w:t>Paul Gilroy, The Black Atlantic</w:t>
      </w:r>
      <w:r w:rsidR="009E5FDF">
        <w:t xml:space="preserve"> </w:t>
      </w:r>
      <w:r w:rsidRPr="00A05780">
        <w:t>p.</w:t>
      </w:r>
      <w:r>
        <w:t xml:space="preserve"> 1</w:t>
      </w:r>
    </w:p>
  </w:footnote>
  <w:footnote w:id="3">
    <w:p w14:paraId="7D304B0C" w14:textId="283E050D" w:rsidR="00A377CC" w:rsidRDefault="00A377CC">
      <w:pPr>
        <w:pStyle w:val="FootnoteText"/>
      </w:pPr>
      <w:r>
        <w:rPr>
          <w:rStyle w:val="FootnoteReference"/>
        </w:rPr>
        <w:footnoteRef/>
      </w:r>
      <w:r>
        <w:t xml:space="preserve"> </w:t>
      </w:r>
      <w:r w:rsidRPr="00A377CC">
        <w:t>Paul Gilroy, The Black Atlantic</w:t>
      </w:r>
      <w:r w:rsidR="009E5FDF">
        <w:t xml:space="preserve"> </w:t>
      </w:r>
      <w:r w:rsidRPr="00A377CC">
        <w:t>p.</w:t>
      </w:r>
      <w:r>
        <w:t xml:space="preserve"> 11</w:t>
      </w:r>
    </w:p>
  </w:footnote>
  <w:footnote w:id="4">
    <w:p w14:paraId="07AB92F6" w14:textId="041E5D5D" w:rsidR="00F56E17" w:rsidRPr="00F56E17" w:rsidRDefault="00F56E17">
      <w:pPr>
        <w:pStyle w:val="FootnoteText"/>
      </w:pPr>
      <w:r>
        <w:rPr>
          <w:rStyle w:val="FootnoteReference"/>
        </w:rPr>
        <w:footnoteRef/>
      </w:r>
      <w:r>
        <w:t xml:space="preserve"> DLEIGH11, </w:t>
      </w:r>
      <w:r w:rsidRPr="00F56E17">
        <w:rPr>
          <w:i/>
          <w:iCs/>
        </w:rPr>
        <w:t>Review of The Black Atlantic: Modernity and Double Consciousness by Paul Gilroy</w:t>
      </w:r>
      <w:r>
        <w:rPr>
          <w:i/>
          <w:iCs/>
        </w:rPr>
        <w:t xml:space="preserve"> </w:t>
      </w:r>
      <w:r>
        <w:t xml:space="preserve">In Reviews, </w:t>
      </w:r>
      <w:proofErr w:type="spellStart"/>
      <w:r>
        <w:t>Lakefronthistorian</w:t>
      </w:r>
      <w:proofErr w:type="spellEnd"/>
      <w:r>
        <w:t xml:space="preserve"> (May 29, 2014) &lt;</w:t>
      </w:r>
      <w:hyperlink r:id="rId1" w:history="1">
        <w:r w:rsidRPr="00FC2C25">
          <w:rPr>
            <w:rStyle w:val="Hyperlink"/>
          </w:rPr>
          <w:t>https://lakefronthistorian.com/2014/05/29/review-of-the-black-atlantic-modernity-and-double-consciousness-by-paul-gilroy/</w:t>
        </w:r>
      </w:hyperlink>
      <w:r>
        <w:t>&gt; para 5</w:t>
      </w:r>
    </w:p>
  </w:footnote>
  <w:footnote w:id="5">
    <w:p w14:paraId="7414FD14" w14:textId="6321C91F" w:rsidR="00556897" w:rsidRDefault="00556897">
      <w:pPr>
        <w:pStyle w:val="FootnoteText"/>
      </w:pPr>
      <w:r>
        <w:rPr>
          <w:rStyle w:val="FootnoteReference"/>
        </w:rPr>
        <w:footnoteRef/>
      </w:r>
      <w:r>
        <w:t xml:space="preserve"> </w:t>
      </w:r>
      <w:r w:rsidRPr="00556897">
        <w:t xml:space="preserve">Paul Gilroy, </w:t>
      </w:r>
      <w:r w:rsidR="009E5FDF">
        <w:t xml:space="preserve">The Black Atlantic </w:t>
      </w:r>
      <w:r w:rsidRPr="00556897">
        <w:t>p. 11</w:t>
      </w:r>
    </w:p>
  </w:footnote>
  <w:footnote w:id="6">
    <w:p w14:paraId="19AE54BF" w14:textId="21F7098B" w:rsidR="00A05780" w:rsidRDefault="00A05780">
      <w:pPr>
        <w:pStyle w:val="FootnoteText"/>
      </w:pPr>
      <w:r>
        <w:rPr>
          <w:rStyle w:val="FootnoteReference"/>
        </w:rPr>
        <w:footnoteRef/>
      </w:r>
      <w:r>
        <w:t xml:space="preserve"> </w:t>
      </w:r>
      <w:r w:rsidRPr="00A05780">
        <w:t>“Rhizomorph.” </w:t>
      </w:r>
      <w:r w:rsidRPr="00A05780">
        <w:rPr>
          <w:i/>
          <w:iCs/>
        </w:rPr>
        <w:t>Merriam-Webster.com Dictionary</w:t>
      </w:r>
      <w:r w:rsidRPr="00A05780">
        <w:t xml:space="preserve">, Merriam-Webster, https://www.merriam-webster.com/dictionary/rhizomorph. </w:t>
      </w:r>
      <w:r w:rsidR="0043318F">
        <w:t>[</w:t>
      </w:r>
      <w:r w:rsidRPr="00A05780">
        <w:t>Accessed 28 Nov. 2021.</w:t>
      </w:r>
      <w:r w:rsidR="0043318F">
        <w:t>]</w:t>
      </w:r>
    </w:p>
  </w:footnote>
  <w:footnote w:id="7">
    <w:p w14:paraId="36A31BE7" w14:textId="27EB9746" w:rsidR="00B212B1" w:rsidRDefault="00B212B1">
      <w:pPr>
        <w:pStyle w:val="FootnoteText"/>
      </w:pPr>
      <w:r>
        <w:rPr>
          <w:rStyle w:val="FootnoteReference"/>
        </w:rPr>
        <w:footnoteRef/>
      </w:r>
      <w:r>
        <w:t xml:space="preserve"> </w:t>
      </w:r>
      <w:r w:rsidRPr="00B212B1">
        <w:t>Paul Gilroy, The Black Atlantic p. 11</w:t>
      </w:r>
      <w:r>
        <w:t xml:space="preserve"> 23</w:t>
      </w:r>
    </w:p>
  </w:footnote>
  <w:footnote w:id="8">
    <w:p w14:paraId="354D7FC7" w14:textId="0F03A130" w:rsidR="009E5FDF" w:rsidRDefault="009E5FDF">
      <w:pPr>
        <w:pStyle w:val="FootnoteText"/>
      </w:pPr>
      <w:r>
        <w:rPr>
          <w:rStyle w:val="FootnoteReference"/>
        </w:rPr>
        <w:footnoteRef/>
      </w:r>
      <w:r>
        <w:t xml:space="preserve"> </w:t>
      </w:r>
      <w:r w:rsidRPr="009E5FDF">
        <w:t>Paul Gilroy, The Black Atlantic p.</w:t>
      </w:r>
      <w:r>
        <w:t xml:space="preserve"> 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8FA"/>
    <w:rsid w:val="0029256B"/>
    <w:rsid w:val="003C57C6"/>
    <w:rsid w:val="004135AD"/>
    <w:rsid w:val="0043318F"/>
    <w:rsid w:val="00503BC4"/>
    <w:rsid w:val="00556897"/>
    <w:rsid w:val="005E3604"/>
    <w:rsid w:val="007461AB"/>
    <w:rsid w:val="00764F8D"/>
    <w:rsid w:val="00787831"/>
    <w:rsid w:val="007958FA"/>
    <w:rsid w:val="007A2AE6"/>
    <w:rsid w:val="009E5FDF"/>
    <w:rsid w:val="00A05780"/>
    <w:rsid w:val="00A377CC"/>
    <w:rsid w:val="00A76E73"/>
    <w:rsid w:val="00B212B1"/>
    <w:rsid w:val="00BB5718"/>
    <w:rsid w:val="00BF1B8C"/>
    <w:rsid w:val="00C81E69"/>
    <w:rsid w:val="00CE1274"/>
    <w:rsid w:val="00F56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4DDDF9"/>
  <w15:chartTrackingRefBased/>
  <w15:docId w15:val="{5542F119-84FB-4ED7-9AE8-6B2E2B58A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F1B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1B8C"/>
    <w:rPr>
      <w:sz w:val="20"/>
      <w:szCs w:val="20"/>
    </w:rPr>
  </w:style>
  <w:style w:type="character" w:styleId="FootnoteReference">
    <w:name w:val="footnote reference"/>
    <w:basedOn w:val="DefaultParagraphFont"/>
    <w:uiPriority w:val="99"/>
    <w:semiHidden/>
    <w:unhideWhenUsed/>
    <w:rsid w:val="00BF1B8C"/>
    <w:rPr>
      <w:vertAlign w:val="superscript"/>
    </w:rPr>
  </w:style>
  <w:style w:type="character" w:styleId="Hyperlink">
    <w:name w:val="Hyperlink"/>
    <w:basedOn w:val="DefaultParagraphFont"/>
    <w:uiPriority w:val="99"/>
    <w:unhideWhenUsed/>
    <w:rsid w:val="00F56E17"/>
    <w:rPr>
      <w:color w:val="0563C1" w:themeColor="hyperlink"/>
      <w:u w:val="single"/>
    </w:rPr>
  </w:style>
  <w:style w:type="character" w:styleId="UnresolvedMention">
    <w:name w:val="Unresolved Mention"/>
    <w:basedOn w:val="DefaultParagraphFont"/>
    <w:uiPriority w:val="99"/>
    <w:semiHidden/>
    <w:unhideWhenUsed/>
    <w:rsid w:val="00F56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462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lakefronthistorian.com/2014/05/29/review-of-the-black-atlantic-modernity-and-double-consciousness-by-paul-gilro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617E0-DB12-4D7B-B43C-D0C669F2E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3</Pages>
  <Words>941</Words>
  <Characters>4932</Characters>
  <Application>Microsoft Office Word</Application>
  <DocSecurity>0</DocSecurity>
  <Lines>64</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1</cp:revision>
  <dcterms:created xsi:type="dcterms:W3CDTF">2021-11-28T17:37:00Z</dcterms:created>
  <dcterms:modified xsi:type="dcterms:W3CDTF">2021-11-28T21:19:00Z</dcterms:modified>
</cp:coreProperties>
</file>