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AB2F6" w14:textId="397A95F6" w:rsidR="00F74D42" w:rsidRPr="00F74D42" w:rsidRDefault="00F74D42" w:rsidP="00F74D42">
      <w:pPr>
        <w:jc w:val="center"/>
        <w:rPr>
          <w:sz w:val="24"/>
          <w:szCs w:val="24"/>
          <w:u w:val="single"/>
        </w:rPr>
      </w:pPr>
      <w:r w:rsidRPr="00F74D42">
        <w:rPr>
          <w:sz w:val="24"/>
          <w:szCs w:val="24"/>
          <w:u w:val="single"/>
        </w:rPr>
        <w:t>Review of ‘Nazi War Diggers’ Strikes Back on Channel 5!</w:t>
      </w:r>
    </w:p>
    <w:p w14:paraId="4B3F9BBC" w14:textId="77777777" w:rsidR="00F74D42" w:rsidRPr="00F74D42" w:rsidRDefault="00F74D42" w:rsidP="00F74D42">
      <w:pPr>
        <w:jc w:val="center"/>
        <w:rPr>
          <w:sz w:val="24"/>
          <w:szCs w:val="24"/>
          <w:u w:val="single"/>
        </w:rPr>
      </w:pPr>
    </w:p>
    <w:p w14:paraId="4233CF3F" w14:textId="66A0A5FE" w:rsidR="00F74D42" w:rsidRPr="00F74D42" w:rsidRDefault="00F74D42" w:rsidP="00F74D42">
      <w:pPr>
        <w:rPr>
          <w:color w:val="215E99" w:themeColor="text2" w:themeTint="BF"/>
          <w:sz w:val="24"/>
          <w:szCs w:val="24"/>
          <w:u w:val="single"/>
        </w:rPr>
      </w:pPr>
      <w:r w:rsidRPr="00F74D42">
        <w:rPr>
          <w:color w:val="215E99" w:themeColor="text2" w:themeTint="BF"/>
          <w:sz w:val="24"/>
          <w:szCs w:val="24"/>
          <w:u w:val="single"/>
        </w:rPr>
        <w:t>https://www.youtube.com/watch?v=JQOG0r2paVA%3Fhl%3Den-GB</w:t>
      </w:r>
    </w:p>
    <w:p w14:paraId="3843F595" w14:textId="77777777" w:rsidR="00F74D42" w:rsidRDefault="00F74D42" w:rsidP="00F74D42"/>
    <w:p w14:paraId="6F55904F" w14:textId="68C06733" w:rsidR="00F74D42" w:rsidRDefault="00F74D42" w:rsidP="00F74D42">
      <w:r>
        <w:t xml:space="preserve">The video examining the television programme Nazi War Diggers (later retitled Battlefield Recovery) presents a critique of how the Second World War is represented through televised battlefield excavation. Rather than focusing on the historical events of the war itself, the video interrogates the programme’s methods, questioning its treatment of material remains, its presentation of expertise, and its ethical stance toward sites of conflict and the dead. In doing so, the video highlights broader tensions between professional archaeological practice and popular media representations of the past. </w:t>
      </w:r>
      <w:proofErr w:type="gramStart"/>
      <w:r>
        <w:t>In order to</w:t>
      </w:r>
      <w:proofErr w:type="gramEnd"/>
      <w:r>
        <w:t xml:space="preserve"> evaluate the video’s value as a commentary on contemporary responses to the legacy of modern conflict, this review will examine how it constructs its argument, considering its intended audience, narrative authority, use of evidence, and visual framing.</w:t>
      </w:r>
    </w:p>
    <w:p w14:paraId="408E179E" w14:textId="77777777" w:rsidR="00F74D42" w:rsidRDefault="00F74D42" w:rsidP="00F74D42"/>
    <w:p w14:paraId="262CD80D" w14:textId="77777777" w:rsidR="00F74D42" w:rsidRDefault="00F74D42" w:rsidP="00F74D42">
      <w:r>
        <w:t>The video is clearly aimed at a broad public audience interested in history, archaeology, and heritage media, rather than at academic specialists. It focuses on explaining why the programme in question has generated professional concern, assuming only a general familiarity with the Second World War and the cultural fascination surrounding battlefield relics. The video’s purpose is therefore not simply informative but explicitly critical and interventionist. By outlining the objections raised by archaeologists and heritage professionals, the speaker seeks to influence public understanding of how conflict sites should be treated and interpreted. In this sense, the video functions as a form of public-facing academic advocacy, attempting to reshape audience expectations about what constitutes responsible historical representation.</w:t>
      </w:r>
    </w:p>
    <w:p w14:paraId="2169216C" w14:textId="77777777" w:rsidR="00F74D42" w:rsidRDefault="00F74D42" w:rsidP="00F74D42"/>
    <w:p w14:paraId="5933F6A3" w14:textId="77777777" w:rsidR="00F74D42" w:rsidRDefault="00F74D42" w:rsidP="00F74D42">
      <w:r>
        <w:t>Authority within the video is constructed primarily through the role of its participants, particularly the archaeologist Andy Brockman, whose professional perspective underpins the critique, and the interviewer Michael Scott, who facilitates the discussion. The conversational yet assertive tone positions Brockman as knowledgeable and critically engaged with the subject. Authority is established through reference to professional archaeological standards and the concerns of the wider heritage community, rather than through dramatic visual demonstration. This contrasts with the programme under critique, where expertise is presented more performatively through physical action and the recovery of objects. By foregrounding disciplinary knowledge and ethical frameworks, the video emphasises that historical authority derives from interpretation, context, and methodological rigour rather than discovery alone, reinforcing the distinction between entertainment-led heritage media and academically grounded archaeological practice.</w:t>
      </w:r>
    </w:p>
    <w:p w14:paraId="3989B337" w14:textId="77777777" w:rsidR="00F74D42" w:rsidRDefault="00F74D42" w:rsidP="00F74D42"/>
    <w:p w14:paraId="72AD2350" w14:textId="22955E81" w:rsidR="00F74D42" w:rsidRDefault="00F74D42" w:rsidP="00F74D42">
      <w:r>
        <w:t>The video supports its critique through a combination of professional testimony, discussion, and</w:t>
      </w:r>
      <w:r>
        <w:t xml:space="preserve"> a clip</w:t>
      </w:r>
      <w:r>
        <w:t xml:space="preserve"> from the programme Nazi War Diggers itself. Th</w:t>
      </w:r>
      <w:r>
        <w:t>i</w:t>
      </w:r>
      <w:r>
        <w:t>s clip function</w:t>
      </w:r>
      <w:r>
        <w:t>s</w:t>
      </w:r>
      <w:r>
        <w:t xml:space="preserve"> as visual evidence, allowing the presenters to demonstrate issues such as the treatment of artefacts, the framing of discoveries, and the tone of the excavation process. By juxtaposing these extracts with </w:t>
      </w:r>
      <w:r>
        <w:lastRenderedPageBreak/>
        <w:t>Brockman’s commentary, the video constructs an evidential argument rather than relying solely on opinion, encouraging viewers to interpret the footage critically. However, the emphasis remains on the interpretive framing of material remains rather than on their broader historical or social context. This reflects a key distinction highlighted in conflict archaeology scholarship, where the value of artefacts lies not simply in their recovery but in their contextual interpretation within wider cultural and historical landscapes. From this perspective, the programme’s focus on the moment of recovery risks reducing complex historical sites to collections of objects, whereas the video attempts to reassert the importance of interpretation, ethical responsibility, and the respectful treatment of human remains as central to archaeological practice.</w:t>
      </w:r>
    </w:p>
    <w:p w14:paraId="7730A833" w14:textId="77777777" w:rsidR="00F74D42" w:rsidRDefault="00F74D42" w:rsidP="00F74D42"/>
    <w:p w14:paraId="20B19B59" w14:textId="77777777" w:rsidR="00F74D42" w:rsidRDefault="00F74D42" w:rsidP="00F74D42">
      <w:r>
        <w:t>As a historical source, the video is less valuable for understanding the Second World War itself than for analysing contemporary debates surrounding the representation of modern conflict. It demonstrates how archaeological practice, media production, and public expectations intersect in shaping the presentation of the past. In particular, the discussion highlights the tension between professional approaches that prioritise contextual interpretation, commemoration, and ethical responsibility, and media formats that emphasise discovery, immediacy, and spectacle. This contrast underscores a broader issue within public history, namely that the authority of historical knowledge is often constructed through visual engagement rather than methodological rigour. The video therefore serves as evidence of how the heritage of modern warfare is negotiated in the present, illustrating that representations of conflict are shaped not only by historical evidence but also by the cultural and institutional frameworks through which that evidence is communicated. In doing so, it shows how the legacy of the Second World War continues to be contested, not solely through scholarly debate but through the competing demands of entertainment, commemoration, and professional practice.</w:t>
      </w:r>
    </w:p>
    <w:p w14:paraId="58A171AF" w14:textId="77777777" w:rsidR="00F74D42" w:rsidRDefault="00F74D42" w:rsidP="00F74D42"/>
    <w:p w14:paraId="57D97F3F" w14:textId="449323EF" w:rsidR="00E33468" w:rsidRDefault="00F74D42" w:rsidP="00F74D42">
      <w:r>
        <w:t>Overall, the video offers a valuable critique of how modern conflict is represented within popular heritage media. While it does not seek to provide a detailed account of the Second World War itself, it effectively exposes the tensions between professional archaeological standards and entertainment-driven approaches to the past. By foregrounding issues of expertise, ethical responsibility, and contextual interpretation, the video demonstrates how representations of war are shaped as much by contemporary cultural expectations as by historical evidence. Its significance therefore lies not in what it reveals about wartime events, but in what it illustrates about the ongoing negotiation of conflict heritage in the present. The discussion underscores that the recovery of artefacts and remains is never a neutral act, but one embedded within questions of memory, respect, and historical authority. As such, the video serves as a useful source for understanding how the legacy of the Second World War continues to be mediated through television, public debate, and professional discourse, illustrating that the interpretation of modern conflict remains an active and contested process.</w:t>
      </w:r>
    </w:p>
    <w:sectPr w:rsidR="00E33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D42"/>
    <w:rsid w:val="002A3EA5"/>
    <w:rsid w:val="005A76C8"/>
    <w:rsid w:val="00CF4807"/>
    <w:rsid w:val="00E33468"/>
    <w:rsid w:val="00EE4B9C"/>
    <w:rsid w:val="00F640BA"/>
    <w:rsid w:val="00F74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90D7D"/>
  <w15:chartTrackingRefBased/>
  <w15:docId w15:val="{83CC7C03-2D39-49B0-B4ED-405A80280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D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D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D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D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D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D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D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D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D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D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D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D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D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D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D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D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D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D42"/>
    <w:rPr>
      <w:rFonts w:eastAsiaTheme="majorEastAsia" w:cstheme="majorBidi"/>
      <w:color w:val="272727" w:themeColor="text1" w:themeTint="D8"/>
    </w:rPr>
  </w:style>
  <w:style w:type="paragraph" w:styleId="Title">
    <w:name w:val="Title"/>
    <w:basedOn w:val="Normal"/>
    <w:next w:val="Normal"/>
    <w:link w:val="TitleChar"/>
    <w:uiPriority w:val="10"/>
    <w:qFormat/>
    <w:rsid w:val="00F74D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D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D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D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D42"/>
    <w:pPr>
      <w:spacing w:before="160"/>
      <w:jc w:val="center"/>
    </w:pPr>
    <w:rPr>
      <w:i/>
      <w:iCs/>
      <w:color w:val="404040" w:themeColor="text1" w:themeTint="BF"/>
    </w:rPr>
  </w:style>
  <w:style w:type="character" w:customStyle="1" w:styleId="QuoteChar">
    <w:name w:val="Quote Char"/>
    <w:basedOn w:val="DefaultParagraphFont"/>
    <w:link w:val="Quote"/>
    <w:uiPriority w:val="29"/>
    <w:rsid w:val="00F74D42"/>
    <w:rPr>
      <w:i/>
      <w:iCs/>
      <w:color w:val="404040" w:themeColor="text1" w:themeTint="BF"/>
    </w:rPr>
  </w:style>
  <w:style w:type="paragraph" w:styleId="ListParagraph">
    <w:name w:val="List Paragraph"/>
    <w:basedOn w:val="Normal"/>
    <w:uiPriority w:val="34"/>
    <w:qFormat/>
    <w:rsid w:val="00F74D42"/>
    <w:pPr>
      <w:ind w:left="720"/>
      <w:contextualSpacing/>
    </w:pPr>
  </w:style>
  <w:style w:type="character" w:styleId="IntenseEmphasis">
    <w:name w:val="Intense Emphasis"/>
    <w:basedOn w:val="DefaultParagraphFont"/>
    <w:uiPriority w:val="21"/>
    <w:qFormat/>
    <w:rsid w:val="00F74D42"/>
    <w:rPr>
      <w:i/>
      <w:iCs/>
      <w:color w:val="0F4761" w:themeColor="accent1" w:themeShade="BF"/>
    </w:rPr>
  </w:style>
  <w:style w:type="paragraph" w:styleId="IntenseQuote">
    <w:name w:val="Intense Quote"/>
    <w:basedOn w:val="Normal"/>
    <w:next w:val="Normal"/>
    <w:link w:val="IntenseQuoteChar"/>
    <w:uiPriority w:val="30"/>
    <w:qFormat/>
    <w:rsid w:val="00F74D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D42"/>
    <w:rPr>
      <w:i/>
      <w:iCs/>
      <w:color w:val="0F4761" w:themeColor="accent1" w:themeShade="BF"/>
    </w:rPr>
  </w:style>
  <w:style w:type="character" w:styleId="IntenseReference">
    <w:name w:val="Intense Reference"/>
    <w:basedOn w:val="DefaultParagraphFont"/>
    <w:uiPriority w:val="32"/>
    <w:qFormat/>
    <w:rsid w:val="00F74D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977</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1</cp:revision>
  <dcterms:created xsi:type="dcterms:W3CDTF">2026-02-22T12:26:00Z</dcterms:created>
  <dcterms:modified xsi:type="dcterms:W3CDTF">2026-02-22T12:44:00Z</dcterms:modified>
</cp:coreProperties>
</file>