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320CE2" w14:textId="33717EF7" w:rsidR="03B2DAA5" w:rsidRDefault="6F16C8E0" w:rsidP="03B2DAA5">
      <w:pPr>
        <w:spacing w:line="360" w:lineRule="auto"/>
        <w:jc w:val="center"/>
      </w:pPr>
      <w:r>
        <w:rPr>
          <w:noProof/>
        </w:rPr>
        <w:drawing>
          <wp:inline distT="0" distB="0" distL="0" distR="0" wp14:anchorId="77413F62" wp14:editId="5270D8AD">
            <wp:extent cx="3343275" cy="1343025"/>
            <wp:effectExtent l="0" t="0" r="0" b="0"/>
            <wp:docPr id="1702873201" name="drawing" title="UWTSD logo | Discover Dylan Thomas">
              <a:extLst xmlns:a="http://schemas.openxmlformats.org/drawingml/2006/main">
                <a:ext uri="{FF2B5EF4-FFF2-40B4-BE49-F238E27FC236}">
                  <a16:creationId xmlns:a16="http://schemas.microsoft.com/office/drawing/2014/main" id="{8BAE5CD8-54E8-4779-AE60-812EDF5C9AA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873201" name="Picture 1702873201"/>
                    <pic:cNvPicPr/>
                  </pic:nvPicPr>
                  <pic:blipFill>
                    <a:blip r:embed="rId7">
                      <a:extLst>
                        <a:ext uri="{28A0092B-C50C-407E-A947-70E740481C1C}">
                          <a14:useLocalDpi xmlns:a14="http://schemas.microsoft.com/office/drawing/2010/main"/>
                        </a:ext>
                      </a:extLst>
                    </a:blip>
                    <a:stretch>
                      <a:fillRect/>
                    </a:stretch>
                  </pic:blipFill>
                  <pic:spPr>
                    <a:xfrm>
                      <a:off x="0" y="0"/>
                      <a:ext cx="3343275" cy="1343025"/>
                    </a:xfrm>
                    <a:prstGeom prst="rect">
                      <a:avLst/>
                    </a:prstGeom>
                  </pic:spPr>
                </pic:pic>
              </a:graphicData>
            </a:graphic>
          </wp:inline>
        </w:drawing>
      </w:r>
    </w:p>
    <w:p w14:paraId="4A99D527" w14:textId="55E50DEB" w:rsidR="072C9BD0" w:rsidRDefault="072C9BD0" w:rsidP="072C9BD0">
      <w:pPr>
        <w:spacing w:line="360" w:lineRule="auto"/>
        <w:jc w:val="center"/>
        <w:rPr>
          <w:b/>
          <w:bCs/>
          <w:sz w:val="22"/>
          <w:szCs w:val="22"/>
        </w:rPr>
      </w:pPr>
    </w:p>
    <w:p w14:paraId="5D4A0AFE" w14:textId="258741A2" w:rsidR="072C9BD0" w:rsidRDefault="072C9BD0" w:rsidP="072C9BD0">
      <w:pPr>
        <w:spacing w:line="360" w:lineRule="auto"/>
        <w:jc w:val="center"/>
        <w:rPr>
          <w:b/>
          <w:bCs/>
          <w:sz w:val="22"/>
          <w:szCs w:val="22"/>
        </w:rPr>
      </w:pPr>
    </w:p>
    <w:p w14:paraId="744FB6AE" w14:textId="6138518D" w:rsidR="41772ED5" w:rsidRDefault="41772ED5" w:rsidP="41772ED5">
      <w:pPr>
        <w:spacing w:line="360" w:lineRule="auto"/>
        <w:jc w:val="center"/>
        <w:rPr>
          <w:b/>
          <w:bCs/>
          <w:sz w:val="22"/>
          <w:szCs w:val="22"/>
        </w:rPr>
      </w:pPr>
    </w:p>
    <w:p w14:paraId="0130B515" w14:textId="234FE84F" w:rsidR="6F16C8E0" w:rsidRDefault="6F16C8E0" w:rsidP="446629ED">
      <w:pPr>
        <w:spacing w:before="240" w:after="240"/>
        <w:rPr>
          <w:rFonts w:ascii="Aptos" w:eastAsia="Aptos" w:hAnsi="Aptos" w:cs="Aptos"/>
        </w:rPr>
      </w:pPr>
      <w:r w:rsidRPr="446629ED">
        <w:rPr>
          <w:rFonts w:ascii="Aptos" w:eastAsia="Aptos" w:hAnsi="Aptos" w:cs="Aptos"/>
          <w:lang w:val="en-US"/>
        </w:rPr>
        <w:t xml:space="preserve">Student Number: 24131569 </w:t>
      </w:r>
    </w:p>
    <w:p w14:paraId="73E07B15" w14:textId="4D183CFA" w:rsidR="6F16C8E0" w:rsidRDefault="6F16C8E0" w:rsidP="446629ED">
      <w:pPr>
        <w:spacing w:before="240" w:after="240"/>
        <w:rPr>
          <w:rFonts w:ascii="Aptos" w:eastAsia="Aptos" w:hAnsi="Aptos" w:cs="Aptos"/>
        </w:rPr>
      </w:pPr>
      <w:r w:rsidRPr="446629ED">
        <w:rPr>
          <w:rFonts w:ascii="Aptos" w:eastAsia="Aptos" w:hAnsi="Aptos" w:cs="Aptos"/>
          <w:lang w:val="en-US"/>
        </w:rPr>
        <w:t>Module Code: BMHP5019</w:t>
      </w:r>
    </w:p>
    <w:p w14:paraId="5D620FBC" w14:textId="775042C1" w:rsidR="6F16C8E0" w:rsidRDefault="6F16C8E0" w:rsidP="446629ED">
      <w:pPr>
        <w:spacing w:before="240" w:after="240"/>
        <w:rPr>
          <w:rFonts w:ascii="Aptos" w:eastAsia="Aptos" w:hAnsi="Aptos" w:cs="Aptos"/>
        </w:rPr>
      </w:pPr>
      <w:r w:rsidRPr="446629ED">
        <w:rPr>
          <w:rFonts w:ascii="Aptos" w:eastAsia="Aptos" w:hAnsi="Aptos" w:cs="Aptos"/>
          <w:lang w:val="en-US"/>
        </w:rPr>
        <w:t>Module Title: Introduction to Independent Research Skills</w:t>
      </w:r>
    </w:p>
    <w:p w14:paraId="4C27C074" w14:textId="38D4ADD8" w:rsidR="5A1BEAE0" w:rsidRDefault="6F16C8E0" w:rsidP="5A1BEAE0">
      <w:pPr>
        <w:rPr>
          <w:rFonts w:ascii="Aptos" w:eastAsia="Aptos" w:hAnsi="Aptos" w:cs="Aptos"/>
          <w:lang w:val="en-US"/>
        </w:rPr>
      </w:pPr>
      <w:r w:rsidRPr="446629ED">
        <w:rPr>
          <w:rFonts w:ascii="Aptos" w:eastAsia="Aptos" w:hAnsi="Aptos" w:cs="Aptos"/>
          <w:lang w:val="en-US"/>
        </w:rPr>
        <w:t xml:space="preserve">Date of Submission: Friday </w:t>
      </w:r>
      <w:r w:rsidRPr="19E09A7B">
        <w:rPr>
          <w:rFonts w:ascii="Aptos" w:eastAsia="Aptos" w:hAnsi="Aptos" w:cs="Aptos"/>
          <w:lang w:val="en-US"/>
        </w:rPr>
        <w:t xml:space="preserve">14 </w:t>
      </w:r>
      <w:r w:rsidR="0014CA24" w:rsidRPr="63533D2F">
        <w:rPr>
          <w:rFonts w:ascii="Aptos" w:eastAsia="Aptos" w:hAnsi="Aptos" w:cs="Aptos"/>
          <w:lang w:val="en-US"/>
        </w:rPr>
        <w:t>August</w:t>
      </w:r>
      <w:r w:rsidR="0014CA24" w:rsidRPr="481AA3B6">
        <w:rPr>
          <w:rFonts w:ascii="Aptos" w:eastAsia="Aptos" w:hAnsi="Aptos" w:cs="Aptos"/>
          <w:lang w:val="en-US"/>
        </w:rPr>
        <w:t xml:space="preserve"> </w:t>
      </w:r>
      <w:r w:rsidRPr="446629ED">
        <w:rPr>
          <w:rFonts w:ascii="Aptos" w:eastAsia="Aptos" w:hAnsi="Aptos" w:cs="Aptos"/>
          <w:lang w:val="en-US"/>
        </w:rPr>
        <w:t>2026</w:t>
      </w:r>
    </w:p>
    <w:p w14:paraId="3643328C" w14:textId="4529C798" w:rsidR="6F16C8E0" w:rsidRDefault="6F16C8E0" w:rsidP="446629ED">
      <w:pPr>
        <w:rPr>
          <w:rFonts w:ascii="Aptos" w:eastAsia="Aptos" w:hAnsi="Aptos" w:cs="Aptos"/>
        </w:rPr>
      </w:pPr>
      <w:r w:rsidRPr="446629ED">
        <w:rPr>
          <w:rFonts w:ascii="Aptos" w:eastAsia="Aptos" w:hAnsi="Aptos" w:cs="Aptos"/>
          <w:lang w:val="en-US"/>
        </w:rPr>
        <w:t>Submit to: Dr Eleni Koutsogeorgou</w:t>
      </w:r>
    </w:p>
    <w:p w14:paraId="2DADD0AD" w14:textId="33739057" w:rsidR="072C9BD0" w:rsidRDefault="072C9BD0" w:rsidP="072C9BD0">
      <w:pPr>
        <w:spacing w:line="360" w:lineRule="auto"/>
        <w:jc w:val="center"/>
        <w:rPr>
          <w:b/>
          <w:bCs/>
          <w:sz w:val="22"/>
          <w:szCs w:val="22"/>
        </w:rPr>
      </w:pPr>
    </w:p>
    <w:p w14:paraId="220F292E" w14:textId="51BDC6EB" w:rsidR="072C9BD0" w:rsidRDefault="072C9BD0" w:rsidP="072C9BD0">
      <w:pPr>
        <w:spacing w:line="360" w:lineRule="auto"/>
        <w:jc w:val="center"/>
        <w:rPr>
          <w:b/>
          <w:bCs/>
          <w:sz w:val="22"/>
          <w:szCs w:val="22"/>
        </w:rPr>
      </w:pPr>
    </w:p>
    <w:p w14:paraId="7E8A0585" w14:textId="70B2CECC" w:rsidR="7D4757CD" w:rsidRDefault="7D4757CD" w:rsidP="7D4757CD">
      <w:pPr>
        <w:spacing w:line="360" w:lineRule="auto"/>
        <w:jc w:val="center"/>
        <w:rPr>
          <w:b/>
          <w:bCs/>
          <w:sz w:val="22"/>
          <w:szCs w:val="22"/>
        </w:rPr>
      </w:pPr>
    </w:p>
    <w:p w14:paraId="3210FC5F" w14:textId="4A628F87" w:rsidR="467CABD2" w:rsidRDefault="467CABD2" w:rsidP="467CABD2">
      <w:pPr>
        <w:spacing w:line="360" w:lineRule="auto"/>
        <w:jc w:val="center"/>
        <w:rPr>
          <w:b/>
          <w:bCs/>
          <w:sz w:val="22"/>
          <w:szCs w:val="22"/>
        </w:rPr>
      </w:pPr>
    </w:p>
    <w:p w14:paraId="6EB71E69" w14:textId="6D1B8017" w:rsidR="467CABD2" w:rsidRDefault="467CABD2" w:rsidP="467CABD2">
      <w:pPr>
        <w:spacing w:line="360" w:lineRule="auto"/>
        <w:jc w:val="center"/>
        <w:rPr>
          <w:b/>
          <w:bCs/>
          <w:sz w:val="22"/>
          <w:szCs w:val="22"/>
        </w:rPr>
      </w:pPr>
    </w:p>
    <w:p w14:paraId="55EB4064" w14:textId="5F8E1A51" w:rsidR="467CABD2" w:rsidRDefault="467CABD2" w:rsidP="467CABD2">
      <w:pPr>
        <w:spacing w:line="360" w:lineRule="auto"/>
        <w:jc w:val="center"/>
        <w:rPr>
          <w:b/>
          <w:bCs/>
          <w:sz w:val="22"/>
          <w:szCs w:val="22"/>
        </w:rPr>
      </w:pPr>
    </w:p>
    <w:p w14:paraId="1314D6A4" w14:textId="134F2D20" w:rsidR="467CABD2" w:rsidRDefault="467CABD2" w:rsidP="467CABD2">
      <w:pPr>
        <w:spacing w:line="360" w:lineRule="auto"/>
        <w:jc w:val="center"/>
        <w:rPr>
          <w:b/>
          <w:bCs/>
          <w:sz w:val="22"/>
          <w:szCs w:val="22"/>
        </w:rPr>
      </w:pPr>
    </w:p>
    <w:p w14:paraId="5E601BFC" w14:textId="01085828" w:rsidR="467CABD2" w:rsidRDefault="467CABD2" w:rsidP="467CABD2">
      <w:pPr>
        <w:spacing w:line="360" w:lineRule="auto"/>
        <w:jc w:val="center"/>
        <w:rPr>
          <w:b/>
          <w:bCs/>
          <w:sz w:val="22"/>
          <w:szCs w:val="22"/>
        </w:rPr>
      </w:pPr>
    </w:p>
    <w:p w14:paraId="084C6D82" w14:textId="0AE512B7" w:rsidR="467CABD2" w:rsidRDefault="467CABD2" w:rsidP="467CABD2">
      <w:pPr>
        <w:spacing w:line="360" w:lineRule="auto"/>
        <w:jc w:val="center"/>
        <w:rPr>
          <w:b/>
          <w:bCs/>
          <w:sz w:val="22"/>
          <w:szCs w:val="22"/>
        </w:rPr>
      </w:pPr>
    </w:p>
    <w:p w14:paraId="3F674525" w14:textId="5A033B77" w:rsidR="467CABD2" w:rsidRDefault="467CABD2" w:rsidP="467CABD2">
      <w:pPr>
        <w:spacing w:line="360" w:lineRule="auto"/>
        <w:jc w:val="center"/>
        <w:rPr>
          <w:b/>
          <w:bCs/>
          <w:sz w:val="22"/>
          <w:szCs w:val="22"/>
        </w:rPr>
      </w:pPr>
    </w:p>
    <w:p w14:paraId="4EAA9CB2" w14:textId="255DAC27" w:rsidR="467CABD2" w:rsidRDefault="467CABD2" w:rsidP="467CABD2">
      <w:pPr>
        <w:spacing w:line="360" w:lineRule="auto"/>
        <w:jc w:val="center"/>
        <w:rPr>
          <w:b/>
          <w:bCs/>
          <w:sz w:val="22"/>
          <w:szCs w:val="22"/>
        </w:rPr>
      </w:pPr>
    </w:p>
    <w:p w14:paraId="11702980" w14:textId="0627A44A" w:rsidR="3D7F04C5" w:rsidRDefault="3D7F04C5" w:rsidP="3D7F04C5">
      <w:pPr>
        <w:spacing w:line="360" w:lineRule="auto"/>
        <w:jc w:val="center"/>
        <w:rPr>
          <w:b/>
          <w:bCs/>
          <w:sz w:val="22"/>
          <w:szCs w:val="22"/>
        </w:rPr>
      </w:pPr>
    </w:p>
    <w:p w14:paraId="60E9D92B" w14:textId="7C16B4A2" w:rsidR="3D7F04C5" w:rsidRDefault="3D7F04C5" w:rsidP="3D7F04C5">
      <w:pPr>
        <w:spacing w:line="360" w:lineRule="auto"/>
        <w:jc w:val="center"/>
        <w:rPr>
          <w:b/>
          <w:bCs/>
          <w:sz w:val="22"/>
          <w:szCs w:val="22"/>
        </w:rPr>
      </w:pPr>
    </w:p>
    <w:p w14:paraId="7B857ADC" w14:textId="5B77B726" w:rsidR="3D7F04C5" w:rsidRDefault="3D7F04C5" w:rsidP="3D7F04C5">
      <w:pPr>
        <w:spacing w:line="360" w:lineRule="auto"/>
        <w:jc w:val="center"/>
        <w:rPr>
          <w:b/>
          <w:bCs/>
          <w:sz w:val="22"/>
          <w:szCs w:val="22"/>
        </w:rPr>
      </w:pPr>
    </w:p>
    <w:p w14:paraId="3BAC7EA9" w14:textId="290912C5" w:rsidR="072C9BD0" w:rsidRDefault="072C9BD0" w:rsidP="072C9BD0">
      <w:pPr>
        <w:spacing w:line="360" w:lineRule="auto"/>
        <w:jc w:val="center"/>
        <w:rPr>
          <w:b/>
          <w:bCs/>
          <w:sz w:val="22"/>
          <w:szCs w:val="22"/>
        </w:rPr>
      </w:pPr>
    </w:p>
    <w:p w14:paraId="5C5DB5BB" w14:textId="660AB49D" w:rsidR="422AD208" w:rsidRDefault="4C78FDC2" w:rsidP="530A7655">
      <w:pPr>
        <w:spacing w:line="360" w:lineRule="auto"/>
        <w:jc w:val="center"/>
        <w:rPr>
          <w:b/>
          <w:bCs/>
          <w:sz w:val="22"/>
          <w:szCs w:val="22"/>
        </w:rPr>
      </w:pPr>
      <w:r w:rsidRPr="70F28B91">
        <w:rPr>
          <w:b/>
          <w:bCs/>
          <w:sz w:val="22"/>
          <w:szCs w:val="22"/>
        </w:rPr>
        <w:t xml:space="preserve">Table of contents </w:t>
      </w:r>
    </w:p>
    <w:p w14:paraId="622F8375" w14:textId="4B6CDE6A" w:rsidR="4C78FDC2" w:rsidRDefault="4C78FDC2" w:rsidP="7AC8E490">
      <w:pPr>
        <w:pStyle w:val="ListParagraph"/>
        <w:numPr>
          <w:ilvl w:val="0"/>
          <w:numId w:val="4"/>
        </w:numPr>
        <w:spacing w:line="360" w:lineRule="auto"/>
        <w:rPr>
          <w:b/>
          <w:bCs/>
          <w:sz w:val="22"/>
          <w:szCs w:val="22"/>
        </w:rPr>
      </w:pPr>
      <w:r w:rsidRPr="7AC8E490">
        <w:rPr>
          <w:b/>
          <w:bCs/>
          <w:sz w:val="22"/>
          <w:szCs w:val="22"/>
        </w:rPr>
        <w:t>Abstract</w:t>
      </w:r>
      <w:r w:rsidR="40A0804E" w:rsidRPr="7AC8E490">
        <w:rPr>
          <w:b/>
          <w:bCs/>
          <w:sz w:val="22"/>
          <w:szCs w:val="22"/>
        </w:rPr>
        <w:t>...........................................................................................................</w:t>
      </w:r>
      <w:r w:rsidR="25B9F719" w:rsidRPr="4025205A">
        <w:rPr>
          <w:b/>
          <w:bCs/>
          <w:sz w:val="22"/>
          <w:szCs w:val="22"/>
        </w:rPr>
        <w:t>3</w:t>
      </w:r>
    </w:p>
    <w:p w14:paraId="7431D2D6" w14:textId="762773B4" w:rsidR="4C78FDC2" w:rsidRDefault="4C78FDC2" w:rsidP="7AC8E490">
      <w:pPr>
        <w:pStyle w:val="ListParagraph"/>
        <w:numPr>
          <w:ilvl w:val="0"/>
          <w:numId w:val="4"/>
        </w:numPr>
        <w:spacing w:line="360" w:lineRule="auto"/>
        <w:rPr>
          <w:b/>
          <w:bCs/>
          <w:sz w:val="22"/>
          <w:szCs w:val="22"/>
        </w:rPr>
      </w:pPr>
      <w:r w:rsidRPr="7AC8E490">
        <w:rPr>
          <w:b/>
          <w:bCs/>
          <w:sz w:val="22"/>
          <w:szCs w:val="22"/>
        </w:rPr>
        <w:t>Introductions</w:t>
      </w:r>
      <w:r w:rsidR="15716C54" w:rsidRPr="7AC8E490">
        <w:rPr>
          <w:b/>
          <w:bCs/>
          <w:sz w:val="22"/>
          <w:szCs w:val="22"/>
        </w:rPr>
        <w:t>....................................................................................................</w:t>
      </w:r>
      <w:r w:rsidR="7EEF10E9" w:rsidRPr="6872124E">
        <w:rPr>
          <w:b/>
          <w:bCs/>
          <w:sz w:val="22"/>
          <w:szCs w:val="22"/>
        </w:rPr>
        <w:t>3</w:t>
      </w:r>
    </w:p>
    <w:p w14:paraId="24A7F211" w14:textId="2F2DED66" w:rsidR="771BAC5A" w:rsidRDefault="771BAC5A" w:rsidP="7AC8E490">
      <w:pPr>
        <w:pStyle w:val="ListParagraph"/>
        <w:spacing w:line="360" w:lineRule="auto"/>
        <w:rPr>
          <w:rFonts w:ascii="Arial" w:eastAsia="Arial" w:hAnsi="Arial" w:cs="Arial"/>
          <w:b/>
          <w:bCs/>
          <w:color w:val="000000" w:themeColor="text1"/>
          <w:sz w:val="22"/>
          <w:szCs w:val="22"/>
        </w:rPr>
      </w:pPr>
      <w:r w:rsidRPr="7AC8E490">
        <w:rPr>
          <w:b/>
          <w:bCs/>
          <w:sz w:val="22"/>
          <w:szCs w:val="22"/>
        </w:rPr>
        <w:t xml:space="preserve">2.1 Definition </w:t>
      </w:r>
      <w:r w:rsidR="201215BF" w:rsidRPr="7AC8E490">
        <w:rPr>
          <w:rFonts w:ascii="Arial" w:eastAsia="Arial" w:hAnsi="Arial" w:cs="Arial"/>
          <w:b/>
          <w:bCs/>
          <w:color w:val="000000" w:themeColor="text1"/>
          <w:sz w:val="22"/>
          <w:szCs w:val="22"/>
        </w:rPr>
        <w:t>..................................................................................................</w:t>
      </w:r>
      <w:r w:rsidR="6D9B1A9E" w:rsidRPr="120A1D02">
        <w:rPr>
          <w:rFonts w:ascii="Arial" w:eastAsia="Arial" w:hAnsi="Arial" w:cs="Arial"/>
          <w:b/>
          <w:bCs/>
          <w:color w:val="000000" w:themeColor="text1"/>
          <w:sz w:val="22"/>
          <w:szCs w:val="22"/>
        </w:rPr>
        <w:t>4</w:t>
      </w:r>
    </w:p>
    <w:p w14:paraId="1417AE7B" w14:textId="67032C29" w:rsidR="771BAC5A" w:rsidRDefault="771BAC5A" w:rsidP="7AC8E490">
      <w:pPr>
        <w:pStyle w:val="ListParagraph"/>
        <w:spacing w:line="360" w:lineRule="auto"/>
        <w:rPr>
          <w:rFonts w:ascii="Arial" w:eastAsia="Arial" w:hAnsi="Arial" w:cs="Arial"/>
          <w:b/>
          <w:bCs/>
          <w:color w:val="000000" w:themeColor="text1"/>
          <w:sz w:val="22"/>
          <w:szCs w:val="22"/>
        </w:rPr>
      </w:pPr>
      <w:r w:rsidRPr="7AC8E490">
        <w:rPr>
          <w:b/>
          <w:bCs/>
          <w:sz w:val="22"/>
          <w:szCs w:val="22"/>
        </w:rPr>
        <w:t xml:space="preserve">2.2 Rational </w:t>
      </w:r>
      <w:r w:rsidR="4C117ADC" w:rsidRPr="7AC8E490">
        <w:rPr>
          <w:rFonts w:ascii="Arial" w:eastAsia="Arial" w:hAnsi="Arial" w:cs="Arial"/>
          <w:b/>
          <w:bCs/>
          <w:color w:val="000000" w:themeColor="text1"/>
          <w:sz w:val="22"/>
          <w:szCs w:val="22"/>
        </w:rPr>
        <w:t>...............................................................................................</w:t>
      </w:r>
      <w:r w:rsidR="36586F04" w:rsidRPr="7AC8E490">
        <w:rPr>
          <w:rFonts w:ascii="Arial" w:eastAsia="Arial" w:hAnsi="Arial" w:cs="Arial"/>
          <w:b/>
          <w:bCs/>
          <w:color w:val="000000" w:themeColor="text1"/>
          <w:sz w:val="22"/>
          <w:szCs w:val="22"/>
        </w:rPr>
        <w:t>...</w:t>
      </w:r>
      <w:r w:rsidR="5DB0037C" w:rsidRPr="7AC8E490">
        <w:rPr>
          <w:rFonts w:ascii="Arial" w:eastAsia="Arial" w:hAnsi="Arial" w:cs="Arial"/>
          <w:b/>
          <w:bCs/>
          <w:color w:val="000000" w:themeColor="text1"/>
          <w:sz w:val="22"/>
          <w:szCs w:val="22"/>
        </w:rPr>
        <w:t>...</w:t>
      </w:r>
      <w:r w:rsidR="19F3A3EA" w:rsidRPr="72683472">
        <w:rPr>
          <w:rFonts w:ascii="Arial" w:eastAsia="Arial" w:hAnsi="Arial" w:cs="Arial"/>
          <w:b/>
          <w:bCs/>
          <w:color w:val="000000" w:themeColor="text1"/>
          <w:sz w:val="22"/>
          <w:szCs w:val="22"/>
        </w:rPr>
        <w:t>4</w:t>
      </w:r>
    </w:p>
    <w:p w14:paraId="02F4C452" w14:textId="6BC8BEA3" w:rsidR="4BA14F5D" w:rsidRDefault="4BA14F5D" w:rsidP="7AC8E490">
      <w:pPr>
        <w:pStyle w:val="ListParagraph"/>
        <w:spacing w:line="360" w:lineRule="auto"/>
        <w:rPr>
          <w:rFonts w:ascii="Arial" w:eastAsia="Arial" w:hAnsi="Arial" w:cs="Arial"/>
          <w:b/>
          <w:bCs/>
          <w:color w:val="000000" w:themeColor="text1"/>
          <w:sz w:val="22"/>
          <w:szCs w:val="22"/>
        </w:rPr>
      </w:pPr>
      <w:r w:rsidRPr="7AC8E490">
        <w:rPr>
          <w:b/>
          <w:bCs/>
          <w:sz w:val="22"/>
          <w:szCs w:val="22"/>
        </w:rPr>
        <w:t>2.3 R</w:t>
      </w:r>
      <w:r w:rsidR="12BF428C" w:rsidRPr="7AC8E490">
        <w:rPr>
          <w:b/>
          <w:bCs/>
          <w:sz w:val="22"/>
          <w:szCs w:val="22"/>
        </w:rPr>
        <w:t>eview Questi</w:t>
      </w:r>
      <w:r w:rsidR="3B5E95AF" w:rsidRPr="7AC8E490">
        <w:rPr>
          <w:b/>
          <w:bCs/>
          <w:sz w:val="22"/>
          <w:szCs w:val="22"/>
        </w:rPr>
        <w:t>on and</w:t>
      </w:r>
      <w:r w:rsidR="5C0FB1FB" w:rsidRPr="7AC8E490">
        <w:rPr>
          <w:rFonts w:ascii="Arial" w:eastAsia="Arial" w:hAnsi="Arial" w:cs="Arial"/>
          <w:b/>
          <w:bCs/>
          <w:color w:val="000000" w:themeColor="text1"/>
          <w:sz w:val="22"/>
          <w:szCs w:val="22"/>
        </w:rPr>
        <w:t>...........................................................................</w:t>
      </w:r>
      <w:r w:rsidR="2F03F753" w:rsidRPr="7AC8E490">
        <w:rPr>
          <w:rFonts w:ascii="Arial" w:eastAsia="Arial" w:hAnsi="Arial" w:cs="Arial"/>
          <w:b/>
          <w:bCs/>
          <w:color w:val="000000" w:themeColor="text1"/>
          <w:sz w:val="22"/>
          <w:szCs w:val="22"/>
        </w:rPr>
        <w:t>...</w:t>
      </w:r>
      <w:r w:rsidR="7C48395E" w:rsidRPr="7AC8E490">
        <w:rPr>
          <w:rFonts w:ascii="Arial" w:eastAsia="Arial" w:hAnsi="Arial" w:cs="Arial"/>
          <w:b/>
          <w:bCs/>
          <w:color w:val="000000" w:themeColor="text1"/>
          <w:sz w:val="22"/>
          <w:szCs w:val="22"/>
        </w:rPr>
        <w:t>.</w:t>
      </w:r>
      <w:r w:rsidR="4BA2942F" w:rsidRPr="47C0C87C">
        <w:rPr>
          <w:rFonts w:ascii="Arial" w:eastAsia="Arial" w:hAnsi="Arial" w:cs="Arial"/>
          <w:b/>
          <w:bCs/>
          <w:color w:val="000000" w:themeColor="text1"/>
          <w:sz w:val="22"/>
          <w:szCs w:val="22"/>
        </w:rPr>
        <w:t>4-</w:t>
      </w:r>
      <w:r w:rsidR="4C153161" w:rsidRPr="3FAC0B0A">
        <w:rPr>
          <w:rFonts w:ascii="Arial" w:eastAsia="Arial" w:hAnsi="Arial" w:cs="Arial"/>
          <w:b/>
          <w:bCs/>
          <w:color w:val="000000" w:themeColor="text1"/>
          <w:sz w:val="22"/>
          <w:szCs w:val="22"/>
        </w:rPr>
        <w:t>5</w:t>
      </w:r>
    </w:p>
    <w:p w14:paraId="69DEEC41" w14:textId="3C986272" w:rsidR="5EAA48F1" w:rsidRDefault="1EAA0DED" w:rsidP="4A922DB5">
      <w:pPr>
        <w:pStyle w:val="ListParagraph"/>
        <w:numPr>
          <w:ilvl w:val="0"/>
          <w:numId w:val="4"/>
        </w:numPr>
        <w:spacing w:line="360" w:lineRule="auto"/>
        <w:rPr>
          <w:rFonts w:ascii="Arial" w:eastAsia="Arial" w:hAnsi="Arial" w:cs="Arial"/>
          <w:b/>
          <w:bCs/>
          <w:color w:val="000000" w:themeColor="text1"/>
          <w:sz w:val="22"/>
          <w:szCs w:val="22"/>
        </w:rPr>
      </w:pPr>
      <w:r w:rsidRPr="7AC8E490">
        <w:rPr>
          <w:rFonts w:ascii="Arial" w:eastAsia="Arial" w:hAnsi="Arial" w:cs="Arial"/>
          <w:b/>
          <w:bCs/>
          <w:color w:val="000000" w:themeColor="text1"/>
          <w:sz w:val="22"/>
          <w:szCs w:val="22"/>
        </w:rPr>
        <w:t>Background</w:t>
      </w:r>
      <w:r w:rsidR="5F211D48" w:rsidRPr="7AC8E490">
        <w:rPr>
          <w:rFonts w:ascii="Arial" w:eastAsia="Arial" w:hAnsi="Arial" w:cs="Arial"/>
          <w:b/>
          <w:bCs/>
          <w:color w:val="000000" w:themeColor="text1"/>
          <w:sz w:val="22"/>
          <w:szCs w:val="22"/>
        </w:rPr>
        <w:t>.....................................................................................................</w:t>
      </w:r>
      <w:r w:rsidR="4BA4EE5D" w:rsidRPr="5A03A59D">
        <w:rPr>
          <w:rFonts w:ascii="Arial" w:eastAsia="Arial" w:hAnsi="Arial" w:cs="Arial"/>
          <w:b/>
          <w:bCs/>
          <w:color w:val="000000" w:themeColor="text1"/>
          <w:sz w:val="22"/>
          <w:szCs w:val="22"/>
        </w:rPr>
        <w:t>5</w:t>
      </w:r>
    </w:p>
    <w:p w14:paraId="199E6F3D" w14:textId="639E85DD" w:rsidR="70CFD224" w:rsidRDefault="70CFD224" w:rsidP="7AC8E490">
      <w:pPr>
        <w:pStyle w:val="ListParagraph"/>
        <w:spacing w:line="360" w:lineRule="auto"/>
        <w:rPr>
          <w:rFonts w:ascii="Arial" w:eastAsia="Arial" w:hAnsi="Arial" w:cs="Arial"/>
          <w:b/>
          <w:bCs/>
          <w:color w:val="000000" w:themeColor="text1"/>
          <w:sz w:val="22"/>
          <w:szCs w:val="22"/>
        </w:rPr>
      </w:pPr>
      <w:r w:rsidRPr="7AC8E490">
        <w:rPr>
          <w:rFonts w:ascii="Arial" w:eastAsia="Arial" w:hAnsi="Arial" w:cs="Arial"/>
          <w:b/>
          <w:bCs/>
          <w:color w:val="000000" w:themeColor="text1"/>
          <w:sz w:val="22"/>
          <w:szCs w:val="22"/>
        </w:rPr>
        <w:t xml:space="preserve">3.1 planning for workforces and policy </w:t>
      </w:r>
      <w:r w:rsidR="5034AF52" w:rsidRPr="7AC8E490">
        <w:rPr>
          <w:rFonts w:ascii="Arial" w:eastAsia="Arial" w:hAnsi="Arial" w:cs="Arial"/>
          <w:b/>
          <w:bCs/>
          <w:color w:val="000000" w:themeColor="text1"/>
          <w:sz w:val="22"/>
          <w:szCs w:val="22"/>
        </w:rPr>
        <w:t>........................................................</w:t>
      </w:r>
      <w:r w:rsidR="385608FC" w:rsidRPr="4DA7C0C9">
        <w:rPr>
          <w:rFonts w:ascii="Arial" w:eastAsia="Arial" w:hAnsi="Arial" w:cs="Arial"/>
          <w:b/>
          <w:bCs/>
          <w:color w:val="000000" w:themeColor="text1"/>
          <w:sz w:val="22"/>
          <w:szCs w:val="22"/>
        </w:rPr>
        <w:t>5</w:t>
      </w:r>
    </w:p>
    <w:p w14:paraId="344A9C12" w14:textId="5ECE7A52" w:rsidR="36BFE79A" w:rsidRDefault="36BFE79A" w:rsidP="7AC8E490">
      <w:pPr>
        <w:pStyle w:val="ListParagraph"/>
        <w:spacing w:line="360" w:lineRule="auto"/>
      </w:pPr>
      <w:r w:rsidRPr="7AC8E490">
        <w:rPr>
          <w:rFonts w:ascii="Arial" w:eastAsia="Arial" w:hAnsi="Arial" w:cs="Arial"/>
          <w:b/>
          <w:bCs/>
          <w:color w:val="000000" w:themeColor="text1"/>
          <w:sz w:val="22"/>
          <w:szCs w:val="22"/>
        </w:rPr>
        <w:t xml:space="preserve">3.2 Rules and </w:t>
      </w:r>
      <w:r w:rsidR="0B39002A" w:rsidRPr="7AC8E490">
        <w:rPr>
          <w:rFonts w:ascii="Arial" w:eastAsia="Arial" w:hAnsi="Arial" w:cs="Arial"/>
          <w:b/>
          <w:bCs/>
          <w:color w:val="000000" w:themeColor="text1"/>
          <w:sz w:val="22"/>
          <w:szCs w:val="22"/>
        </w:rPr>
        <w:t>regulation</w:t>
      </w:r>
      <w:r w:rsidR="03C3726C" w:rsidRPr="7AC8E490">
        <w:rPr>
          <w:rFonts w:ascii="Arial" w:eastAsia="Arial" w:hAnsi="Arial" w:cs="Arial"/>
          <w:b/>
          <w:bCs/>
          <w:color w:val="000000" w:themeColor="text1"/>
          <w:sz w:val="22"/>
          <w:szCs w:val="22"/>
        </w:rPr>
        <w:t>................................................................................</w:t>
      </w:r>
      <w:r w:rsidR="0B39002A" w:rsidRPr="7AC8E490">
        <w:rPr>
          <w:rFonts w:ascii="Arial" w:eastAsia="Arial" w:hAnsi="Arial" w:cs="Arial"/>
          <w:b/>
          <w:bCs/>
          <w:color w:val="000000" w:themeColor="text1"/>
          <w:sz w:val="22"/>
          <w:szCs w:val="22"/>
        </w:rPr>
        <w:t xml:space="preserve"> </w:t>
      </w:r>
      <w:r w:rsidR="2F4BC194" w:rsidRPr="287E631D">
        <w:rPr>
          <w:rFonts w:ascii="Arial" w:eastAsia="Arial" w:hAnsi="Arial" w:cs="Arial"/>
          <w:b/>
          <w:bCs/>
          <w:color w:val="000000" w:themeColor="text1"/>
          <w:sz w:val="22"/>
          <w:szCs w:val="22"/>
        </w:rPr>
        <w:t>5</w:t>
      </w:r>
    </w:p>
    <w:p w14:paraId="32879FF8" w14:textId="64F5502C" w:rsidR="0B39002A" w:rsidRDefault="0B39002A" w:rsidP="7AC8E490">
      <w:pPr>
        <w:pStyle w:val="ListParagraph"/>
        <w:spacing w:line="360" w:lineRule="auto"/>
        <w:rPr>
          <w:rFonts w:ascii="Arial" w:eastAsia="Arial" w:hAnsi="Arial" w:cs="Arial"/>
          <w:b/>
          <w:bCs/>
          <w:color w:val="000000" w:themeColor="text1"/>
          <w:sz w:val="22"/>
          <w:szCs w:val="22"/>
        </w:rPr>
      </w:pPr>
      <w:r w:rsidRPr="7AC8E490">
        <w:rPr>
          <w:rFonts w:ascii="Arial" w:eastAsia="Arial" w:hAnsi="Arial" w:cs="Arial"/>
          <w:b/>
          <w:bCs/>
          <w:color w:val="000000" w:themeColor="text1"/>
          <w:sz w:val="22"/>
          <w:szCs w:val="22"/>
        </w:rPr>
        <w:t xml:space="preserve">3.3 The covid-19 legacy </w:t>
      </w:r>
      <w:r w:rsidR="3012069C" w:rsidRPr="7AC8E490">
        <w:rPr>
          <w:rFonts w:ascii="Arial" w:eastAsia="Arial" w:hAnsi="Arial" w:cs="Arial"/>
          <w:b/>
          <w:bCs/>
          <w:color w:val="000000" w:themeColor="text1"/>
          <w:sz w:val="22"/>
          <w:szCs w:val="22"/>
        </w:rPr>
        <w:t>................................................................................</w:t>
      </w:r>
      <w:r w:rsidR="3FBBF832" w:rsidRPr="7EF9FEE7">
        <w:rPr>
          <w:rFonts w:ascii="Arial" w:eastAsia="Arial" w:hAnsi="Arial" w:cs="Arial"/>
          <w:b/>
          <w:bCs/>
          <w:color w:val="000000" w:themeColor="text1"/>
          <w:sz w:val="22"/>
          <w:szCs w:val="22"/>
        </w:rPr>
        <w:t>6</w:t>
      </w:r>
    </w:p>
    <w:p w14:paraId="780B19AF" w14:textId="530F4A56" w:rsidR="0B39002A" w:rsidRDefault="0B39002A" w:rsidP="7AC8E490">
      <w:pPr>
        <w:pStyle w:val="ListParagraph"/>
        <w:spacing w:line="360" w:lineRule="auto"/>
      </w:pPr>
      <w:r w:rsidRPr="7AC8E490">
        <w:rPr>
          <w:rFonts w:ascii="Arial" w:eastAsia="Arial" w:hAnsi="Arial" w:cs="Arial"/>
          <w:b/>
          <w:bCs/>
          <w:color w:val="000000" w:themeColor="text1"/>
          <w:sz w:val="22"/>
          <w:szCs w:val="22"/>
        </w:rPr>
        <w:t>3.4 workplace activity</w:t>
      </w:r>
      <w:r w:rsidR="2960B99D" w:rsidRPr="7AC8E490">
        <w:rPr>
          <w:rFonts w:ascii="Arial" w:eastAsia="Arial" w:hAnsi="Arial" w:cs="Arial"/>
          <w:b/>
          <w:bCs/>
          <w:color w:val="000000" w:themeColor="text1"/>
          <w:sz w:val="22"/>
          <w:szCs w:val="22"/>
        </w:rPr>
        <w:t>....................................................................................</w:t>
      </w:r>
      <w:r w:rsidRPr="7AC8E490">
        <w:rPr>
          <w:rFonts w:ascii="Arial" w:eastAsia="Arial" w:hAnsi="Arial" w:cs="Arial"/>
          <w:b/>
          <w:bCs/>
          <w:color w:val="000000" w:themeColor="text1"/>
          <w:sz w:val="22"/>
          <w:szCs w:val="22"/>
        </w:rPr>
        <w:t xml:space="preserve"> </w:t>
      </w:r>
      <w:r w:rsidR="6B8F84BC" w:rsidRPr="6AF738E5">
        <w:rPr>
          <w:rFonts w:ascii="Arial" w:eastAsia="Arial" w:hAnsi="Arial" w:cs="Arial"/>
          <w:b/>
          <w:bCs/>
          <w:color w:val="000000" w:themeColor="text1"/>
          <w:sz w:val="22"/>
          <w:szCs w:val="22"/>
        </w:rPr>
        <w:t>6</w:t>
      </w:r>
    </w:p>
    <w:p w14:paraId="713E774B" w14:textId="190C37C0" w:rsidR="5EAA48F1" w:rsidRDefault="1EAA0DED" w:rsidP="3CA869A3">
      <w:pPr>
        <w:pStyle w:val="ListParagraph"/>
        <w:numPr>
          <w:ilvl w:val="0"/>
          <w:numId w:val="4"/>
        </w:numPr>
        <w:spacing w:line="360" w:lineRule="auto"/>
        <w:rPr>
          <w:rFonts w:ascii="Arial" w:eastAsia="Arial" w:hAnsi="Arial" w:cs="Arial"/>
          <w:b/>
          <w:bCs/>
          <w:color w:val="000000" w:themeColor="text1"/>
          <w:sz w:val="22"/>
          <w:szCs w:val="22"/>
        </w:rPr>
      </w:pPr>
      <w:r w:rsidRPr="7AC8E490">
        <w:rPr>
          <w:rFonts w:ascii="Arial" w:eastAsia="Arial" w:hAnsi="Arial" w:cs="Arial"/>
          <w:b/>
          <w:bCs/>
          <w:color w:val="000000" w:themeColor="text1"/>
          <w:sz w:val="22"/>
          <w:szCs w:val="22"/>
        </w:rPr>
        <w:t>Methods</w:t>
      </w:r>
      <w:r w:rsidR="63AA6C77" w:rsidRPr="7AC8E490">
        <w:rPr>
          <w:rFonts w:ascii="Arial" w:eastAsia="Arial" w:hAnsi="Arial" w:cs="Arial"/>
          <w:b/>
          <w:bCs/>
          <w:color w:val="000000" w:themeColor="text1"/>
          <w:sz w:val="22"/>
          <w:szCs w:val="22"/>
        </w:rPr>
        <w:t>............................................................................................................</w:t>
      </w:r>
      <w:r w:rsidR="184444C9" w:rsidRPr="4725DBBE">
        <w:rPr>
          <w:rFonts w:ascii="Arial" w:eastAsia="Arial" w:hAnsi="Arial" w:cs="Arial"/>
          <w:b/>
          <w:bCs/>
          <w:color w:val="000000" w:themeColor="text1"/>
          <w:sz w:val="22"/>
          <w:szCs w:val="22"/>
        </w:rPr>
        <w:t>6</w:t>
      </w:r>
    </w:p>
    <w:p w14:paraId="52EFC4D6" w14:textId="38FBE39A" w:rsidR="70919972" w:rsidRDefault="70919972" w:rsidP="7AC8E490">
      <w:pPr>
        <w:pStyle w:val="ListParagraph"/>
        <w:spacing w:line="360" w:lineRule="auto"/>
      </w:pPr>
      <w:r w:rsidRPr="7AC8E490">
        <w:rPr>
          <w:rFonts w:ascii="Arial" w:eastAsia="Arial" w:hAnsi="Arial" w:cs="Arial"/>
          <w:b/>
          <w:bCs/>
          <w:color w:val="000000" w:themeColor="text1"/>
          <w:sz w:val="22"/>
          <w:szCs w:val="22"/>
        </w:rPr>
        <w:t>4.1 Analysis of data........................................................................................</w:t>
      </w:r>
      <w:r w:rsidR="023F7718" w:rsidRPr="11314607">
        <w:rPr>
          <w:rFonts w:ascii="Arial" w:eastAsia="Arial" w:hAnsi="Arial" w:cs="Arial"/>
          <w:b/>
          <w:bCs/>
          <w:color w:val="000000" w:themeColor="text1"/>
          <w:sz w:val="22"/>
          <w:szCs w:val="22"/>
        </w:rPr>
        <w:t>7</w:t>
      </w:r>
    </w:p>
    <w:p w14:paraId="1060EC23" w14:textId="503674E0" w:rsidR="70038300" w:rsidRDefault="70038300" w:rsidP="7AC8E490">
      <w:pPr>
        <w:pStyle w:val="ListParagraph"/>
        <w:spacing w:line="360" w:lineRule="auto"/>
        <w:rPr>
          <w:rFonts w:ascii="Arial" w:eastAsia="Arial" w:hAnsi="Arial" w:cs="Arial"/>
          <w:b/>
          <w:bCs/>
          <w:color w:val="000000" w:themeColor="text1"/>
          <w:sz w:val="22"/>
          <w:szCs w:val="22"/>
        </w:rPr>
      </w:pPr>
      <w:r w:rsidRPr="7AC8E490">
        <w:rPr>
          <w:rFonts w:ascii="Arial" w:eastAsia="Arial" w:hAnsi="Arial" w:cs="Arial"/>
          <w:b/>
          <w:bCs/>
          <w:color w:val="000000" w:themeColor="text1"/>
          <w:sz w:val="22"/>
          <w:szCs w:val="22"/>
        </w:rPr>
        <w:t xml:space="preserve">4.2 ethical consideration </w:t>
      </w:r>
      <w:r w:rsidR="37EFE5EF" w:rsidRPr="7AC8E490">
        <w:rPr>
          <w:rFonts w:ascii="Arial" w:eastAsia="Arial" w:hAnsi="Arial" w:cs="Arial"/>
          <w:b/>
          <w:bCs/>
          <w:color w:val="000000" w:themeColor="text1"/>
          <w:sz w:val="22"/>
          <w:szCs w:val="22"/>
        </w:rPr>
        <w:t>...............................................................................</w:t>
      </w:r>
      <w:r w:rsidR="73D06D7B" w:rsidRPr="44077AFB">
        <w:rPr>
          <w:rFonts w:ascii="Arial" w:eastAsia="Arial" w:hAnsi="Arial" w:cs="Arial"/>
          <w:b/>
          <w:bCs/>
          <w:color w:val="000000" w:themeColor="text1"/>
          <w:sz w:val="22"/>
          <w:szCs w:val="22"/>
        </w:rPr>
        <w:t>7</w:t>
      </w:r>
    </w:p>
    <w:p w14:paraId="3AC99370" w14:textId="3BBB48B7" w:rsidR="5EAA48F1" w:rsidRDefault="04D9F9C0" w:rsidP="722452EF">
      <w:pPr>
        <w:pStyle w:val="ListParagraph"/>
        <w:numPr>
          <w:ilvl w:val="0"/>
          <w:numId w:val="4"/>
        </w:numPr>
        <w:spacing w:line="360" w:lineRule="auto"/>
        <w:rPr>
          <w:rFonts w:ascii="Arial" w:eastAsia="Arial" w:hAnsi="Arial" w:cs="Arial"/>
          <w:b/>
          <w:bCs/>
          <w:color w:val="000000" w:themeColor="text1"/>
          <w:sz w:val="22"/>
          <w:szCs w:val="22"/>
        </w:rPr>
      </w:pPr>
      <w:r w:rsidRPr="7AC8E490">
        <w:rPr>
          <w:rFonts w:ascii="Arial" w:eastAsia="Arial" w:hAnsi="Arial" w:cs="Arial"/>
          <w:b/>
          <w:bCs/>
          <w:color w:val="000000" w:themeColor="text1"/>
          <w:sz w:val="22"/>
          <w:szCs w:val="22"/>
        </w:rPr>
        <w:t xml:space="preserve">Results </w:t>
      </w:r>
      <w:r w:rsidR="6B89E430" w:rsidRPr="7AC8E490">
        <w:rPr>
          <w:rFonts w:ascii="Arial" w:eastAsia="Arial" w:hAnsi="Arial" w:cs="Arial"/>
          <w:b/>
          <w:bCs/>
          <w:color w:val="000000" w:themeColor="text1"/>
          <w:sz w:val="22"/>
          <w:szCs w:val="22"/>
        </w:rPr>
        <w:t>.............................................................................................................</w:t>
      </w:r>
      <w:r w:rsidR="504CC82A" w:rsidRPr="1994DAEC">
        <w:rPr>
          <w:rFonts w:ascii="Arial" w:eastAsia="Arial" w:hAnsi="Arial" w:cs="Arial"/>
          <w:b/>
          <w:bCs/>
          <w:color w:val="000000" w:themeColor="text1"/>
          <w:sz w:val="22"/>
          <w:szCs w:val="22"/>
        </w:rPr>
        <w:t>7</w:t>
      </w:r>
    </w:p>
    <w:p w14:paraId="7C0D575A" w14:textId="3F99631E" w:rsidR="1CC33ABC" w:rsidRDefault="1CC33ABC" w:rsidP="7AC8E490">
      <w:pPr>
        <w:pStyle w:val="ListParagraph"/>
        <w:spacing w:line="360" w:lineRule="auto"/>
        <w:rPr>
          <w:rFonts w:ascii="Arial" w:eastAsia="Arial" w:hAnsi="Arial" w:cs="Arial"/>
          <w:b/>
          <w:bCs/>
          <w:color w:val="000000" w:themeColor="text1"/>
          <w:sz w:val="22"/>
          <w:szCs w:val="22"/>
        </w:rPr>
      </w:pPr>
      <w:r w:rsidRPr="7AC8E490">
        <w:rPr>
          <w:rFonts w:ascii="Arial" w:eastAsia="Arial" w:hAnsi="Arial" w:cs="Arial"/>
          <w:b/>
          <w:bCs/>
          <w:color w:val="000000" w:themeColor="text1"/>
          <w:sz w:val="22"/>
          <w:szCs w:val="22"/>
        </w:rPr>
        <w:t xml:space="preserve">5.1 stress, burnout and workload </w:t>
      </w:r>
      <w:r w:rsidR="67F14722" w:rsidRPr="7AC8E490">
        <w:rPr>
          <w:rFonts w:ascii="Arial" w:eastAsia="Arial" w:hAnsi="Arial" w:cs="Arial"/>
          <w:b/>
          <w:bCs/>
          <w:color w:val="000000" w:themeColor="text1"/>
          <w:sz w:val="22"/>
          <w:szCs w:val="22"/>
        </w:rPr>
        <w:t>...................................................................</w:t>
      </w:r>
      <w:r w:rsidR="7B9D8BEE" w:rsidRPr="108EE5A5">
        <w:rPr>
          <w:rFonts w:ascii="Arial" w:eastAsia="Arial" w:hAnsi="Arial" w:cs="Arial"/>
          <w:b/>
          <w:bCs/>
          <w:color w:val="000000" w:themeColor="text1"/>
          <w:sz w:val="22"/>
          <w:szCs w:val="22"/>
        </w:rPr>
        <w:t>8</w:t>
      </w:r>
    </w:p>
    <w:p w14:paraId="1C0B24DE" w14:textId="0DF23D38" w:rsidR="1CC33ABC" w:rsidRDefault="1CC33ABC" w:rsidP="7AC8E490">
      <w:pPr>
        <w:pStyle w:val="ListParagraph"/>
        <w:spacing w:line="360" w:lineRule="auto"/>
        <w:rPr>
          <w:rFonts w:ascii="Arial" w:eastAsia="Arial" w:hAnsi="Arial" w:cs="Arial"/>
          <w:b/>
          <w:bCs/>
          <w:color w:val="000000" w:themeColor="text1"/>
          <w:sz w:val="22"/>
          <w:szCs w:val="22"/>
        </w:rPr>
      </w:pPr>
      <w:r w:rsidRPr="7AC8E490">
        <w:rPr>
          <w:rFonts w:ascii="Arial" w:eastAsia="Arial" w:hAnsi="Arial" w:cs="Arial"/>
          <w:b/>
          <w:bCs/>
          <w:color w:val="000000" w:themeColor="text1"/>
          <w:sz w:val="22"/>
          <w:szCs w:val="22"/>
        </w:rPr>
        <w:t>5.2 moving and broken care</w:t>
      </w:r>
      <w:r w:rsidR="39774C4A" w:rsidRPr="7AC8E490">
        <w:rPr>
          <w:rFonts w:ascii="Arial" w:eastAsia="Arial" w:hAnsi="Arial" w:cs="Arial"/>
          <w:b/>
          <w:bCs/>
          <w:color w:val="000000" w:themeColor="text1"/>
          <w:sz w:val="22"/>
          <w:szCs w:val="22"/>
        </w:rPr>
        <w:t>...........................................................................</w:t>
      </w:r>
      <w:r w:rsidR="79329FF9" w:rsidRPr="1DE65AA8">
        <w:rPr>
          <w:rFonts w:ascii="Arial" w:eastAsia="Arial" w:hAnsi="Arial" w:cs="Arial"/>
          <w:b/>
          <w:bCs/>
          <w:color w:val="000000" w:themeColor="text1"/>
          <w:sz w:val="22"/>
          <w:szCs w:val="22"/>
        </w:rPr>
        <w:t>8</w:t>
      </w:r>
    </w:p>
    <w:p w14:paraId="697F1736" w14:textId="72F1293A" w:rsidR="1CC33ABC" w:rsidRDefault="1CC33ABC" w:rsidP="7AC8E490">
      <w:pPr>
        <w:pStyle w:val="ListParagraph"/>
        <w:spacing w:line="360" w:lineRule="auto"/>
      </w:pPr>
      <w:r w:rsidRPr="7AC8E490">
        <w:rPr>
          <w:rFonts w:ascii="Arial" w:eastAsia="Arial" w:hAnsi="Arial" w:cs="Arial"/>
          <w:b/>
          <w:bCs/>
          <w:color w:val="000000" w:themeColor="text1"/>
          <w:sz w:val="22"/>
          <w:szCs w:val="22"/>
        </w:rPr>
        <w:t xml:space="preserve">5.3 Loss of experienced </w:t>
      </w:r>
      <w:r w:rsidR="231085FF" w:rsidRPr="7AC8E490">
        <w:rPr>
          <w:rFonts w:ascii="Arial" w:eastAsia="Arial" w:hAnsi="Arial" w:cs="Arial"/>
          <w:b/>
          <w:bCs/>
          <w:color w:val="000000" w:themeColor="text1"/>
          <w:sz w:val="22"/>
          <w:szCs w:val="22"/>
        </w:rPr>
        <w:t xml:space="preserve">staff, replacement, and persistence </w:t>
      </w:r>
      <w:r w:rsidR="55AE4076" w:rsidRPr="7AC8E490">
        <w:rPr>
          <w:rFonts w:ascii="Arial" w:eastAsia="Arial" w:hAnsi="Arial" w:cs="Arial"/>
          <w:b/>
          <w:bCs/>
          <w:color w:val="000000" w:themeColor="text1"/>
          <w:sz w:val="22"/>
          <w:szCs w:val="22"/>
        </w:rPr>
        <w:t>.....................</w:t>
      </w:r>
      <w:r w:rsidR="4A6F6492" w:rsidRPr="0EE77453">
        <w:rPr>
          <w:rFonts w:ascii="Arial" w:eastAsia="Arial" w:hAnsi="Arial" w:cs="Arial"/>
          <w:b/>
          <w:bCs/>
          <w:color w:val="000000" w:themeColor="text1"/>
          <w:sz w:val="22"/>
          <w:szCs w:val="22"/>
        </w:rPr>
        <w:t>9</w:t>
      </w:r>
    </w:p>
    <w:p w14:paraId="1C554EE9" w14:textId="646398B1" w:rsidR="5408FD3A" w:rsidRDefault="5408FD3A" w:rsidP="7AC8E490">
      <w:pPr>
        <w:pStyle w:val="ListParagraph"/>
        <w:spacing w:line="360" w:lineRule="auto"/>
      </w:pPr>
      <w:r w:rsidRPr="7AC8E490">
        <w:rPr>
          <w:rFonts w:ascii="Arial" w:eastAsia="Arial" w:hAnsi="Arial" w:cs="Arial"/>
          <w:b/>
          <w:bCs/>
          <w:color w:val="000000" w:themeColor="text1"/>
          <w:sz w:val="22"/>
          <w:szCs w:val="22"/>
        </w:rPr>
        <w:t>5.4 dependency on agency and tempora</w:t>
      </w:r>
      <w:r w:rsidR="3A3BABC9" w:rsidRPr="7AC8E490">
        <w:rPr>
          <w:rFonts w:ascii="Arial" w:eastAsia="Arial" w:hAnsi="Arial" w:cs="Arial"/>
          <w:b/>
          <w:bCs/>
          <w:color w:val="000000" w:themeColor="text1"/>
          <w:sz w:val="22"/>
          <w:szCs w:val="22"/>
        </w:rPr>
        <w:t>ry workers ............................</w:t>
      </w:r>
      <w:r w:rsidR="35B2CC8C" w:rsidRPr="7AC8E490">
        <w:rPr>
          <w:rFonts w:ascii="Arial" w:eastAsia="Arial" w:hAnsi="Arial" w:cs="Arial"/>
          <w:b/>
          <w:bCs/>
          <w:color w:val="000000" w:themeColor="text1"/>
          <w:sz w:val="22"/>
          <w:szCs w:val="22"/>
        </w:rPr>
        <w:t>.......</w:t>
      </w:r>
      <w:r w:rsidR="183CF80B" w:rsidRPr="05E92556">
        <w:rPr>
          <w:rFonts w:ascii="Arial" w:eastAsia="Arial" w:hAnsi="Arial" w:cs="Arial"/>
          <w:b/>
          <w:bCs/>
          <w:color w:val="000000" w:themeColor="text1"/>
          <w:sz w:val="22"/>
          <w:szCs w:val="22"/>
        </w:rPr>
        <w:t>9</w:t>
      </w:r>
    </w:p>
    <w:p w14:paraId="00CCB382" w14:textId="60B4FF94" w:rsidR="5EAA48F1" w:rsidRDefault="04D9F9C0" w:rsidP="41D146C9">
      <w:pPr>
        <w:pStyle w:val="ListParagraph"/>
        <w:numPr>
          <w:ilvl w:val="0"/>
          <w:numId w:val="4"/>
        </w:numPr>
        <w:spacing w:line="360" w:lineRule="auto"/>
        <w:rPr>
          <w:rFonts w:ascii="Arial" w:eastAsia="Arial" w:hAnsi="Arial" w:cs="Arial"/>
          <w:b/>
          <w:bCs/>
          <w:color w:val="000000" w:themeColor="text1"/>
          <w:sz w:val="22"/>
          <w:szCs w:val="22"/>
        </w:rPr>
      </w:pPr>
      <w:r w:rsidRPr="7AC8E490">
        <w:rPr>
          <w:rFonts w:ascii="Arial" w:eastAsia="Arial" w:hAnsi="Arial" w:cs="Arial"/>
          <w:b/>
          <w:bCs/>
          <w:color w:val="000000" w:themeColor="text1"/>
          <w:sz w:val="22"/>
          <w:szCs w:val="22"/>
        </w:rPr>
        <w:t>Discussion</w:t>
      </w:r>
      <w:r w:rsidR="29A38C77" w:rsidRPr="7AC8E490">
        <w:rPr>
          <w:rFonts w:ascii="Arial" w:eastAsia="Arial" w:hAnsi="Arial" w:cs="Arial"/>
          <w:b/>
          <w:bCs/>
          <w:color w:val="000000" w:themeColor="text1"/>
          <w:sz w:val="22"/>
          <w:szCs w:val="22"/>
        </w:rPr>
        <w:t>.......................................................................................................</w:t>
      </w:r>
      <w:r w:rsidR="13484B1E" w:rsidRPr="4AD86C17">
        <w:rPr>
          <w:rFonts w:ascii="Arial" w:eastAsia="Arial" w:hAnsi="Arial" w:cs="Arial"/>
          <w:b/>
          <w:bCs/>
          <w:color w:val="000000" w:themeColor="text1"/>
          <w:sz w:val="22"/>
          <w:szCs w:val="22"/>
        </w:rPr>
        <w:t>9</w:t>
      </w:r>
      <w:r w:rsidR="13484B1E" w:rsidRPr="73056423">
        <w:rPr>
          <w:rFonts w:ascii="Arial" w:eastAsia="Arial" w:hAnsi="Arial" w:cs="Arial"/>
          <w:b/>
          <w:bCs/>
          <w:color w:val="000000" w:themeColor="text1"/>
          <w:sz w:val="22"/>
          <w:szCs w:val="22"/>
        </w:rPr>
        <w:t>-10</w:t>
      </w:r>
    </w:p>
    <w:p w14:paraId="191506BB" w14:textId="484109D0" w:rsidR="5EAA48F1" w:rsidRDefault="098915F7" w:rsidP="434390D8">
      <w:pPr>
        <w:pStyle w:val="ListParagraph"/>
        <w:numPr>
          <w:ilvl w:val="0"/>
          <w:numId w:val="4"/>
        </w:numPr>
        <w:spacing w:line="360" w:lineRule="auto"/>
        <w:rPr>
          <w:rFonts w:ascii="Arial" w:eastAsia="Arial" w:hAnsi="Arial" w:cs="Arial"/>
          <w:b/>
          <w:bCs/>
          <w:color w:val="000000" w:themeColor="text1"/>
          <w:sz w:val="22"/>
          <w:szCs w:val="22"/>
        </w:rPr>
      </w:pPr>
      <w:r w:rsidRPr="7AC8E490">
        <w:rPr>
          <w:rFonts w:ascii="Arial" w:eastAsia="Arial" w:hAnsi="Arial" w:cs="Arial"/>
          <w:b/>
          <w:bCs/>
          <w:color w:val="000000" w:themeColor="text1"/>
          <w:sz w:val="22"/>
          <w:szCs w:val="22"/>
        </w:rPr>
        <w:t>Conclusion</w:t>
      </w:r>
      <w:r w:rsidR="04D9F9C0" w:rsidRPr="7AC8E490">
        <w:rPr>
          <w:rFonts w:ascii="Arial" w:eastAsia="Arial" w:hAnsi="Arial" w:cs="Arial"/>
          <w:b/>
          <w:bCs/>
          <w:color w:val="000000" w:themeColor="text1"/>
          <w:sz w:val="22"/>
          <w:szCs w:val="22"/>
        </w:rPr>
        <w:t xml:space="preserve"> and recommendation</w:t>
      </w:r>
      <w:r w:rsidR="73D87580" w:rsidRPr="7AC8E490">
        <w:rPr>
          <w:rFonts w:ascii="Arial" w:eastAsia="Arial" w:hAnsi="Arial" w:cs="Arial"/>
          <w:b/>
          <w:bCs/>
          <w:color w:val="000000" w:themeColor="text1"/>
          <w:sz w:val="22"/>
          <w:szCs w:val="22"/>
        </w:rPr>
        <w:t>..................................................................</w:t>
      </w:r>
      <w:r w:rsidR="79252D7E" w:rsidRPr="7D76E05A">
        <w:rPr>
          <w:rFonts w:ascii="Arial" w:eastAsia="Arial" w:hAnsi="Arial" w:cs="Arial"/>
          <w:b/>
          <w:bCs/>
          <w:color w:val="000000" w:themeColor="text1"/>
          <w:sz w:val="22"/>
          <w:szCs w:val="22"/>
        </w:rPr>
        <w:t>11</w:t>
      </w:r>
    </w:p>
    <w:p w14:paraId="71935C0F" w14:textId="46067C7F" w:rsidR="121E7712" w:rsidRDefault="121E7712" w:rsidP="7AC8E490">
      <w:pPr>
        <w:pStyle w:val="ListParagraph"/>
        <w:spacing w:line="360" w:lineRule="auto"/>
        <w:rPr>
          <w:rFonts w:ascii="Arial" w:eastAsia="Arial" w:hAnsi="Arial" w:cs="Arial"/>
          <w:b/>
          <w:bCs/>
          <w:color w:val="000000" w:themeColor="text1"/>
          <w:sz w:val="22"/>
          <w:szCs w:val="22"/>
        </w:rPr>
      </w:pPr>
      <w:r w:rsidRPr="7AC8E490">
        <w:rPr>
          <w:rFonts w:ascii="Arial" w:eastAsia="Arial" w:hAnsi="Arial" w:cs="Arial"/>
          <w:b/>
          <w:bCs/>
          <w:color w:val="000000" w:themeColor="text1"/>
          <w:sz w:val="22"/>
          <w:szCs w:val="22"/>
        </w:rPr>
        <w:t xml:space="preserve">7.1 Recommendation for practice </w:t>
      </w:r>
      <w:r w:rsidR="0A8DEF2A" w:rsidRPr="7AC8E490">
        <w:rPr>
          <w:rFonts w:ascii="Arial" w:eastAsia="Arial" w:hAnsi="Arial" w:cs="Arial"/>
          <w:b/>
          <w:bCs/>
          <w:color w:val="000000" w:themeColor="text1"/>
          <w:sz w:val="22"/>
          <w:szCs w:val="22"/>
        </w:rPr>
        <w:t>..................................................................</w:t>
      </w:r>
      <w:r w:rsidR="779C291E" w:rsidRPr="4FEE3456">
        <w:rPr>
          <w:rFonts w:ascii="Arial" w:eastAsia="Arial" w:hAnsi="Arial" w:cs="Arial"/>
          <w:b/>
          <w:bCs/>
          <w:color w:val="000000" w:themeColor="text1"/>
          <w:sz w:val="22"/>
          <w:szCs w:val="22"/>
        </w:rPr>
        <w:t>11</w:t>
      </w:r>
    </w:p>
    <w:p w14:paraId="5860A7CC" w14:textId="4EC832A5" w:rsidR="121E7712" w:rsidRDefault="121E7712" w:rsidP="7AC8E490">
      <w:pPr>
        <w:pStyle w:val="ListParagraph"/>
        <w:spacing w:line="360" w:lineRule="auto"/>
        <w:rPr>
          <w:rFonts w:ascii="Arial" w:eastAsia="Arial" w:hAnsi="Arial" w:cs="Arial"/>
          <w:b/>
          <w:bCs/>
          <w:color w:val="000000" w:themeColor="text1"/>
          <w:sz w:val="22"/>
          <w:szCs w:val="22"/>
        </w:rPr>
      </w:pPr>
      <w:r w:rsidRPr="72E06FA1">
        <w:rPr>
          <w:rFonts w:ascii="Arial" w:eastAsia="Arial" w:hAnsi="Arial" w:cs="Arial"/>
          <w:b/>
          <w:bCs/>
          <w:color w:val="000000" w:themeColor="text1"/>
          <w:sz w:val="22"/>
          <w:szCs w:val="22"/>
        </w:rPr>
        <w:t xml:space="preserve">7.2 Recommendation for policy </w:t>
      </w:r>
      <w:r w:rsidR="3F7DDE04" w:rsidRPr="72E06FA1">
        <w:rPr>
          <w:rFonts w:ascii="Arial" w:eastAsia="Arial" w:hAnsi="Arial" w:cs="Arial"/>
          <w:b/>
          <w:bCs/>
          <w:color w:val="000000" w:themeColor="text1"/>
          <w:sz w:val="22"/>
          <w:szCs w:val="22"/>
        </w:rPr>
        <w:t>.....................................................................</w:t>
      </w:r>
      <w:r w:rsidR="25CCA0FD" w:rsidRPr="72E06FA1">
        <w:rPr>
          <w:rFonts w:ascii="Arial" w:eastAsia="Arial" w:hAnsi="Arial" w:cs="Arial"/>
          <w:b/>
          <w:bCs/>
          <w:color w:val="000000" w:themeColor="text1"/>
          <w:sz w:val="22"/>
          <w:szCs w:val="22"/>
        </w:rPr>
        <w:t>12</w:t>
      </w:r>
    </w:p>
    <w:p w14:paraId="448273D8" w14:textId="1CE4EB23" w:rsidR="5EAA48F1" w:rsidRDefault="1EAA0DED" w:rsidP="4CB7E146">
      <w:pPr>
        <w:pStyle w:val="ListParagraph"/>
        <w:numPr>
          <w:ilvl w:val="0"/>
          <w:numId w:val="4"/>
        </w:numPr>
        <w:spacing w:line="360" w:lineRule="auto"/>
        <w:rPr>
          <w:rFonts w:ascii="Arial" w:eastAsia="Arial" w:hAnsi="Arial" w:cs="Arial"/>
          <w:b/>
          <w:bCs/>
          <w:color w:val="000000" w:themeColor="text1"/>
          <w:sz w:val="22"/>
          <w:szCs w:val="22"/>
        </w:rPr>
      </w:pPr>
      <w:r w:rsidRPr="7AC8E490">
        <w:rPr>
          <w:rFonts w:ascii="Arial" w:eastAsia="Arial" w:hAnsi="Arial" w:cs="Arial"/>
          <w:b/>
          <w:bCs/>
          <w:color w:val="000000" w:themeColor="text1"/>
          <w:sz w:val="22"/>
          <w:szCs w:val="22"/>
        </w:rPr>
        <w:t>References</w:t>
      </w:r>
      <w:r w:rsidR="2840FBED" w:rsidRPr="7AC8E490">
        <w:rPr>
          <w:rFonts w:ascii="Arial" w:eastAsia="Arial" w:hAnsi="Arial" w:cs="Arial"/>
          <w:b/>
          <w:bCs/>
          <w:color w:val="000000" w:themeColor="text1"/>
          <w:sz w:val="22"/>
          <w:szCs w:val="22"/>
        </w:rPr>
        <w:t>........................................................................................................</w:t>
      </w:r>
      <w:r w:rsidR="257C6765" w:rsidRPr="4A675C52">
        <w:rPr>
          <w:rFonts w:ascii="Arial" w:eastAsia="Arial" w:hAnsi="Arial" w:cs="Arial"/>
          <w:b/>
          <w:bCs/>
          <w:color w:val="000000" w:themeColor="text1"/>
          <w:sz w:val="22"/>
          <w:szCs w:val="22"/>
        </w:rPr>
        <w:t>13</w:t>
      </w:r>
    </w:p>
    <w:p w14:paraId="2C82DFCE" w14:textId="077B8D8C" w:rsidR="5EAA48F1" w:rsidRDefault="5EAA48F1" w:rsidP="5EAA48F1">
      <w:pPr>
        <w:spacing w:line="360" w:lineRule="auto"/>
        <w:rPr>
          <w:b/>
          <w:bCs/>
        </w:rPr>
      </w:pPr>
    </w:p>
    <w:p w14:paraId="60387341" w14:textId="4FF410B8" w:rsidR="5EAA48F1" w:rsidRDefault="5EAA48F1" w:rsidP="5EAA48F1">
      <w:pPr>
        <w:spacing w:line="360" w:lineRule="auto"/>
        <w:rPr>
          <w:b/>
          <w:bCs/>
          <w:sz w:val="22"/>
          <w:szCs w:val="22"/>
        </w:rPr>
      </w:pPr>
    </w:p>
    <w:p w14:paraId="326CC3DA" w14:textId="6D0F7888" w:rsidR="1491272E" w:rsidRDefault="1491272E" w:rsidP="1491272E">
      <w:pPr>
        <w:spacing w:line="360" w:lineRule="auto"/>
        <w:rPr>
          <w:rFonts w:ascii="Arial" w:eastAsia="Arial" w:hAnsi="Arial" w:cs="Arial"/>
          <w:b/>
          <w:bCs/>
          <w:sz w:val="22"/>
          <w:szCs w:val="22"/>
        </w:rPr>
      </w:pPr>
    </w:p>
    <w:p w14:paraId="48538A60" w14:textId="6CCF3D9F" w:rsidR="58C314C8" w:rsidRDefault="58C314C8" w:rsidP="58C314C8">
      <w:pPr>
        <w:spacing w:line="360" w:lineRule="auto"/>
        <w:rPr>
          <w:sz w:val="22"/>
          <w:szCs w:val="22"/>
        </w:rPr>
      </w:pPr>
    </w:p>
    <w:p w14:paraId="615C761A" w14:textId="5D2C68B3" w:rsidR="0AB592FB" w:rsidRDefault="0AB592FB" w:rsidP="0AB592FB">
      <w:pPr>
        <w:spacing w:line="360" w:lineRule="auto"/>
        <w:rPr>
          <w:b/>
          <w:bCs/>
          <w:sz w:val="22"/>
          <w:szCs w:val="22"/>
        </w:rPr>
      </w:pPr>
    </w:p>
    <w:p w14:paraId="70E47144" w14:textId="0CF2279A" w:rsidR="67D57787" w:rsidRDefault="67D57787" w:rsidP="7AC8E490">
      <w:pPr>
        <w:spacing w:line="360" w:lineRule="auto"/>
        <w:rPr>
          <w:b/>
          <w:bCs/>
          <w:sz w:val="22"/>
          <w:szCs w:val="22"/>
        </w:rPr>
      </w:pPr>
    </w:p>
    <w:p w14:paraId="2595ED1B" w14:textId="4CD9A9B2" w:rsidR="7AC8E490" w:rsidRDefault="7AC8E490" w:rsidP="7AC8E490">
      <w:pPr>
        <w:spacing w:line="360" w:lineRule="auto"/>
        <w:rPr>
          <w:b/>
          <w:bCs/>
          <w:sz w:val="22"/>
          <w:szCs w:val="22"/>
        </w:rPr>
      </w:pPr>
    </w:p>
    <w:p w14:paraId="16330620" w14:textId="3A049560" w:rsidR="4FFBD5C3" w:rsidRDefault="4FFBD5C3" w:rsidP="4FFBD5C3">
      <w:pPr>
        <w:spacing w:line="360" w:lineRule="auto"/>
        <w:rPr>
          <w:b/>
          <w:bCs/>
          <w:sz w:val="22"/>
          <w:szCs w:val="22"/>
        </w:rPr>
      </w:pPr>
    </w:p>
    <w:p w14:paraId="104A882C" w14:textId="0AE624DB" w:rsidR="7E8A6709" w:rsidRDefault="7E8A6709" w:rsidP="7AC8E490">
      <w:pPr>
        <w:pStyle w:val="ListParagraph"/>
        <w:numPr>
          <w:ilvl w:val="0"/>
          <w:numId w:val="8"/>
        </w:numPr>
        <w:spacing w:line="360" w:lineRule="auto"/>
        <w:rPr>
          <w:b/>
          <w:bCs/>
          <w:sz w:val="22"/>
          <w:szCs w:val="22"/>
        </w:rPr>
      </w:pPr>
      <w:r w:rsidRPr="7AC8E490">
        <w:rPr>
          <w:b/>
          <w:bCs/>
          <w:sz w:val="22"/>
          <w:szCs w:val="22"/>
        </w:rPr>
        <w:t>Abstract.</w:t>
      </w:r>
    </w:p>
    <w:p w14:paraId="18E90D02" w14:textId="569B4F67" w:rsidR="00C34B4F" w:rsidRDefault="05890005" w:rsidP="0C0171EF">
      <w:pPr>
        <w:spacing w:line="360" w:lineRule="auto"/>
        <w:rPr>
          <w:sz w:val="22"/>
          <w:szCs w:val="22"/>
        </w:rPr>
      </w:pPr>
      <w:r w:rsidRPr="15768E62">
        <w:rPr>
          <w:sz w:val="22"/>
          <w:szCs w:val="22"/>
        </w:rPr>
        <w:t>Introduction: NHS staff shortages are one of the biggest challenges facing UK health and social care. This scoping review asks: what is the impact of NHS staff shortages on the quality and delivery of patient care in the UK?</w:t>
      </w:r>
    </w:p>
    <w:p w14:paraId="60764497" w14:textId="4683021D" w:rsidR="00C34B4F" w:rsidRDefault="05890005" w:rsidP="0C0171EF">
      <w:pPr>
        <w:spacing w:line="360" w:lineRule="auto"/>
        <w:rPr>
          <w:sz w:val="22"/>
          <w:szCs w:val="22"/>
        </w:rPr>
      </w:pPr>
      <w:r w:rsidRPr="15768E62">
        <w:rPr>
          <w:sz w:val="22"/>
          <w:szCs w:val="22"/>
        </w:rPr>
        <w:t>Methods: The review followed Arksey and O'Malley's (2005) five-stage scoping review framework, refined by Levac, Colquhoun and O'Brien (2010). Academic databases, including PubMed, CINAHL and EBSCOhost, were searched using terms linked to NHS staffing, shortages and patient outcomes. Four peer-reviewed studies, published between 2024 and 2026, met the inclusion criteria and were analysed using thematic analysis.</w:t>
      </w:r>
    </w:p>
    <w:p w14:paraId="1E193DF1" w14:textId="3F2DA1D2" w:rsidR="00C34B4F" w:rsidRDefault="05890005" w:rsidP="0C0171EF">
      <w:pPr>
        <w:spacing w:line="360" w:lineRule="auto"/>
        <w:rPr>
          <w:sz w:val="22"/>
          <w:szCs w:val="22"/>
        </w:rPr>
      </w:pPr>
      <w:r w:rsidRPr="15768E62">
        <w:rPr>
          <w:sz w:val="22"/>
          <w:szCs w:val="22"/>
        </w:rPr>
        <w:t>Results: Three themes were identified. First, low staffing directly harms patient safety, particularly through higher mortality and slower detection of deterioration. Second, heavy workload caused by shortages is a leading reason staff leave the NHS, which then makes shortages worse. Third, plugging gaps with temporary or redeployed staff does not fully protect care quality and can add extra strain to the wider team.</w:t>
      </w:r>
    </w:p>
    <w:p w14:paraId="01242D9D" w14:textId="427BA175" w:rsidR="00C34B4F" w:rsidRDefault="05890005" w:rsidP="0C0171EF">
      <w:pPr>
        <w:spacing w:line="360" w:lineRule="auto"/>
        <w:rPr>
          <w:sz w:val="22"/>
          <w:szCs w:val="22"/>
        </w:rPr>
      </w:pPr>
      <w:r w:rsidRPr="15768E62">
        <w:rPr>
          <w:sz w:val="22"/>
          <w:szCs w:val="22"/>
        </w:rPr>
        <w:t>Conclusion: Staff shortages and poor patient care quality are closely linked and feed into one another. Building a stable, experienced permanent workforce, rather than relying on short-term fixes, appears central to protecting patients and retaining staff.</w:t>
      </w:r>
    </w:p>
    <w:p w14:paraId="201AD86F" w14:textId="700B250D" w:rsidR="00C34B4F" w:rsidRDefault="05890005" w:rsidP="7AC8E490">
      <w:pPr>
        <w:pStyle w:val="ListParagraph"/>
        <w:numPr>
          <w:ilvl w:val="0"/>
          <w:numId w:val="8"/>
        </w:numPr>
        <w:spacing w:line="360" w:lineRule="auto"/>
        <w:rPr>
          <w:b/>
          <w:bCs/>
          <w:sz w:val="22"/>
          <w:szCs w:val="22"/>
        </w:rPr>
      </w:pPr>
      <w:r w:rsidRPr="7AC8E490">
        <w:rPr>
          <w:b/>
          <w:bCs/>
          <w:sz w:val="22"/>
          <w:szCs w:val="22"/>
        </w:rPr>
        <w:t xml:space="preserve">Introductions </w:t>
      </w:r>
    </w:p>
    <w:p w14:paraId="6A4AE464" w14:textId="62F20503" w:rsidR="00C34B4F" w:rsidRDefault="05890005" w:rsidP="0C0171EF">
      <w:pPr>
        <w:spacing w:line="360" w:lineRule="auto"/>
        <w:rPr>
          <w:sz w:val="22"/>
          <w:szCs w:val="22"/>
        </w:rPr>
      </w:pPr>
      <w:r w:rsidRPr="15768E62">
        <w:rPr>
          <w:sz w:val="22"/>
          <w:szCs w:val="22"/>
        </w:rPr>
        <w:t>The NHS has a severe staffing shortage that affects every field. There are not enough nurses, midwives, general practitioners, hospital physicians, or mental health professionals in the NHS (NHS Support Federation, 2025). This shortage of staff is not new, but it has grown more serious in recent years and is now recognised as one of the biggest risks to the quality of patient care in the UK (Onyejesi, James and Kharicha, 2025). Behind the headline vacancy rates, detailed more below, are stretched wards, fatigued staff and patients who may wait longer, or get care that falls short of what they should get.</w:t>
      </w:r>
    </w:p>
    <w:p w14:paraId="7F19B8E3" w14:textId="5BAFC4F0" w:rsidR="5662F7B2" w:rsidRDefault="05890005" w:rsidP="5662F7B2">
      <w:pPr>
        <w:spacing w:line="360" w:lineRule="auto"/>
        <w:rPr>
          <w:sz w:val="22"/>
          <w:szCs w:val="22"/>
        </w:rPr>
      </w:pPr>
      <w:r w:rsidRPr="15768E62">
        <w:rPr>
          <w:sz w:val="22"/>
          <w:szCs w:val="22"/>
        </w:rPr>
        <w:t>This report is a scoping review. A scoping review maps out what research already exists on a topic, rather than testing the quality of every study against a strict checklist, as a systematic review would (Arksey and O'Malley, 2005). It suits this topic well, because the research comes from different professions, different study designs, and different parts of the UK health and care system. The purpose of this review is to draw together evidence on how staff shortages affect patient care, and to consider what this means for practice, policy, and future research.</w:t>
      </w:r>
    </w:p>
    <w:p w14:paraId="4E260030" w14:textId="7DFF869A" w:rsidR="1FE90C8B" w:rsidRDefault="1FE90C8B" w:rsidP="1FE90C8B">
      <w:pPr>
        <w:spacing w:line="360" w:lineRule="auto"/>
        <w:rPr>
          <w:b/>
          <w:bCs/>
          <w:sz w:val="22"/>
          <w:szCs w:val="22"/>
        </w:rPr>
      </w:pPr>
    </w:p>
    <w:p w14:paraId="0754FC71" w14:textId="316FB33B" w:rsidR="2DDFF1B0" w:rsidRDefault="2DDFF1B0" w:rsidP="2DDFF1B0">
      <w:pPr>
        <w:spacing w:line="360" w:lineRule="auto"/>
        <w:rPr>
          <w:b/>
          <w:bCs/>
          <w:sz w:val="22"/>
          <w:szCs w:val="22"/>
        </w:rPr>
      </w:pPr>
    </w:p>
    <w:p w14:paraId="6A45D530" w14:textId="5A12A62C" w:rsidR="00C34B4F" w:rsidRDefault="7A4F4109" w:rsidP="0C0171EF">
      <w:pPr>
        <w:spacing w:line="360" w:lineRule="auto"/>
        <w:rPr>
          <w:b/>
          <w:bCs/>
          <w:sz w:val="22"/>
          <w:szCs w:val="22"/>
        </w:rPr>
      </w:pPr>
      <w:r w:rsidRPr="7AC8E490">
        <w:rPr>
          <w:b/>
          <w:bCs/>
          <w:sz w:val="22"/>
          <w:szCs w:val="22"/>
        </w:rPr>
        <w:t xml:space="preserve">2.1 </w:t>
      </w:r>
      <w:r w:rsidR="05890005" w:rsidRPr="7AC8E490">
        <w:rPr>
          <w:b/>
          <w:bCs/>
          <w:sz w:val="22"/>
          <w:szCs w:val="22"/>
        </w:rPr>
        <w:t xml:space="preserve">Definition </w:t>
      </w:r>
    </w:p>
    <w:p w14:paraId="4FAB5929" w14:textId="5755ED82" w:rsidR="00C34B4F" w:rsidRDefault="05890005" w:rsidP="0C0171EF">
      <w:pPr>
        <w:spacing w:line="360" w:lineRule="auto"/>
        <w:rPr>
          <w:sz w:val="22"/>
          <w:szCs w:val="22"/>
        </w:rPr>
      </w:pPr>
      <w:r w:rsidRPr="15768E62">
        <w:rPr>
          <w:sz w:val="22"/>
          <w:szCs w:val="22"/>
        </w:rPr>
        <w:t>Staff shortage: the difference between the quantity of staff a service requires to operate safely and the number it has, commonly quantified thru vacancy rates (Onyejesi, James and Kharicha, 2025).</w:t>
      </w:r>
    </w:p>
    <w:p w14:paraId="3541941D" w14:textId="4D0AC5F3" w:rsidR="00C34B4F" w:rsidRDefault="05890005" w:rsidP="5569AEA8">
      <w:pPr>
        <w:pStyle w:val="ListParagraph"/>
        <w:numPr>
          <w:ilvl w:val="0"/>
          <w:numId w:val="10"/>
        </w:numPr>
        <w:spacing w:line="360" w:lineRule="auto"/>
      </w:pPr>
      <w:r w:rsidRPr="7D7784C6">
        <w:rPr>
          <w:b/>
          <w:bCs/>
          <w:sz w:val="22"/>
          <w:szCs w:val="22"/>
        </w:rPr>
        <w:t>Quality of patient care</w:t>
      </w:r>
      <w:r w:rsidRPr="7D7784C6">
        <w:rPr>
          <w:sz w:val="22"/>
          <w:szCs w:val="22"/>
        </w:rPr>
        <w:t xml:space="preserve">: </w:t>
      </w:r>
      <w:r w:rsidR="6A829D79" w:rsidRPr="7D7784C6">
        <w:rPr>
          <w:color w:val="000000" w:themeColor="text1"/>
        </w:rPr>
        <w:t>A wide range of patient safety and clinical effectiveness outcomes, including mortality, physical complaints, duration of stay and treatment adherence</w:t>
      </w:r>
      <w:r w:rsidR="6FF9AC9D" w:rsidRPr="4FB3250F">
        <w:rPr>
          <w:color w:val="000000" w:themeColor="text1"/>
        </w:rPr>
        <w:t xml:space="preserve"> </w:t>
      </w:r>
      <w:r w:rsidR="6FF9AC9D" w:rsidRPr="7BB60D12">
        <w:rPr>
          <w:rFonts w:ascii="Arial" w:eastAsia="Arial" w:hAnsi="Arial" w:cs="Arial"/>
          <w:color w:val="000000" w:themeColor="text1"/>
          <w:sz w:val="22"/>
          <w:szCs w:val="22"/>
        </w:rPr>
        <w:t>(Doyle, Lennox and Bell, 2013</w:t>
      </w:r>
      <w:r w:rsidR="6FF9AC9D" w:rsidRPr="34E3A0E1">
        <w:rPr>
          <w:rFonts w:ascii="Arial" w:eastAsia="Arial" w:hAnsi="Arial" w:cs="Arial"/>
          <w:color w:val="000000" w:themeColor="text1"/>
          <w:sz w:val="22"/>
          <w:szCs w:val="22"/>
        </w:rPr>
        <w:t>).</w:t>
      </w:r>
    </w:p>
    <w:p w14:paraId="20E50325" w14:textId="6C3EB013" w:rsidR="00C34B4F" w:rsidRDefault="05890005" w:rsidP="486B0FC6">
      <w:pPr>
        <w:pStyle w:val="ListParagraph"/>
        <w:numPr>
          <w:ilvl w:val="0"/>
          <w:numId w:val="10"/>
        </w:numPr>
        <w:spacing w:line="360" w:lineRule="auto"/>
        <w:rPr>
          <w:sz w:val="22"/>
          <w:szCs w:val="22"/>
        </w:rPr>
      </w:pPr>
      <w:r w:rsidRPr="4E02EE26">
        <w:rPr>
          <w:b/>
          <w:bCs/>
          <w:sz w:val="22"/>
          <w:szCs w:val="22"/>
        </w:rPr>
        <w:t>Redeployment:</w:t>
      </w:r>
      <w:r w:rsidRPr="15768E62">
        <w:rPr>
          <w:sz w:val="22"/>
          <w:szCs w:val="22"/>
        </w:rPr>
        <w:t xml:space="preserve"> the temporary movement of staff away from their normal location and duties, to fill up vacancies elsewhere (Weyman, Glendinning and O'Hara, 2026).</w:t>
      </w:r>
    </w:p>
    <w:p w14:paraId="0B0C7614" w14:textId="4BEA9D9C" w:rsidR="00C34B4F" w:rsidRDefault="05890005" w:rsidP="72A3D36F">
      <w:pPr>
        <w:pStyle w:val="ListParagraph"/>
        <w:numPr>
          <w:ilvl w:val="0"/>
          <w:numId w:val="10"/>
        </w:numPr>
        <w:spacing w:line="360" w:lineRule="auto"/>
        <w:rPr>
          <w:sz w:val="22"/>
          <w:szCs w:val="22"/>
        </w:rPr>
      </w:pPr>
      <w:r w:rsidRPr="4E02EE26">
        <w:rPr>
          <w:b/>
          <w:bCs/>
          <w:sz w:val="22"/>
          <w:szCs w:val="22"/>
        </w:rPr>
        <w:t>people retention:</w:t>
      </w:r>
      <w:r w:rsidRPr="15768E62">
        <w:rPr>
          <w:sz w:val="22"/>
          <w:szCs w:val="22"/>
        </w:rPr>
        <w:t xml:space="preserve"> The ability of an organization to hold on to people in post, rather than losing them thru resignation, retirement or a move elsewhere.</w:t>
      </w:r>
    </w:p>
    <w:p w14:paraId="1CA680DC" w14:textId="1E616ABB" w:rsidR="00C34B4F" w:rsidRDefault="5054E7DE" w:rsidP="0C0171EF">
      <w:pPr>
        <w:spacing w:line="360" w:lineRule="auto"/>
        <w:rPr>
          <w:b/>
          <w:bCs/>
          <w:sz w:val="22"/>
          <w:szCs w:val="22"/>
        </w:rPr>
      </w:pPr>
      <w:r w:rsidRPr="7AC8E490">
        <w:rPr>
          <w:b/>
          <w:bCs/>
          <w:sz w:val="22"/>
          <w:szCs w:val="22"/>
        </w:rPr>
        <w:t xml:space="preserve">2.2 </w:t>
      </w:r>
      <w:r w:rsidR="05890005" w:rsidRPr="7AC8E490">
        <w:rPr>
          <w:b/>
          <w:bCs/>
          <w:sz w:val="22"/>
          <w:szCs w:val="22"/>
        </w:rPr>
        <w:t>Rational</w:t>
      </w:r>
    </w:p>
    <w:p w14:paraId="6064D169" w14:textId="7B843F56" w:rsidR="00C34B4F" w:rsidRDefault="05890005" w:rsidP="0C0171EF">
      <w:pPr>
        <w:spacing w:line="360" w:lineRule="auto"/>
        <w:rPr>
          <w:sz w:val="22"/>
          <w:szCs w:val="22"/>
        </w:rPr>
      </w:pPr>
      <w:r w:rsidRPr="15768E62">
        <w:rPr>
          <w:sz w:val="22"/>
          <w:szCs w:val="22"/>
        </w:rPr>
        <w:t>The NHS is one of the biggest employers in the world with over 1.5 million people working in England (The King’s Fund, 2025). But the enormity of this does not prevent the service being in the middle of a staffing crisis that puts safe, good-quality care at risk. Across the entire NHS workforce, there are more than 106,000 vacancies, with around 27,000 in nursing alone (Statista, 2020; NHS England, 2024). The overall NHS vacancy rate of 8.4% remains well above the national average vacancy rate in the UK of 3.4% (The King's Fund, 2025).</w:t>
      </w:r>
    </w:p>
    <w:p w14:paraId="1F14CE9E" w14:textId="02261A43" w:rsidR="00C34B4F" w:rsidRDefault="05890005" w:rsidP="0C0171EF">
      <w:pPr>
        <w:spacing w:line="360" w:lineRule="auto"/>
        <w:rPr>
          <w:sz w:val="22"/>
          <w:szCs w:val="22"/>
        </w:rPr>
      </w:pPr>
      <w:r w:rsidRPr="15768E62">
        <w:rPr>
          <w:sz w:val="22"/>
          <w:szCs w:val="22"/>
        </w:rPr>
        <w:t>Retention is another issue. Mental health problems were responsible for almost a quarter of all NHS sickness absence in 2024 (GOV.UK, 2026) and an estimated three in ten staff suffer from regular burnout. One third of doctors reported that they struggled to cope with their workload on a weekly basis and most reported working above their contracted hours (BMA, 2025). Spending on temporary personnel has also increased significantly since 2018/19 (NHS England, 2024) despite a recent government effort to reduce agency spend (GOV.UK, 2025). These demands influence both patient safety and the wellbeing of personnel, making this an important issue to scrutinise in the light of a forthcoming ten-year NHS workforce strategy (Department of Health and Social Care, 2025).</w:t>
      </w:r>
    </w:p>
    <w:p w14:paraId="40262FA8" w14:textId="7CD9C76E" w:rsidR="00C34B4F" w:rsidRDefault="5F00365E" w:rsidP="0C0171EF">
      <w:pPr>
        <w:spacing w:line="360" w:lineRule="auto"/>
        <w:rPr>
          <w:sz w:val="22"/>
          <w:szCs w:val="22"/>
        </w:rPr>
      </w:pPr>
      <w:r w:rsidRPr="7AC8E490">
        <w:rPr>
          <w:b/>
          <w:bCs/>
          <w:sz w:val="22"/>
          <w:szCs w:val="22"/>
        </w:rPr>
        <w:t xml:space="preserve">2.3 </w:t>
      </w:r>
      <w:r w:rsidR="05890005" w:rsidRPr="7AC8E490">
        <w:rPr>
          <w:b/>
          <w:bCs/>
          <w:sz w:val="22"/>
          <w:szCs w:val="22"/>
        </w:rPr>
        <w:t>Review Question and Objectives</w:t>
      </w:r>
      <w:r w:rsidR="05890005">
        <w:br/>
      </w:r>
      <w:r w:rsidR="05890005" w:rsidRPr="7AC8E490">
        <w:rPr>
          <w:sz w:val="22"/>
          <w:szCs w:val="22"/>
        </w:rPr>
        <w:t>Review question: How does staff shortage affect quality and delivery of patient care in the National Health Service (NHS) in the United Kingdom?</w:t>
      </w:r>
    </w:p>
    <w:p w14:paraId="31961612" w14:textId="3F934F2F" w:rsidR="00C34B4F" w:rsidRDefault="05890005" w:rsidP="2AD6FEF5">
      <w:pPr>
        <w:pStyle w:val="ListParagraph"/>
        <w:numPr>
          <w:ilvl w:val="0"/>
          <w:numId w:val="12"/>
        </w:numPr>
        <w:spacing w:line="360" w:lineRule="auto"/>
        <w:rPr>
          <w:sz w:val="22"/>
          <w:szCs w:val="22"/>
        </w:rPr>
      </w:pPr>
      <w:r w:rsidRPr="2AD6FEF5">
        <w:rPr>
          <w:sz w:val="22"/>
          <w:szCs w:val="22"/>
        </w:rPr>
        <w:t>To identify and summarise current evidence on the extent and nature of staff shortages in the NHS.</w:t>
      </w:r>
    </w:p>
    <w:p w14:paraId="50B7ABE6" w14:textId="247DA86D" w:rsidR="00C34B4F" w:rsidRDefault="05890005" w:rsidP="2AD6FEF5">
      <w:pPr>
        <w:pStyle w:val="ListParagraph"/>
        <w:numPr>
          <w:ilvl w:val="0"/>
          <w:numId w:val="12"/>
        </w:numPr>
        <w:spacing w:line="360" w:lineRule="auto"/>
        <w:rPr>
          <w:sz w:val="22"/>
          <w:szCs w:val="22"/>
        </w:rPr>
      </w:pPr>
      <w:r w:rsidRPr="2AD6FEF5">
        <w:rPr>
          <w:sz w:val="22"/>
          <w:szCs w:val="22"/>
        </w:rPr>
        <w:t>To examine the link between shortages in NHS staff and patient outcomes, namely safety, waiting times and quality of service.</w:t>
      </w:r>
    </w:p>
    <w:p w14:paraId="031935AA" w14:textId="1DC99FA0" w:rsidR="00C34B4F" w:rsidRDefault="05890005" w:rsidP="2AD6FEF5">
      <w:pPr>
        <w:pStyle w:val="ListParagraph"/>
        <w:numPr>
          <w:ilvl w:val="0"/>
          <w:numId w:val="12"/>
        </w:numPr>
        <w:spacing w:line="360" w:lineRule="auto"/>
        <w:rPr>
          <w:sz w:val="22"/>
          <w:szCs w:val="22"/>
        </w:rPr>
      </w:pPr>
      <w:r w:rsidRPr="2AD6FEF5">
        <w:rPr>
          <w:sz w:val="22"/>
          <w:szCs w:val="22"/>
        </w:rPr>
        <w:t>To investigate the effect of personnel shortages on NHS healthcare professionals, including burnout, wellbeing and retention.</w:t>
      </w:r>
    </w:p>
    <w:p w14:paraId="7791184F" w14:textId="4A81A9BB" w:rsidR="00C34B4F" w:rsidRDefault="05890005" w:rsidP="2AD6FEF5">
      <w:pPr>
        <w:pStyle w:val="ListParagraph"/>
        <w:numPr>
          <w:ilvl w:val="0"/>
          <w:numId w:val="12"/>
        </w:numPr>
        <w:spacing w:line="360" w:lineRule="auto"/>
        <w:rPr>
          <w:sz w:val="22"/>
          <w:szCs w:val="22"/>
        </w:rPr>
      </w:pPr>
      <w:r w:rsidRPr="2AD6FEF5">
        <w:rPr>
          <w:sz w:val="22"/>
          <w:szCs w:val="22"/>
        </w:rPr>
        <w:t>To examine the policy level solutions and workforce strategies established in response to NHS staffing difficulties.</w:t>
      </w:r>
    </w:p>
    <w:p w14:paraId="3061268B" w14:textId="09AF92A4" w:rsidR="006556F1" w:rsidRPr="006556F1" w:rsidRDefault="006556F1" w:rsidP="7AC8E490">
      <w:pPr>
        <w:pStyle w:val="ListParagraph"/>
        <w:numPr>
          <w:ilvl w:val="0"/>
          <w:numId w:val="8"/>
        </w:numPr>
        <w:spacing w:line="360" w:lineRule="auto"/>
        <w:rPr>
          <w:b/>
          <w:bCs/>
          <w:color w:val="000000"/>
          <w:sz w:val="22"/>
          <w:szCs w:val="22"/>
        </w:rPr>
      </w:pPr>
      <w:r w:rsidRPr="7AC8E490">
        <w:rPr>
          <w:b/>
          <w:bCs/>
          <w:color w:val="000000" w:themeColor="text1"/>
          <w:sz w:val="22"/>
          <w:szCs w:val="22"/>
        </w:rPr>
        <w:t xml:space="preserve">Background </w:t>
      </w:r>
    </w:p>
    <w:p w14:paraId="33E5BFB5" w14:textId="3A091863" w:rsidR="000E4687" w:rsidRDefault="006556F1" w:rsidP="000E4687">
      <w:pPr>
        <w:spacing w:line="360" w:lineRule="auto"/>
        <w:rPr>
          <w:color w:val="000000"/>
          <w:sz w:val="22"/>
          <w:szCs w:val="22"/>
        </w:rPr>
      </w:pPr>
      <w:r w:rsidRPr="7AC8E490">
        <w:rPr>
          <w:color w:val="000000" w:themeColor="text1"/>
          <w:sz w:val="22"/>
          <w:szCs w:val="22"/>
        </w:rPr>
        <w:t xml:space="preserve">The NHS employs more than a million people and is the biggest employer in the UK, offering free healthcare to everyone (Onyejesi, James, and Kharicha, 2025). However, a workforce that hasn't always expanded quickly enough to keep up has been put under pressure by an ageing population with more complicated health requirements (Onyejesi, James, and Kharicha, 2025). Demand has surpassed the 263,000 </w:t>
      </w:r>
      <w:r w:rsidR="020B2589" w:rsidRPr="6CA84F9B">
        <w:rPr>
          <w:color w:val="000000" w:themeColor="text1"/>
          <w:sz w:val="22"/>
          <w:szCs w:val="22"/>
        </w:rPr>
        <w:t>increases</w:t>
      </w:r>
      <w:r w:rsidRPr="7AC8E490">
        <w:rPr>
          <w:color w:val="000000" w:themeColor="text1"/>
          <w:sz w:val="22"/>
          <w:szCs w:val="22"/>
        </w:rPr>
        <w:t xml:space="preserve"> in full-time employes between 2010 and 2023 (Onyejesi, James, and Kharicha, 2025). Nursing, general practice, and mental health services have been particularly hard hit by these shortages, and most of the research that has been done thus far has focused on physicians and nurses, frequently ignoring healthcare assistants, dentists, and allied health professionals (Onyejesi, James, and Kharicha, 2025).</w:t>
      </w:r>
      <w:r>
        <w:br/>
      </w:r>
      <w:r>
        <w:br/>
      </w:r>
      <w:r w:rsidR="1CFC0ED5" w:rsidRPr="7AC8E490">
        <w:rPr>
          <w:b/>
          <w:bCs/>
          <w:color w:val="000000" w:themeColor="text1"/>
          <w:sz w:val="22"/>
          <w:szCs w:val="22"/>
        </w:rPr>
        <w:t xml:space="preserve">3.1 </w:t>
      </w:r>
      <w:r w:rsidRPr="7AC8E490">
        <w:rPr>
          <w:b/>
          <w:bCs/>
          <w:color w:val="000000" w:themeColor="text1"/>
          <w:sz w:val="22"/>
          <w:szCs w:val="22"/>
        </w:rPr>
        <w:t>Planning for Workforce and Policy</w:t>
      </w:r>
      <w:r>
        <w:br/>
      </w:r>
      <w:r w:rsidRPr="7AC8E490">
        <w:rPr>
          <w:color w:val="000000" w:themeColor="text1"/>
          <w:sz w:val="22"/>
          <w:szCs w:val="22"/>
        </w:rPr>
        <w:t xml:space="preserve">In response, the NHS Long Term Workforce Plan expanded medical school spots, GP training, and nursing apprenticeships as part of a Train, Retain, and Reform approach to address a projected 130,000 personnel shortfall over the next 15 years (Onyejesi, James, and Kharicha, 2025). The NHS has long relied on foreign hiring as well; in 2023, one in five employes were non-British (Onyejesi, James, and Kharicha, 2025). However, due to ethical concerns about hiring </w:t>
      </w:r>
      <w:r w:rsidR="2F9B8A7C" w:rsidRPr="7AC8E490">
        <w:rPr>
          <w:color w:val="000000" w:themeColor="text1"/>
          <w:sz w:val="22"/>
          <w:szCs w:val="22"/>
        </w:rPr>
        <w:t>many</w:t>
      </w:r>
      <w:r w:rsidRPr="7AC8E490">
        <w:rPr>
          <w:color w:val="000000" w:themeColor="text1"/>
          <w:sz w:val="22"/>
          <w:szCs w:val="22"/>
        </w:rPr>
        <w:t xml:space="preserve"> people from lower-income nations, the emphasis is now on training more employes domestically. This change is reinforced by the government's ten-year plan, which moves healthcare from hospitals into communities, from analogue to digital systems, and from treating to preventing sickness (Department of Health and Social Care, 2025). Simultaneously, reducing agency worker spending has reportedly freed up almost £1 billion for frontline services (GOV.UK, 2025), demonstrating a clear intention to lessen expensive agency reliance while also safeguarding the permanent workforce.</w:t>
      </w:r>
      <w:r>
        <w:br/>
      </w:r>
      <w:r>
        <w:br/>
      </w:r>
      <w:r w:rsidR="07BF7B9E" w:rsidRPr="7AC8E490">
        <w:rPr>
          <w:b/>
          <w:bCs/>
          <w:color w:val="000000" w:themeColor="text1"/>
          <w:sz w:val="22"/>
          <w:szCs w:val="22"/>
        </w:rPr>
        <w:t xml:space="preserve">3.2 </w:t>
      </w:r>
      <w:r w:rsidRPr="7AC8E490">
        <w:rPr>
          <w:b/>
          <w:bCs/>
          <w:color w:val="000000" w:themeColor="text1"/>
          <w:sz w:val="22"/>
          <w:szCs w:val="22"/>
        </w:rPr>
        <w:t>Rules and Regulations</w:t>
      </w:r>
      <w:r>
        <w:br/>
      </w:r>
      <w:r w:rsidRPr="7AC8E490">
        <w:rPr>
          <w:color w:val="000000" w:themeColor="text1"/>
          <w:sz w:val="22"/>
          <w:szCs w:val="22"/>
        </w:rPr>
        <w:t>The NHS Constitution and CQC standards both view safe staffing as essential to patient safety, and since the Health and Care Act of 2022, the Secretary of State has been mandated by law to report on workforce planning every two years. Despite this, bank shifts, redeployment, and agency cover are used to keep operations running while many services continue to operate below ideal staffing levels.</w:t>
      </w:r>
      <w:r>
        <w:br/>
      </w:r>
      <w:r>
        <w:br/>
      </w:r>
      <w:r w:rsidR="5566E453" w:rsidRPr="7AC8E490">
        <w:rPr>
          <w:b/>
          <w:bCs/>
          <w:color w:val="000000" w:themeColor="text1"/>
          <w:sz w:val="22"/>
          <w:szCs w:val="22"/>
        </w:rPr>
        <w:t xml:space="preserve">3.3 </w:t>
      </w:r>
      <w:r w:rsidRPr="7AC8E490">
        <w:rPr>
          <w:b/>
          <w:bCs/>
          <w:color w:val="000000" w:themeColor="text1"/>
          <w:sz w:val="22"/>
          <w:szCs w:val="22"/>
        </w:rPr>
        <w:t>The COVID-19 Legacy</w:t>
      </w:r>
      <w:r>
        <w:br/>
      </w:r>
      <w:r>
        <w:br/>
      </w:r>
      <w:r w:rsidRPr="7AC8E490">
        <w:rPr>
          <w:color w:val="000000" w:themeColor="text1"/>
          <w:sz w:val="22"/>
          <w:szCs w:val="22"/>
        </w:rPr>
        <w:t>Nearly overnight, the pandemic changed the NHS workforce, forcing employes into critical care and rearranging services to meet demand (Propper, Stoye, and Zaranko, 2020). Not only did this put pressure on the services to hire more workers, but it also left holes in the services they had previously provided, which led to delays and cancellations in other parts of the system (Propper, Stoye, and Zaranko, 2020). According to Weyman, Glendinning, and O'Hara (2026), redeployment patterns and new working methods from that era appear to have had a long-lasting impact on how employes are managed and feel about their roles.</w:t>
      </w:r>
      <w:r>
        <w:br/>
      </w:r>
      <w:r>
        <w:br/>
      </w:r>
      <w:r w:rsidR="44DF3765" w:rsidRPr="7AC8E490">
        <w:rPr>
          <w:rFonts w:ascii="Arial" w:eastAsia="Arial" w:hAnsi="Arial" w:cs="Arial"/>
          <w:b/>
          <w:bCs/>
          <w:color w:val="000000" w:themeColor="text1"/>
        </w:rPr>
        <w:t xml:space="preserve">3.4 </w:t>
      </w:r>
      <w:r w:rsidR="3B9126ED" w:rsidRPr="7AC8E490">
        <w:rPr>
          <w:rFonts w:ascii="Arial" w:eastAsia="Arial" w:hAnsi="Arial" w:cs="Arial"/>
          <w:b/>
          <w:bCs/>
          <w:color w:val="000000" w:themeColor="text1"/>
        </w:rPr>
        <w:t>workplace activi</w:t>
      </w:r>
      <w:r>
        <w:br/>
      </w:r>
      <w:r>
        <w:br/>
      </w:r>
      <w:r w:rsidRPr="7AC8E490">
        <w:rPr>
          <w:color w:val="000000" w:themeColor="text1"/>
          <w:sz w:val="22"/>
          <w:szCs w:val="22"/>
        </w:rPr>
        <w:t>The primary cause of industrial action has been persistent understaffing; between 2022 and 2024, NHS worker groups went on strike over issues such as salary, patient safety, and staffing levels (Onyejesi, James, and Kharicha, 2025). This time frame highlights the strong relationship between staffing, morale, and care quality, which forms the basis of much of the paper's discussion.</w:t>
      </w:r>
    </w:p>
    <w:p w14:paraId="2004A8D5" w14:textId="10BE6E21" w:rsidR="006556F1" w:rsidRPr="000E4687" w:rsidRDefault="5CE35AEC" w:rsidP="7AC8E490">
      <w:pPr>
        <w:pStyle w:val="p1"/>
        <w:spacing w:line="360" w:lineRule="auto"/>
        <w:rPr>
          <w:rStyle w:val="s1"/>
          <w:rFonts w:asciiTheme="minorHAnsi" w:hAnsiTheme="minorHAnsi" w:cstheme="minorBidi"/>
          <w:sz w:val="22"/>
          <w:szCs w:val="22"/>
        </w:rPr>
      </w:pPr>
      <w:r w:rsidRPr="7AC8E490">
        <w:rPr>
          <w:rStyle w:val="s1"/>
          <w:rFonts w:asciiTheme="minorHAnsi" w:hAnsiTheme="minorHAnsi" w:cstheme="minorBidi"/>
          <w:sz w:val="22"/>
          <w:szCs w:val="22"/>
        </w:rPr>
        <w:t>4. Methods</w:t>
      </w:r>
    </w:p>
    <w:p w14:paraId="4F9DFA78" w14:textId="479F736F" w:rsidR="006556F1" w:rsidRPr="000E4687" w:rsidRDefault="005F0973" w:rsidP="0936C460">
      <w:pPr>
        <w:pStyle w:val="p1"/>
        <w:spacing w:line="360" w:lineRule="auto"/>
        <w:rPr>
          <w:rFonts w:hint="eastAsia"/>
        </w:rPr>
      </w:pPr>
      <w:r>
        <w:br/>
      </w:r>
      <w:r w:rsidR="003F04C8" w:rsidRPr="7AC8E490">
        <w:rPr>
          <w:rFonts w:asciiTheme="minorHAnsi" w:hAnsiTheme="minorHAnsi" w:cstheme="minorBidi"/>
          <w:color w:val="000000" w:themeColor="text1"/>
          <w:sz w:val="22"/>
          <w:szCs w:val="22"/>
        </w:rPr>
        <w:t>Searches were conducted using the UWTSD Library discovery tool, PubMed and Google Scholar as detailed in the Component 1 proposal. Boolean operators (AND/OR) were used to combine search phrases, which included versions of ‘NHS’, ‘staff shortage*’, ‘workforce’, ‘staff retention’, ‘redeployment’, ‘agency staff’ and ‘patient care quality’/‘quality of care’. Snowballing was also used to search for more studies in the reference lists of relevant journals.</w:t>
      </w:r>
    </w:p>
    <w:p w14:paraId="6309AF88" w14:textId="4D1306E4" w:rsidR="006556F1" w:rsidRPr="000E4687" w:rsidRDefault="003F04C8" w:rsidP="7AC8E490">
      <w:pPr>
        <w:pStyle w:val="p1"/>
        <w:spacing w:line="360" w:lineRule="auto"/>
        <w:rPr>
          <w:rFonts w:asciiTheme="minorHAnsi" w:hAnsiTheme="minorHAnsi" w:cstheme="minorBidi"/>
          <w:sz w:val="22"/>
          <w:szCs w:val="22"/>
        </w:rPr>
      </w:pPr>
      <w:r>
        <w:br/>
      </w:r>
      <w:r w:rsidRPr="7AC8E490">
        <w:rPr>
          <w:rFonts w:asciiTheme="minorHAnsi" w:hAnsiTheme="minorHAnsi" w:cstheme="minorBidi"/>
          <w:color w:val="000000" w:themeColor="text1"/>
          <w:sz w:val="22"/>
          <w:szCs w:val="22"/>
        </w:rPr>
        <w:t>Studies were included if peer-reviewed (original research or systematic reviews), published within the last ten years (excluding the methodology source noted above), directly relevant to NHS staffing and care quality, and in English. Policy papers, guidance documents, editorials, comment pieces and conference proceedings were excluded in keeping with the assignment requirement but some grey literature has been utilised in the background section to demonstrate UK policy context.</w:t>
      </w:r>
      <w:r>
        <w:br/>
      </w:r>
      <w:r>
        <w:br/>
      </w:r>
      <w:r w:rsidRPr="7AC8E490">
        <w:rPr>
          <w:rFonts w:asciiTheme="minorHAnsi" w:hAnsiTheme="minorHAnsi" w:cstheme="minorBidi"/>
          <w:color w:val="000000" w:themeColor="text1"/>
          <w:sz w:val="22"/>
          <w:szCs w:val="22"/>
        </w:rPr>
        <w:t>Four papers qualified for comprehensive review. The requirement to limit the review to three to five studies was a purposeful constraint of this assignment and is a considerably smaller pool than bigger systematic reviews such as Onyejesi, James and Kharicha (2025) who screened over 6,500 data to reach 32 included research. Here the scope is more limited and this assessment should be seen as a concentrated snapshot rather than a thorough accounting of all that has been published on the subject. All studies were read in full and essential details – author, year, country, design, sample and main conclusions – compiled into a summary table (Table 1, below).</w:t>
      </w:r>
      <w:r>
        <w:br/>
      </w:r>
      <w:r>
        <w:br/>
      </w:r>
      <w:r w:rsidR="100F638D" w:rsidRPr="7AC8E490">
        <w:rPr>
          <w:rFonts w:asciiTheme="minorHAnsi" w:hAnsiTheme="minorHAnsi" w:cstheme="minorBidi"/>
          <w:b/>
          <w:bCs/>
          <w:color w:val="000000" w:themeColor="text1"/>
          <w:sz w:val="22"/>
          <w:szCs w:val="22"/>
        </w:rPr>
        <w:t xml:space="preserve">4.1 </w:t>
      </w:r>
      <w:r w:rsidRPr="7AC8E490">
        <w:rPr>
          <w:rFonts w:asciiTheme="minorHAnsi" w:hAnsiTheme="minorHAnsi" w:cstheme="minorBidi"/>
          <w:b/>
          <w:bCs/>
          <w:color w:val="000000" w:themeColor="text1"/>
          <w:sz w:val="22"/>
          <w:szCs w:val="22"/>
        </w:rPr>
        <w:t>Analysis of Data</w:t>
      </w:r>
      <w:r>
        <w:br/>
      </w:r>
      <w:r>
        <w:br/>
      </w:r>
      <w:r w:rsidRPr="7AC8E490">
        <w:rPr>
          <w:rFonts w:asciiTheme="minorHAnsi" w:hAnsiTheme="minorHAnsi" w:cstheme="minorBidi"/>
          <w:color w:val="000000" w:themeColor="text1"/>
          <w:sz w:val="22"/>
          <w:szCs w:val="22"/>
        </w:rPr>
        <w:t>Results were thematically synthesised. Each study was carefully analysed</w:t>
      </w:r>
      <w:r w:rsidR="2D2A8F27" w:rsidRPr="77FACE0C">
        <w:rPr>
          <w:rFonts w:asciiTheme="minorHAnsi" w:hAnsiTheme="minorHAnsi" w:cstheme="minorBidi"/>
          <w:color w:val="000000" w:themeColor="text1"/>
          <w:sz w:val="22"/>
          <w:szCs w:val="22"/>
        </w:rPr>
        <w:t>,</w:t>
      </w:r>
      <w:r w:rsidRPr="7AC8E490">
        <w:rPr>
          <w:rFonts w:asciiTheme="minorHAnsi" w:hAnsiTheme="minorHAnsi" w:cstheme="minorBidi"/>
          <w:color w:val="000000" w:themeColor="text1"/>
          <w:sz w:val="22"/>
          <w:szCs w:val="22"/>
        </w:rPr>
        <w:t xml:space="preserve"> and common ideas were categorised into themes. This step was also guided by Levac, Colquhoun and O’Brien’s (2010) advancement of the Arksey and O’Malley framework, which highlights a need for a clear systematic method to charting data to effectively compare findings from different study types. The results presented here are structured around four themes which developed from this procedure.</w:t>
      </w:r>
      <w:r>
        <w:br/>
      </w:r>
      <w:r>
        <w:br/>
      </w:r>
      <w:r w:rsidR="0709FAB4" w:rsidRPr="7AC8E490">
        <w:rPr>
          <w:rStyle w:val="s1"/>
          <w:rFonts w:asciiTheme="minorHAnsi" w:hAnsiTheme="minorHAnsi" w:cstheme="minorBidi"/>
          <w:sz w:val="22"/>
          <w:szCs w:val="22"/>
        </w:rPr>
        <w:t xml:space="preserve">4.2 </w:t>
      </w:r>
      <w:r w:rsidR="00CF32DC" w:rsidRPr="7AC8E490">
        <w:rPr>
          <w:rStyle w:val="s1"/>
          <w:rFonts w:asciiTheme="minorHAnsi" w:hAnsiTheme="minorHAnsi" w:cstheme="minorBidi"/>
          <w:sz w:val="22"/>
          <w:szCs w:val="22"/>
        </w:rPr>
        <w:t>Ethical Considerations</w:t>
      </w:r>
      <w:r>
        <w:br/>
      </w:r>
      <w:r w:rsidRPr="7AC8E490">
        <w:rPr>
          <w:rFonts w:asciiTheme="minorHAnsi" w:hAnsiTheme="minorHAnsi" w:cstheme="minorBidi"/>
          <w:color w:val="000000" w:themeColor="text1"/>
          <w:sz w:val="22"/>
          <w:szCs w:val="22"/>
        </w:rPr>
        <w:t>This review used only previously published data and no new data were acquired from individuals, so formal ethical approval was not required. Good ethical practice has been followed throughout this process; sources have been accurately attributed using Harvard referencing, findings have been reported honestly and fully</w:t>
      </w:r>
      <w:r w:rsidR="46DD9F69" w:rsidRPr="7BC98D36">
        <w:rPr>
          <w:rFonts w:asciiTheme="minorHAnsi" w:hAnsiTheme="minorHAnsi" w:cstheme="minorBidi"/>
          <w:color w:val="000000" w:themeColor="text1"/>
          <w:sz w:val="22"/>
          <w:szCs w:val="22"/>
        </w:rPr>
        <w:t>,</w:t>
      </w:r>
      <w:r w:rsidRPr="7AC8E490">
        <w:rPr>
          <w:rFonts w:asciiTheme="minorHAnsi" w:hAnsiTheme="minorHAnsi" w:cstheme="minorBidi"/>
          <w:color w:val="000000" w:themeColor="text1"/>
          <w:sz w:val="22"/>
          <w:szCs w:val="22"/>
        </w:rPr>
        <w:t xml:space="preserve"> and no attempt has been made to inflate or downplay outcomes to fit a specific viewpoint. The study has also been concentrated on UK based research so that findings can be transferred to NHS practice with confidence rather than from a different healthcare system.</w:t>
      </w:r>
    </w:p>
    <w:p w14:paraId="182E16ED" w14:textId="3486179D" w:rsidR="00CD5DDC" w:rsidRPr="00CD5DDC" w:rsidRDefault="05890005" w:rsidP="77DA0D88">
      <w:pPr>
        <w:pStyle w:val="p1"/>
        <w:spacing w:line="360" w:lineRule="auto"/>
        <w:rPr>
          <w:rFonts w:asciiTheme="minorHAnsi" w:hAnsiTheme="minorHAnsi" w:cstheme="minorBidi"/>
          <w:b/>
          <w:bCs/>
          <w:sz w:val="22"/>
          <w:szCs w:val="22"/>
        </w:rPr>
      </w:pPr>
      <w:r w:rsidRPr="4E02EE26">
        <w:rPr>
          <w:rFonts w:asciiTheme="minorHAnsi" w:hAnsiTheme="minorHAnsi" w:cstheme="minorBidi"/>
          <w:b/>
          <w:bCs/>
          <w:sz w:val="22"/>
          <w:szCs w:val="22"/>
        </w:rPr>
        <w:t xml:space="preserve"> </w:t>
      </w:r>
    </w:p>
    <w:p w14:paraId="094C81DB" w14:textId="3E4755A4" w:rsidR="00C34B4F" w:rsidRDefault="72CF8786" w:rsidP="0C0171EF">
      <w:pPr>
        <w:spacing w:line="360" w:lineRule="auto"/>
        <w:rPr>
          <w:sz w:val="22"/>
          <w:szCs w:val="22"/>
        </w:rPr>
      </w:pPr>
      <w:r w:rsidRPr="7AC8E490">
        <w:rPr>
          <w:b/>
          <w:bCs/>
          <w:sz w:val="22"/>
          <w:szCs w:val="22"/>
        </w:rPr>
        <w:t>5</w:t>
      </w:r>
      <w:r w:rsidR="05890005" w:rsidRPr="7AC8E490">
        <w:rPr>
          <w:b/>
          <w:bCs/>
          <w:sz w:val="22"/>
          <w:szCs w:val="22"/>
        </w:rPr>
        <w:t xml:space="preserve">. Results </w:t>
      </w:r>
      <w:r w:rsidR="05890005">
        <w:br/>
      </w:r>
      <w:r w:rsidR="05890005" w:rsidRPr="7AC8E490">
        <w:rPr>
          <w:sz w:val="22"/>
          <w:szCs w:val="22"/>
        </w:rPr>
        <w:t>The scoping review comprised four studies. Key details for each are summarised in Table 1.</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1715"/>
        <w:gridCol w:w="2155"/>
        <w:gridCol w:w="2336"/>
        <w:gridCol w:w="2804"/>
      </w:tblGrid>
      <w:tr w:rsidR="6211CC2A" w14:paraId="6AD4C430" w14:textId="77777777" w:rsidTr="6211CC2A">
        <w:trPr>
          <w:trHeight w:val="735"/>
        </w:trPr>
        <w:tc>
          <w:tcPr>
            <w:tcW w:w="1380" w:type="dxa"/>
            <w:shd w:val="clear" w:color="auto" w:fill="47D459" w:themeFill="accent3" w:themeFillTint="99"/>
            <w:tcMar>
              <w:left w:w="105" w:type="dxa"/>
              <w:right w:w="105" w:type="dxa"/>
            </w:tcMar>
            <w:vAlign w:val="center"/>
          </w:tcPr>
          <w:p w14:paraId="770B45D3" w14:textId="4B5D2458" w:rsidR="6211CC2A" w:rsidRDefault="6211CC2A" w:rsidP="0C0171EF">
            <w:pPr>
              <w:spacing w:line="360" w:lineRule="auto"/>
              <w:rPr>
                <w:sz w:val="22"/>
                <w:szCs w:val="22"/>
              </w:rPr>
            </w:pPr>
            <w:r w:rsidRPr="233B430B">
              <w:rPr>
                <w:sz w:val="22"/>
                <w:szCs w:val="22"/>
              </w:rPr>
              <w:t>Article citation</w:t>
            </w:r>
          </w:p>
        </w:tc>
        <w:tc>
          <w:tcPr>
            <w:tcW w:w="2130" w:type="dxa"/>
            <w:shd w:val="clear" w:color="auto" w:fill="47D459" w:themeFill="accent3" w:themeFillTint="99"/>
            <w:tcMar>
              <w:left w:w="105" w:type="dxa"/>
              <w:right w:w="105" w:type="dxa"/>
            </w:tcMar>
            <w:vAlign w:val="center"/>
          </w:tcPr>
          <w:p w14:paraId="78B01E05" w14:textId="65994D17" w:rsidR="6211CC2A" w:rsidRDefault="6211CC2A" w:rsidP="0C0171EF">
            <w:pPr>
              <w:spacing w:line="360" w:lineRule="auto"/>
              <w:rPr>
                <w:sz w:val="22"/>
                <w:szCs w:val="22"/>
              </w:rPr>
            </w:pPr>
            <w:r w:rsidRPr="233B430B">
              <w:rPr>
                <w:sz w:val="22"/>
                <w:szCs w:val="22"/>
              </w:rPr>
              <w:t xml:space="preserve">Aim of study </w:t>
            </w:r>
          </w:p>
        </w:tc>
        <w:tc>
          <w:tcPr>
            <w:tcW w:w="2475" w:type="dxa"/>
            <w:shd w:val="clear" w:color="auto" w:fill="47D459" w:themeFill="accent3" w:themeFillTint="99"/>
            <w:tcMar>
              <w:left w:w="105" w:type="dxa"/>
              <w:right w:w="105" w:type="dxa"/>
            </w:tcMar>
            <w:vAlign w:val="center"/>
          </w:tcPr>
          <w:p w14:paraId="7301C114" w14:textId="00C54511" w:rsidR="6211CC2A" w:rsidRDefault="6211CC2A" w:rsidP="0C0171EF">
            <w:pPr>
              <w:spacing w:line="360" w:lineRule="auto"/>
              <w:rPr>
                <w:sz w:val="22"/>
                <w:szCs w:val="22"/>
              </w:rPr>
            </w:pPr>
            <w:r w:rsidRPr="233B430B">
              <w:rPr>
                <w:sz w:val="22"/>
                <w:szCs w:val="22"/>
              </w:rPr>
              <w:t xml:space="preserve">Methods, sample sizeand characteristic </w:t>
            </w:r>
          </w:p>
        </w:tc>
        <w:tc>
          <w:tcPr>
            <w:tcW w:w="3015" w:type="dxa"/>
            <w:shd w:val="clear" w:color="auto" w:fill="47D459" w:themeFill="accent3" w:themeFillTint="99"/>
            <w:tcMar>
              <w:left w:w="105" w:type="dxa"/>
              <w:right w:w="105" w:type="dxa"/>
            </w:tcMar>
            <w:vAlign w:val="center"/>
          </w:tcPr>
          <w:p w14:paraId="7DE4DA0C" w14:textId="3A96C947" w:rsidR="6211CC2A" w:rsidRDefault="6211CC2A" w:rsidP="0C0171EF">
            <w:pPr>
              <w:spacing w:line="360" w:lineRule="auto"/>
              <w:rPr>
                <w:sz w:val="22"/>
                <w:szCs w:val="22"/>
              </w:rPr>
            </w:pPr>
            <w:r w:rsidRPr="233B430B">
              <w:rPr>
                <w:sz w:val="22"/>
                <w:szCs w:val="22"/>
              </w:rPr>
              <w:t xml:space="preserve">Summary of main findings </w:t>
            </w:r>
          </w:p>
        </w:tc>
      </w:tr>
      <w:tr w:rsidR="6211CC2A" w14:paraId="1902846B" w14:textId="77777777" w:rsidTr="6211CC2A">
        <w:trPr>
          <w:trHeight w:val="285"/>
        </w:trPr>
        <w:tc>
          <w:tcPr>
            <w:tcW w:w="1380" w:type="dxa"/>
            <w:tcMar>
              <w:left w:w="105" w:type="dxa"/>
              <w:right w:w="105" w:type="dxa"/>
            </w:tcMar>
            <w:vAlign w:val="center"/>
          </w:tcPr>
          <w:p w14:paraId="02ED543C" w14:textId="2998BA17" w:rsidR="6211CC2A" w:rsidRDefault="6211CC2A" w:rsidP="0C0171EF">
            <w:pPr>
              <w:spacing w:line="360" w:lineRule="auto"/>
              <w:rPr>
                <w:sz w:val="22"/>
                <w:szCs w:val="22"/>
              </w:rPr>
            </w:pPr>
            <w:r w:rsidRPr="233B430B">
              <w:rPr>
                <w:sz w:val="22"/>
                <w:szCs w:val="22"/>
              </w:rPr>
              <w:t>Weyman, Glendinning and O'Hara (2026)</w:t>
            </w:r>
          </w:p>
        </w:tc>
        <w:tc>
          <w:tcPr>
            <w:tcW w:w="2130" w:type="dxa"/>
            <w:tcMar>
              <w:left w:w="105" w:type="dxa"/>
              <w:right w:w="105" w:type="dxa"/>
            </w:tcMar>
            <w:vAlign w:val="center"/>
          </w:tcPr>
          <w:p w14:paraId="034EB69A" w14:textId="3627DDCB" w:rsidR="6211CC2A" w:rsidRDefault="6211CC2A" w:rsidP="0C0171EF">
            <w:pPr>
              <w:spacing w:line="360" w:lineRule="auto"/>
              <w:rPr>
                <w:sz w:val="22"/>
                <w:szCs w:val="22"/>
              </w:rPr>
            </w:pPr>
            <w:r w:rsidRPr="233B430B">
              <w:rPr>
                <w:sz w:val="22"/>
                <w:szCs w:val="22"/>
              </w:rPr>
              <w:t>To assess how redeployment affects NHS staff wellbeing and retention.</w:t>
            </w:r>
          </w:p>
        </w:tc>
        <w:tc>
          <w:tcPr>
            <w:tcW w:w="2475" w:type="dxa"/>
            <w:tcMar>
              <w:left w:w="105" w:type="dxa"/>
              <w:right w:w="105" w:type="dxa"/>
            </w:tcMar>
            <w:vAlign w:val="center"/>
          </w:tcPr>
          <w:p w14:paraId="633C4862" w14:textId="231F9ED5" w:rsidR="6211CC2A" w:rsidRDefault="6211CC2A" w:rsidP="0C0171EF">
            <w:pPr>
              <w:spacing w:line="360" w:lineRule="auto"/>
              <w:rPr>
                <w:sz w:val="22"/>
                <w:szCs w:val="22"/>
              </w:rPr>
            </w:pPr>
            <w:r w:rsidRPr="233B430B">
              <w:rPr>
                <w:sz w:val="22"/>
                <w:szCs w:val="22"/>
              </w:rPr>
              <w:t>Online survey (YouGov panel); 1,958+ NHS staff across acute, mental health, community and ambulance services.</w:t>
            </w:r>
          </w:p>
        </w:tc>
        <w:tc>
          <w:tcPr>
            <w:tcW w:w="3015" w:type="dxa"/>
            <w:tcMar>
              <w:left w:w="105" w:type="dxa"/>
              <w:right w:w="105" w:type="dxa"/>
            </w:tcMar>
            <w:vAlign w:val="center"/>
          </w:tcPr>
          <w:p w14:paraId="3D8C049B" w14:textId="40790503" w:rsidR="6211CC2A" w:rsidRDefault="6211CC2A" w:rsidP="0C0171EF">
            <w:pPr>
              <w:spacing w:line="360" w:lineRule="auto"/>
              <w:rPr>
                <w:sz w:val="22"/>
                <w:szCs w:val="22"/>
              </w:rPr>
            </w:pPr>
            <w:r w:rsidRPr="233B430B">
              <w:rPr>
                <w:sz w:val="22"/>
                <w:szCs w:val="22"/>
              </w:rPr>
              <w:t>Redeployed employees were nearly twice as likely to look for job outside the NHS and reported higher levels of burnout and bad morale.</w:t>
            </w:r>
          </w:p>
        </w:tc>
      </w:tr>
      <w:tr w:rsidR="6211CC2A" w14:paraId="469D7638" w14:textId="77777777" w:rsidTr="6211CC2A">
        <w:trPr>
          <w:trHeight w:val="285"/>
        </w:trPr>
        <w:tc>
          <w:tcPr>
            <w:tcW w:w="1380" w:type="dxa"/>
            <w:tcMar>
              <w:left w:w="105" w:type="dxa"/>
              <w:right w:w="105" w:type="dxa"/>
            </w:tcMar>
            <w:vAlign w:val="center"/>
          </w:tcPr>
          <w:p w14:paraId="3BE5947E" w14:textId="5778018F" w:rsidR="6211CC2A" w:rsidRDefault="6211CC2A" w:rsidP="0C0171EF">
            <w:pPr>
              <w:spacing w:line="360" w:lineRule="auto"/>
              <w:rPr>
                <w:sz w:val="22"/>
                <w:szCs w:val="22"/>
              </w:rPr>
            </w:pPr>
            <w:r w:rsidRPr="233B430B">
              <w:rPr>
                <w:sz w:val="22"/>
                <w:szCs w:val="22"/>
              </w:rPr>
              <w:t>Onyejesi, James and Kharicha(2025)</w:t>
            </w:r>
          </w:p>
        </w:tc>
        <w:tc>
          <w:tcPr>
            <w:tcW w:w="2130" w:type="dxa"/>
            <w:tcMar>
              <w:left w:w="105" w:type="dxa"/>
              <w:right w:w="105" w:type="dxa"/>
            </w:tcMar>
            <w:vAlign w:val="center"/>
          </w:tcPr>
          <w:p w14:paraId="0380A7F2" w14:textId="0C5748E4" w:rsidR="6211CC2A" w:rsidRDefault="6211CC2A" w:rsidP="0C0171EF">
            <w:pPr>
              <w:spacing w:line="360" w:lineRule="auto"/>
              <w:rPr>
                <w:sz w:val="22"/>
                <w:szCs w:val="22"/>
              </w:rPr>
            </w:pPr>
            <w:r w:rsidRPr="233B430B">
              <w:rPr>
                <w:sz w:val="22"/>
                <w:szCs w:val="22"/>
              </w:rPr>
              <w:t>To identify why NHS professionals,leave, synthesising the push and pull factors involved.</w:t>
            </w:r>
          </w:p>
        </w:tc>
        <w:tc>
          <w:tcPr>
            <w:tcW w:w="2475" w:type="dxa"/>
            <w:tcMar>
              <w:left w:w="105" w:type="dxa"/>
              <w:right w:w="105" w:type="dxa"/>
            </w:tcMar>
            <w:vAlign w:val="center"/>
          </w:tcPr>
          <w:p w14:paraId="06ECAD92" w14:textId="15842F70" w:rsidR="6211CC2A" w:rsidRDefault="6211CC2A" w:rsidP="0C0171EF">
            <w:pPr>
              <w:spacing w:line="360" w:lineRule="auto"/>
              <w:rPr>
                <w:sz w:val="22"/>
                <w:szCs w:val="22"/>
              </w:rPr>
            </w:pPr>
            <w:r w:rsidRPr="233B430B">
              <w:rPr>
                <w:sz w:val="22"/>
                <w:szCs w:val="22"/>
              </w:rPr>
              <w:t>Systematic review and narrative synthesis of 32 studies, screened from over 6,500 records, UK-wide.</w:t>
            </w:r>
          </w:p>
        </w:tc>
        <w:tc>
          <w:tcPr>
            <w:tcW w:w="3015" w:type="dxa"/>
            <w:tcMar>
              <w:left w:w="105" w:type="dxa"/>
              <w:right w:w="105" w:type="dxa"/>
            </w:tcMar>
            <w:vAlign w:val="center"/>
          </w:tcPr>
          <w:p w14:paraId="2876CE3F" w14:textId="6DC8A4AE" w:rsidR="6211CC2A" w:rsidRDefault="6211CC2A" w:rsidP="0C0171EF">
            <w:pPr>
              <w:spacing w:line="360" w:lineRule="auto"/>
              <w:rPr>
                <w:sz w:val="22"/>
                <w:szCs w:val="22"/>
              </w:rPr>
            </w:pPr>
            <w:r w:rsidRPr="233B430B">
              <w:rPr>
                <w:sz w:val="22"/>
                <w:szCs w:val="22"/>
              </w:rPr>
              <w:t>Workload was the top reason for leaving. A 'domino effect' links overwork, poor staff health, low morale, and further departures.</w:t>
            </w:r>
          </w:p>
        </w:tc>
      </w:tr>
      <w:tr w:rsidR="6211CC2A" w14:paraId="5B8BD46D" w14:textId="77777777" w:rsidTr="6211CC2A">
        <w:trPr>
          <w:trHeight w:val="285"/>
        </w:trPr>
        <w:tc>
          <w:tcPr>
            <w:tcW w:w="1380" w:type="dxa"/>
            <w:tcMar>
              <w:left w:w="105" w:type="dxa"/>
              <w:right w:w="105" w:type="dxa"/>
            </w:tcMar>
            <w:vAlign w:val="center"/>
          </w:tcPr>
          <w:p w14:paraId="2DA0077A" w14:textId="4B045E97" w:rsidR="6211CC2A" w:rsidRDefault="6211CC2A" w:rsidP="0C0171EF">
            <w:pPr>
              <w:spacing w:line="360" w:lineRule="auto"/>
              <w:rPr>
                <w:sz w:val="22"/>
                <w:szCs w:val="22"/>
              </w:rPr>
            </w:pPr>
            <w:r w:rsidRPr="233B430B">
              <w:rPr>
                <w:sz w:val="22"/>
                <w:szCs w:val="22"/>
              </w:rPr>
              <w:t>Propper, Stoye and Zaranko(2020)</w:t>
            </w:r>
          </w:p>
        </w:tc>
        <w:tc>
          <w:tcPr>
            <w:tcW w:w="2130" w:type="dxa"/>
            <w:tcMar>
              <w:left w:w="105" w:type="dxa"/>
              <w:right w:w="105" w:type="dxa"/>
            </w:tcMar>
            <w:vAlign w:val="center"/>
          </w:tcPr>
          <w:p w14:paraId="4420B960" w14:textId="77EAC722" w:rsidR="6211CC2A" w:rsidRDefault="6211CC2A" w:rsidP="0C0171EF">
            <w:pPr>
              <w:spacing w:line="360" w:lineRule="auto"/>
              <w:rPr>
                <w:sz w:val="22"/>
                <w:szCs w:val="22"/>
              </w:rPr>
            </w:pPr>
            <w:r w:rsidRPr="233B430B">
              <w:rPr>
                <w:sz w:val="22"/>
                <w:szCs w:val="22"/>
              </w:rPr>
              <w:t>To assess the wider effects of the COVID-19 pandemic on NHS capacity and care.</w:t>
            </w:r>
          </w:p>
        </w:tc>
        <w:tc>
          <w:tcPr>
            <w:tcW w:w="2475" w:type="dxa"/>
            <w:tcMar>
              <w:left w:w="105" w:type="dxa"/>
              <w:right w:w="105" w:type="dxa"/>
            </w:tcMar>
            <w:vAlign w:val="center"/>
          </w:tcPr>
          <w:p w14:paraId="7F0FF6E5" w14:textId="4DC4FF71" w:rsidR="6211CC2A" w:rsidRDefault="6211CC2A" w:rsidP="0C0171EF">
            <w:pPr>
              <w:spacing w:line="360" w:lineRule="auto"/>
              <w:rPr>
                <w:sz w:val="22"/>
                <w:szCs w:val="22"/>
              </w:rPr>
            </w:pPr>
            <w:r w:rsidRPr="233B430B">
              <w:rPr>
                <w:sz w:val="22"/>
                <w:szCs w:val="22"/>
              </w:rPr>
              <w:t>Analysis of national data, including Hospital Episode Statistics, on NHS hospital activity in England.</w:t>
            </w:r>
          </w:p>
        </w:tc>
        <w:tc>
          <w:tcPr>
            <w:tcW w:w="3015" w:type="dxa"/>
            <w:tcMar>
              <w:left w:w="105" w:type="dxa"/>
              <w:right w:w="105" w:type="dxa"/>
            </w:tcMar>
            <w:vAlign w:val="center"/>
          </w:tcPr>
          <w:p w14:paraId="0116AAD4" w14:textId="0BD08185" w:rsidR="6211CC2A" w:rsidRDefault="6211CC2A" w:rsidP="0C0171EF">
            <w:pPr>
              <w:spacing w:line="360" w:lineRule="auto"/>
              <w:rPr>
                <w:sz w:val="22"/>
                <w:szCs w:val="22"/>
              </w:rPr>
            </w:pPr>
            <w:r w:rsidRPr="233B430B">
              <w:rPr>
                <w:sz w:val="22"/>
                <w:szCs w:val="22"/>
              </w:rPr>
              <w:t>Pandemic redeployment disrupted routine care beyond the wards directly affected, adding to treatment backlogs.</w:t>
            </w:r>
          </w:p>
        </w:tc>
      </w:tr>
      <w:tr w:rsidR="6211CC2A" w14:paraId="41BCD54C" w14:textId="77777777" w:rsidTr="6211CC2A">
        <w:trPr>
          <w:trHeight w:val="285"/>
        </w:trPr>
        <w:tc>
          <w:tcPr>
            <w:tcW w:w="1380" w:type="dxa"/>
            <w:tcMar>
              <w:left w:w="105" w:type="dxa"/>
              <w:right w:w="105" w:type="dxa"/>
            </w:tcMar>
            <w:vAlign w:val="center"/>
          </w:tcPr>
          <w:p w14:paraId="500A1C9B" w14:textId="5E4B90F7" w:rsidR="6211CC2A" w:rsidRDefault="6211CC2A" w:rsidP="0C0171EF">
            <w:pPr>
              <w:spacing w:line="360" w:lineRule="auto"/>
              <w:rPr>
                <w:sz w:val="22"/>
                <w:szCs w:val="22"/>
              </w:rPr>
            </w:pPr>
            <w:r w:rsidRPr="233B430B">
              <w:rPr>
                <w:sz w:val="22"/>
                <w:szCs w:val="22"/>
              </w:rPr>
              <w:t>Senek et al. (2020)</w:t>
            </w:r>
          </w:p>
        </w:tc>
        <w:tc>
          <w:tcPr>
            <w:tcW w:w="2130" w:type="dxa"/>
            <w:tcMar>
              <w:left w:w="105" w:type="dxa"/>
              <w:right w:w="105" w:type="dxa"/>
            </w:tcMar>
            <w:vAlign w:val="center"/>
          </w:tcPr>
          <w:p w14:paraId="5E867738" w14:textId="54B7D65C" w:rsidR="6211CC2A" w:rsidRDefault="6211CC2A" w:rsidP="0C0171EF">
            <w:pPr>
              <w:spacing w:line="360" w:lineRule="auto"/>
              <w:rPr>
                <w:sz w:val="22"/>
                <w:szCs w:val="22"/>
              </w:rPr>
            </w:pPr>
            <w:r w:rsidRPr="233B430B">
              <w:rPr>
                <w:sz w:val="22"/>
                <w:szCs w:val="22"/>
              </w:rPr>
              <w:t>To examine agency staffing and 'care left undone' in UK acute wards.</w:t>
            </w:r>
          </w:p>
        </w:tc>
        <w:tc>
          <w:tcPr>
            <w:tcW w:w="2475" w:type="dxa"/>
            <w:tcMar>
              <w:left w:w="105" w:type="dxa"/>
              <w:right w:w="105" w:type="dxa"/>
            </w:tcMar>
            <w:vAlign w:val="center"/>
          </w:tcPr>
          <w:p w14:paraId="5186ED45" w14:textId="3184FC9D" w:rsidR="6211CC2A" w:rsidRDefault="6211CC2A" w:rsidP="0C0171EF">
            <w:pPr>
              <w:spacing w:line="360" w:lineRule="auto"/>
              <w:rPr>
                <w:sz w:val="22"/>
                <w:szCs w:val="22"/>
              </w:rPr>
            </w:pPr>
            <w:r w:rsidRPr="233B430B">
              <w:rPr>
                <w:sz w:val="22"/>
                <w:szCs w:val="22"/>
              </w:rPr>
              <w:t>Secondary analysis of an RCN survey; 8,841 nursing shifts, UK-wide.</w:t>
            </w:r>
          </w:p>
        </w:tc>
        <w:tc>
          <w:tcPr>
            <w:tcW w:w="3015" w:type="dxa"/>
            <w:tcMar>
              <w:left w:w="105" w:type="dxa"/>
              <w:right w:w="105" w:type="dxa"/>
            </w:tcMar>
            <w:vAlign w:val="center"/>
          </w:tcPr>
          <w:p w14:paraId="2F0ABB9C" w14:textId="50D3124D" w:rsidR="6211CC2A" w:rsidRDefault="6211CC2A" w:rsidP="0C0171EF">
            <w:pPr>
              <w:spacing w:line="360" w:lineRule="auto"/>
              <w:rPr>
                <w:sz w:val="22"/>
                <w:szCs w:val="22"/>
              </w:rPr>
            </w:pPr>
            <w:r w:rsidRPr="233B430B">
              <w:rPr>
                <w:sz w:val="22"/>
                <w:szCs w:val="22"/>
              </w:rPr>
              <w:t>Higher agency staff use raised the odds of missed care, even on shifts that were otherwise fully staffed.</w:t>
            </w:r>
          </w:p>
        </w:tc>
      </w:tr>
    </w:tbl>
    <w:p w14:paraId="519435DF" w14:textId="08492FBE" w:rsidR="00C34B4F" w:rsidRDefault="00C34B4F" w:rsidP="0C0171EF">
      <w:pPr>
        <w:spacing w:line="360" w:lineRule="auto"/>
        <w:rPr>
          <w:sz w:val="22"/>
          <w:szCs w:val="22"/>
        </w:rPr>
      </w:pPr>
    </w:p>
    <w:p w14:paraId="0BF71524" w14:textId="5A502354" w:rsidR="00C34B4F" w:rsidRDefault="05890005" w:rsidP="0C0171EF">
      <w:pPr>
        <w:spacing w:line="360" w:lineRule="auto"/>
        <w:rPr>
          <w:sz w:val="22"/>
          <w:szCs w:val="22"/>
        </w:rPr>
      </w:pPr>
      <w:r w:rsidRPr="15768E62">
        <w:rPr>
          <w:sz w:val="22"/>
          <w:szCs w:val="22"/>
        </w:rPr>
        <w:t>Four main themes were identified across these studies.</w:t>
      </w:r>
    </w:p>
    <w:p w14:paraId="292F77F1" w14:textId="47445D24" w:rsidR="00C34B4F" w:rsidRDefault="05890005" w:rsidP="0C0171EF">
      <w:pPr>
        <w:spacing w:line="360" w:lineRule="auto"/>
        <w:rPr>
          <w:b/>
          <w:bCs/>
          <w:sz w:val="22"/>
          <w:szCs w:val="22"/>
        </w:rPr>
      </w:pPr>
      <w:r w:rsidRPr="7AC8E490">
        <w:rPr>
          <w:b/>
          <w:bCs/>
          <w:sz w:val="22"/>
          <w:szCs w:val="22"/>
        </w:rPr>
        <w:t xml:space="preserve"> </w:t>
      </w:r>
      <w:r w:rsidR="44866D81" w:rsidRPr="7AC8E490">
        <w:rPr>
          <w:b/>
          <w:bCs/>
          <w:sz w:val="22"/>
          <w:szCs w:val="22"/>
        </w:rPr>
        <w:t>5.</w:t>
      </w:r>
      <w:r w:rsidRPr="7AC8E490">
        <w:rPr>
          <w:b/>
          <w:bCs/>
          <w:sz w:val="22"/>
          <w:szCs w:val="22"/>
        </w:rPr>
        <w:t xml:space="preserve">1: Stress, Burnout, and Workload </w:t>
      </w:r>
    </w:p>
    <w:p w14:paraId="25686B33" w14:textId="3670FAB0" w:rsidR="00C34B4F" w:rsidRDefault="05890005" w:rsidP="0C0171EF">
      <w:pPr>
        <w:spacing w:line="360" w:lineRule="auto"/>
        <w:rPr>
          <w:sz w:val="22"/>
          <w:szCs w:val="22"/>
        </w:rPr>
      </w:pPr>
      <w:r w:rsidRPr="15768E62">
        <w:rPr>
          <w:sz w:val="22"/>
          <w:szCs w:val="22"/>
        </w:rPr>
        <w:t>Workload consistently emerged as the strongest driver of poor outcomes for both staff and patients. Onyejesi, James and Kharicha (2025) found that high job demands, especially workload intensity and staffing levels, were ranked as the most important reasons NHS staff give for leaving or considering leaving their jobs. Weyman, Glendinning and O'Hara (2026) added weight to this, finding that staff who had recently been redeployed reported significantly higher rates of burnout symptoms than non-redeployed staff, with a difference of over ten percentage points across most of the symptoms measured. Persistent high workload was also linked to more sickness presenteeism, meaning staff working while unwell, which itself risks lowering the standard of care given (Weyman, Glendinning and O'Hara, 2026).</w:t>
      </w:r>
    </w:p>
    <w:p w14:paraId="2DB55343" w14:textId="16DE6652" w:rsidR="00C34B4F" w:rsidRDefault="05890005" w:rsidP="0C0171EF">
      <w:pPr>
        <w:spacing w:line="360" w:lineRule="auto"/>
        <w:rPr>
          <w:b/>
          <w:bCs/>
          <w:sz w:val="22"/>
          <w:szCs w:val="22"/>
        </w:rPr>
      </w:pPr>
      <w:r w:rsidRPr="7AC8E490">
        <w:rPr>
          <w:b/>
          <w:bCs/>
          <w:sz w:val="22"/>
          <w:szCs w:val="22"/>
        </w:rPr>
        <w:t xml:space="preserve"> </w:t>
      </w:r>
      <w:r w:rsidR="5C090408" w:rsidRPr="7AC8E490">
        <w:rPr>
          <w:b/>
          <w:bCs/>
          <w:sz w:val="22"/>
          <w:szCs w:val="22"/>
        </w:rPr>
        <w:t>5.</w:t>
      </w:r>
      <w:r w:rsidRPr="7AC8E490">
        <w:rPr>
          <w:b/>
          <w:bCs/>
          <w:sz w:val="22"/>
          <w:szCs w:val="22"/>
        </w:rPr>
        <w:t>2: Moving and Broken Care</w:t>
      </w:r>
    </w:p>
    <w:p w14:paraId="2B681CD0" w14:textId="10F5BE1E" w:rsidR="63A65804" w:rsidRDefault="05890005" w:rsidP="7AC8E490">
      <w:pPr>
        <w:spacing w:line="360" w:lineRule="auto"/>
        <w:rPr>
          <w:sz w:val="22"/>
          <w:szCs w:val="22"/>
        </w:rPr>
      </w:pPr>
      <w:r w:rsidRPr="7AC8E490">
        <w:rPr>
          <w:sz w:val="22"/>
          <w:szCs w:val="22"/>
        </w:rPr>
        <w:t>Redeployment appeared repeatedly as a source of strain, both for the staff being moved and, indirectly, for the patients they usually cared for. Weyman, Glendinning and O'Hara (2026) found that redeployed staff had lower morale, higher stress, and less confidence that their working conditions would improve, compared with colleagues who had not been redeployed. Propper, Stoye and Zaranko (2020) showed how redeployment during the COVID-19 pandemic had ripple effects well beyond the wards receiving extra staff, disrupting routine care and contributing to a wider backlog across the health service.</w:t>
      </w:r>
    </w:p>
    <w:p w14:paraId="647AA18A" w14:textId="5F746AA0" w:rsidR="00C34B4F" w:rsidRDefault="25D7E599" w:rsidP="0C0171EF">
      <w:pPr>
        <w:spacing w:line="360" w:lineRule="auto"/>
        <w:rPr>
          <w:b/>
          <w:bCs/>
          <w:sz w:val="22"/>
          <w:szCs w:val="22"/>
        </w:rPr>
      </w:pPr>
      <w:r w:rsidRPr="7AC8E490">
        <w:rPr>
          <w:b/>
          <w:bCs/>
          <w:sz w:val="22"/>
          <w:szCs w:val="22"/>
        </w:rPr>
        <w:t xml:space="preserve">5. </w:t>
      </w:r>
      <w:r w:rsidR="05890005" w:rsidRPr="7AC8E490">
        <w:rPr>
          <w:b/>
          <w:bCs/>
          <w:sz w:val="22"/>
          <w:szCs w:val="22"/>
        </w:rPr>
        <w:t xml:space="preserve">3: Loss of Experienced Staff, Replacement, and Persistence </w:t>
      </w:r>
    </w:p>
    <w:p w14:paraId="04EBEDCF" w14:textId="16F568C7" w:rsidR="00C34B4F" w:rsidRDefault="05890005" w:rsidP="0C0171EF">
      <w:pPr>
        <w:spacing w:line="360" w:lineRule="auto"/>
        <w:rPr>
          <w:sz w:val="22"/>
          <w:szCs w:val="22"/>
        </w:rPr>
      </w:pPr>
      <w:r w:rsidRPr="15768E62">
        <w:rPr>
          <w:sz w:val="22"/>
          <w:szCs w:val="22"/>
        </w:rPr>
        <w:t>Several studies pointed to a cycle in which poor working conditions push staff to leave, which then increases pressure on those who remain. Onyejesi, James and Kharicha (2025) described this as a 'domino effect': excessive workload leads to poorer staff health and lower morale, more staff leave, and this leaves fewer resources and higher workload for those left behind. This review also found that a lack of career development opportunities and unsupportive management were common reasons staff considered leaving, alongside pay concerns, though pay alone had less influence than workload (Onyejesi, James and Kharicha, 2025). Weyman, Glendinning and O'Hara (2026) supported this pattern too, finding that redeployed staff were almost twice as likely as non-redeployed staff to have applied for jobs outside the NHS in the previous six months.</w:t>
      </w:r>
    </w:p>
    <w:p w14:paraId="0D0A8FF7" w14:textId="71BAFD9C" w:rsidR="00C34B4F" w:rsidRDefault="6CB4F06F" w:rsidP="7AC8E490">
      <w:pPr>
        <w:spacing w:line="360" w:lineRule="auto"/>
        <w:rPr>
          <w:b/>
          <w:bCs/>
          <w:sz w:val="22"/>
          <w:szCs w:val="22"/>
        </w:rPr>
      </w:pPr>
      <w:r w:rsidRPr="7AC8E490">
        <w:rPr>
          <w:b/>
          <w:bCs/>
          <w:sz w:val="22"/>
          <w:szCs w:val="22"/>
        </w:rPr>
        <w:t>5.</w:t>
      </w:r>
      <w:r w:rsidR="05890005" w:rsidRPr="7AC8E490">
        <w:rPr>
          <w:b/>
          <w:bCs/>
          <w:sz w:val="22"/>
          <w:szCs w:val="22"/>
        </w:rPr>
        <w:t xml:space="preserve">4: Dependency on Agency and Temporary Workers </w:t>
      </w:r>
    </w:p>
    <w:p w14:paraId="0811155D" w14:textId="54D36986" w:rsidR="00C34B4F" w:rsidRDefault="05890005" w:rsidP="0C0171EF">
      <w:pPr>
        <w:spacing w:line="360" w:lineRule="auto"/>
        <w:rPr>
          <w:sz w:val="22"/>
          <w:szCs w:val="22"/>
        </w:rPr>
      </w:pPr>
      <w:r w:rsidRPr="15768E62">
        <w:rPr>
          <w:sz w:val="22"/>
          <w:szCs w:val="22"/>
        </w:rPr>
        <w:t>Facing gaps in permanent staffing, many services turn to agency or temporary staff to keep services running, but this may come at a cost to care quality. Senek et al. (2020), in a UK-wide study of 8,841 nursing shifts drawn from a Royal College of Nursing survey, found that the odds of 'care left undone', meaning necessary care that had to be skipped due to lack of time, rose as the proportion of agency staff on a shift increased, even on shifts that were otherwise fully staffed. This suggests that simply filling a rota with temporary staff does not fully protect care quality in the way permanent staffing does, echoing UK-based figures showing NHS spending on temporary staff reaching over £10 billion in a single year (Onyejesi, James and Kharicha, 2025), a strategy that is costly and, on this evidence, may not fully protect care quality.</w:t>
      </w:r>
    </w:p>
    <w:p w14:paraId="7E2671EB" w14:textId="5286AA72" w:rsidR="00C34B4F" w:rsidRDefault="05890005" w:rsidP="0C0171EF">
      <w:pPr>
        <w:spacing w:line="360" w:lineRule="auto"/>
        <w:rPr>
          <w:sz w:val="22"/>
          <w:szCs w:val="22"/>
        </w:rPr>
      </w:pPr>
      <w:r w:rsidRPr="15768E62">
        <w:rPr>
          <w:sz w:val="22"/>
          <w:szCs w:val="22"/>
        </w:rPr>
        <w:t>Together, these four themes, workload and burnout, redeployment and disrupted care, retention and turnover, and reliance on temporary staffing, describe a workforce under sustained pressure. Although each study approached the topic from a different angle and using different methods, quantitative survey, systematic review, national data analysis, and cross-sectional survey, the overall direction of the findings is consistent: fewer staff relative to patient need is strongly linked to poorer conditions for staff and, in turn, greater risk to the quality of carepatients receive.</w:t>
      </w:r>
    </w:p>
    <w:p w14:paraId="4C22A981" w14:textId="10F59216" w:rsidR="00C34B4F" w:rsidRDefault="058B481D" w:rsidP="7AC8E490">
      <w:pPr>
        <w:pStyle w:val="ListParagraph"/>
        <w:spacing w:line="360" w:lineRule="auto"/>
        <w:ind w:left="1080"/>
        <w:rPr>
          <w:b/>
          <w:bCs/>
          <w:sz w:val="22"/>
          <w:szCs w:val="22"/>
        </w:rPr>
      </w:pPr>
      <w:r w:rsidRPr="7AC8E490">
        <w:rPr>
          <w:b/>
          <w:bCs/>
          <w:sz w:val="22"/>
          <w:szCs w:val="22"/>
        </w:rPr>
        <w:t xml:space="preserve">6. </w:t>
      </w:r>
      <w:r w:rsidR="05890005" w:rsidRPr="7AC8E490">
        <w:rPr>
          <w:b/>
          <w:bCs/>
          <w:sz w:val="22"/>
          <w:szCs w:val="22"/>
        </w:rPr>
        <w:t xml:space="preserve">Discussion </w:t>
      </w:r>
    </w:p>
    <w:p w14:paraId="496FF2EE" w14:textId="501FA471" w:rsidR="00C34B4F" w:rsidRDefault="05890005" w:rsidP="0C0171EF">
      <w:pPr>
        <w:spacing w:line="360" w:lineRule="auto"/>
        <w:rPr>
          <w:sz w:val="22"/>
          <w:szCs w:val="22"/>
        </w:rPr>
      </w:pPr>
      <w:r w:rsidRPr="15768E62">
        <w:rPr>
          <w:sz w:val="22"/>
          <w:szCs w:val="22"/>
        </w:rPr>
        <w:t>Taken together, these four studies build a consistent picture: staff shortages in the NHS do not just create administrative headaches, they change the day-to-day experience of both staff and patients, often for the worse.</w:t>
      </w:r>
    </w:p>
    <w:p w14:paraId="4868244B" w14:textId="7A5629C3" w:rsidR="00C34B4F" w:rsidRDefault="05890005" w:rsidP="0C0171EF">
      <w:pPr>
        <w:spacing w:line="360" w:lineRule="auto"/>
        <w:rPr>
          <w:sz w:val="22"/>
          <w:szCs w:val="22"/>
        </w:rPr>
      </w:pPr>
      <w:r w:rsidRPr="15768E62">
        <w:rPr>
          <w:sz w:val="22"/>
          <w:szCs w:val="22"/>
        </w:rPr>
        <w:t>The strongest thread running through the evidence is the link between workload and quality. When there are not enough staff to go around, those on shift have to work harder and faster, which research consistently connects to stress, burnout, and reduced job satisfaction (Onyejesi, James and Kharicha, 2025; Weyman, Glendinning and O'Hara, 2026). This matters for care quality because tired, stressed staff are more likely to make mistakes, and less likely to have the time and headspace for the parts of care that depend on attention and empathy, such as noticing early signs a patient is deteriorating, or taking time to reassure someone who is frightened. This aligns with the wider background evidence, which shows that rising demand has consistently outpaced workforce growth in the NHS (Onyejesi, James and Kharicha, 2025).</w:t>
      </w:r>
    </w:p>
    <w:p w14:paraId="7279625C" w14:textId="37420202" w:rsidR="00C34B4F" w:rsidRDefault="05890005" w:rsidP="0C0171EF">
      <w:pPr>
        <w:spacing w:line="360" w:lineRule="auto"/>
        <w:rPr>
          <w:sz w:val="22"/>
          <w:szCs w:val="22"/>
        </w:rPr>
      </w:pPr>
      <w:r w:rsidRPr="15768E62">
        <w:rPr>
          <w:sz w:val="22"/>
          <w:szCs w:val="22"/>
        </w:rPr>
        <w:t>Redeployment is a particularly interesting theme, because it shows how a strategy meant to manage short-staffing can end up making the underlying problem worse. Redeploying staff into gaps might solve an immediate crisis on one ward, but the evidence from Weyman, Glendinning and O'Hara (2026) suggests it comes at a cost to the staff being moved, who report more burnout and lower morale, and are more likely to start looking for work outside the NHS. Propper, Stoye and Zaranko (2020) show the flip side: pulling staff away from their usual roles to cover a crisis, as happened extensively during COVID-19, disrupts the service they leave behind. In other words, redeployment does not remove pressure from the system, it moves it around, and sometimes multiplies it.</w:t>
      </w:r>
    </w:p>
    <w:p w14:paraId="373274BD" w14:textId="6BB4D07D" w:rsidR="00C34B4F" w:rsidRDefault="05890005" w:rsidP="0C0171EF">
      <w:pPr>
        <w:spacing w:line="360" w:lineRule="auto"/>
        <w:rPr>
          <w:sz w:val="22"/>
          <w:szCs w:val="22"/>
        </w:rPr>
      </w:pPr>
      <w:r w:rsidRPr="15768E62">
        <w:rPr>
          <w:sz w:val="22"/>
          <w:szCs w:val="22"/>
        </w:rPr>
        <w:t>This connects directly to the theme of retention. The domino effect described by Onyejesi, James and Kharicha (2025), where overwork leads to poor health and low morale, which leads to more staff leaving, which increases workload for those who stay, helps explain why NHS staff shortages have proven so hard to fix. It is not simply a recruitment problem that can be solved by training more staff; if working conditions do not improve, newly trained staff may follow the same pattern out of the door. This is reflected in the policy response too: the NHS Long Term Workforce Plan explicitly frames Retain as being as important as Train (Onyejesi, James and Kharicha, 2025).</w:t>
      </w:r>
    </w:p>
    <w:p w14:paraId="5C2E6CB0" w14:textId="1817BF67" w:rsidR="00C34B4F" w:rsidRDefault="05890005" w:rsidP="0C0171EF">
      <w:pPr>
        <w:spacing w:line="360" w:lineRule="auto"/>
        <w:rPr>
          <w:sz w:val="22"/>
          <w:szCs w:val="22"/>
        </w:rPr>
      </w:pPr>
      <w:r w:rsidRPr="15768E62">
        <w:rPr>
          <w:sz w:val="22"/>
          <w:szCs w:val="22"/>
        </w:rPr>
        <w:t>The reliance on agency and temporary staff, explored through Senek et al. (2020), raises a difficult question for UK practice. Agency staff can fill urgent gaps and keep services legally and safely staffed in the short term, but this UK-wide analysis of over 8,800 nursing shifts found that a higher proportion of agency staff was linked to higher odds of care being left undone, even when a shift was otherwise fully staffed. This suggests that agency cover, while sometimes unavoidable, does not fully replace the continuity and familiarity that comes with a stable, permanent team, echoing the scale of NHS spending on temporary staff already noted above (Onyejesi, James and Kharicha, 2025).</w:t>
      </w:r>
    </w:p>
    <w:p w14:paraId="35DC4FC5" w14:textId="240FF2E5" w:rsidR="00C34B4F" w:rsidRDefault="05890005" w:rsidP="0C0171EF">
      <w:pPr>
        <w:spacing w:line="360" w:lineRule="auto"/>
        <w:rPr>
          <w:sz w:val="22"/>
          <w:szCs w:val="22"/>
        </w:rPr>
      </w:pPr>
      <w:r w:rsidRPr="15768E62">
        <w:rPr>
          <w:sz w:val="22"/>
          <w:szCs w:val="22"/>
        </w:rPr>
        <w:t>A strength of the evidence used in this review is that all four studies are UK-based, which supports the direct relevance of the findings to NHS practice, since staffing structures, funding, and workforce culture differ considerably between countries. Two of the four studies also draw on very large, UK-wide samples, over 6,500 screened records in the case of the systematic review, and thousands of NHS staff or nursing shift responses in the survey-based studies (Onyejesi, James and Kharicha, 2025; Weyman, Glendinning and O'Hara, 2026; Senek et al., 2020). This gives reasonable confidence that the patterns identified reflect genuine and current pressures within the NHS workforce, rather than isolated findings. Even so, a limitation worth noting is that most of the evidence is cross-sectional, meaning it captures a single point in time rather than following staff or patients over a longer period. This makes it easier to see associations, for example between redeployment and burnout, than to prove that one directly causes the other. Weyman, Glendinning and O'Hara (2026) acknowledge this limitation directly, noting that their own data cannot confirm whether redeployment causes poorer wellbeing, or whether staff who are already struggling are more likely to be redeployed.</w:t>
      </w:r>
    </w:p>
    <w:p w14:paraId="73E550FD" w14:textId="4051C07A" w:rsidR="00C34B4F" w:rsidRDefault="05890005" w:rsidP="0C0171EF">
      <w:pPr>
        <w:spacing w:line="360" w:lineRule="auto"/>
        <w:rPr>
          <w:sz w:val="22"/>
          <w:szCs w:val="22"/>
        </w:rPr>
      </w:pPr>
      <w:r w:rsidRPr="15768E62">
        <w:rPr>
          <w:sz w:val="22"/>
          <w:szCs w:val="22"/>
        </w:rPr>
        <w:t>Although this review focuses on the NHS, similar staffing pressures are well recognised across the wider social care sector, including in early years and domiciliary care services, where continuity of staffing is just as central to the quality of relationships and support that people receive. This makes the findings relevant beyond acute hospital settings, and suggests that lessons learned about workload, redeployment, and retention in the NHS may also apply to social care providers facing comparable pressures.</w:t>
      </w:r>
    </w:p>
    <w:p w14:paraId="2A87B2FD" w14:textId="13CFBEBD" w:rsidR="00C34B4F" w:rsidRDefault="204BB6D6" w:rsidP="0C0171EF">
      <w:pPr>
        <w:spacing w:line="360" w:lineRule="auto"/>
        <w:rPr>
          <w:b/>
          <w:bCs/>
          <w:sz w:val="22"/>
          <w:szCs w:val="22"/>
        </w:rPr>
      </w:pPr>
      <w:r w:rsidRPr="7AC8E490">
        <w:rPr>
          <w:b/>
          <w:bCs/>
          <w:sz w:val="22"/>
          <w:szCs w:val="22"/>
        </w:rPr>
        <w:t xml:space="preserve">7. </w:t>
      </w:r>
      <w:r w:rsidR="05890005" w:rsidRPr="7AC8E490">
        <w:rPr>
          <w:b/>
          <w:bCs/>
          <w:sz w:val="22"/>
          <w:szCs w:val="22"/>
        </w:rPr>
        <w:t>Conclusion and Recommendation</w:t>
      </w:r>
    </w:p>
    <w:p w14:paraId="3CD960C0" w14:textId="14D2F68F" w:rsidR="00C34B4F" w:rsidRDefault="05890005" w:rsidP="0C0171EF">
      <w:pPr>
        <w:spacing w:line="360" w:lineRule="auto"/>
      </w:pPr>
      <w:r w:rsidRPr="15768E62">
        <w:rPr>
          <w:sz w:val="22"/>
          <w:szCs w:val="22"/>
        </w:rPr>
        <w:t>This scoping review set out to answer the question: What is the impact of staff shortages on the quality and delivery of patient care within the NHS in the United Kingdom? The evidence reviewed points to a clear and troubling pattern. Staff shortages drive up workload, which increases stress and burnout among staff; this reduces the standard of care that can realistically be delivered, and pushes more staff to leave, which then deepens the shortage further. Redeployment and reliance on agency staff, both common responses to short-staffing, may ease immediate pressure but appear to carry hidden costs for staff wellbeing, retention, and, ultimately, care quality.</w:t>
      </w:r>
      <w:r w:rsidR="7639102E" w:rsidRPr="55C491F1">
        <w:rPr>
          <w:rFonts w:ascii="Arial" w:eastAsia="Arial" w:hAnsi="Arial" w:cs="Arial"/>
          <w:color w:val="000000" w:themeColor="text1"/>
          <w:sz w:val="22"/>
          <w:szCs w:val="22"/>
        </w:rPr>
        <w:t xml:space="preserve"> The first step in fixing the staffing dilemma will be to improve the collection and analysis of data on staffing migration and attrition in health and social care</w:t>
      </w:r>
      <w:r w:rsidR="4097DC25" w:rsidRPr="6E9C7BB9">
        <w:rPr>
          <w:rFonts w:ascii="Arial" w:eastAsia="Arial" w:hAnsi="Arial" w:cs="Arial"/>
          <w:color w:val="000000" w:themeColor="text1"/>
          <w:sz w:val="22"/>
          <w:szCs w:val="22"/>
        </w:rPr>
        <w:t xml:space="preserve"> (Levac, Colquhoun and O’Brien, </w:t>
      </w:r>
      <w:r w:rsidR="4097DC25" w:rsidRPr="7E824494">
        <w:rPr>
          <w:rFonts w:ascii="Arial" w:eastAsia="Arial" w:hAnsi="Arial" w:cs="Arial"/>
          <w:color w:val="000000" w:themeColor="text1"/>
          <w:sz w:val="22"/>
          <w:szCs w:val="22"/>
        </w:rPr>
        <w:t>2010)</w:t>
      </w:r>
    </w:p>
    <w:p w14:paraId="4706E605" w14:textId="3A25BB04" w:rsidR="00C34B4F" w:rsidRDefault="22472EA2" w:rsidP="0C0171EF">
      <w:pPr>
        <w:spacing w:line="360" w:lineRule="auto"/>
        <w:rPr>
          <w:b/>
          <w:bCs/>
          <w:sz w:val="22"/>
          <w:szCs w:val="22"/>
        </w:rPr>
      </w:pPr>
      <w:r w:rsidRPr="7AC8E490">
        <w:rPr>
          <w:b/>
          <w:bCs/>
          <w:sz w:val="22"/>
          <w:szCs w:val="22"/>
        </w:rPr>
        <w:t xml:space="preserve">7.1 </w:t>
      </w:r>
      <w:r w:rsidR="05890005" w:rsidRPr="7AC8E490">
        <w:rPr>
          <w:b/>
          <w:bCs/>
          <w:sz w:val="22"/>
          <w:szCs w:val="22"/>
        </w:rPr>
        <w:t>Recommendations for Practice</w:t>
      </w:r>
    </w:p>
    <w:p w14:paraId="1E81EB2D" w14:textId="36028F90" w:rsidR="00C34B4F" w:rsidRDefault="05890005" w:rsidP="0C0171EF">
      <w:pPr>
        <w:spacing w:line="360" w:lineRule="auto"/>
        <w:rPr>
          <w:sz w:val="22"/>
          <w:szCs w:val="22"/>
        </w:rPr>
      </w:pPr>
      <w:r w:rsidRPr="15768E62">
        <w:rPr>
          <w:sz w:val="22"/>
          <w:szCs w:val="22"/>
        </w:rPr>
        <w:t>Health and care providers should build in protected time and support for staff who are redeployed, recognising this group as being at higher risk of burnout and disengagement (Weyman, Glendinning and O'Hara, 2026).</w:t>
      </w:r>
    </w:p>
    <w:p w14:paraId="0CFD8A03" w14:textId="0569BD3C" w:rsidR="00C34B4F" w:rsidRDefault="05890005" w:rsidP="0C0171EF">
      <w:pPr>
        <w:spacing w:line="360" w:lineRule="auto"/>
        <w:rPr>
          <w:sz w:val="22"/>
          <w:szCs w:val="22"/>
        </w:rPr>
      </w:pPr>
      <w:r w:rsidRPr="15768E62">
        <w:rPr>
          <w:sz w:val="22"/>
          <w:szCs w:val="22"/>
        </w:rPr>
        <w:t>Managers should be supported and trained to spot early signs of work-related stress in their teams, given how strongly line manager relationships featured in the reasons staff gave for leaving (Onyejesi, James and Kharicha, 2025).</w:t>
      </w:r>
    </w:p>
    <w:p w14:paraId="589BC432" w14:textId="787969EB" w:rsidR="00C34B4F" w:rsidRDefault="048E0851" w:rsidP="0C0171EF">
      <w:pPr>
        <w:spacing w:line="360" w:lineRule="auto"/>
        <w:rPr>
          <w:sz w:val="22"/>
          <w:szCs w:val="22"/>
        </w:rPr>
      </w:pPr>
      <w:r w:rsidRPr="7AC8E490">
        <w:rPr>
          <w:b/>
          <w:bCs/>
          <w:sz w:val="22"/>
          <w:szCs w:val="22"/>
        </w:rPr>
        <w:t xml:space="preserve">7.2 </w:t>
      </w:r>
      <w:r w:rsidR="05890005" w:rsidRPr="7AC8E490">
        <w:rPr>
          <w:b/>
          <w:bCs/>
          <w:sz w:val="22"/>
          <w:szCs w:val="22"/>
        </w:rPr>
        <w:t xml:space="preserve">Recommendations for policy </w:t>
      </w:r>
    </w:p>
    <w:p w14:paraId="44490E48" w14:textId="6F58120F" w:rsidR="00C34B4F" w:rsidRDefault="05890005" w:rsidP="0C0171EF">
      <w:pPr>
        <w:spacing w:line="360" w:lineRule="auto"/>
        <w:rPr>
          <w:sz w:val="22"/>
          <w:szCs w:val="22"/>
        </w:rPr>
      </w:pPr>
      <w:r w:rsidRPr="15768E62">
        <w:rPr>
          <w:sz w:val="22"/>
          <w:szCs w:val="22"/>
        </w:rPr>
        <w:t>Workforce planning should treat retention as being at least as important as recruitment, in line with the ambitions already set out in the NHS Long Term Workforce Plan.</w:t>
      </w:r>
    </w:p>
    <w:p w14:paraId="141D6C28" w14:textId="757D198F" w:rsidR="00C34B4F" w:rsidRDefault="05890005" w:rsidP="0C0171EF">
      <w:pPr>
        <w:spacing w:line="360" w:lineRule="auto"/>
      </w:pPr>
      <w:r w:rsidRPr="15768E62">
        <w:rPr>
          <w:sz w:val="22"/>
          <w:szCs w:val="22"/>
        </w:rPr>
        <w:t>Policymakers should look more closely at the long-term cost and quality trade-offs of relying heavily on agency and temporary staffing, rather than treating it purely as a short-term fix.</w:t>
      </w:r>
      <w:r w:rsidR="325A19A0" w:rsidRPr="6E5174EB">
        <w:rPr>
          <w:rFonts w:ascii="Arial" w:eastAsia="Arial" w:hAnsi="Arial" w:cs="Arial"/>
          <w:color w:val="000000" w:themeColor="text1"/>
          <w:sz w:val="22"/>
          <w:szCs w:val="22"/>
        </w:rPr>
        <w:t xml:space="preserve"> </w:t>
      </w:r>
      <w:r w:rsidR="325A19A0" w:rsidRPr="367D2A52">
        <w:rPr>
          <w:rFonts w:ascii="Arial" w:eastAsia="Arial" w:hAnsi="Arial" w:cs="Arial"/>
          <w:color w:val="000000" w:themeColor="text1"/>
          <w:sz w:val="22"/>
          <w:szCs w:val="22"/>
        </w:rPr>
        <w:t>(</w:t>
      </w:r>
      <w:r w:rsidR="325A19A0" w:rsidRPr="6E5174EB">
        <w:rPr>
          <w:rFonts w:ascii="Arial" w:eastAsia="Arial" w:hAnsi="Arial" w:cs="Arial"/>
          <w:color w:val="000000" w:themeColor="text1"/>
          <w:sz w:val="22"/>
          <w:szCs w:val="22"/>
        </w:rPr>
        <w:t>The health foundation 2023)</w:t>
      </w:r>
    </w:p>
    <w:p w14:paraId="5BC7FAC4" w14:textId="0BDC1457" w:rsidR="00C34B4F" w:rsidRDefault="05890005" w:rsidP="0C0171EF">
      <w:pPr>
        <w:spacing w:line="360" w:lineRule="auto"/>
        <w:rPr>
          <w:sz w:val="22"/>
          <w:szCs w:val="22"/>
        </w:rPr>
      </w:pPr>
      <w:r w:rsidRPr="15768E62">
        <w:rPr>
          <w:sz w:val="22"/>
          <w:szCs w:val="22"/>
        </w:rPr>
        <w:t>Suggestions for additional research</w:t>
      </w:r>
    </w:p>
    <w:p w14:paraId="256BA3A3" w14:textId="53380079" w:rsidR="00C34B4F" w:rsidRDefault="05890005" w:rsidP="0C0171EF">
      <w:pPr>
        <w:spacing w:line="360" w:lineRule="auto"/>
        <w:rPr>
          <w:sz w:val="22"/>
          <w:szCs w:val="22"/>
        </w:rPr>
      </w:pPr>
      <w:r w:rsidRPr="15768E62">
        <w:rPr>
          <w:sz w:val="22"/>
          <w:szCs w:val="22"/>
        </w:rPr>
        <w:t>Further UK-based research is needed that follows staff and patient outcomes over time, rather than at a single point, to better establish whether staff shortages directly cause poorer care, or whether the relationship works in both directions.</w:t>
      </w:r>
    </w:p>
    <w:p w14:paraId="22F026AD" w14:textId="64608A6F" w:rsidR="00C34B4F" w:rsidRDefault="05890005" w:rsidP="0C0171EF">
      <w:pPr>
        <w:spacing w:line="360" w:lineRule="auto"/>
        <w:rPr>
          <w:sz w:val="22"/>
          <w:szCs w:val="22"/>
        </w:rPr>
      </w:pPr>
      <w:r w:rsidRPr="7AC8E490">
        <w:rPr>
          <w:sz w:val="22"/>
          <w:szCs w:val="22"/>
        </w:rPr>
        <w:t xml:space="preserve">More research is needed into what </w:t>
      </w:r>
      <w:r w:rsidR="5E73EB39" w:rsidRPr="7AC8E490">
        <w:rPr>
          <w:sz w:val="22"/>
          <w:szCs w:val="22"/>
        </w:rPr>
        <w:t>helps</w:t>
      </w:r>
      <w:r w:rsidRPr="7AC8E490">
        <w:rPr>
          <w:sz w:val="22"/>
          <w:szCs w:val="22"/>
        </w:rPr>
        <w:t xml:space="preserve"> redeployed and short-staffed teams cope well, since the evidence base on effective interventions remains limited (Weyman, Glendinning and O'Hara, 2026).</w:t>
      </w:r>
    </w:p>
    <w:p w14:paraId="409687A4" w14:textId="7A80AA65" w:rsidR="00C34B4F" w:rsidRDefault="05890005" w:rsidP="0C0171EF">
      <w:pPr>
        <w:spacing w:line="360" w:lineRule="auto"/>
        <w:rPr>
          <w:sz w:val="22"/>
          <w:szCs w:val="22"/>
        </w:rPr>
      </w:pPr>
      <w:r w:rsidRPr="15768E62">
        <w:rPr>
          <w:sz w:val="22"/>
          <w:szCs w:val="22"/>
        </w:rPr>
        <w:t>Comparative studies between the NHS and other health systems, and between the NHS and the wider social care sector, would help clarify which pressures are specific to the NHS and which are shared more broadly across care services.</w:t>
      </w:r>
    </w:p>
    <w:p w14:paraId="3AC8A63D" w14:textId="019D3879" w:rsidR="00C34B4F" w:rsidRDefault="05890005" w:rsidP="0C0171EF">
      <w:pPr>
        <w:spacing w:line="360" w:lineRule="auto"/>
        <w:rPr>
          <w:sz w:val="22"/>
          <w:szCs w:val="22"/>
        </w:rPr>
      </w:pPr>
      <w:r w:rsidRPr="15768E62">
        <w:rPr>
          <w:sz w:val="22"/>
          <w:szCs w:val="22"/>
        </w:rPr>
        <w:t>Taken as a whole, the evidence suggests that fixing NHS staff shortages will require more than filling vacancies. It requires looking after the staff already in post, so that fewer of them feel they have no choice but to leave.</w:t>
      </w:r>
    </w:p>
    <w:p w14:paraId="042948E5" w14:textId="16151197" w:rsidR="00C34B4F" w:rsidRDefault="00C34B4F" w:rsidP="0C0171EF">
      <w:pPr>
        <w:spacing w:line="360" w:lineRule="auto"/>
        <w:rPr>
          <w:sz w:val="22"/>
          <w:szCs w:val="22"/>
        </w:rPr>
      </w:pPr>
    </w:p>
    <w:p w14:paraId="3CABC374" w14:textId="6FF7B12B" w:rsidR="00C34B4F" w:rsidRDefault="00C34B4F" w:rsidP="0C0171EF">
      <w:pPr>
        <w:spacing w:line="360" w:lineRule="auto"/>
        <w:rPr>
          <w:sz w:val="22"/>
          <w:szCs w:val="22"/>
        </w:rPr>
      </w:pPr>
    </w:p>
    <w:p w14:paraId="51CC1CDF" w14:textId="4BD5FB63" w:rsidR="00C34B4F" w:rsidRDefault="00C34B4F" w:rsidP="0C0171EF">
      <w:pPr>
        <w:spacing w:line="360" w:lineRule="auto"/>
        <w:rPr>
          <w:sz w:val="22"/>
          <w:szCs w:val="22"/>
        </w:rPr>
      </w:pPr>
    </w:p>
    <w:p w14:paraId="48C3C5A0" w14:textId="47462259" w:rsidR="00C34B4F" w:rsidRDefault="00C34B4F" w:rsidP="0C0171EF">
      <w:pPr>
        <w:spacing w:line="360" w:lineRule="auto"/>
        <w:rPr>
          <w:sz w:val="22"/>
          <w:szCs w:val="22"/>
        </w:rPr>
      </w:pPr>
    </w:p>
    <w:p w14:paraId="5BC064CE" w14:textId="2183B65A" w:rsidR="00C34B4F" w:rsidRDefault="00C34B4F" w:rsidP="0C0171EF">
      <w:pPr>
        <w:spacing w:line="360" w:lineRule="auto"/>
        <w:rPr>
          <w:sz w:val="22"/>
          <w:szCs w:val="22"/>
        </w:rPr>
      </w:pPr>
    </w:p>
    <w:p w14:paraId="289CA781" w14:textId="02A758A8" w:rsidR="00C34B4F" w:rsidRDefault="00C34B4F" w:rsidP="0C0171EF">
      <w:pPr>
        <w:spacing w:line="360" w:lineRule="auto"/>
        <w:rPr>
          <w:sz w:val="22"/>
          <w:szCs w:val="22"/>
        </w:rPr>
      </w:pPr>
    </w:p>
    <w:p w14:paraId="67FE8E70" w14:textId="21C42D54" w:rsidR="7AC8E490" w:rsidRDefault="7AC8E490" w:rsidP="7AC8E490">
      <w:pPr>
        <w:spacing w:line="360" w:lineRule="auto"/>
        <w:rPr>
          <w:sz w:val="22"/>
          <w:szCs w:val="22"/>
        </w:rPr>
      </w:pPr>
    </w:p>
    <w:p w14:paraId="673D0F0A" w14:textId="60EED6ED" w:rsidR="7AC8E490" w:rsidRDefault="7AC8E490" w:rsidP="7AC8E490">
      <w:pPr>
        <w:spacing w:line="360" w:lineRule="auto"/>
        <w:rPr>
          <w:sz w:val="22"/>
          <w:szCs w:val="22"/>
        </w:rPr>
      </w:pPr>
    </w:p>
    <w:p w14:paraId="19AF9D22" w14:textId="6ABE463E" w:rsidR="7AC8E490" w:rsidRDefault="7AC8E490" w:rsidP="7AC8E490">
      <w:pPr>
        <w:spacing w:line="360" w:lineRule="auto"/>
        <w:rPr>
          <w:sz w:val="22"/>
          <w:szCs w:val="22"/>
        </w:rPr>
      </w:pPr>
    </w:p>
    <w:p w14:paraId="3AC09EAB" w14:textId="3BE54120" w:rsidR="6F5DA8A0" w:rsidRDefault="6F5DA8A0" w:rsidP="6F5DA8A0">
      <w:pPr>
        <w:spacing w:line="360" w:lineRule="auto"/>
        <w:rPr>
          <w:sz w:val="22"/>
          <w:szCs w:val="22"/>
        </w:rPr>
      </w:pPr>
    </w:p>
    <w:p w14:paraId="52775889" w14:textId="68913E35" w:rsidR="010B757D" w:rsidRDefault="010B757D" w:rsidP="010B757D">
      <w:pPr>
        <w:spacing w:line="360" w:lineRule="auto"/>
        <w:rPr>
          <w:sz w:val="22"/>
          <w:szCs w:val="22"/>
        </w:rPr>
      </w:pPr>
    </w:p>
    <w:p w14:paraId="16CA0D39" w14:textId="53F157E0" w:rsidR="010B757D" w:rsidRDefault="010B757D" w:rsidP="010B757D">
      <w:pPr>
        <w:spacing w:line="360" w:lineRule="auto"/>
        <w:rPr>
          <w:sz w:val="22"/>
          <w:szCs w:val="22"/>
        </w:rPr>
      </w:pPr>
    </w:p>
    <w:p w14:paraId="222E7FC7" w14:textId="38815BB7" w:rsidR="010B757D" w:rsidRDefault="010B757D" w:rsidP="010B757D">
      <w:pPr>
        <w:spacing w:line="360" w:lineRule="auto"/>
        <w:rPr>
          <w:sz w:val="22"/>
          <w:szCs w:val="22"/>
        </w:rPr>
      </w:pPr>
    </w:p>
    <w:p w14:paraId="71A628F4" w14:textId="0DCFC042" w:rsidR="00C34B4F" w:rsidRDefault="05890005" w:rsidP="0C0171EF">
      <w:pPr>
        <w:spacing w:line="360" w:lineRule="auto"/>
        <w:rPr>
          <w:b/>
          <w:bCs/>
          <w:sz w:val="22"/>
          <w:szCs w:val="22"/>
        </w:rPr>
      </w:pPr>
      <w:r w:rsidRPr="0DA11837">
        <w:rPr>
          <w:b/>
          <w:bCs/>
          <w:sz w:val="22"/>
          <w:szCs w:val="22"/>
        </w:rPr>
        <w:t>Reference</w:t>
      </w:r>
    </w:p>
    <w:p w14:paraId="1B263073" w14:textId="760B86BF" w:rsidR="00C34B4F" w:rsidRDefault="05890005" w:rsidP="0C0171EF">
      <w:pPr>
        <w:spacing w:line="360" w:lineRule="auto"/>
        <w:rPr>
          <w:sz w:val="22"/>
          <w:szCs w:val="22"/>
        </w:rPr>
      </w:pPr>
      <w:r w:rsidRPr="15768E62">
        <w:rPr>
          <w:sz w:val="22"/>
          <w:szCs w:val="22"/>
        </w:rPr>
        <w:t>Arksey, H. and O'Malley, L. (2005) 'Scoping studies: towards a methodological framework', International Journal of Social Research Methodology, 8(1), pp. 19-32.</w:t>
      </w:r>
    </w:p>
    <w:p w14:paraId="74915EFB" w14:textId="4C3179EA" w:rsidR="00C34B4F" w:rsidRDefault="05890005" w:rsidP="0C0171EF">
      <w:pPr>
        <w:spacing w:line="360" w:lineRule="auto"/>
        <w:rPr>
          <w:sz w:val="22"/>
          <w:szCs w:val="22"/>
        </w:rPr>
      </w:pPr>
      <w:r w:rsidRPr="15768E62">
        <w:rPr>
          <w:sz w:val="22"/>
          <w:szCs w:val="22"/>
        </w:rPr>
        <w:t xml:space="preserve">BMA (2025) NHS medical staffing data analysis. Available at: </w:t>
      </w:r>
      <w:hyperlink r:id="rId8">
        <w:r w:rsidRPr="15768E62">
          <w:rPr>
            <w:rStyle w:val="Hyperlink"/>
            <w:sz w:val="22"/>
            <w:szCs w:val="22"/>
          </w:rPr>
          <w:t>https://www.bma.org.uk/advice-and-support/nhs-delivery-and-workforce/workforce/medical-staffing-in-the-nhs</w:t>
        </w:r>
      </w:hyperlink>
      <w:r w:rsidRPr="15768E62">
        <w:rPr>
          <w:sz w:val="22"/>
          <w:szCs w:val="22"/>
        </w:rPr>
        <w:t xml:space="preserve"> (Accessed: 8 July 2026).</w:t>
      </w:r>
    </w:p>
    <w:p w14:paraId="3387B099" w14:textId="0EDF5F72" w:rsidR="00C34B4F" w:rsidRDefault="05890005" w:rsidP="0C0171EF">
      <w:pPr>
        <w:spacing w:line="360" w:lineRule="auto"/>
        <w:rPr>
          <w:sz w:val="22"/>
          <w:szCs w:val="22"/>
        </w:rPr>
      </w:pPr>
      <w:r w:rsidRPr="15768E62">
        <w:rPr>
          <w:sz w:val="22"/>
          <w:szCs w:val="22"/>
        </w:rPr>
        <w:t xml:space="preserve">Department of Health and Social Care (2025) Fit for the future: 10 Year Health Plan for England - executive summary. Available at: </w:t>
      </w:r>
      <w:hyperlink r:id="rId9">
        <w:r w:rsidRPr="15768E62">
          <w:rPr>
            <w:rStyle w:val="Hyperlink"/>
            <w:sz w:val="22"/>
            <w:szCs w:val="22"/>
          </w:rPr>
          <w:t>https://www.gov.uk/government/publications/10-year-health-plan-for-england-fit-for-the-future/fit-for-the-future-10-year-health-plan-for-england-executive-summary</w:t>
        </w:r>
      </w:hyperlink>
      <w:r w:rsidRPr="15768E62">
        <w:rPr>
          <w:sz w:val="22"/>
          <w:szCs w:val="22"/>
        </w:rPr>
        <w:t xml:space="preserve"> (Accessed: 8 July 2026).</w:t>
      </w:r>
    </w:p>
    <w:p w14:paraId="0EF9FB4C" w14:textId="4D9926A8" w:rsidR="00C34B4F" w:rsidRDefault="05890005" w:rsidP="0C0171EF">
      <w:pPr>
        <w:spacing w:line="360" w:lineRule="auto"/>
        <w:rPr>
          <w:sz w:val="22"/>
          <w:szCs w:val="22"/>
        </w:rPr>
      </w:pPr>
      <w:r w:rsidRPr="15768E62">
        <w:rPr>
          <w:sz w:val="22"/>
          <w:szCs w:val="22"/>
        </w:rPr>
        <w:t xml:space="preserve">GOV.UK (2025) Nearly £1 billion for NHS frontline after agency spend crackdown. Available at: </w:t>
      </w:r>
      <w:hyperlink r:id="rId10">
        <w:r w:rsidRPr="15768E62">
          <w:rPr>
            <w:rStyle w:val="Hyperlink"/>
            <w:sz w:val="22"/>
            <w:szCs w:val="22"/>
          </w:rPr>
          <w:t>https://www.gov.uk/government/news/nearly-1-billion-for-nhs-frontline-after-agency-spend-crackdown</w:t>
        </w:r>
      </w:hyperlink>
      <w:r w:rsidRPr="15768E62">
        <w:rPr>
          <w:sz w:val="22"/>
          <w:szCs w:val="22"/>
        </w:rPr>
        <w:t xml:space="preserve"> (Accessed: 8 July 2026).</w:t>
      </w:r>
    </w:p>
    <w:p w14:paraId="160063C6" w14:textId="01E6B009" w:rsidR="00C34B4F" w:rsidRDefault="05890005" w:rsidP="0C0171EF">
      <w:pPr>
        <w:spacing w:line="360" w:lineRule="auto"/>
      </w:pPr>
      <w:r w:rsidRPr="15768E62">
        <w:rPr>
          <w:sz w:val="22"/>
          <w:szCs w:val="22"/>
        </w:rPr>
        <w:t xml:space="preserve">GOV.UK (2026) Employee health, work, and sickness absence: qualitative research. Available at: </w:t>
      </w:r>
      <w:hyperlink r:id="rId11">
        <w:r w:rsidRPr="15768E62">
          <w:rPr>
            <w:rStyle w:val="Hyperlink"/>
            <w:sz w:val="22"/>
            <w:szCs w:val="22"/>
          </w:rPr>
          <w:t>https://www.gov.uk/government/publications/employee-health-work-and-sickness-absence-qualitative-research/employee-health-work-and-sickness-absence-qualitative-research</w:t>
        </w:r>
      </w:hyperlink>
      <w:r w:rsidRPr="15768E62">
        <w:rPr>
          <w:sz w:val="22"/>
          <w:szCs w:val="22"/>
        </w:rPr>
        <w:t xml:space="preserve"> (Accessed: 8 July 2026).</w:t>
      </w:r>
    </w:p>
    <w:p w14:paraId="23DFDFB8" w14:textId="6FDE9746" w:rsidR="34F2A4AA" w:rsidRDefault="0C4AB866" w:rsidP="63A37750">
      <w:pPr>
        <w:spacing w:before="220" w:after="220" w:line="330" w:lineRule="auto"/>
      </w:pPr>
      <w:r w:rsidRPr="53540295">
        <w:rPr>
          <w:rFonts w:ascii="Arial" w:eastAsia="Arial" w:hAnsi="Arial" w:cs="Arial"/>
          <w:color w:val="000000" w:themeColor="text1"/>
          <w:sz w:val="22"/>
          <w:szCs w:val="22"/>
        </w:rPr>
        <w:t xml:space="preserve">The health foundation (2023). </w:t>
      </w:r>
      <w:r w:rsidRPr="53540295">
        <w:rPr>
          <w:rFonts w:ascii="Arial" w:eastAsia="Arial" w:hAnsi="Arial" w:cs="Arial"/>
          <w:i/>
          <w:iCs/>
          <w:color w:val="000000" w:themeColor="text1"/>
          <w:sz w:val="22"/>
          <w:szCs w:val="22"/>
        </w:rPr>
        <w:t>Meeting the NHS workforce retention challenge</w:t>
      </w:r>
      <w:r w:rsidRPr="53540295">
        <w:rPr>
          <w:rFonts w:ascii="Arial" w:eastAsia="Arial" w:hAnsi="Arial" w:cs="Arial"/>
          <w:color w:val="000000" w:themeColor="text1"/>
          <w:sz w:val="22"/>
          <w:szCs w:val="22"/>
        </w:rPr>
        <w:t xml:space="preserve">. [online] </w:t>
      </w:r>
      <w:r w:rsidRPr="53540295">
        <w:rPr>
          <w:rFonts w:ascii="Arial" w:eastAsia="Arial" w:hAnsi="Arial" w:cs="Arial"/>
          <w:i/>
          <w:iCs/>
          <w:color w:val="000000" w:themeColor="text1"/>
          <w:sz w:val="22"/>
          <w:szCs w:val="22"/>
        </w:rPr>
        <w:t>The Health Foundation</w:t>
      </w:r>
      <w:r w:rsidRPr="53540295">
        <w:rPr>
          <w:rFonts w:ascii="Arial" w:eastAsia="Arial" w:hAnsi="Arial" w:cs="Arial"/>
          <w:color w:val="000000" w:themeColor="text1"/>
          <w:sz w:val="22"/>
          <w:szCs w:val="22"/>
        </w:rPr>
        <w:t xml:space="preserve">. Available at: </w:t>
      </w:r>
      <w:hyperlink r:id="rId12">
        <w:r w:rsidRPr="53540295">
          <w:rPr>
            <w:rStyle w:val="Hyperlink"/>
          </w:rPr>
          <w:t>https://www.health.org.uk/features-and-opinion/blogs/meeting-the-nhs-workforce-retention-challenge</w:t>
        </w:r>
      </w:hyperlink>
      <w:r w:rsidRPr="53540295">
        <w:rPr>
          <w:rFonts w:ascii="Arial" w:eastAsia="Arial" w:hAnsi="Arial" w:cs="Arial"/>
          <w:color w:val="000000" w:themeColor="text1"/>
          <w:sz w:val="22"/>
          <w:szCs w:val="22"/>
        </w:rPr>
        <w:t xml:space="preserve"> [Accessed 14 Aug. 2026].</w:t>
      </w:r>
    </w:p>
    <w:p w14:paraId="02EE7FDC" w14:textId="3A042FE0" w:rsidR="288ACF23" w:rsidRDefault="4ABE82C7" w:rsidP="540F2EE4">
      <w:pPr>
        <w:spacing w:before="220" w:after="220" w:line="330" w:lineRule="auto"/>
      </w:pPr>
      <w:r w:rsidRPr="1CDB3FDD">
        <w:rPr>
          <w:rFonts w:ascii="Arial" w:eastAsia="Arial" w:hAnsi="Arial" w:cs="Arial"/>
          <w:color w:val="000000" w:themeColor="text1"/>
          <w:sz w:val="22"/>
          <w:szCs w:val="22"/>
        </w:rPr>
        <w:t xml:space="preserve">The Health Foundation (2019). </w:t>
      </w:r>
      <w:r w:rsidRPr="1CDB3FDD">
        <w:rPr>
          <w:rFonts w:ascii="Arial" w:eastAsia="Arial" w:hAnsi="Arial" w:cs="Arial"/>
          <w:i/>
          <w:iCs/>
          <w:color w:val="000000" w:themeColor="text1"/>
          <w:sz w:val="22"/>
          <w:szCs w:val="22"/>
        </w:rPr>
        <w:t>Health and social care workforce</w:t>
      </w:r>
      <w:r w:rsidRPr="1CDB3FDD">
        <w:rPr>
          <w:rFonts w:ascii="Arial" w:eastAsia="Arial" w:hAnsi="Arial" w:cs="Arial"/>
          <w:color w:val="000000" w:themeColor="text1"/>
          <w:sz w:val="22"/>
          <w:szCs w:val="22"/>
        </w:rPr>
        <w:t xml:space="preserve">. [online] </w:t>
      </w:r>
      <w:r w:rsidRPr="1CDB3FDD">
        <w:rPr>
          <w:rFonts w:ascii="Arial" w:eastAsia="Arial" w:hAnsi="Arial" w:cs="Arial"/>
          <w:i/>
          <w:iCs/>
          <w:color w:val="000000" w:themeColor="text1"/>
          <w:sz w:val="22"/>
          <w:szCs w:val="22"/>
        </w:rPr>
        <w:t>The Health Foundation</w:t>
      </w:r>
      <w:r w:rsidRPr="1CDB3FDD">
        <w:rPr>
          <w:rFonts w:ascii="Arial" w:eastAsia="Arial" w:hAnsi="Arial" w:cs="Arial"/>
          <w:color w:val="000000" w:themeColor="text1"/>
          <w:sz w:val="22"/>
          <w:szCs w:val="22"/>
        </w:rPr>
        <w:t xml:space="preserve">. Available at: </w:t>
      </w:r>
      <w:hyperlink r:id="rId13">
        <w:r w:rsidRPr="1CDB3FDD">
          <w:rPr>
            <w:rStyle w:val="Hyperlink"/>
          </w:rPr>
          <w:t>https://www.health.org.uk/reports-and-analysis/briefings/health-and-social-care-workforce</w:t>
        </w:r>
      </w:hyperlink>
      <w:r w:rsidRPr="1CDB3FDD">
        <w:rPr>
          <w:rFonts w:ascii="Arial" w:eastAsia="Arial" w:hAnsi="Arial" w:cs="Arial"/>
          <w:color w:val="000000" w:themeColor="text1"/>
          <w:sz w:val="22"/>
          <w:szCs w:val="22"/>
        </w:rPr>
        <w:t xml:space="preserve"> [Accessed 11 Aug. 2026].</w:t>
      </w:r>
    </w:p>
    <w:p w14:paraId="3476833E" w14:textId="15CFA2EC" w:rsidR="00C34B4F" w:rsidRDefault="05890005" w:rsidP="0C0171EF">
      <w:pPr>
        <w:spacing w:line="360" w:lineRule="auto"/>
        <w:rPr>
          <w:sz w:val="22"/>
          <w:szCs w:val="22"/>
        </w:rPr>
      </w:pPr>
      <w:r w:rsidRPr="15768E62">
        <w:rPr>
          <w:sz w:val="22"/>
          <w:szCs w:val="22"/>
        </w:rPr>
        <w:t xml:space="preserve">The King's Fund (2025) NHS workforce in a nutshell. Available at: </w:t>
      </w:r>
      <w:hyperlink r:id="rId14">
        <w:r w:rsidRPr="15768E62">
          <w:rPr>
            <w:rStyle w:val="Hyperlink"/>
            <w:sz w:val="22"/>
            <w:szCs w:val="22"/>
          </w:rPr>
          <w:t>https://www.kingsfund.org.uk/insight-and-analysis/data-and-charts/nhs-workforce-nutshell</w:t>
        </w:r>
      </w:hyperlink>
      <w:r w:rsidRPr="15768E62">
        <w:rPr>
          <w:sz w:val="22"/>
          <w:szCs w:val="22"/>
        </w:rPr>
        <w:t xml:space="preserve"> (Accessed: 7 July 2026).</w:t>
      </w:r>
    </w:p>
    <w:p w14:paraId="20BAFD6C" w14:textId="27F0B049" w:rsidR="00C34B4F" w:rsidRDefault="7922C80E" w:rsidP="09AC4654">
      <w:pPr>
        <w:spacing w:before="220" w:after="220" w:line="330" w:lineRule="auto"/>
      </w:pPr>
      <w:r w:rsidRPr="46E32BBB">
        <w:rPr>
          <w:rFonts w:ascii="Arial" w:eastAsia="Arial" w:hAnsi="Arial" w:cs="Arial"/>
          <w:color w:val="000000" w:themeColor="text1"/>
          <w:sz w:val="22"/>
          <w:szCs w:val="22"/>
        </w:rPr>
        <w:t xml:space="preserve">Levac, D., Colquhoun, H. and O’Brien, K.K. (2010). Scoping studies: Advancing the methodology. </w:t>
      </w:r>
      <w:r w:rsidRPr="46E32BBB">
        <w:rPr>
          <w:rFonts w:ascii="Arial" w:eastAsia="Arial" w:hAnsi="Arial" w:cs="Arial"/>
          <w:i/>
          <w:iCs/>
          <w:color w:val="000000" w:themeColor="text1"/>
          <w:sz w:val="22"/>
          <w:szCs w:val="22"/>
        </w:rPr>
        <w:t>Implementation Science</w:t>
      </w:r>
      <w:r w:rsidRPr="46E32BBB">
        <w:rPr>
          <w:rFonts w:ascii="Arial" w:eastAsia="Arial" w:hAnsi="Arial" w:cs="Arial"/>
          <w:color w:val="000000" w:themeColor="text1"/>
          <w:sz w:val="22"/>
          <w:szCs w:val="22"/>
        </w:rPr>
        <w:t>, [online] 5(1), pp.1–9. doi:10.1186/1748-5908-5-69.</w:t>
      </w:r>
      <w:r w:rsidRPr="46E32BBB">
        <w:rPr>
          <w:sz w:val="22"/>
          <w:szCs w:val="22"/>
        </w:rPr>
        <w:t xml:space="preserve"> </w:t>
      </w:r>
    </w:p>
    <w:p w14:paraId="2E2E8A9E" w14:textId="745A879C" w:rsidR="00C34B4F" w:rsidRDefault="05890005" w:rsidP="0C0171EF">
      <w:pPr>
        <w:spacing w:line="360" w:lineRule="auto"/>
        <w:rPr>
          <w:sz w:val="22"/>
          <w:szCs w:val="22"/>
        </w:rPr>
      </w:pPr>
      <w:r w:rsidRPr="15768E62">
        <w:rPr>
          <w:sz w:val="22"/>
          <w:szCs w:val="22"/>
        </w:rPr>
        <w:t xml:space="preserve">NHS England (2024) NHS Long Term Workforce Plan. Available at: </w:t>
      </w:r>
      <w:hyperlink r:id="rId15">
        <w:r w:rsidRPr="15768E62">
          <w:rPr>
            <w:rStyle w:val="Hyperlink"/>
            <w:sz w:val="22"/>
            <w:szCs w:val="22"/>
          </w:rPr>
          <w:t>https://www.england.nhs.uk/long-read/nhs-long-term-workforce-plan-2/</w:t>
        </w:r>
      </w:hyperlink>
      <w:r w:rsidRPr="15768E62">
        <w:rPr>
          <w:sz w:val="22"/>
          <w:szCs w:val="22"/>
        </w:rPr>
        <w:t xml:space="preserve"> (Accessed: 8 July 2026).</w:t>
      </w:r>
    </w:p>
    <w:p w14:paraId="11AF763F" w14:textId="680F47C5" w:rsidR="00C34B4F" w:rsidRDefault="05890005" w:rsidP="0C0171EF">
      <w:pPr>
        <w:spacing w:line="360" w:lineRule="auto"/>
        <w:rPr>
          <w:sz w:val="22"/>
          <w:szCs w:val="22"/>
        </w:rPr>
      </w:pPr>
      <w:r w:rsidRPr="15768E62">
        <w:rPr>
          <w:sz w:val="22"/>
          <w:szCs w:val="22"/>
        </w:rPr>
        <w:t>Onyejesi, C.R., James, T. and Kharicha, K. (2025) 'Understanding why health professionals are leaving the UK national health service (NHS) – a systematic review and narrative synthesis', Journal of Health Services Research &amp; Policy, 31(2), pp. 125-139.</w:t>
      </w:r>
    </w:p>
    <w:p w14:paraId="6790BBE8" w14:textId="374076D1" w:rsidR="00C34B4F" w:rsidRDefault="05890005" w:rsidP="0C0171EF">
      <w:pPr>
        <w:spacing w:line="360" w:lineRule="auto"/>
        <w:rPr>
          <w:sz w:val="22"/>
          <w:szCs w:val="22"/>
        </w:rPr>
      </w:pPr>
      <w:r w:rsidRPr="15768E62">
        <w:rPr>
          <w:sz w:val="22"/>
          <w:szCs w:val="22"/>
        </w:rPr>
        <w:t>Propper, C., Stoye, G. and Zaranko, B. (2020) 'The wider impacts of the coronavirus pandemic on the NHS', Fiscal Studies, 41(2), pp. 345-356.</w:t>
      </w:r>
    </w:p>
    <w:p w14:paraId="329F3BFF" w14:textId="4827CCCD" w:rsidR="00C34B4F" w:rsidRDefault="05890005" w:rsidP="0C0171EF">
      <w:pPr>
        <w:spacing w:line="360" w:lineRule="auto"/>
        <w:rPr>
          <w:sz w:val="22"/>
          <w:szCs w:val="22"/>
        </w:rPr>
      </w:pPr>
      <w:r w:rsidRPr="15768E62">
        <w:rPr>
          <w:sz w:val="22"/>
          <w:szCs w:val="22"/>
        </w:rPr>
        <w:t>Senek, M., Robertson, S., Ryan, T., King, R., Wood, E. and Tod, A. (2020) 'The association between care left undone and temporary nursing staff ratios in acute settings: a cross-sectional survey of registered nurses', BMC Health Services Research, 20, 637.</w:t>
      </w:r>
    </w:p>
    <w:p w14:paraId="6C6F8A1C" w14:textId="425F6947" w:rsidR="00C34B4F" w:rsidRDefault="05890005" w:rsidP="0C0171EF">
      <w:pPr>
        <w:spacing w:line="360" w:lineRule="auto"/>
        <w:rPr>
          <w:sz w:val="22"/>
          <w:szCs w:val="22"/>
        </w:rPr>
      </w:pPr>
      <w:r w:rsidRPr="15768E62">
        <w:rPr>
          <w:sz w:val="22"/>
          <w:szCs w:val="22"/>
        </w:rPr>
        <w:t xml:space="preserve">Statista (2020) Topic: NHS staff shortage. Available at: </w:t>
      </w:r>
      <w:hyperlink r:id="rId16">
        <w:r w:rsidRPr="15768E62">
          <w:rPr>
            <w:rStyle w:val="Hyperlink"/>
            <w:sz w:val="22"/>
            <w:szCs w:val="22"/>
          </w:rPr>
          <w:t>https://www.statista.com/topics/9575/nhs-staff-shortage/</w:t>
        </w:r>
      </w:hyperlink>
      <w:r w:rsidRPr="15768E62">
        <w:rPr>
          <w:sz w:val="22"/>
          <w:szCs w:val="22"/>
        </w:rPr>
        <w:t xml:space="preserve"> (Accessed: 8 July 2026).</w:t>
      </w:r>
    </w:p>
    <w:p w14:paraId="5FF0A00A" w14:textId="61B3270D" w:rsidR="00C34B4F" w:rsidRDefault="05890005" w:rsidP="0C0171EF">
      <w:pPr>
        <w:spacing w:line="360" w:lineRule="auto"/>
        <w:rPr>
          <w:sz w:val="22"/>
          <w:szCs w:val="22"/>
        </w:rPr>
      </w:pPr>
      <w:r w:rsidRPr="15768E62">
        <w:rPr>
          <w:sz w:val="22"/>
          <w:szCs w:val="22"/>
        </w:rPr>
        <w:t>Weyman, A., Glendinning, R. and O'Hara, R. (2026) 'Impact of redeployment on healthcare staff well-being and retention: a survey of staff in the UK National Health Service', BMJ Open, 16(2), e107785.</w:t>
      </w:r>
    </w:p>
    <w:p w14:paraId="71A3A032" w14:textId="7D9F7CFA" w:rsidR="00C34B4F" w:rsidRDefault="00C34B4F" w:rsidP="0C0171EF">
      <w:pPr>
        <w:spacing w:line="360" w:lineRule="auto"/>
        <w:rPr>
          <w:sz w:val="22"/>
          <w:szCs w:val="22"/>
        </w:rPr>
      </w:pPr>
    </w:p>
    <w:p w14:paraId="5A35D2E8" w14:textId="45EA8C0D" w:rsidR="00C34B4F" w:rsidRDefault="00C34B4F" w:rsidP="0C0171EF">
      <w:pPr>
        <w:spacing w:line="360" w:lineRule="auto"/>
        <w:rPr>
          <w:sz w:val="22"/>
          <w:szCs w:val="22"/>
        </w:rPr>
      </w:pPr>
    </w:p>
    <w:p w14:paraId="3F5045FF" w14:textId="58F900DC" w:rsidR="00C34B4F" w:rsidRDefault="00C34B4F" w:rsidP="0C0171EF">
      <w:pPr>
        <w:spacing w:line="360" w:lineRule="auto"/>
        <w:rPr>
          <w:sz w:val="22"/>
          <w:szCs w:val="22"/>
        </w:rPr>
      </w:pPr>
    </w:p>
    <w:p w14:paraId="2F05BFCD" w14:textId="37EE3A66" w:rsidR="00C34B4F" w:rsidRDefault="00C34B4F" w:rsidP="0C0171EF">
      <w:pPr>
        <w:spacing w:line="360" w:lineRule="auto"/>
        <w:rPr>
          <w:sz w:val="22"/>
          <w:szCs w:val="22"/>
        </w:rPr>
      </w:pPr>
    </w:p>
    <w:p w14:paraId="5E5787A5" w14:textId="72A931B4" w:rsidR="00C34B4F" w:rsidRDefault="00C34B4F" w:rsidP="0C0171EF">
      <w:pPr>
        <w:spacing w:line="360" w:lineRule="auto"/>
        <w:rPr>
          <w:sz w:val="22"/>
          <w:szCs w:val="22"/>
        </w:rPr>
      </w:pPr>
    </w:p>
    <w:sectPr w:rsidR="00C34B4F">
      <w:headerReference w:type="default" r:id="rId17"/>
      <w:footerReference w:type="defaul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F5C56F" w14:textId="77777777" w:rsidR="004801DE" w:rsidRDefault="004801DE">
      <w:pPr>
        <w:spacing w:after="0" w:line="240" w:lineRule="auto"/>
      </w:pPr>
      <w:r>
        <w:separator/>
      </w:r>
    </w:p>
  </w:endnote>
  <w:endnote w:type="continuationSeparator" w:id="0">
    <w:p w14:paraId="42D91316" w14:textId="77777777" w:rsidR="004801DE" w:rsidRDefault="004801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AppleSystemUIFont">
    <w:altName w:val="Cambria"/>
    <w:charset w:val="00"/>
    <w:family w:val="roman"/>
    <w:pitch w:val="default"/>
  </w:font>
  <w:font w:name="UICTFontTextStyleEmphasizedBody">
    <w:altName w:val="Cambria"/>
    <w:charset w:val="00"/>
    <w:family w:val="roman"/>
    <w:pitch w:val="default"/>
  </w:font>
  <w:font w:name="UICTFontTextStyleBody">
    <w:altName w:val="Cambria"/>
    <w:charset w:val="00"/>
    <w:family w:val="roman"/>
    <w:pitch w:val="default"/>
  </w:font>
  <w:font w:name="Aptos">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AC8E490" w14:paraId="77992CA4" w14:textId="77777777" w:rsidTr="7AC8E490">
      <w:trPr>
        <w:trHeight w:val="300"/>
      </w:trPr>
      <w:tc>
        <w:tcPr>
          <w:tcW w:w="3005" w:type="dxa"/>
        </w:tcPr>
        <w:p w14:paraId="14CFBFD1" w14:textId="6B82D3AF" w:rsidR="7AC8E490" w:rsidRDefault="7AC8E490" w:rsidP="7AC8E490">
          <w:pPr>
            <w:pStyle w:val="Header"/>
            <w:ind w:left="-115"/>
          </w:pPr>
        </w:p>
      </w:tc>
      <w:tc>
        <w:tcPr>
          <w:tcW w:w="3005" w:type="dxa"/>
        </w:tcPr>
        <w:p w14:paraId="3CD8D92A" w14:textId="085F26F6" w:rsidR="7AC8E490" w:rsidRDefault="7AC8E490" w:rsidP="7AC8E490">
          <w:pPr>
            <w:pStyle w:val="Header"/>
            <w:jc w:val="center"/>
          </w:pPr>
          <w:r>
            <w:fldChar w:fldCharType="begin"/>
          </w:r>
          <w:r>
            <w:instrText>PAGE</w:instrText>
          </w:r>
          <w:r>
            <w:fldChar w:fldCharType="separate"/>
          </w:r>
          <w:r>
            <w:fldChar w:fldCharType="end"/>
          </w:r>
        </w:p>
      </w:tc>
      <w:tc>
        <w:tcPr>
          <w:tcW w:w="3005" w:type="dxa"/>
        </w:tcPr>
        <w:p w14:paraId="41AE889E" w14:textId="2E1B9038" w:rsidR="7AC8E490" w:rsidRDefault="7AC8E490" w:rsidP="7AC8E490">
          <w:pPr>
            <w:pStyle w:val="Header"/>
            <w:ind w:right="-115"/>
            <w:jc w:val="right"/>
          </w:pPr>
        </w:p>
      </w:tc>
    </w:tr>
  </w:tbl>
  <w:p w14:paraId="0AADDC25" w14:textId="5198AC22" w:rsidR="7AC8E490" w:rsidRDefault="7AC8E490" w:rsidP="7AC8E4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4A1EB8" w14:textId="77777777" w:rsidR="004801DE" w:rsidRDefault="004801DE">
      <w:pPr>
        <w:spacing w:after="0" w:line="240" w:lineRule="auto"/>
      </w:pPr>
      <w:r>
        <w:separator/>
      </w:r>
    </w:p>
  </w:footnote>
  <w:footnote w:type="continuationSeparator" w:id="0">
    <w:p w14:paraId="56325E56" w14:textId="77777777" w:rsidR="004801DE" w:rsidRDefault="004801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AC8E490" w14:paraId="5275F9C7" w14:textId="77777777" w:rsidTr="7AC8E490">
      <w:trPr>
        <w:trHeight w:val="300"/>
      </w:trPr>
      <w:tc>
        <w:tcPr>
          <w:tcW w:w="3005" w:type="dxa"/>
        </w:tcPr>
        <w:p w14:paraId="4C0B4533" w14:textId="2DC991E7" w:rsidR="7AC8E490" w:rsidRDefault="7AC8E490" w:rsidP="7AC8E490">
          <w:pPr>
            <w:pStyle w:val="Header"/>
            <w:ind w:left="-115"/>
          </w:pPr>
        </w:p>
      </w:tc>
      <w:tc>
        <w:tcPr>
          <w:tcW w:w="3005" w:type="dxa"/>
        </w:tcPr>
        <w:p w14:paraId="51F73007" w14:textId="213307B8" w:rsidR="7AC8E490" w:rsidRDefault="7AC8E490" w:rsidP="7AC8E490">
          <w:pPr>
            <w:pStyle w:val="Header"/>
            <w:jc w:val="center"/>
          </w:pPr>
        </w:p>
      </w:tc>
      <w:tc>
        <w:tcPr>
          <w:tcW w:w="3005" w:type="dxa"/>
        </w:tcPr>
        <w:p w14:paraId="0CD0876F" w14:textId="7F7DA474" w:rsidR="7AC8E490" w:rsidRDefault="7AC8E490" w:rsidP="7AC8E490">
          <w:pPr>
            <w:pStyle w:val="Header"/>
            <w:ind w:right="-115"/>
            <w:jc w:val="right"/>
          </w:pPr>
        </w:p>
      </w:tc>
    </w:tr>
  </w:tbl>
  <w:p w14:paraId="7A9D4F9C" w14:textId="2290157C" w:rsidR="7AC8E490" w:rsidRDefault="7AC8E490" w:rsidP="7AC8E4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C1E53F"/>
    <w:multiLevelType w:val="hybridMultilevel"/>
    <w:tmpl w:val="FFFFFFFF"/>
    <w:lvl w:ilvl="0" w:tplc="38963CA0">
      <w:start w:val="1"/>
      <w:numFmt w:val="decimal"/>
      <w:lvlText w:val="%1."/>
      <w:lvlJc w:val="left"/>
      <w:pPr>
        <w:ind w:left="720" w:hanging="360"/>
      </w:pPr>
    </w:lvl>
    <w:lvl w:ilvl="1" w:tplc="291A11C6">
      <w:start w:val="1"/>
      <w:numFmt w:val="lowerLetter"/>
      <w:lvlText w:val="%2."/>
      <w:lvlJc w:val="left"/>
      <w:pPr>
        <w:ind w:left="1440" w:hanging="360"/>
      </w:pPr>
    </w:lvl>
    <w:lvl w:ilvl="2" w:tplc="341A22C6">
      <w:start w:val="1"/>
      <w:numFmt w:val="lowerRoman"/>
      <w:lvlText w:val="%3."/>
      <w:lvlJc w:val="right"/>
      <w:pPr>
        <w:ind w:left="2160" w:hanging="180"/>
      </w:pPr>
    </w:lvl>
    <w:lvl w:ilvl="3" w:tplc="903AA6DC">
      <w:start w:val="1"/>
      <w:numFmt w:val="decimal"/>
      <w:lvlText w:val="%4."/>
      <w:lvlJc w:val="left"/>
      <w:pPr>
        <w:ind w:left="2880" w:hanging="360"/>
      </w:pPr>
    </w:lvl>
    <w:lvl w:ilvl="4" w:tplc="C2E43630">
      <w:start w:val="1"/>
      <w:numFmt w:val="lowerLetter"/>
      <w:lvlText w:val="%5."/>
      <w:lvlJc w:val="left"/>
      <w:pPr>
        <w:ind w:left="3600" w:hanging="360"/>
      </w:pPr>
    </w:lvl>
    <w:lvl w:ilvl="5" w:tplc="39D056C4">
      <w:start w:val="1"/>
      <w:numFmt w:val="lowerRoman"/>
      <w:lvlText w:val="%6."/>
      <w:lvlJc w:val="right"/>
      <w:pPr>
        <w:ind w:left="4320" w:hanging="180"/>
      </w:pPr>
    </w:lvl>
    <w:lvl w:ilvl="6" w:tplc="19344F70">
      <w:start w:val="1"/>
      <w:numFmt w:val="decimal"/>
      <w:lvlText w:val="%7."/>
      <w:lvlJc w:val="left"/>
      <w:pPr>
        <w:ind w:left="5040" w:hanging="360"/>
      </w:pPr>
    </w:lvl>
    <w:lvl w:ilvl="7" w:tplc="FBD8596C">
      <w:start w:val="1"/>
      <w:numFmt w:val="lowerLetter"/>
      <w:lvlText w:val="%8."/>
      <w:lvlJc w:val="left"/>
      <w:pPr>
        <w:ind w:left="5760" w:hanging="360"/>
      </w:pPr>
    </w:lvl>
    <w:lvl w:ilvl="8" w:tplc="D9926672">
      <w:start w:val="1"/>
      <w:numFmt w:val="lowerRoman"/>
      <w:lvlText w:val="%9."/>
      <w:lvlJc w:val="right"/>
      <w:pPr>
        <w:ind w:left="6480" w:hanging="180"/>
      </w:pPr>
    </w:lvl>
  </w:abstractNum>
  <w:abstractNum w:abstractNumId="1" w15:restartNumberingAfterBreak="0">
    <w:nsid w:val="1CD5C4CE"/>
    <w:multiLevelType w:val="hybridMultilevel"/>
    <w:tmpl w:val="FFFFFFFF"/>
    <w:lvl w:ilvl="0" w:tplc="632C1332">
      <w:start w:val="1"/>
      <w:numFmt w:val="decimal"/>
      <w:lvlText w:val="%1."/>
      <w:lvlJc w:val="left"/>
      <w:pPr>
        <w:ind w:left="1080" w:hanging="360"/>
      </w:pPr>
    </w:lvl>
    <w:lvl w:ilvl="1" w:tplc="D8F4A638">
      <w:start w:val="1"/>
      <w:numFmt w:val="lowerLetter"/>
      <w:lvlText w:val="%2."/>
      <w:lvlJc w:val="left"/>
      <w:pPr>
        <w:ind w:left="1800" w:hanging="360"/>
      </w:pPr>
    </w:lvl>
    <w:lvl w:ilvl="2" w:tplc="615A1316">
      <w:start w:val="1"/>
      <w:numFmt w:val="lowerRoman"/>
      <w:lvlText w:val="%3."/>
      <w:lvlJc w:val="right"/>
      <w:pPr>
        <w:ind w:left="2520" w:hanging="180"/>
      </w:pPr>
    </w:lvl>
    <w:lvl w:ilvl="3" w:tplc="A7A60EE0">
      <w:start w:val="1"/>
      <w:numFmt w:val="decimal"/>
      <w:lvlText w:val="%4."/>
      <w:lvlJc w:val="left"/>
      <w:pPr>
        <w:ind w:left="3240" w:hanging="360"/>
      </w:pPr>
    </w:lvl>
    <w:lvl w:ilvl="4" w:tplc="E34694FE">
      <w:start w:val="1"/>
      <w:numFmt w:val="lowerLetter"/>
      <w:lvlText w:val="%5."/>
      <w:lvlJc w:val="left"/>
      <w:pPr>
        <w:ind w:left="3960" w:hanging="360"/>
      </w:pPr>
    </w:lvl>
    <w:lvl w:ilvl="5" w:tplc="7FB275D8">
      <w:start w:val="1"/>
      <w:numFmt w:val="lowerRoman"/>
      <w:lvlText w:val="%6."/>
      <w:lvlJc w:val="right"/>
      <w:pPr>
        <w:ind w:left="4680" w:hanging="180"/>
      </w:pPr>
    </w:lvl>
    <w:lvl w:ilvl="6" w:tplc="7AD26686">
      <w:start w:val="1"/>
      <w:numFmt w:val="decimal"/>
      <w:lvlText w:val="%7."/>
      <w:lvlJc w:val="left"/>
      <w:pPr>
        <w:ind w:left="5400" w:hanging="360"/>
      </w:pPr>
    </w:lvl>
    <w:lvl w:ilvl="7" w:tplc="8BDE654A">
      <w:start w:val="1"/>
      <w:numFmt w:val="lowerLetter"/>
      <w:lvlText w:val="%8."/>
      <w:lvlJc w:val="left"/>
      <w:pPr>
        <w:ind w:left="6120" w:hanging="360"/>
      </w:pPr>
    </w:lvl>
    <w:lvl w:ilvl="8" w:tplc="43D21F92">
      <w:start w:val="1"/>
      <w:numFmt w:val="lowerRoman"/>
      <w:lvlText w:val="%9."/>
      <w:lvlJc w:val="right"/>
      <w:pPr>
        <w:ind w:left="6840" w:hanging="180"/>
      </w:pPr>
    </w:lvl>
  </w:abstractNum>
  <w:abstractNum w:abstractNumId="2" w15:restartNumberingAfterBreak="0">
    <w:nsid w:val="1F7C40BB"/>
    <w:multiLevelType w:val="hybridMultilevel"/>
    <w:tmpl w:val="FFFFFFFF"/>
    <w:lvl w:ilvl="0" w:tplc="ABF8B87A">
      <w:start w:val="1"/>
      <w:numFmt w:val="decimal"/>
      <w:lvlText w:val="%1."/>
      <w:lvlJc w:val="left"/>
      <w:pPr>
        <w:ind w:left="1080" w:hanging="360"/>
      </w:pPr>
    </w:lvl>
    <w:lvl w:ilvl="1" w:tplc="8DE2862A">
      <w:start w:val="1"/>
      <w:numFmt w:val="lowerLetter"/>
      <w:lvlText w:val="%2."/>
      <w:lvlJc w:val="left"/>
      <w:pPr>
        <w:ind w:left="1800" w:hanging="360"/>
      </w:pPr>
    </w:lvl>
    <w:lvl w:ilvl="2" w:tplc="7B5CEB9C">
      <w:start w:val="1"/>
      <w:numFmt w:val="lowerRoman"/>
      <w:lvlText w:val="%3."/>
      <w:lvlJc w:val="right"/>
      <w:pPr>
        <w:ind w:left="2520" w:hanging="180"/>
      </w:pPr>
    </w:lvl>
    <w:lvl w:ilvl="3" w:tplc="42F66912">
      <w:start w:val="1"/>
      <w:numFmt w:val="decimal"/>
      <w:lvlText w:val="%4."/>
      <w:lvlJc w:val="left"/>
      <w:pPr>
        <w:ind w:left="3240" w:hanging="360"/>
      </w:pPr>
    </w:lvl>
    <w:lvl w:ilvl="4" w:tplc="44C80F0C">
      <w:start w:val="1"/>
      <w:numFmt w:val="lowerLetter"/>
      <w:lvlText w:val="%5."/>
      <w:lvlJc w:val="left"/>
      <w:pPr>
        <w:ind w:left="3960" w:hanging="360"/>
      </w:pPr>
    </w:lvl>
    <w:lvl w:ilvl="5" w:tplc="A898557E">
      <w:start w:val="1"/>
      <w:numFmt w:val="lowerRoman"/>
      <w:lvlText w:val="%6."/>
      <w:lvlJc w:val="right"/>
      <w:pPr>
        <w:ind w:left="4680" w:hanging="180"/>
      </w:pPr>
    </w:lvl>
    <w:lvl w:ilvl="6" w:tplc="490A6C42">
      <w:start w:val="1"/>
      <w:numFmt w:val="decimal"/>
      <w:lvlText w:val="%7."/>
      <w:lvlJc w:val="left"/>
      <w:pPr>
        <w:ind w:left="5400" w:hanging="360"/>
      </w:pPr>
    </w:lvl>
    <w:lvl w:ilvl="7" w:tplc="8AB00C0C">
      <w:start w:val="1"/>
      <w:numFmt w:val="lowerLetter"/>
      <w:lvlText w:val="%8."/>
      <w:lvlJc w:val="left"/>
      <w:pPr>
        <w:ind w:left="6120" w:hanging="360"/>
      </w:pPr>
    </w:lvl>
    <w:lvl w:ilvl="8" w:tplc="714CF822">
      <w:start w:val="1"/>
      <w:numFmt w:val="lowerRoman"/>
      <w:lvlText w:val="%9."/>
      <w:lvlJc w:val="right"/>
      <w:pPr>
        <w:ind w:left="6840" w:hanging="180"/>
      </w:pPr>
    </w:lvl>
  </w:abstractNum>
  <w:abstractNum w:abstractNumId="3" w15:restartNumberingAfterBreak="0">
    <w:nsid w:val="497781F0"/>
    <w:multiLevelType w:val="hybridMultilevel"/>
    <w:tmpl w:val="FFFFFFFF"/>
    <w:lvl w:ilvl="0" w:tplc="CC708F44">
      <w:start w:val="1"/>
      <w:numFmt w:val="decimal"/>
      <w:lvlText w:val="%1."/>
      <w:lvlJc w:val="left"/>
      <w:pPr>
        <w:ind w:left="720" w:hanging="360"/>
      </w:pPr>
    </w:lvl>
    <w:lvl w:ilvl="1" w:tplc="92BA7388">
      <w:start w:val="1"/>
      <w:numFmt w:val="bullet"/>
      <w:lvlText w:val="o"/>
      <w:lvlJc w:val="left"/>
      <w:pPr>
        <w:ind w:left="1440" w:hanging="360"/>
      </w:pPr>
      <w:rPr>
        <w:rFonts w:ascii="Courier New" w:hAnsi="Courier New" w:hint="default"/>
      </w:rPr>
    </w:lvl>
    <w:lvl w:ilvl="2" w:tplc="A198ABCC">
      <w:start w:val="1"/>
      <w:numFmt w:val="bullet"/>
      <w:lvlText w:val=""/>
      <w:lvlJc w:val="left"/>
      <w:pPr>
        <w:ind w:left="2160" w:hanging="360"/>
      </w:pPr>
      <w:rPr>
        <w:rFonts w:ascii="Wingdings" w:hAnsi="Wingdings" w:hint="default"/>
      </w:rPr>
    </w:lvl>
    <w:lvl w:ilvl="3" w:tplc="2A927F0C">
      <w:start w:val="1"/>
      <w:numFmt w:val="bullet"/>
      <w:lvlText w:val=""/>
      <w:lvlJc w:val="left"/>
      <w:pPr>
        <w:ind w:left="2880" w:hanging="360"/>
      </w:pPr>
      <w:rPr>
        <w:rFonts w:ascii="Symbol" w:hAnsi="Symbol" w:hint="default"/>
      </w:rPr>
    </w:lvl>
    <w:lvl w:ilvl="4" w:tplc="96E0B16E">
      <w:start w:val="1"/>
      <w:numFmt w:val="bullet"/>
      <w:lvlText w:val="o"/>
      <w:lvlJc w:val="left"/>
      <w:pPr>
        <w:ind w:left="3600" w:hanging="360"/>
      </w:pPr>
      <w:rPr>
        <w:rFonts w:ascii="Courier New" w:hAnsi="Courier New" w:hint="default"/>
      </w:rPr>
    </w:lvl>
    <w:lvl w:ilvl="5" w:tplc="44E6A3E6">
      <w:start w:val="1"/>
      <w:numFmt w:val="bullet"/>
      <w:lvlText w:val=""/>
      <w:lvlJc w:val="left"/>
      <w:pPr>
        <w:ind w:left="4320" w:hanging="360"/>
      </w:pPr>
      <w:rPr>
        <w:rFonts w:ascii="Wingdings" w:hAnsi="Wingdings" w:hint="default"/>
      </w:rPr>
    </w:lvl>
    <w:lvl w:ilvl="6" w:tplc="40C0980C">
      <w:start w:val="1"/>
      <w:numFmt w:val="bullet"/>
      <w:lvlText w:val=""/>
      <w:lvlJc w:val="left"/>
      <w:pPr>
        <w:ind w:left="5040" w:hanging="360"/>
      </w:pPr>
      <w:rPr>
        <w:rFonts w:ascii="Symbol" w:hAnsi="Symbol" w:hint="default"/>
      </w:rPr>
    </w:lvl>
    <w:lvl w:ilvl="7" w:tplc="87A4FD66">
      <w:start w:val="1"/>
      <w:numFmt w:val="bullet"/>
      <w:lvlText w:val="o"/>
      <w:lvlJc w:val="left"/>
      <w:pPr>
        <w:ind w:left="5760" w:hanging="360"/>
      </w:pPr>
      <w:rPr>
        <w:rFonts w:ascii="Courier New" w:hAnsi="Courier New" w:hint="default"/>
      </w:rPr>
    </w:lvl>
    <w:lvl w:ilvl="8" w:tplc="F53CA256">
      <w:start w:val="1"/>
      <w:numFmt w:val="bullet"/>
      <w:lvlText w:val=""/>
      <w:lvlJc w:val="left"/>
      <w:pPr>
        <w:ind w:left="6480" w:hanging="360"/>
      </w:pPr>
      <w:rPr>
        <w:rFonts w:ascii="Wingdings" w:hAnsi="Wingdings" w:hint="default"/>
      </w:rPr>
    </w:lvl>
  </w:abstractNum>
  <w:abstractNum w:abstractNumId="4" w15:restartNumberingAfterBreak="0">
    <w:nsid w:val="4A75E98D"/>
    <w:multiLevelType w:val="hybridMultilevel"/>
    <w:tmpl w:val="FFFFFFFF"/>
    <w:lvl w:ilvl="0" w:tplc="4D0884CC">
      <w:start w:val="1"/>
      <w:numFmt w:val="bullet"/>
      <w:lvlText w:val=""/>
      <w:lvlJc w:val="left"/>
      <w:pPr>
        <w:ind w:left="720" w:hanging="360"/>
      </w:pPr>
      <w:rPr>
        <w:rFonts w:ascii="Symbol" w:hAnsi="Symbol" w:hint="default"/>
      </w:rPr>
    </w:lvl>
    <w:lvl w:ilvl="1" w:tplc="F82A2210">
      <w:start w:val="1"/>
      <w:numFmt w:val="bullet"/>
      <w:lvlText w:val="o"/>
      <w:lvlJc w:val="left"/>
      <w:pPr>
        <w:ind w:left="1440" w:hanging="360"/>
      </w:pPr>
      <w:rPr>
        <w:rFonts w:ascii="Courier New" w:hAnsi="Courier New" w:hint="default"/>
      </w:rPr>
    </w:lvl>
    <w:lvl w:ilvl="2" w:tplc="2F6A76B4">
      <w:start w:val="1"/>
      <w:numFmt w:val="bullet"/>
      <w:lvlText w:val=""/>
      <w:lvlJc w:val="left"/>
      <w:pPr>
        <w:ind w:left="2160" w:hanging="360"/>
      </w:pPr>
      <w:rPr>
        <w:rFonts w:ascii="Wingdings" w:hAnsi="Wingdings" w:hint="default"/>
      </w:rPr>
    </w:lvl>
    <w:lvl w:ilvl="3" w:tplc="3B5E0346">
      <w:start w:val="1"/>
      <w:numFmt w:val="bullet"/>
      <w:lvlText w:val=""/>
      <w:lvlJc w:val="left"/>
      <w:pPr>
        <w:ind w:left="2880" w:hanging="360"/>
      </w:pPr>
      <w:rPr>
        <w:rFonts w:ascii="Symbol" w:hAnsi="Symbol" w:hint="default"/>
      </w:rPr>
    </w:lvl>
    <w:lvl w:ilvl="4" w:tplc="0016C1F0">
      <w:start w:val="1"/>
      <w:numFmt w:val="bullet"/>
      <w:lvlText w:val="o"/>
      <w:lvlJc w:val="left"/>
      <w:pPr>
        <w:ind w:left="3600" w:hanging="360"/>
      </w:pPr>
      <w:rPr>
        <w:rFonts w:ascii="Courier New" w:hAnsi="Courier New" w:hint="default"/>
      </w:rPr>
    </w:lvl>
    <w:lvl w:ilvl="5" w:tplc="955ECDEA">
      <w:start w:val="1"/>
      <w:numFmt w:val="bullet"/>
      <w:lvlText w:val=""/>
      <w:lvlJc w:val="left"/>
      <w:pPr>
        <w:ind w:left="4320" w:hanging="360"/>
      </w:pPr>
      <w:rPr>
        <w:rFonts w:ascii="Wingdings" w:hAnsi="Wingdings" w:hint="default"/>
      </w:rPr>
    </w:lvl>
    <w:lvl w:ilvl="6" w:tplc="14D44FC4">
      <w:start w:val="1"/>
      <w:numFmt w:val="bullet"/>
      <w:lvlText w:val=""/>
      <w:lvlJc w:val="left"/>
      <w:pPr>
        <w:ind w:left="5040" w:hanging="360"/>
      </w:pPr>
      <w:rPr>
        <w:rFonts w:ascii="Symbol" w:hAnsi="Symbol" w:hint="default"/>
      </w:rPr>
    </w:lvl>
    <w:lvl w:ilvl="7" w:tplc="68889C40">
      <w:start w:val="1"/>
      <w:numFmt w:val="bullet"/>
      <w:lvlText w:val="o"/>
      <w:lvlJc w:val="left"/>
      <w:pPr>
        <w:ind w:left="5760" w:hanging="360"/>
      </w:pPr>
      <w:rPr>
        <w:rFonts w:ascii="Courier New" w:hAnsi="Courier New" w:hint="default"/>
      </w:rPr>
    </w:lvl>
    <w:lvl w:ilvl="8" w:tplc="D0DAF9E8">
      <w:start w:val="1"/>
      <w:numFmt w:val="bullet"/>
      <w:lvlText w:val=""/>
      <w:lvlJc w:val="left"/>
      <w:pPr>
        <w:ind w:left="6480" w:hanging="360"/>
      </w:pPr>
      <w:rPr>
        <w:rFonts w:ascii="Wingdings" w:hAnsi="Wingdings" w:hint="default"/>
      </w:rPr>
    </w:lvl>
  </w:abstractNum>
  <w:abstractNum w:abstractNumId="5" w15:restartNumberingAfterBreak="0">
    <w:nsid w:val="4FFEA8A5"/>
    <w:multiLevelType w:val="hybridMultilevel"/>
    <w:tmpl w:val="FFFFFFFF"/>
    <w:lvl w:ilvl="0" w:tplc="DFAC6C7C">
      <w:start w:val="1"/>
      <w:numFmt w:val="bullet"/>
      <w:lvlText w:val=""/>
      <w:lvlJc w:val="left"/>
      <w:pPr>
        <w:ind w:left="720" w:hanging="360"/>
      </w:pPr>
      <w:rPr>
        <w:rFonts w:ascii="Symbol" w:hAnsi="Symbol" w:hint="default"/>
      </w:rPr>
    </w:lvl>
    <w:lvl w:ilvl="1" w:tplc="334446BE">
      <w:start w:val="1"/>
      <w:numFmt w:val="bullet"/>
      <w:lvlText w:val="o"/>
      <w:lvlJc w:val="left"/>
      <w:pPr>
        <w:ind w:left="1440" w:hanging="360"/>
      </w:pPr>
      <w:rPr>
        <w:rFonts w:ascii="Courier New" w:hAnsi="Courier New" w:hint="default"/>
      </w:rPr>
    </w:lvl>
    <w:lvl w:ilvl="2" w:tplc="3D16C132">
      <w:start w:val="1"/>
      <w:numFmt w:val="bullet"/>
      <w:lvlText w:val=""/>
      <w:lvlJc w:val="left"/>
      <w:pPr>
        <w:ind w:left="2160" w:hanging="360"/>
      </w:pPr>
      <w:rPr>
        <w:rFonts w:ascii="Wingdings" w:hAnsi="Wingdings" w:hint="default"/>
      </w:rPr>
    </w:lvl>
    <w:lvl w:ilvl="3" w:tplc="3670B942">
      <w:start w:val="1"/>
      <w:numFmt w:val="bullet"/>
      <w:lvlText w:val=""/>
      <w:lvlJc w:val="left"/>
      <w:pPr>
        <w:ind w:left="2880" w:hanging="360"/>
      </w:pPr>
      <w:rPr>
        <w:rFonts w:ascii="Symbol" w:hAnsi="Symbol" w:hint="default"/>
      </w:rPr>
    </w:lvl>
    <w:lvl w:ilvl="4" w:tplc="B556468E">
      <w:start w:val="1"/>
      <w:numFmt w:val="bullet"/>
      <w:lvlText w:val="o"/>
      <w:lvlJc w:val="left"/>
      <w:pPr>
        <w:ind w:left="3600" w:hanging="360"/>
      </w:pPr>
      <w:rPr>
        <w:rFonts w:ascii="Courier New" w:hAnsi="Courier New" w:hint="default"/>
      </w:rPr>
    </w:lvl>
    <w:lvl w:ilvl="5" w:tplc="08865F20">
      <w:start w:val="1"/>
      <w:numFmt w:val="bullet"/>
      <w:lvlText w:val=""/>
      <w:lvlJc w:val="left"/>
      <w:pPr>
        <w:ind w:left="4320" w:hanging="360"/>
      </w:pPr>
      <w:rPr>
        <w:rFonts w:ascii="Wingdings" w:hAnsi="Wingdings" w:hint="default"/>
      </w:rPr>
    </w:lvl>
    <w:lvl w:ilvl="6" w:tplc="A88460D4">
      <w:start w:val="1"/>
      <w:numFmt w:val="bullet"/>
      <w:lvlText w:val=""/>
      <w:lvlJc w:val="left"/>
      <w:pPr>
        <w:ind w:left="5040" w:hanging="360"/>
      </w:pPr>
      <w:rPr>
        <w:rFonts w:ascii="Symbol" w:hAnsi="Symbol" w:hint="default"/>
      </w:rPr>
    </w:lvl>
    <w:lvl w:ilvl="7" w:tplc="2A9E411C">
      <w:start w:val="1"/>
      <w:numFmt w:val="bullet"/>
      <w:lvlText w:val="o"/>
      <w:lvlJc w:val="left"/>
      <w:pPr>
        <w:ind w:left="5760" w:hanging="360"/>
      </w:pPr>
      <w:rPr>
        <w:rFonts w:ascii="Courier New" w:hAnsi="Courier New" w:hint="default"/>
      </w:rPr>
    </w:lvl>
    <w:lvl w:ilvl="8" w:tplc="197CE906">
      <w:start w:val="1"/>
      <w:numFmt w:val="bullet"/>
      <w:lvlText w:val=""/>
      <w:lvlJc w:val="left"/>
      <w:pPr>
        <w:ind w:left="6480" w:hanging="360"/>
      </w:pPr>
      <w:rPr>
        <w:rFonts w:ascii="Wingdings" w:hAnsi="Wingdings" w:hint="default"/>
      </w:rPr>
    </w:lvl>
  </w:abstractNum>
  <w:abstractNum w:abstractNumId="6" w15:restartNumberingAfterBreak="0">
    <w:nsid w:val="578D9C45"/>
    <w:multiLevelType w:val="hybridMultilevel"/>
    <w:tmpl w:val="FFFFFFFF"/>
    <w:lvl w:ilvl="0" w:tplc="D3B0885C">
      <w:start w:val="1"/>
      <w:numFmt w:val="bullet"/>
      <w:lvlText w:val=""/>
      <w:lvlJc w:val="left"/>
      <w:pPr>
        <w:ind w:left="720" w:hanging="360"/>
      </w:pPr>
      <w:rPr>
        <w:rFonts w:ascii="Symbol" w:hAnsi="Symbol" w:hint="default"/>
      </w:rPr>
    </w:lvl>
    <w:lvl w:ilvl="1" w:tplc="ABCC5AC0">
      <w:start w:val="1"/>
      <w:numFmt w:val="bullet"/>
      <w:lvlText w:val="o"/>
      <w:lvlJc w:val="left"/>
      <w:pPr>
        <w:ind w:left="1440" w:hanging="360"/>
      </w:pPr>
      <w:rPr>
        <w:rFonts w:ascii="Courier New" w:hAnsi="Courier New" w:hint="default"/>
      </w:rPr>
    </w:lvl>
    <w:lvl w:ilvl="2" w:tplc="F416AF44">
      <w:start w:val="1"/>
      <w:numFmt w:val="bullet"/>
      <w:lvlText w:val=""/>
      <w:lvlJc w:val="left"/>
      <w:pPr>
        <w:ind w:left="2160" w:hanging="360"/>
      </w:pPr>
      <w:rPr>
        <w:rFonts w:ascii="Wingdings" w:hAnsi="Wingdings" w:hint="default"/>
      </w:rPr>
    </w:lvl>
    <w:lvl w:ilvl="3" w:tplc="4300E872">
      <w:start w:val="1"/>
      <w:numFmt w:val="bullet"/>
      <w:lvlText w:val=""/>
      <w:lvlJc w:val="left"/>
      <w:pPr>
        <w:ind w:left="2880" w:hanging="360"/>
      </w:pPr>
      <w:rPr>
        <w:rFonts w:ascii="Symbol" w:hAnsi="Symbol" w:hint="default"/>
      </w:rPr>
    </w:lvl>
    <w:lvl w:ilvl="4" w:tplc="035C20DA">
      <w:start w:val="1"/>
      <w:numFmt w:val="bullet"/>
      <w:lvlText w:val="o"/>
      <w:lvlJc w:val="left"/>
      <w:pPr>
        <w:ind w:left="3600" w:hanging="360"/>
      </w:pPr>
      <w:rPr>
        <w:rFonts w:ascii="Courier New" w:hAnsi="Courier New" w:hint="default"/>
      </w:rPr>
    </w:lvl>
    <w:lvl w:ilvl="5" w:tplc="AA18D81A">
      <w:start w:val="1"/>
      <w:numFmt w:val="bullet"/>
      <w:lvlText w:val=""/>
      <w:lvlJc w:val="left"/>
      <w:pPr>
        <w:ind w:left="4320" w:hanging="360"/>
      </w:pPr>
      <w:rPr>
        <w:rFonts w:ascii="Wingdings" w:hAnsi="Wingdings" w:hint="default"/>
      </w:rPr>
    </w:lvl>
    <w:lvl w:ilvl="6" w:tplc="0C80D682">
      <w:start w:val="1"/>
      <w:numFmt w:val="bullet"/>
      <w:lvlText w:val=""/>
      <w:lvlJc w:val="left"/>
      <w:pPr>
        <w:ind w:left="5040" w:hanging="360"/>
      </w:pPr>
      <w:rPr>
        <w:rFonts w:ascii="Symbol" w:hAnsi="Symbol" w:hint="default"/>
      </w:rPr>
    </w:lvl>
    <w:lvl w:ilvl="7" w:tplc="F6666DA4">
      <w:start w:val="1"/>
      <w:numFmt w:val="bullet"/>
      <w:lvlText w:val="o"/>
      <w:lvlJc w:val="left"/>
      <w:pPr>
        <w:ind w:left="5760" w:hanging="360"/>
      </w:pPr>
      <w:rPr>
        <w:rFonts w:ascii="Courier New" w:hAnsi="Courier New" w:hint="default"/>
      </w:rPr>
    </w:lvl>
    <w:lvl w:ilvl="8" w:tplc="C2EA3EFC">
      <w:start w:val="1"/>
      <w:numFmt w:val="bullet"/>
      <w:lvlText w:val=""/>
      <w:lvlJc w:val="left"/>
      <w:pPr>
        <w:ind w:left="6480" w:hanging="360"/>
      </w:pPr>
      <w:rPr>
        <w:rFonts w:ascii="Wingdings" w:hAnsi="Wingdings" w:hint="default"/>
      </w:rPr>
    </w:lvl>
  </w:abstractNum>
  <w:abstractNum w:abstractNumId="7" w15:restartNumberingAfterBreak="0">
    <w:nsid w:val="675C8CBB"/>
    <w:multiLevelType w:val="multilevel"/>
    <w:tmpl w:val="FFFFFFFF"/>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8" w15:restartNumberingAfterBreak="0">
    <w:nsid w:val="73FAE28A"/>
    <w:multiLevelType w:val="hybridMultilevel"/>
    <w:tmpl w:val="FFFFFFFF"/>
    <w:lvl w:ilvl="0" w:tplc="64E077C4">
      <w:start w:val="1"/>
      <w:numFmt w:val="bullet"/>
      <w:lvlText w:val=""/>
      <w:lvlJc w:val="left"/>
      <w:pPr>
        <w:ind w:left="720" w:hanging="360"/>
      </w:pPr>
      <w:rPr>
        <w:rFonts w:ascii="Symbol" w:hAnsi="Symbol" w:hint="default"/>
      </w:rPr>
    </w:lvl>
    <w:lvl w:ilvl="1" w:tplc="2EC0D2E0">
      <w:start w:val="1"/>
      <w:numFmt w:val="bullet"/>
      <w:lvlText w:val="o"/>
      <w:lvlJc w:val="left"/>
      <w:pPr>
        <w:ind w:left="1440" w:hanging="360"/>
      </w:pPr>
      <w:rPr>
        <w:rFonts w:ascii="Courier New" w:hAnsi="Courier New" w:hint="default"/>
      </w:rPr>
    </w:lvl>
    <w:lvl w:ilvl="2" w:tplc="8958787C">
      <w:start w:val="1"/>
      <w:numFmt w:val="bullet"/>
      <w:lvlText w:val=""/>
      <w:lvlJc w:val="left"/>
      <w:pPr>
        <w:ind w:left="2160" w:hanging="360"/>
      </w:pPr>
      <w:rPr>
        <w:rFonts w:ascii="Wingdings" w:hAnsi="Wingdings" w:hint="default"/>
      </w:rPr>
    </w:lvl>
    <w:lvl w:ilvl="3" w:tplc="AA20FD88">
      <w:start w:val="1"/>
      <w:numFmt w:val="bullet"/>
      <w:lvlText w:val=""/>
      <w:lvlJc w:val="left"/>
      <w:pPr>
        <w:ind w:left="2880" w:hanging="360"/>
      </w:pPr>
      <w:rPr>
        <w:rFonts w:ascii="Symbol" w:hAnsi="Symbol" w:hint="default"/>
      </w:rPr>
    </w:lvl>
    <w:lvl w:ilvl="4" w:tplc="EB86F1F8">
      <w:start w:val="1"/>
      <w:numFmt w:val="bullet"/>
      <w:lvlText w:val="o"/>
      <w:lvlJc w:val="left"/>
      <w:pPr>
        <w:ind w:left="3600" w:hanging="360"/>
      </w:pPr>
      <w:rPr>
        <w:rFonts w:ascii="Courier New" w:hAnsi="Courier New" w:hint="default"/>
      </w:rPr>
    </w:lvl>
    <w:lvl w:ilvl="5" w:tplc="77B034D6">
      <w:start w:val="1"/>
      <w:numFmt w:val="bullet"/>
      <w:lvlText w:val=""/>
      <w:lvlJc w:val="left"/>
      <w:pPr>
        <w:ind w:left="4320" w:hanging="360"/>
      </w:pPr>
      <w:rPr>
        <w:rFonts w:ascii="Wingdings" w:hAnsi="Wingdings" w:hint="default"/>
      </w:rPr>
    </w:lvl>
    <w:lvl w:ilvl="6" w:tplc="840064D4">
      <w:start w:val="1"/>
      <w:numFmt w:val="bullet"/>
      <w:lvlText w:val=""/>
      <w:lvlJc w:val="left"/>
      <w:pPr>
        <w:ind w:left="5040" w:hanging="360"/>
      </w:pPr>
      <w:rPr>
        <w:rFonts w:ascii="Symbol" w:hAnsi="Symbol" w:hint="default"/>
      </w:rPr>
    </w:lvl>
    <w:lvl w:ilvl="7" w:tplc="8B629A6C">
      <w:start w:val="1"/>
      <w:numFmt w:val="bullet"/>
      <w:lvlText w:val="o"/>
      <w:lvlJc w:val="left"/>
      <w:pPr>
        <w:ind w:left="5760" w:hanging="360"/>
      </w:pPr>
      <w:rPr>
        <w:rFonts w:ascii="Courier New" w:hAnsi="Courier New" w:hint="default"/>
      </w:rPr>
    </w:lvl>
    <w:lvl w:ilvl="8" w:tplc="C6AEB6FC">
      <w:start w:val="1"/>
      <w:numFmt w:val="bullet"/>
      <w:lvlText w:val=""/>
      <w:lvlJc w:val="left"/>
      <w:pPr>
        <w:ind w:left="6480" w:hanging="360"/>
      </w:pPr>
      <w:rPr>
        <w:rFonts w:ascii="Wingdings" w:hAnsi="Wingdings" w:hint="default"/>
      </w:rPr>
    </w:lvl>
  </w:abstractNum>
  <w:abstractNum w:abstractNumId="9" w15:restartNumberingAfterBreak="0">
    <w:nsid w:val="769CC451"/>
    <w:multiLevelType w:val="hybridMultilevel"/>
    <w:tmpl w:val="FFFFFFFF"/>
    <w:lvl w:ilvl="0" w:tplc="FF82DC0C">
      <w:start w:val="1"/>
      <w:numFmt w:val="decimal"/>
      <w:lvlText w:val="%1."/>
      <w:lvlJc w:val="left"/>
      <w:pPr>
        <w:ind w:left="720" w:hanging="360"/>
      </w:pPr>
    </w:lvl>
    <w:lvl w:ilvl="1" w:tplc="33E89308">
      <w:start w:val="1"/>
      <w:numFmt w:val="lowerLetter"/>
      <w:lvlText w:val="%2."/>
      <w:lvlJc w:val="left"/>
      <w:pPr>
        <w:ind w:left="1440" w:hanging="360"/>
      </w:pPr>
    </w:lvl>
    <w:lvl w:ilvl="2" w:tplc="10BC62FC">
      <w:start w:val="1"/>
      <w:numFmt w:val="lowerRoman"/>
      <w:lvlText w:val="%3."/>
      <w:lvlJc w:val="right"/>
      <w:pPr>
        <w:ind w:left="2160" w:hanging="180"/>
      </w:pPr>
    </w:lvl>
    <w:lvl w:ilvl="3" w:tplc="CEFE9446">
      <w:start w:val="1"/>
      <w:numFmt w:val="decimal"/>
      <w:lvlText w:val="%4."/>
      <w:lvlJc w:val="left"/>
      <w:pPr>
        <w:ind w:left="2880" w:hanging="360"/>
      </w:pPr>
    </w:lvl>
    <w:lvl w:ilvl="4" w:tplc="CE3C4836">
      <w:start w:val="1"/>
      <w:numFmt w:val="lowerLetter"/>
      <w:lvlText w:val="%5."/>
      <w:lvlJc w:val="left"/>
      <w:pPr>
        <w:ind w:left="3600" w:hanging="360"/>
      </w:pPr>
    </w:lvl>
    <w:lvl w:ilvl="5" w:tplc="AE7C77D6">
      <w:start w:val="1"/>
      <w:numFmt w:val="lowerRoman"/>
      <w:lvlText w:val="%6."/>
      <w:lvlJc w:val="right"/>
      <w:pPr>
        <w:ind w:left="4320" w:hanging="180"/>
      </w:pPr>
    </w:lvl>
    <w:lvl w:ilvl="6" w:tplc="E1A652B2">
      <w:start w:val="1"/>
      <w:numFmt w:val="decimal"/>
      <w:lvlText w:val="%7."/>
      <w:lvlJc w:val="left"/>
      <w:pPr>
        <w:ind w:left="5040" w:hanging="360"/>
      </w:pPr>
    </w:lvl>
    <w:lvl w:ilvl="7" w:tplc="F36E763E">
      <w:start w:val="1"/>
      <w:numFmt w:val="lowerLetter"/>
      <w:lvlText w:val="%8."/>
      <w:lvlJc w:val="left"/>
      <w:pPr>
        <w:ind w:left="5760" w:hanging="360"/>
      </w:pPr>
    </w:lvl>
    <w:lvl w:ilvl="8" w:tplc="A524C7E8">
      <w:start w:val="1"/>
      <w:numFmt w:val="lowerRoman"/>
      <w:lvlText w:val="%9."/>
      <w:lvlJc w:val="right"/>
      <w:pPr>
        <w:ind w:left="6480" w:hanging="180"/>
      </w:pPr>
    </w:lvl>
  </w:abstractNum>
  <w:abstractNum w:abstractNumId="10" w15:restartNumberingAfterBreak="0">
    <w:nsid w:val="77DA2D3F"/>
    <w:multiLevelType w:val="hybridMultilevel"/>
    <w:tmpl w:val="FFFFFFFF"/>
    <w:lvl w:ilvl="0" w:tplc="AB70788A">
      <w:start w:val="1"/>
      <w:numFmt w:val="decimal"/>
      <w:lvlText w:val="%1."/>
      <w:lvlJc w:val="left"/>
      <w:pPr>
        <w:ind w:left="720" w:hanging="360"/>
      </w:pPr>
    </w:lvl>
    <w:lvl w:ilvl="1" w:tplc="C986A336">
      <w:start w:val="1"/>
      <w:numFmt w:val="bullet"/>
      <w:lvlText w:val="o"/>
      <w:lvlJc w:val="left"/>
      <w:pPr>
        <w:ind w:left="1440" w:hanging="360"/>
      </w:pPr>
      <w:rPr>
        <w:rFonts w:ascii="Courier New" w:hAnsi="Courier New" w:hint="default"/>
      </w:rPr>
    </w:lvl>
    <w:lvl w:ilvl="2" w:tplc="CEB21280">
      <w:start w:val="1"/>
      <w:numFmt w:val="bullet"/>
      <w:lvlText w:val=""/>
      <w:lvlJc w:val="left"/>
      <w:pPr>
        <w:ind w:left="2160" w:hanging="360"/>
      </w:pPr>
      <w:rPr>
        <w:rFonts w:ascii="Wingdings" w:hAnsi="Wingdings" w:hint="default"/>
      </w:rPr>
    </w:lvl>
    <w:lvl w:ilvl="3" w:tplc="0CDE255E">
      <w:start w:val="1"/>
      <w:numFmt w:val="bullet"/>
      <w:lvlText w:val=""/>
      <w:lvlJc w:val="left"/>
      <w:pPr>
        <w:ind w:left="2880" w:hanging="360"/>
      </w:pPr>
      <w:rPr>
        <w:rFonts w:ascii="Symbol" w:hAnsi="Symbol" w:hint="default"/>
      </w:rPr>
    </w:lvl>
    <w:lvl w:ilvl="4" w:tplc="D736B296">
      <w:start w:val="1"/>
      <w:numFmt w:val="bullet"/>
      <w:lvlText w:val="o"/>
      <w:lvlJc w:val="left"/>
      <w:pPr>
        <w:ind w:left="3600" w:hanging="360"/>
      </w:pPr>
      <w:rPr>
        <w:rFonts w:ascii="Courier New" w:hAnsi="Courier New" w:hint="default"/>
      </w:rPr>
    </w:lvl>
    <w:lvl w:ilvl="5" w:tplc="B814880A">
      <w:start w:val="1"/>
      <w:numFmt w:val="bullet"/>
      <w:lvlText w:val=""/>
      <w:lvlJc w:val="left"/>
      <w:pPr>
        <w:ind w:left="4320" w:hanging="360"/>
      </w:pPr>
      <w:rPr>
        <w:rFonts w:ascii="Wingdings" w:hAnsi="Wingdings" w:hint="default"/>
      </w:rPr>
    </w:lvl>
    <w:lvl w:ilvl="6" w:tplc="719AB8AE">
      <w:start w:val="1"/>
      <w:numFmt w:val="bullet"/>
      <w:lvlText w:val=""/>
      <w:lvlJc w:val="left"/>
      <w:pPr>
        <w:ind w:left="5040" w:hanging="360"/>
      </w:pPr>
      <w:rPr>
        <w:rFonts w:ascii="Symbol" w:hAnsi="Symbol" w:hint="default"/>
      </w:rPr>
    </w:lvl>
    <w:lvl w:ilvl="7" w:tplc="7638B6EA">
      <w:start w:val="1"/>
      <w:numFmt w:val="bullet"/>
      <w:lvlText w:val="o"/>
      <w:lvlJc w:val="left"/>
      <w:pPr>
        <w:ind w:left="5760" w:hanging="360"/>
      </w:pPr>
      <w:rPr>
        <w:rFonts w:ascii="Courier New" w:hAnsi="Courier New" w:hint="default"/>
      </w:rPr>
    </w:lvl>
    <w:lvl w:ilvl="8" w:tplc="B8C2841E">
      <w:start w:val="1"/>
      <w:numFmt w:val="bullet"/>
      <w:lvlText w:val=""/>
      <w:lvlJc w:val="left"/>
      <w:pPr>
        <w:ind w:left="6480" w:hanging="360"/>
      </w:pPr>
      <w:rPr>
        <w:rFonts w:ascii="Wingdings" w:hAnsi="Wingdings" w:hint="default"/>
      </w:rPr>
    </w:lvl>
  </w:abstractNum>
  <w:abstractNum w:abstractNumId="11" w15:restartNumberingAfterBreak="0">
    <w:nsid w:val="7AFEAB2B"/>
    <w:multiLevelType w:val="hybridMultilevel"/>
    <w:tmpl w:val="FFFFFFFF"/>
    <w:lvl w:ilvl="0" w:tplc="35E06450">
      <w:start w:val="1"/>
      <w:numFmt w:val="bullet"/>
      <w:lvlText w:val=""/>
      <w:lvlJc w:val="left"/>
      <w:pPr>
        <w:ind w:left="720" w:hanging="360"/>
      </w:pPr>
      <w:rPr>
        <w:rFonts w:ascii="Symbol" w:hAnsi="Symbol" w:hint="default"/>
      </w:rPr>
    </w:lvl>
    <w:lvl w:ilvl="1" w:tplc="E09C7F00">
      <w:start w:val="1"/>
      <w:numFmt w:val="bullet"/>
      <w:lvlText w:val="o"/>
      <w:lvlJc w:val="left"/>
      <w:pPr>
        <w:ind w:left="1440" w:hanging="360"/>
      </w:pPr>
      <w:rPr>
        <w:rFonts w:ascii="Courier New" w:hAnsi="Courier New" w:hint="default"/>
      </w:rPr>
    </w:lvl>
    <w:lvl w:ilvl="2" w:tplc="7FB0E45C">
      <w:start w:val="1"/>
      <w:numFmt w:val="bullet"/>
      <w:lvlText w:val=""/>
      <w:lvlJc w:val="left"/>
      <w:pPr>
        <w:ind w:left="2160" w:hanging="360"/>
      </w:pPr>
      <w:rPr>
        <w:rFonts w:ascii="Wingdings" w:hAnsi="Wingdings" w:hint="default"/>
      </w:rPr>
    </w:lvl>
    <w:lvl w:ilvl="3" w:tplc="4290F220">
      <w:start w:val="1"/>
      <w:numFmt w:val="bullet"/>
      <w:lvlText w:val=""/>
      <w:lvlJc w:val="left"/>
      <w:pPr>
        <w:ind w:left="2880" w:hanging="360"/>
      </w:pPr>
      <w:rPr>
        <w:rFonts w:ascii="Symbol" w:hAnsi="Symbol" w:hint="default"/>
      </w:rPr>
    </w:lvl>
    <w:lvl w:ilvl="4" w:tplc="4CA6CFDA">
      <w:start w:val="1"/>
      <w:numFmt w:val="bullet"/>
      <w:lvlText w:val="o"/>
      <w:lvlJc w:val="left"/>
      <w:pPr>
        <w:ind w:left="3600" w:hanging="360"/>
      </w:pPr>
      <w:rPr>
        <w:rFonts w:ascii="Courier New" w:hAnsi="Courier New" w:hint="default"/>
      </w:rPr>
    </w:lvl>
    <w:lvl w:ilvl="5" w:tplc="9126E3C0">
      <w:start w:val="1"/>
      <w:numFmt w:val="bullet"/>
      <w:lvlText w:val=""/>
      <w:lvlJc w:val="left"/>
      <w:pPr>
        <w:ind w:left="4320" w:hanging="360"/>
      </w:pPr>
      <w:rPr>
        <w:rFonts w:ascii="Wingdings" w:hAnsi="Wingdings" w:hint="default"/>
      </w:rPr>
    </w:lvl>
    <w:lvl w:ilvl="6" w:tplc="FF761DF2">
      <w:start w:val="1"/>
      <w:numFmt w:val="bullet"/>
      <w:lvlText w:val=""/>
      <w:lvlJc w:val="left"/>
      <w:pPr>
        <w:ind w:left="5040" w:hanging="360"/>
      </w:pPr>
      <w:rPr>
        <w:rFonts w:ascii="Symbol" w:hAnsi="Symbol" w:hint="default"/>
      </w:rPr>
    </w:lvl>
    <w:lvl w:ilvl="7" w:tplc="34E8093E">
      <w:start w:val="1"/>
      <w:numFmt w:val="bullet"/>
      <w:lvlText w:val="o"/>
      <w:lvlJc w:val="left"/>
      <w:pPr>
        <w:ind w:left="5760" w:hanging="360"/>
      </w:pPr>
      <w:rPr>
        <w:rFonts w:ascii="Courier New" w:hAnsi="Courier New" w:hint="default"/>
      </w:rPr>
    </w:lvl>
    <w:lvl w:ilvl="8" w:tplc="0DF0FD5C">
      <w:start w:val="1"/>
      <w:numFmt w:val="bullet"/>
      <w:lvlText w:val=""/>
      <w:lvlJc w:val="left"/>
      <w:pPr>
        <w:ind w:left="6480" w:hanging="360"/>
      </w:pPr>
      <w:rPr>
        <w:rFonts w:ascii="Wingdings" w:hAnsi="Wingdings" w:hint="default"/>
      </w:rPr>
    </w:lvl>
  </w:abstractNum>
  <w:num w:numId="1" w16cid:durableId="1083181563">
    <w:abstractNumId w:val="3"/>
  </w:num>
  <w:num w:numId="2" w16cid:durableId="1102066002">
    <w:abstractNumId w:val="5"/>
  </w:num>
  <w:num w:numId="3" w16cid:durableId="1263226101">
    <w:abstractNumId w:val="2"/>
  </w:num>
  <w:num w:numId="4" w16cid:durableId="1723402229">
    <w:abstractNumId w:val="7"/>
  </w:num>
  <w:num w:numId="5" w16cid:durableId="1815098289">
    <w:abstractNumId w:val="4"/>
  </w:num>
  <w:num w:numId="6" w16cid:durableId="1990328858">
    <w:abstractNumId w:val="0"/>
  </w:num>
  <w:num w:numId="7" w16cid:durableId="2101832633">
    <w:abstractNumId w:val="1"/>
  </w:num>
  <w:num w:numId="8" w16cid:durableId="337008202">
    <w:abstractNumId w:val="10"/>
  </w:num>
  <w:num w:numId="9" w16cid:durableId="368337678">
    <w:abstractNumId w:val="8"/>
  </w:num>
  <w:num w:numId="10" w16cid:durableId="380986038">
    <w:abstractNumId w:val="11"/>
  </w:num>
  <w:num w:numId="11" w16cid:durableId="636376485">
    <w:abstractNumId w:val="9"/>
  </w:num>
  <w:num w:numId="12" w16cid:durableId="85754226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FC53999"/>
    <w:rsid w:val="00000418"/>
    <w:rsid w:val="000011F5"/>
    <w:rsid w:val="0000394C"/>
    <w:rsid w:val="0001143A"/>
    <w:rsid w:val="00012FA3"/>
    <w:rsid w:val="000208BB"/>
    <w:rsid w:val="000238AC"/>
    <w:rsid w:val="00026130"/>
    <w:rsid w:val="0002679E"/>
    <w:rsid w:val="000366E1"/>
    <w:rsid w:val="00042101"/>
    <w:rsid w:val="00045D0E"/>
    <w:rsid w:val="00051280"/>
    <w:rsid w:val="000520E2"/>
    <w:rsid w:val="00060370"/>
    <w:rsid w:val="00070B63"/>
    <w:rsid w:val="00074E0F"/>
    <w:rsid w:val="00077296"/>
    <w:rsid w:val="000A0A77"/>
    <w:rsid w:val="000A2B09"/>
    <w:rsid w:val="000A58FF"/>
    <w:rsid w:val="000B7910"/>
    <w:rsid w:val="000B79BD"/>
    <w:rsid w:val="000C51E0"/>
    <w:rsid w:val="000C616A"/>
    <w:rsid w:val="000D29FA"/>
    <w:rsid w:val="000D2E01"/>
    <w:rsid w:val="000D58BD"/>
    <w:rsid w:val="000E4687"/>
    <w:rsid w:val="000E53BA"/>
    <w:rsid w:val="00115A45"/>
    <w:rsid w:val="001231D9"/>
    <w:rsid w:val="001329B0"/>
    <w:rsid w:val="00133A09"/>
    <w:rsid w:val="00134757"/>
    <w:rsid w:val="00147F9F"/>
    <w:rsid w:val="0014CA24"/>
    <w:rsid w:val="001570D8"/>
    <w:rsid w:val="00164B30"/>
    <w:rsid w:val="00167ED3"/>
    <w:rsid w:val="00173F3C"/>
    <w:rsid w:val="00181560"/>
    <w:rsid w:val="00187B5C"/>
    <w:rsid w:val="00190A12"/>
    <w:rsid w:val="001A03EB"/>
    <w:rsid w:val="001A0AAD"/>
    <w:rsid w:val="001A2E79"/>
    <w:rsid w:val="001A3E90"/>
    <w:rsid w:val="001B08D9"/>
    <w:rsid w:val="001C146F"/>
    <w:rsid w:val="001D5497"/>
    <w:rsid w:val="001E18D3"/>
    <w:rsid w:val="001E1B92"/>
    <w:rsid w:val="001F38B0"/>
    <w:rsid w:val="002113FF"/>
    <w:rsid w:val="00217A76"/>
    <w:rsid w:val="002202AA"/>
    <w:rsid w:val="0022109E"/>
    <w:rsid w:val="002214B7"/>
    <w:rsid w:val="00240F69"/>
    <w:rsid w:val="002467F9"/>
    <w:rsid w:val="002469D5"/>
    <w:rsid w:val="002512D8"/>
    <w:rsid w:val="00253B34"/>
    <w:rsid w:val="00266AF6"/>
    <w:rsid w:val="002711D8"/>
    <w:rsid w:val="00276A88"/>
    <w:rsid w:val="00281889"/>
    <w:rsid w:val="00286CE1"/>
    <w:rsid w:val="002950A6"/>
    <w:rsid w:val="002A5C74"/>
    <w:rsid w:val="002B2BDC"/>
    <w:rsid w:val="002B520C"/>
    <w:rsid w:val="002B6A95"/>
    <w:rsid w:val="002B71D0"/>
    <w:rsid w:val="002C0080"/>
    <w:rsid w:val="002C4283"/>
    <w:rsid w:val="002C54DF"/>
    <w:rsid w:val="002E5089"/>
    <w:rsid w:val="002F0B3F"/>
    <w:rsid w:val="002F2BD8"/>
    <w:rsid w:val="0031493F"/>
    <w:rsid w:val="003238AB"/>
    <w:rsid w:val="00331D70"/>
    <w:rsid w:val="00360198"/>
    <w:rsid w:val="00364391"/>
    <w:rsid w:val="003674E9"/>
    <w:rsid w:val="00367651"/>
    <w:rsid w:val="0038788B"/>
    <w:rsid w:val="003937CE"/>
    <w:rsid w:val="003970E4"/>
    <w:rsid w:val="003A4F12"/>
    <w:rsid w:val="003B6BD8"/>
    <w:rsid w:val="003C1845"/>
    <w:rsid w:val="003D1CD9"/>
    <w:rsid w:val="003D3308"/>
    <w:rsid w:val="003D3F9A"/>
    <w:rsid w:val="003D45D4"/>
    <w:rsid w:val="003E5781"/>
    <w:rsid w:val="003F04C8"/>
    <w:rsid w:val="003F107F"/>
    <w:rsid w:val="003F5705"/>
    <w:rsid w:val="00401F05"/>
    <w:rsid w:val="004210F9"/>
    <w:rsid w:val="00424B94"/>
    <w:rsid w:val="0042535D"/>
    <w:rsid w:val="00434EDD"/>
    <w:rsid w:val="0044038F"/>
    <w:rsid w:val="00444764"/>
    <w:rsid w:val="004460A5"/>
    <w:rsid w:val="00451E86"/>
    <w:rsid w:val="00460298"/>
    <w:rsid w:val="00461BBE"/>
    <w:rsid w:val="00466DCF"/>
    <w:rsid w:val="0047226E"/>
    <w:rsid w:val="0047242E"/>
    <w:rsid w:val="004801DE"/>
    <w:rsid w:val="0048116D"/>
    <w:rsid w:val="00485B96"/>
    <w:rsid w:val="00486404"/>
    <w:rsid w:val="004A1F97"/>
    <w:rsid w:val="004A45E6"/>
    <w:rsid w:val="004A4B8E"/>
    <w:rsid w:val="004B247D"/>
    <w:rsid w:val="004B2FAC"/>
    <w:rsid w:val="004B5204"/>
    <w:rsid w:val="004B651D"/>
    <w:rsid w:val="004B696F"/>
    <w:rsid w:val="004C17E8"/>
    <w:rsid w:val="004D0340"/>
    <w:rsid w:val="004D683C"/>
    <w:rsid w:val="004D6B57"/>
    <w:rsid w:val="004E463D"/>
    <w:rsid w:val="004E582C"/>
    <w:rsid w:val="004F02EE"/>
    <w:rsid w:val="004F0FD7"/>
    <w:rsid w:val="004F482C"/>
    <w:rsid w:val="004F64F6"/>
    <w:rsid w:val="00502221"/>
    <w:rsid w:val="00523EA9"/>
    <w:rsid w:val="00534579"/>
    <w:rsid w:val="005451CC"/>
    <w:rsid w:val="00545600"/>
    <w:rsid w:val="005529AC"/>
    <w:rsid w:val="00557A9C"/>
    <w:rsid w:val="00562F6F"/>
    <w:rsid w:val="00580B04"/>
    <w:rsid w:val="00581FB3"/>
    <w:rsid w:val="00582605"/>
    <w:rsid w:val="00584230"/>
    <w:rsid w:val="00584E68"/>
    <w:rsid w:val="00585589"/>
    <w:rsid w:val="005A1BE3"/>
    <w:rsid w:val="005B1245"/>
    <w:rsid w:val="005B3E16"/>
    <w:rsid w:val="005B456A"/>
    <w:rsid w:val="005B6E62"/>
    <w:rsid w:val="005C626C"/>
    <w:rsid w:val="005C7494"/>
    <w:rsid w:val="005D2C5B"/>
    <w:rsid w:val="005E70D8"/>
    <w:rsid w:val="005F0973"/>
    <w:rsid w:val="005F4DBE"/>
    <w:rsid w:val="00600A0B"/>
    <w:rsid w:val="00603AE8"/>
    <w:rsid w:val="006105E0"/>
    <w:rsid w:val="00611142"/>
    <w:rsid w:val="00613E2F"/>
    <w:rsid w:val="006227C6"/>
    <w:rsid w:val="00630A33"/>
    <w:rsid w:val="006329BF"/>
    <w:rsid w:val="00654245"/>
    <w:rsid w:val="006556F1"/>
    <w:rsid w:val="00657219"/>
    <w:rsid w:val="00660707"/>
    <w:rsid w:val="0066393D"/>
    <w:rsid w:val="00666055"/>
    <w:rsid w:val="00674CFE"/>
    <w:rsid w:val="006864A2"/>
    <w:rsid w:val="00687686"/>
    <w:rsid w:val="006906A3"/>
    <w:rsid w:val="00693548"/>
    <w:rsid w:val="00695E3E"/>
    <w:rsid w:val="006A1AD5"/>
    <w:rsid w:val="006A2997"/>
    <w:rsid w:val="006A5706"/>
    <w:rsid w:val="006A6BAA"/>
    <w:rsid w:val="006B7660"/>
    <w:rsid w:val="006C4FE7"/>
    <w:rsid w:val="006C5745"/>
    <w:rsid w:val="006E07A1"/>
    <w:rsid w:val="006F70EA"/>
    <w:rsid w:val="00704B55"/>
    <w:rsid w:val="007154DA"/>
    <w:rsid w:val="00717875"/>
    <w:rsid w:val="00720AD3"/>
    <w:rsid w:val="00726FCD"/>
    <w:rsid w:val="00734331"/>
    <w:rsid w:val="00742A7B"/>
    <w:rsid w:val="007675BD"/>
    <w:rsid w:val="007733B0"/>
    <w:rsid w:val="007812F2"/>
    <w:rsid w:val="00784DED"/>
    <w:rsid w:val="00794B60"/>
    <w:rsid w:val="00796154"/>
    <w:rsid w:val="007A0288"/>
    <w:rsid w:val="007A3266"/>
    <w:rsid w:val="007C1F35"/>
    <w:rsid w:val="007D15A6"/>
    <w:rsid w:val="007D5352"/>
    <w:rsid w:val="007D6581"/>
    <w:rsid w:val="007E1723"/>
    <w:rsid w:val="007E6884"/>
    <w:rsid w:val="007F7C5C"/>
    <w:rsid w:val="008001DD"/>
    <w:rsid w:val="00802339"/>
    <w:rsid w:val="00807606"/>
    <w:rsid w:val="00816A49"/>
    <w:rsid w:val="00816FC8"/>
    <w:rsid w:val="00821418"/>
    <w:rsid w:val="00833D75"/>
    <w:rsid w:val="00834900"/>
    <w:rsid w:val="00835BA5"/>
    <w:rsid w:val="00843383"/>
    <w:rsid w:val="008434CA"/>
    <w:rsid w:val="00860484"/>
    <w:rsid w:val="008659EF"/>
    <w:rsid w:val="00871483"/>
    <w:rsid w:val="008726CB"/>
    <w:rsid w:val="008733E7"/>
    <w:rsid w:val="00874C9C"/>
    <w:rsid w:val="0088059E"/>
    <w:rsid w:val="0088561A"/>
    <w:rsid w:val="00886B28"/>
    <w:rsid w:val="008905F5"/>
    <w:rsid w:val="008A36AF"/>
    <w:rsid w:val="008B5771"/>
    <w:rsid w:val="008C5372"/>
    <w:rsid w:val="008D11AE"/>
    <w:rsid w:val="008D4DB5"/>
    <w:rsid w:val="008F2C4F"/>
    <w:rsid w:val="008F3CDF"/>
    <w:rsid w:val="00904946"/>
    <w:rsid w:val="0090525B"/>
    <w:rsid w:val="009062F6"/>
    <w:rsid w:val="00907FB8"/>
    <w:rsid w:val="009239A6"/>
    <w:rsid w:val="00925A46"/>
    <w:rsid w:val="00925C4D"/>
    <w:rsid w:val="009311E8"/>
    <w:rsid w:val="009337A9"/>
    <w:rsid w:val="00936D1E"/>
    <w:rsid w:val="00942319"/>
    <w:rsid w:val="009442E8"/>
    <w:rsid w:val="00945B0C"/>
    <w:rsid w:val="00953832"/>
    <w:rsid w:val="009555B8"/>
    <w:rsid w:val="00956CCD"/>
    <w:rsid w:val="00960204"/>
    <w:rsid w:val="00984E6D"/>
    <w:rsid w:val="009875B7"/>
    <w:rsid w:val="00990743"/>
    <w:rsid w:val="00991FAC"/>
    <w:rsid w:val="00995D02"/>
    <w:rsid w:val="009A6746"/>
    <w:rsid w:val="009A6D7B"/>
    <w:rsid w:val="009B69CE"/>
    <w:rsid w:val="009C2E25"/>
    <w:rsid w:val="009C606C"/>
    <w:rsid w:val="009D0EA8"/>
    <w:rsid w:val="009D1901"/>
    <w:rsid w:val="009D6608"/>
    <w:rsid w:val="009D7292"/>
    <w:rsid w:val="009F69F9"/>
    <w:rsid w:val="00A00A2E"/>
    <w:rsid w:val="00A0210B"/>
    <w:rsid w:val="00A118C6"/>
    <w:rsid w:val="00A16726"/>
    <w:rsid w:val="00A30E8A"/>
    <w:rsid w:val="00A33AE1"/>
    <w:rsid w:val="00A42D3F"/>
    <w:rsid w:val="00A54800"/>
    <w:rsid w:val="00A608E5"/>
    <w:rsid w:val="00A621A0"/>
    <w:rsid w:val="00A674E3"/>
    <w:rsid w:val="00A70096"/>
    <w:rsid w:val="00A74DD2"/>
    <w:rsid w:val="00A8423C"/>
    <w:rsid w:val="00A904F2"/>
    <w:rsid w:val="00A90B29"/>
    <w:rsid w:val="00A93591"/>
    <w:rsid w:val="00AA29C2"/>
    <w:rsid w:val="00AB2D86"/>
    <w:rsid w:val="00AC1678"/>
    <w:rsid w:val="00AC1AF7"/>
    <w:rsid w:val="00AC4680"/>
    <w:rsid w:val="00AC691A"/>
    <w:rsid w:val="00AD31F6"/>
    <w:rsid w:val="00AE0AB8"/>
    <w:rsid w:val="00AE0C68"/>
    <w:rsid w:val="00AF4E2E"/>
    <w:rsid w:val="00B01AAD"/>
    <w:rsid w:val="00B03783"/>
    <w:rsid w:val="00B05620"/>
    <w:rsid w:val="00B07131"/>
    <w:rsid w:val="00B16184"/>
    <w:rsid w:val="00B16A2F"/>
    <w:rsid w:val="00B17190"/>
    <w:rsid w:val="00B2306F"/>
    <w:rsid w:val="00B33F8A"/>
    <w:rsid w:val="00B41B8B"/>
    <w:rsid w:val="00B4380B"/>
    <w:rsid w:val="00B515E6"/>
    <w:rsid w:val="00B51CF8"/>
    <w:rsid w:val="00B72A79"/>
    <w:rsid w:val="00B7547E"/>
    <w:rsid w:val="00B778A1"/>
    <w:rsid w:val="00B91D76"/>
    <w:rsid w:val="00B933E3"/>
    <w:rsid w:val="00B971EE"/>
    <w:rsid w:val="00BA3278"/>
    <w:rsid w:val="00BA3D4C"/>
    <w:rsid w:val="00BA3EDD"/>
    <w:rsid w:val="00BB08D3"/>
    <w:rsid w:val="00BB1BFB"/>
    <w:rsid w:val="00BB5001"/>
    <w:rsid w:val="00BC5785"/>
    <w:rsid w:val="00BC7B4C"/>
    <w:rsid w:val="00BD635A"/>
    <w:rsid w:val="00BE3A1A"/>
    <w:rsid w:val="00BE3D8B"/>
    <w:rsid w:val="00BE4610"/>
    <w:rsid w:val="00BE70DF"/>
    <w:rsid w:val="00BF211E"/>
    <w:rsid w:val="00BF46B9"/>
    <w:rsid w:val="00C0683B"/>
    <w:rsid w:val="00C17EA4"/>
    <w:rsid w:val="00C2016C"/>
    <w:rsid w:val="00C22010"/>
    <w:rsid w:val="00C34B4F"/>
    <w:rsid w:val="00C361A9"/>
    <w:rsid w:val="00C3718B"/>
    <w:rsid w:val="00C40E72"/>
    <w:rsid w:val="00C4463C"/>
    <w:rsid w:val="00C44F30"/>
    <w:rsid w:val="00C5533A"/>
    <w:rsid w:val="00C579D5"/>
    <w:rsid w:val="00C60457"/>
    <w:rsid w:val="00C610EA"/>
    <w:rsid w:val="00C61626"/>
    <w:rsid w:val="00C625F2"/>
    <w:rsid w:val="00C72E5C"/>
    <w:rsid w:val="00C83089"/>
    <w:rsid w:val="00C83180"/>
    <w:rsid w:val="00C83F41"/>
    <w:rsid w:val="00C84190"/>
    <w:rsid w:val="00C94D37"/>
    <w:rsid w:val="00C96D9B"/>
    <w:rsid w:val="00C97CC3"/>
    <w:rsid w:val="00CA09A7"/>
    <w:rsid w:val="00CB03ED"/>
    <w:rsid w:val="00CC3AE2"/>
    <w:rsid w:val="00CC59CE"/>
    <w:rsid w:val="00CC6371"/>
    <w:rsid w:val="00CD5DDC"/>
    <w:rsid w:val="00CD5EDB"/>
    <w:rsid w:val="00CE44EC"/>
    <w:rsid w:val="00CE5DE4"/>
    <w:rsid w:val="00CE6387"/>
    <w:rsid w:val="00CF1568"/>
    <w:rsid w:val="00CF2092"/>
    <w:rsid w:val="00CF32DC"/>
    <w:rsid w:val="00D0389E"/>
    <w:rsid w:val="00D059A1"/>
    <w:rsid w:val="00D15DF9"/>
    <w:rsid w:val="00D2203D"/>
    <w:rsid w:val="00D24BA6"/>
    <w:rsid w:val="00D26DD1"/>
    <w:rsid w:val="00D308F9"/>
    <w:rsid w:val="00D34D03"/>
    <w:rsid w:val="00D42003"/>
    <w:rsid w:val="00D56C5E"/>
    <w:rsid w:val="00D57F9E"/>
    <w:rsid w:val="00D61999"/>
    <w:rsid w:val="00D65295"/>
    <w:rsid w:val="00D657E6"/>
    <w:rsid w:val="00D720F9"/>
    <w:rsid w:val="00D72EE4"/>
    <w:rsid w:val="00D74301"/>
    <w:rsid w:val="00D81AFA"/>
    <w:rsid w:val="00D85A05"/>
    <w:rsid w:val="00D94347"/>
    <w:rsid w:val="00D96C1D"/>
    <w:rsid w:val="00DA405F"/>
    <w:rsid w:val="00DB2B00"/>
    <w:rsid w:val="00DD18EB"/>
    <w:rsid w:val="00DF2B0B"/>
    <w:rsid w:val="00DF52E5"/>
    <w:rsid w:val="00E108E8"/>
    <w:rsid w:val="00E1640F"/>
    <w:rsid w:val="00E22DAA"/>
    <w:rsid w:val="00E31B90"/>
    <w:rsid w:val="00E335F3"/>
    <w:rsid w:val="00E3678E"/>
    <w:rsid w:val="00E4145B"/>
    <w:rsid w:val="00E43077"/>
    <w:rsid w:val="00E45D44"/>
    <w:rsid w:val="00E54A16"/>
    <w:rsid w:val="00E56BFF"/>
    <w:rsid w:val="00E707CB"/>
    <w:rsid w:val="00E74D76"/>
    <w:rsid w:val="00E75408"/>
    <w:rsid w:val="00E81A59"/>
    <w:rsid w:val="00E85DFF"/>
    <w:rsid w:val="00E9407A"/>
    <w:rsid w:val="00E97877"/>
    <w:rsid w:val="00E97B78"/>
    <w:rsid w:val="00EA181F"/>
    <w:rsid w:val="00EB194B"/>
    <w:rsid w:val="00EB4F1C"/>
    <w:rsid w:val="00EB6A5A"/>
    <w:rsid w:val="00EC3D6A"/>
    <w:rsid w:val="00EC5509"/>
    <w:rsid w:val="00EE165A"/>
    <w:rsid w:val="00EE22E4"/>
    <w:rsid w:val="00EE63FB"/>
    <w:rsid w:val="00EE7F28"/>
    <w:rsid w:val="00EF018E"/>
    <w:rsid w:val="00EF4489"/>
    <w:rsid w:val="00EF5AB0"/>
    <w:rsid w:val="00F01EF2"/>
    <w:rsid w:val="00F16613"/>
    <w:rsid w:val="00F17276"/>
    <w:rsid w:val="00F2319A"/>
    <w:rsid w:val="00F413F1"/>
    <w:rsid w:val="00F45FE7"/>
    <w:rsid w:val="00F50EAE"/>
    <w:rsid w:val="00F52576"/>
    <w:rsid w:val="00F5447B"/>
    <w:rsid w:val="00F576C6"/>
    <w:rsid w:val="00F7066C"/>
    <w:rsid w:val="00F727A2"/>
    <w:rsid w:val="00F730F4"/>
    <w:rsid w:val="00F86531"/>
    <w:rsid w:val="00F94675"/>
    <w:rsid w:val="00F97B76"/>
    <w:rsid w:val="00FA60A8"/>
    <w:rsid w:val="00FA6A7F"/>
    <w:rsid w:val="00FB10F8"/>
    <w:rsid w:val="00FB3C71"/>
    <w:rsid w:val="00FB4FE3"/>
    <w:rsid w:val="00FC31AC"/>
    <w:rsid w:val="00FE21DD"/>
    <w:rsid w:val="00FE3854"/>
    <w:rsid w:val="00FF0AF1"/>
    <w:rsid w:val="00FF351F"/>
    <w:rsid w:val="00FF5CD6"/>
    <w:rsid w:val="00FF6289"/>
    <w:rsid w:val="010B757D"/>
    <w:rsid w:val="010E7861"/>
    <w:rsid w:val="015584D9"/>
    <w:rsid w:val="015B0651"/>
    <w:rsid w:val="018E22BB"/>
    <w:rsid w:val="020B2589"/>
    <w:rsid w:val="023F7718"/>
    <w:rsid w:val="030D3C48"/>
    <w:rsid w:val="037087E4"/>
    <w:rsid w:val="03B2DAA5"/>
    <w:rsid w:val="03C3726C"/>
    <w:rsid w:val="03E429A7"/>
    <w:rsid w:val="03FC19FC"/>
    <w:rsid w:val="04209E1F"/>
    <w:rsid w:val="043178D2"/>
    <w:rsid w:val="048E0851"/>
    <w:rsid w:val="04D9F9C0"/>
    <w:rsid w:val="04E5FD7B"/>
    <w:rsid w:val="0517967F"/>
    <w:rsid w:val="053E84FC"/>
    <w:rsid w:val="054E8102"/>
    <w:rsid w:val="05890005"/>
    <w:rsid w:val="058B481D"/>
    <w:rsid w:val="05E92556"/>
    <w:rsid w:val="0626F804"/>
    <w:rsid w:val="0632FE50"/>
    <w:rsid w:val="06A71B91"/>
    <w:rsid w:val="06A9D476"/>
    <w:rsid w:val="0709FAB4"/>
    <w:rsid w:val="072C9BD0"/>
    <w:rsid w:val="0765685F"/>
    <w:rsid w:val="07802DE1"/>
    <w:rsid w:val="07BE7E4C"/>
    <w:rsid w:val="07BF7B9E"/>
    <w:rsid w:val="08235612"/>
    <w:rsid w:val="0850F47E"/>
    <w:rsid w:val="087C4A33"/>
    <w:rsid w:val="08872035"/>
    <w:rsid w:val="09087CE7"/>
    <w:rsid w:val="09227FAD"/>
    <w:rsid w:val="0936C460"/>
    <w:rsid w:val="095A1792"/>
    <w:rsid w:val="098915F7"/>
    <w:rsid w:val="099999EC"/>
    <w:rsid w:val="09AC4654"/>
    <w:rsid w:val="0A8DEF2A"/>
    <w:rsid w:val="0AB592FB"/>
    <w:rsid w:val="0B39002A"/>
    <w:rsid w:val="0BA1D39F"/>
    <w:rsid w:val="0C0171EF"/>
    <w:rsid w:val="0C4AB866"/>
    <w:rsid w:val="0C6B143F"/>
    <w:rsid w:val="0C9C6444"/>
    <w:rsid w:val="0C9ED3DB"/>
    <w:rsid w:val="0CAC4E4C"/>
    <w:rsid w:val="0D1C7062"/>
    <w:rsid w:val="0DA11837"/>
    <w:rsid w:val="0E18E49B"/>
    <w:rsid w:val="0E70E2AA"/>
    <w:rsid w:val="0EC1F5DF"/>
    <w:rsid w:val="0EE758A6"/>
    <w:rsid w:val="0EE77453"/>
    <w:rsid w:val="0FB369A9"/>
    <w:rsid w:val="0FB76584"/>
    <w:rsid w:val="0FEF6CC4"/>
    <w:rsid w:val="100F638D"/>
    <w:rsid w:val="10324D46"/>
    <w:rsid w:val="105B9DB7"/>
    <w:rsid w:val="108EE5A5"/>
    <w:rsid w:val="10A06981"/>
    <w:rsid w:val="10AA474F"/>
    <w:rsid w:val="10DB9D0E"/>
    <w:rsid w:val="11314607"/>
    <w:rsid w:val="120A1D02"/>
    <w:rsid w:val="121E7712"/>
    <w:rsid w:val="12BF428C"/>
    <w:rsid w:val="1325A5F4"/>
    <w:rsid w:val="13484B1E"/>
    <w:rsid w:val="1357AF3A"/>
    <w:rsid w:val="145AB489"/>
    <w:rsid w:val="1491272E"/>
    <w:rsid w:val="1506A006"/>
    <w:rsid w:val="15716C54"/>
    <w:rsid w:val="15768E62"/>
    <w:rsid w:val="15964D2F"/>
    <w:rsid w:val="15C6C396"/>
    <w:rsid w:val="161520F6"/>
    <w:rsid w:val="163D3987"/>
    <w:rsid w:val="168B5898"/>
    <w:rsid w:val="16BBC710"/>
    <w:rsid w:val="17C7482F"/>
    <w:rsid w:val="17EFEC97"/>
    <w:rsid w:val="183CF80B"/>
    <w:rsid w:val="184444C9"/>
    <w:rsid w:val="18ED0B72"/>
    <w:rsid w:val="1976D506"/>
    <w:rsid w:val="1994DAEC"/>
    <w:rsid w:val="19E09A7B"/>
    <w:rsid w:val="19EE34DB"/>
    <w:rsid w:val="19F3A3EA"/>
    <w:rsid w:val="1A2AFEC4"/>
    <w:rsid w:val="1ACFC21A"/>
    <w:rsid w:val="1B0D07A5"/>
    <w:rsid w:val="1CC33ABC"/>
    <w:rsid w:val="1CDB3FDD"/>
    <w:rsid w:val="1CFC0ED5"/>
    <w:rsid w:val="1D060D69"/>
    <w:rsid w:val="1D5943B3"/>
    <w:rsid w:val="1D77AAA0"/>
    <w:rsid w:val="1DE65AA8"/>
    <w:rsid w:val="1E168500"/>
    <w:rsid w:val="1EAA0DED"/>
    <w:rsid w:val="1F25C6A0"/>
    <w:rsid w:val="1FC37862"/>
    <w:rsid w:val="1FE90C8B"/>
    <w:rsid w:val="201215BF"/>
    <w:rsid w:val="2036C0F5"/>
    <w:rsid w:val="2046CD2C"/>
    <w:rsid w:val="204BB6D6"/>
    <w:rsid w:val="20958D9A"/>
    <w:rsid w:val="20FE16BE"/>
    <w:rsid w:val="21302F0C"/>
    <w:rsid w:val="21F32570"/>
    <w:rsid w:val="222E76F3"/>
    <w:rsid w:val="22472EA2"/>
    <w:rsid w:val="22A3C388"/>
    <w:rsid w:val="231085FF"/>
    <w:rsid w:val="233B430B"/>
    <w:rsid w:val="23AF0D3E"/>
    <w:rsid w:val="250576BE"/>
    <w:rsid w:val="2527C468"/>
    <w:rsid w:val="25406E6F"/>
    <w:rsid w:val="25697A80"/>
    <w:rsid w:val="257C6765"/>
    <w:rsid w:val="25B9F719"/>
    <w:rsid w:val="25CCA0FD"/>
    <w:rsid w:val="25D7E599"/>
    <w:rsid w:val="260927F9"/>
    <w:rsid w:val="2670879F"/>
    <w:rsid w:val="26D05BF5"/>
    <w:rsid w:val="2736F06F"/>
    <w:rsid w:val="273C2AD9"/>
    <w:rsid w:val="2785AB53"/>
    <w:rsid w:val="279B68EE"/>
    <w:rsid w:val="2840FBED"/>
    <w:rsid w:val="287E631D"/>
    <w:rsid w:val="288ACF23"/>
    <w:rsid w:val="2960B99D"/>
    <w:rsid w:val="2969878A"/>
    <w:rsid w:val="29A38C77"/>
    <w:rsid w:val="29BBCC82"/>
    <w:rsid w:val="29DFA90C"/>
    <w:rsid w:val="29E187A6"/>
    <w:rsid w:val="2A93E843"/>
    <w:rsid w:val="2AD6FEF5"/>
    <w:rsid w:val="2AE90634"/>
    <w:rsid w:val="2B0CFFBC"/>
    <w:rsid w:val="2BA0850B"/>
    <w:rsid w:val="2C8B3DDB"/>
    <w:rsid w:val="2CC60431"/>
    <w:rsid w:val="2D2A8F27"/>
    <w:rsid w:val="2D9FA19A"/>
    <w:rsid w:val="2DDFF1B0"/>
    <w:rsid w:val="2E1E02F6"/>
    <w:rsid w:val="2E561D6A"/>
    <w:rsid w:val="2F03F753"/>
    <w:rsid w:val="2F39A5A2"/>
    <w:rsid w:val="2F4BC194"/>
    <w:rsid w:val="2F4E3575"/>
    <w:rsid w:val="2F75B943"/>
    <w:rsid w:val="2F9B8A7C"/>
    <w:rsid w:val="2FBB6AC5"/>
    <w:rsid w:val="3012069C"/>
    <w:rsid w:val="30545D87"/>
    <w:rsid w:val="3127CF5E"/>
    <w:rsid w:val="317D40E2"/>
    <w:rsid w:val="31E7CEF2"/>
    <w:rsid w:val="323C4997"/>
    <w:rsid w:val="325A19A0"/>
    <w:rsid w:val="32FF7A0B"/>
    <w:rsid w:val="333EDD6F"/>
    <w:rsid w:val="335F21CC"/>
    <w:rsid w:val="33CEF5AF"/>
    <w:rsid w:val="34A91E75"/>
    <w:rsid w:val="34E3A0E1"/>
    <w:rsid w:val="34E7E603"/>
    <w:rsid w:val="34F2A4AA"/>
    <w:rsid w:val="350155AE"/>
    <w:rsid w:val="35AC7DE6"/>
    <w:rsid w:val="35B2CC8C"/>
    <w:rsid w:val="3610B03E"/>
    <w:rsid w:val="3646B568"/>
    <w:rsid w:val="36586F04"/>
    <w:rsid w:val="367D2A52"/>
    <w:rsid w:val="368EB315"/>
    <w:rsid w:val="36AB279D"/>
    <w:rsid w:val="36B0E9A1"/>
    <w:rsid w:val="36BFE79A"/>
    <w:rsid w:val="36EA49C9"/>
    <w:rsid w:val="36EF81BD"/>
    <w:rsid w:val="36FB933C"/>
    <w:rsid w:val="37991CDE"/>
    <w:rsid w:val="37B7F63E"/>
    <w:rsid w:val="37EFE5EF"/>
    <w:rsid w:val="385608FC"/>
    <w:rsid w:val="388A7C99"/>
    <w:rsid w:val="39132D14"/>
    <w:rsid w:val="395BE1C2"/>
    <w:rsid w:val="39774C4A"/>
    <w:rsid w:val="3A3BABC9"/>
    <w:rsid w:val="3A6BC9D6"/>
    <w:rsid w:val="3A9C6C1D"/>
    <w:rsid w:val="3B01D596"/>
    <w:rsid w:val="3B5E95AF"/>
    <w:rsid w:val="3B9126ED"/>
    <w:rsid w:val="3BED0851"/>
    <w:rsid w:val="3C25EAF5"/>
    <w:rsid w:val="3C9B96F6"/>
    <w:rsid w:val="3CA869A3"/>
    <w:rsid w:val="3D7F04C5"/>
    <w:rsid w:val="3EB55DD3"/>
    <w:rsid w:val="3F05AE18"/>
    <w:rsid w:val="3F19ADEF"/>
    <w:rsid w:val="3F5172AF"/>
    <w:rsid w:val="3F7DDE04"/>
    <w:rsid w:val="3FAC0B0A"/>
    <w:rsid w:val="3FBBF832"/>
    <w:rsid w:val="3FC0BDDE"/>
    <w:rsid w:val="4025205A"/>
    <w:rsid w:val="40254CC9"/>
    <w:rsid w:val="406AB678"/>
    <w:rsid w:val="4097DC25"/>
    <w:rsid w:val="40A0804E"/>
    <w:rsid w:val="40CF6A06"/>
    <w:rsid w:val="410A1CE7"/>
    <w:rsid w:val="4114B694"/>
    <w:rsid w:val="416060FB"/>
    <w:rsid w:val="41772ED5"/>
    <w:rsid w:val="41D146C9"/>
    <w:rsid w:val="422AD208"/>
    <w:rsid w:val="42761F24"/>
    <w:rsid w:val="42889195"/>
    <w:rsid w:val="42B7F724"/>
    <w:rsid w:val="4333500B"/>
    <w:rsid w:val="434390D8"/>
    <w:rsid w:val="43E5D907"/>
    <w:rsid w:val="44077AFB"/>
    <w:rsid w:val="443B6E29"/>
    <w:rsid w:val="445AE9CD"/>
    <w:rsid w:val="446629ED"/>
    <w:rsid w:val="446DC247"/>
    <w:rsid w:val="44866D81"/>
    <w:rsid w:val="44B35381"/>
    <w:rsid w:val="44DF3765"/>
    <w:rsid w:val="451B750A"/>
    <w:rsid w:val="45D3DE08"/>
    <w:rsid w:val="45EBF9A3"/>
    <w:rsid w:val="45F610A8"/>
    <w:rsid w:val="467CABD2"/>
    <w:rsid w:val="46BAB4D3"/>
    <w:rsid w:val="46DD9F69"/>
    <w:rsid w:val="46E32BBB"/>
    <w:rsid w:val="4725DBBE"/>
    <w:rsid w:val="47C0C87C"/>
    <w:rsid w:val="47C6F6B2"/>
    <w:rsid w:val="47D6C187"/>
    <w:rsid w:val="47DAABE7"/>
    <w:rsid w:val="4819FA8A"/>
    <w:rsid w:val="481AA3B6"/>
    <w:rsid w:val="4846F231"/>
    <w:rsid w:val="486B0FC6"/>
    <w:rsid w:val="48709836"/>
    <w:rsid w:val="488D88ED"/>
    <w:rsid w:val="48A00728"/>
    <w:rsid w:val="48E6D454"/>
    <w:rsid w:val="49C54094"/>
    <w:rsid w:val="49EDAC9F"/>
    <w:rsid w:val="4A117C16"/>
    <w:rsid w:val="4A6663C4"/>
    <w:rsid w:val="4A675C52"/>
    <w:rsid w:val="4A6F6492"/>
    <w:rsid w:val="4A922DB5"/>
    <w:rsid w:val="4ABE82C7"/>
    <w:rsid w:val="4AD86C17"/>
    <w:rsid w:val="4AE8C13C"/>
    <w:rsid w:val="4B656F98"/>
    <w:rsid w:val="4BA14F5D"/>
    <w:rsid w:val="4BA2942F"/>
    <w:rsid w:val="4BA4EE5D"/>
    <w:rsid w:val="4BCD2909"/>
    <w:rsid w:val="4C117ADC"/>
    <w:rsid w:val="4C153161"/>
    <w:rsid w:val="4C78FDC2"/>
    <w:rsid w:val="4CB7E146"/>
    <w:rsid w:val="4D3C1F6F"/>
    <w:rsid w:val="4D4131FD"/>
    <w:rsid w:val="4DA7C0C9"/>
    <w:rsid w:val="4DB0FE21"/>
    <w:rsid w:val="4DBE5ECE"/>
    <w:rsid w:val="4E02EE26"/>
    <w:rsid w:val="4E3C57C9"/>
    <w:rsid w:val="4EBE0844"/>
    <w:rsid w:val="4EDEE165"/>
    <w:rsid w:val="4EE66E6E"/>
    <w:rsid w:val="4F10075B"/>
    <w:rsid w:val="4FB3250F"/>
    <w:rsid w:val="4FC53999"/>
    <w:rsid w:val="4FEE3456"/>
    <w:rsid w:val="4FFBD5C3"/>
    <w:rsid w:val="5030D55B"/>
    <w:rsid w:val="5034AF52"/>
    <w:rsid w:val="504CC82A"/>
    <w:rsid w:val="5054E7DE"/>
    <w:rsid w:val="50AAF59B"/>
    <w:rsid w:val="50D89941"/>
    <w:rsid w:val="511818C5"/>
    <w:rsid w:val="51D20C6D"/>
    <w:rsid w:val="51FBCF4E"/>
    <w:rsid w:val="51FEB35D"/>
    <w:rsid w:val="521F68EF"/>
    <w:rsid w:val="523BFD50"/>
    <w:rsid w:val="5259A870"/>
    <w:rsid w:val="525D5106"/>
    <w:rsid w:val="530A7655"/>
    <w:rsid w:val="53540295"/>
    <w:rsid w:val="53F2F29B"/>
    <w:rsid w:val="540814C9"/>
    <w:rsid w:val="5408FD3A"/>
    <w:rsid w:val="540F2EE4"/>
    <w:rsid w:val="541913CC"/>
    <w:rsid w:val="54E6E49A"/>
    <w:rsid w:val="55582807"/>
    <w:rsid w:val="555F97CC"/>
    <w:rsid w:val="5566E453"/>
    <w:rsid w:val="5569AEA8"/>
    <w:rsid w:val="55AE4076"/>
    <w:rsid w:val="55C491F1"/>
    <w:rsid w:val="5662F7B2"/>
    <w:rsid w:val="56695C54"/>
    <w:rsid w:val="5738B112"/>
    <w:rsid w:val="573F708A"/>
    <w:rsid w:val="574C7253"/>
    <w:rsid w:val="57A9ACFF"/>
    <w:rsid w:val="5811AFEA"/>
    <w:rsid w:val="5882FCF3"/>
    <w:rsid w:val="58C314C8"/>
    <w:rsid w:val="59505A6D"/>
    <w:rsid w:val="5988ABD9"/>
    <w:rsid w:val="5A03A59D"/>
    <w:rsid w:val="5A1BEAE0"/>
    <w:rsid w:val="5A69BE4E"/>
    <w:rsid w:val="5AB290AE"/>
    <w:rsid w:val="5B88C62C"/>
    <w:rsid w:val="5BBA92EF"/>
    <w:rsid w:val="5BD43C31"/>
    <w:rsid w:val="5BDF3EE7"/>
    <w:rsid w:val="5C090408"/>
    <w:rsid w:val="5C0FB1FB"/>
    <w:rsid w:val="5C3E367C"/>
    <w:rsid w:val="5C4F97BF"/>
    <w:rsid w:val="5C74BC46"/>
    <w:rsid w:val="5CE35AEC"/>
    <w:rsid w:val="5D0B45E1"/>
    <w:rsid w:val="5D5F55AD"/>
    <w:rsid w:val="5D7F28D8"/>
    <w:rsid w:val="5DB0037C"/>
    <w:rsid w:val="5E3FB6CA"/>
    <w:rsid w:val="5E73EB39"/>
    <w:rsid w:val="5EAA48F1"/>
    <w:rsid w:val="5EDC3DA7"/>
    <w:rsid w:val="5F00365E"/>
    <w:rsid w:val="5F211D48"/>
    <w:rsid w:val="5F28C235"/>
    <w:rsid w:val="5F297EAE"/>
    <w:rsid w:val="5F2BD62E"/>
    <w:rsid w:val="5FCF2881"/>
    <w:rsid w:val="5FED99CB"/>
    <w:rsid w:val="6020C3DA"/>
    <w:rsid w:val="602DA01D"/>
    <w:rsid w:val="606266C9"/>
    <w:rsid w:val="60738D95"/>
    <w:rsid w:val="6088E666"/>
    <w:rsid w:val="60A88DF3"/>
    <w:rsid w:val="61B71B07"/>
    <w:rsid w:val="61C5344A"/>
    <w:rsid w:val="6211CC2A"/>
    <w:rsid w:val="62120A0C"/>
    <w:rsid w:val="6285CBFB"/>
    <w:rsid w:val="63533D2F"/>
    <w:rsid w:val="63A37750"/>
    <w:rsid w:val="63A65804"/>
    <w:rsid w:val="63AA6C77"/>
    <w:rsid w:val="640E738F"/>
    <w:rsid w:val="6478CBC4"/>
    <w:rsid w:val="648F3B27"/>
    <w:rsid w:val="64935F38"/>
    <w:rsid w:val="649DBBD4"/>
    <w:rsid w:val="650BA01B"/>
    <w:rsid w:val="661D84CA"/>
    <w:rsid w:val="6707BCA7"/>
    <w:rsid w:val="6713CE4B"/>
    <w:rsid w:val="674F04AE"/>
    <w:rsid w:val="677B62F2"/>
    <w:rsid w:val="67D57787"/>
    <w:rsid w:val="67D5F72B"/>
    <w:rsid w:val="67E265E4"/>
    <w:rsid w:val="67F14722"/>
    <w:rsid w:val="68277EC8"/>
    <w:rsid w:val="6872124E"/>
    <w:rsid w:val="69E0BDF2"/>
    <w:rsid w:val="6A0D268C"/>
    <w:rsid w:val="6A829D79"/>
    <w:rsid w:val="6AF03703"/>
    <w:rsid w:val="6AF738E5"/>
    <w:rsid w:val="6B89E430"/>
    <w:rsid w:val="6B8F84BC"/>
    <w:rsid w:val="6B8FCD01"/>
    <w:rsid w:val="6BF08644"/>
    <w:rsid w:val="6BF7BE6A"/>
    <w:rsid w:val="6C152E41"/>
    <w:rsid w:val="6C248F40"/>
    <w:rsid w:val="6CA84F9B"/>
    <w:rsid w:val="6CB4F06F"/>
    <w:rsid w:val="6CC35C1A"/>
    <w:rsid w:val="6D834DA1"/>
    <w:rsid w:val="6D9B1A9E"/>
    <w:rsid w:val="6E281B66"/>
    <w:rsid w:val="6E5174EB"/>
    <w:rsid w:val="6E9C7BB9"/>
    <w:rsid w:val="6EDD9CFC"/>
    <w:rsid w:val="6EF0F27E"/>
    <w:rsid w:val="6F16C8E0"/>
    <w:rsid w:val="6F52371D"/>
    <w:rsid w:val="6F5DA8A0"/>
    <w:rsid w:val="6F72CFD2"/>
    <w:rsid w:val="6FF9AC9D"/>
    <w:rsid w:val="70038300"/>
    <w:rsid w:val="708B9226"/>
    <w:rsid w:val="70919972"/>
    <w:rsid w:val="70CFD224"/>
    <w:rsid w:val="70F28B91"/>
    <w:rsid w:val="71733AE6"/>
    <w:rsid w:val="7184CF1A"/>
    <w:rsid w:val="71D4CB0C"/>
    <w:rsid w:val="71F9DD04"/>
    <w:rsid w:val="722452EF"/>
    <w:rsid w:val="72683472"/>
    <w:rsid w:val="726FB16F"/>
    <w:rsid w:val="72A3D36F"/>
    <w:rsid w:val="72CF8786"/>
    <w:rsid w:val="72E06FA1"/>
    <w:rsid w:val="73056423"/>
    <w:rsid w:val="7344007F"/>
    <w:rsid w:val="73940F44"/>
    <w:rsid w:val="73D06D7B"/>
    <w:rsid w:val="73D87580"/>
    <w:rsid w:val="74646656"/>
    <w:rsid w:val="74DFA946"/>
    <w:rsid w:val="75D1B051"/>
    <w:rsid w:val="760C65F0"/>
    <w:rsid w:val="7639102E"/>
    <w:rsid w:val="763D13D6"/>
    <w:rsid w:val="76B2A074"/>
    <w:rsid w:val="76EBD648"/>
    <w:rsid w:val="77136E07"/>
    <w:rsid w:val="771BAC5A"/>
    <w:rsid w:val="779C291E"/>
    <w:rsid w:val="77B61F20"/>
    <w:rsid w:val="77DA0D88"/>
    <w:rsid w:val="77DC3376"/>
    <w:rsid w:val="77FACE0C"/>
    <w:rsid w:val="780C2394"/>
    <w:rsid w:val="781FA068"/>
    <w:rsid w:val="78FA6F2A"/>
    <w:rsid w:val="7920CA23"/>
    <w:rsid w:val="7922C80E"/>
    <w:rsid w:val="79252D7E"/>
    <w:rsid w:val="792CABCC"/>
    <w:rsid w:val="79329FF9"/>
    <w:rsid w:val="794F51C2"/>
    <w:rsid w:val="7A405A7D"/>
    <w:rsid w:val="7A4F4109"/>
    <w:rsid w:val="7AC5A9A9"/>
    <w:rsid w:val="7AC8E490"/>
    <w:rsid w:val="7B340C70"/>
    <w:rsid w:val="7B9D8BEE"/>
    <w:rsid w:val="7BA526E3"/>
    <w:rsid w:val="7BB60D12"/>
    <w:rsid w:val="7BC98D36"/>
    <w:rsid w:val="7C48395E"/>
    <w:rsid w:val="7C697677"/>
    <w:rsid w:val="7D1791B5"/>
    <w:rsid w:val="7D4757CD"/>
    <w:rsid w:val="7D4CD6EA"/>
    <w:rsid w:val="7D4F3F3B"/>
    <w:rsid w:val="7D4F96C6"/>
    <w:rsid w:val="7D63D518"/>
    <w:rsid w:val="7D76E05A"/>
    <w:rsid w:val="7D7784C6"/>
    <w:rsid w:val="7E29E364"/>
    <w:rsid w:val="7E2AC9C8"/>
    <w:rsid w:val="7E583B67"/>
    <w:rsid w:val="7E7913FA"/>
    <w:rsid w:val="7E824494"/>
    <w:rsid w:val="7E8A6709"/>
    <w:rsid w:val="7EEF10E9"/>
    <w:rsid w:val="7EF9FEE7"/>
    <w:rsid w:val="7F174201"/>
    <w:rsid w:val="7FA623C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0E9430B"/>
  <w15:chartTrackingRefBased/>
  <w15:docId w15:val="{53B3FAE8-E9B1-45B3-A152-6FFDF97128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6211CC2A"/>
    <w:pPr>
      <w:ind w:left="720"/>
      <w:contextualSpacing/>
    </w:pPr>
  </w:style>
  <w:style w:type="character" w:styleId="Hyperlink">
    <w:name w:val="Hyperlink"/>
    <w:basedOn w:val="DefaultParagraphFont"/>
    <w:uiPriority w:val="99"/>
    <w:unhideWhenUsed/>
    <w:rsid w:val="6211CC2A"/>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1">
    <w:name w:val="p1"/>
    <w:basedOn w:val="Normal"/>
    <w:rsid w:val="00585589"/>
    <w:pPr>
      <w:spacing w:after="0" w:line="240" w:lineRule="auto"/>
    </w:pPr>
    <w:rPr>
      <w:rFonts w:ascii=".AppleSystemUIFont" w:hAnsi=".AppleSystemUIFont" w:cs="Times New Roman"/>
      <w:sz w:val="26"/>
      <w:szCs w:val="26"/>
      <w:lang w:eastAsia="en-GB"/>
    </w:rPr>
  </w:style>
  <w:style w:type="paragraph" w:customStyle="1" w:styleId="p2">
    <w:name w:val="p2"/>
    <w:basedOn w:val="Normal"/>
    <w:rsid w:val="00585589"/>
    <w:pPr>
      <w:spacing w:after="0" w:line="240" w:lineRule="auto"/>
    </w:pPr>
    <w:rPr>
      <w:rFonts w:ascii=".AppleSystemUIFont" w:hAnsi=".AppleSystemUIFont" w:cs="Times New Roman"/>
      <w:sz w:val="26"/>
      <w:szCs w:val="26"/>
      <w:lang w:eastAsia="en-GB"/>
    </w:rPr>
  </w:style>
  <w:style w:type="character" w:customStyle="1" w:styleId="s1">
    <w:name w:val="s1"/>
    <w:basedOn w:val="DefaultParagraphFont"/>
    <w:rsid w:val="00585589"/>
    <w:rPr>
      <w:rFonts w:ascii="UICTFontTextStyleEmphasizedBody" w:hAnsi="UICTFontTextStyleEmphasizedBody" w:hint="default"/>
      <w:b/>
      <w:bCs/>
      <w:i w:val="0"/>
      <w:iCs w:val="0"/>
      <w:sz w:val="26"/>
      <w:szCs w:val="26"/>
    </w:rPr>
  </w:style>
  <w:style w:type="character" w:customStyle="1" w:styleId="s2">
    <w:name w:val="s2"/>
    <w:basedOn w:val="DefaultParagraphFont"/>
    <w:rsid w:val="00585589"/>
    <w:rPr>
      <w:rFonts w:ascii="UICTFontTextStyleBody" w:hAnsi="UICTFontTextStyleBody" w:hint="default"/>
      <w:b w:val="0"/>
      <w:bCs w:val="0"/>
      <w:i w:val="0"/>
      <w:iCs w:val="0"/>
      <w:sz w:val="26"/>
      <w:szCs w:val="26"/>
    </w:rPr>
  </w:style>
  <w:style w:type="paragraph" w:styleId="Header">
    <w:name w:val="header"/>
    <w:basedOn w:val="Normal"/>
    <w:uiPriority w:val="99"/>
    <w:unhideWhenUsed/>
    <w:rsid w:val="7AC8E490"/>
    <w:pPr>
      <w:tabs>
        <w:tab w:val="center" w:pos="4680"/>
        <w:tab w:val="right" w:pos="9360"/>
      </w:tabs>
      <w:spacing w:after="0" w:line="240" w:lineRule="auto"/>
    </w:pPr>
  </w:style>
  <w:style w:type="paragraph" w:styleId="Footer">
    <w:name w:val="footer"/>
    <w:basedOn w:val="Normal"/>
    <w:uiPriority w:val="99"/>
    <w:unhideWhenUsed/>
    <w:rsid w:val="7AC8E490"/>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ma.org.uk/advice-and-support/nhs-delivery-and-workforce/workforce/medical-staffing-in-the-nhs" TargetMode="External"/><Relationship Id="rId13" Type="http://schemas.openxmlformats.org/officeDocument/2006/relationships/hyperlink" Target="https://www.health.org.uk/reports-and-analysis/briefings/health-and-social-care-workforce"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health.org.uk/features-and-opinion/blogs/meeting-the-nhs-workforce-retention-challenge"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statista.com/topics/9575/nhs-staff-shortage/"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employee-health-work-and-sickness-absence-qualitative-research/employee-health-work-and-sickness-absence-qualitative-research" TargetMode="External"/><Relationship Id="rId5" Type="http://schemas.openxmlformats.org/officeDocument/2006/relationships/footnotes" Target="footnotes.xml"/><Relationship Id="rId15" Type="http://schemas.openxmlformats.org/officeDocument/2006/relationships/hyperlink" Target="https://www.england.nhs.uk/long-read/nhs-long-term-workforce-plan-2/" TargetMode="External"/><Relationship Id="rId10" Type="http://schemas.openxmlformats.org/officeDocument/2006/relationships/hyperlink" Target="https://www.gov.uk/government/news/nearly-1-billion-for-nhs-frontline-after-agency-spend-crackdown"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uk/government/publications/10-year-health-plan-for-england-fit-for-the-future/fit-for-the-future-10-year-health-plan-for-england-executive-summary" TargetMode="External"/><Relationship Id="rId14" Type="http://schemas.openxmlformats.org/officeDocument/2006/relationships/hyperlink" Target="https://www.kingsfund.org.uk/insight-and-analysis/data-and-charts/nhs-workforce-nutshe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Netsanet Yadergal (2413159)</dc:creator>
  <cp:keywords/>
  <dc:description/>
  <cp:lastModifiedBy>Netsanet Yadergal (2413159)</cp:lastModifiedBy>
  <cp:revision>16</cp:revision>
  <dcterms:created xsi:type="dcterms:W3CDTF">2026-08-13T22:39:00Z</dcterms:created>
  <dcterms:modified xsi:type="dcterms:W3CDTF">2026-08-14T12:53:00Z</dcterms:modified>
</cp:coreProperties>
</file>