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word/diagrams/quickStyle1.xml" ContentType="application/vnd.openxmlformats-officedocument.drawingml.diagramStyle+xml"/>
  <Override PartName="/customXml/itemProps1.xml" ContentType="application/vnd.openxmlformats-officedocument.customXmlProperties+xml"/>
  <Override PartName="/word/diagrams/data1.xml" ContentType="application/vnd.openxmlformats-officedocument.drawingml.diagramData+xml"/>
  <Default Extension="jpeg" ContentType="image/jpeg"/>
  <Override PartName="/word/diagrams/colors1.xml" ContentType="application/vnd.openxmlformats-officedocument.drawingml.diagramColor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diagrams/layout1.xml" ContentType="application/vnd.openxmlformats-officedocument.drawingml.diagramLayout+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4D0F17" w:rsidRDefault="00DC2896">
      <w:pPr>
        <w:pStyle w:val="normal0"/>
        <w:jc w:val="center"/>
      </w:pPr>
      <w:r>
        <w:rPr>
          <w:noProof/>
        </w:rPr>
        <w:drawing>
          <wp:inline distT="0" distB="0" distL="0" distR="0">
            <wp:extent cx="5731510" cy="2254914"/>
            <wp:effectExtent l="0" t="0" r="0" b="0"/>
            <wp:docPr id="2" name="image1.jpg" descr="Image result for uwtsd logo"/>
            <wp:cNvGraphicFramePr/>
            <a:graphic xmlns:a="http://schemas.openxmlformats.org/drawingml/2006/main">
              <a:graphicData uri="http://schemas.openxmlformats.org/drawingml/2006/picture">
                <pic:pic xmlns:pic="http://schemas.openxmlformats.org/drawingml/2006/picture">
                  <pic:nvPicPr>
                    <pic:cNvPr id="0" name="image1.jpg" descr="Image result for uwtsd logo"/>
                    <pic:cNvPicPr preferRelativeResize="0"/>
                  </pic:nvPicPr>
                  <pic:blipFill>
                    <a:blip r:embed="rId8"/>
                    <a:srcRect/>
                    <a:stretch>
                      <a:fillRect/>
                    </a:stretch>
                  </pic:blipFill>
                  <pic:spPr>
                    <a:xfrm>
                      <a:off x="0" y="0"/>
                      <a:ext cx="5731510" cy="2254914"/>
                    </a:xfrm>
                    <a:prstGeom prst="rect">
                      <a:avLst/>
                    </a:prstGeom>
                    <a:ln/>
                  </pic:spPr>
                </pic:pic>
              </a:graphicData>
            </a:graphic>
          </wp:inline>
        </w:drawing>
      </w:r>
    </w:p>
    <w:p w:rsidR="004D0F17" w:rsidRDefault="004D0F17">
      <w:pPr>
        <w:pStyle w:val="normal0"/>
      </w:pPr>
    </w:p>
    <w:p w:rsidR="004D0F17" w:rsidRDefault="004D0F17">
      <w:pPr>
        <w:pStyle w:val="normal0"/>
        <w:spacing w:line="276" w:lineRule="auto"/>
        <w:jc w:val="both"/>
      </w:pPr>
    </w:p>
    <w:tbl>
      <w:tblPr>
        <w:tblStyle w:val="6"/>
        <w:tblW w:w="8572" w:type="dxa"/>
        <w:jc w:val="center"/>
        <w:tblLayout w:type="fixed"/>
        <w:tblLook w:val="0000"/>
      </w:tblPr>
      <w:tblGrid>
        <w:gridCol w:w="8572"/>
      </w:tblGrid>
      <w:tr w:rsidR="004D0F17">
        <w:trPr>
          <w:trHeight w:val="1980"/>
          <w:jc w:val="center"/>
        </w:trPr>
        <w:tc>
          <w:tcPr>
            <w:tcW w:w="8572" w:type="dxa"/>
            <w:tcBorders>
              <w:top w:val="single" w:sz="19" w:space="0" w:color="000000"/>
              <w:left w:val="single" w:sz="19" w:space="0" w:color="000000"/>
              <w:bottom w:val="single" w:sz="19" w:space="0" w:color="000000"/>
              <w:right w:val="single" w:sz="19" w:space="0" w:color="000000"/>
            </w:tcBorders>
            <w:tcMar>
              <w:top w:w="58" w:type="dxa"/>
              <w:bottom w:w="58" w:type="dxa"/>
            </w:tcMar>
            <w:vAlign w:val="center"/>
          </w:tcPr>
          <w:p w:rsidR="004D0F17" w:rsidRDefault="00DC2896">
            <w:pPr>
              <w:pStyle w:val="normal0"/>
              <w:jc w:val="center"/>
              <w:rPr>
                <w:rFonts w:ascii="Cambria" w:eastAsia="Cambria" w:hAnsi="Cambria" w:cs="Cambria"/>
                <w:color w:val="44546A"/>
                <w:sz w:val="40"/>
                <w:szCs w:val="40"/>
              </w:rPr>
            </w:pPr>
            <w:r>
              <w:rPr>
                <w:rFonts w:ascii="Cambria" w:eastAsia="Cambria" w:hAnsi="Cambria" w:cs="Cambria"/>
                <w:b/>
                <w:color w:val="2E75B5"/>
                <w:sz w:val="40"/>
                <w:szCs w:val="40"/>
              </w:rPr>
              <w:t>A REPORT ON THE NEED FOR A CONTINUOUSLY DIVERSIFIED WORKFORCE AT AETNA HEALTH</w:t>
            </w:r>
            <w:r>
              <w:rPr>
                <w:rFonts w:ascii="Cambria" w:eastAsia="Cambria" w:hAnsi="Cambria" w:cs="Cambria"/>
                <w:b/>
                <w:color w:val="2E75B5"/>
                <w:sz w:val="40"/>
                <w:szCs w:val="40"/>
              </w:rPr>
              <w:br/>
            </w:r>
            <w:r>
              <w:rPr>
                <w:rFonts w:ascii="Cambria" w:eastAsia="Cambria" w:hAnsi="Cambria" w:cs="Cambria"/>
                <w:b/>
                <w:color w:val="000000"/>
                <w:sz w:val="26"/>
                <w:szCs w:val="26"/>
              </w:rPr>
              <w:t xml:space="preserve">(With Special Emphasis on </w:t>
            </w:r>
            <w:r>
              <w:rPr>
                <w:rFonts w:ascii="Cambria" w:eastAsia="Cambria" w:hAnsi="Cambria" w:cs="Cambria"/>
                <w:b/>
                <w:sz w:val="26"/>
                <w:szCs w:val="26"/>
              </w:rPr>
              <w:t>Gender</w:t>
            </w:r>
            <w:r>
              <w:rPr>
                <w:rFonts w:ascii="Cambria" w:eastAsia="Cambria" w:hAnsi="Cambria" w:cs="Cambria"/>
                <w:b/>
                <w:color w:val="000000"/>
                <w:sz w:val="26"/>
                <w:szCs w:val="26"/>
              </w:rPr>
              <w:t xml:space="preserve"> and </w:t>
            </w:r>
            <w:r>
              <w:rPr>
                <w:rFonts w:ascii="Cambria" w:eastAsia="Cambria" w:hAnsi="Cambria" w:cs="Cambria"/>
                <w:b/>
                <w:sz w:val="26"/>
                <w:szCs w:val="26"/>
              </w:rPr>
              <w:t>Ethnicity</w:t>
            </w:r>
            <w:r>
              <w:rPr>
                <w:rFonts w:ascii="Cambria" w:eastAsia="Cambria" w:hAnsi="Cambria" w:cs="Cambria"/>
                <w:b/>
                <w:color w:val="000000"/>
                <w:sz w:val="26"/>
                <w:szCs w:val="26"/>
              </w:rPr>
              <w:t>)</w:t>
            </w:r>
          </w:p>
        </w:tc>
      </w:tr>
    </w:tbl>
    <w:p w:rsidR="004D0F17" w:rsidRDefault="004D0F17">
      <w:pPr>
        <w:pStyle w:val="normal0"/>
        <w:spacing w:line="276" w:lineRule="auto"/>
        <w:rPr>
          <w:b/>
          <w:sz w:val="36"/>
          <w:szCs w:val="36"/>
        </w:rPr>
      </w:pPr>
    </w:p>
    <w:p w:rsidR="004D0F17" w:rsidRDefault="00DC2896">
      <w:pPr>
        <w:pStyle w:val="normal0"/>
        <w:spacing w:line="276" w:lineRule="auto"/>
        <w:jc w:val="center"/>
        <w:rPr>
          <w:b/>
          <w:sz w:val="36"/>
          <w:szCs w:val="36"/>
        </w:rPr>
      </w:pPr>
      <w:r>
        <w:rPr>
          <w:b/>
          <w:sz w:val="36"/>
          <w:szCs w:val="36"/>
        </w:rPr>
        <w:t>Assignment Report</w:t>
      </w:r>
    </w:p>
    <w:p w:rsidR="004D0F17" w:rsidRDefault="00DC2896">
      <w:pPr>
        <w:pStyle w:val="normal0"/>
        <w:spacing w:before="240" w:line="276" w:lineRule="auto"/>
        <w:jc w:val="center"/>
        <w:rPr>
          <w:i/>
          <w:sz w:val="28"/>
          <w:szCs w:val="28"/>
        </w:rPr>
      </w:pPr>
      <w:r>
        <w:rPr>
          <w:i/>
          <w:sz w:val="28"/>
          <w:szCs w:val="28"/>
        </w:rPr>
        <w:t>By</w:t>
      </w:r>
    </w:p>
    <w:p w:rsidR="004D0F17" w:rsidRDefault="004D0F17">
      <w:pPr>
        <w:pStyle w:val="normal0"/>
        <w:spacing w:before="240" w:line="276" w:lineRule="auto"/>
        <w:jc w:val="center"/>
        <w:rPr>
          <w:i/>
          <w:sz w:val="4"/>
          <w:szCs w:val="4"/>
        </w:rPr>
      </w:pPr>
    </w:p>
    <w:tbl>
      <w:tblPr>
        <w:tblStyle w:val="5"/>
        <w:tblW w:w="8408" w:type="dxa"/>
        <w:tblInd w:w="546" w:type="dxa"/>
        <w:tblLayout w:type="fixed"/>
        <w:tblLook w:val="0000"/>
      </w:tblPr>
      <w:tblGrid>
        <w:gridCol w:w="8408"/>
      </w:tblGrid>
      <w:tr w:rsidR="004D0F17">
        <w:trPr>
          <w:trHeight w:val="2960"/>
        </w:trPr>
        <w:tc>
          <w:tcPr>
            <w:tcW w:w="8408" w:type="dxa"/>
            <w:tcBorders>
              <w:top w:val="single" w:sz="19" w:space="0" w:color="000000"/>
              <w:left w:val="single" w:sz="19" w:space="0" w:color="000000"/>
              <w:bottom w:val="single" w:sz="19" w:space="0" w:color="000000"/>
              <w:right w:val="single" w:sz="19" w:space="0" w:color="000000"/>
            </w:tcBorders>
          </w:tcPr>
          <w:p w:rsidR="004D0F17" w:rsidRDefault="00DC2896">
            <w:pPr>
              <w:pStyle w:val="normal0"/>
              <w:spacing w:after="0" w:line="276" w:lineRule="auto"/>
              <w:jc w:val="center"/>
              <w:rPr>
                <w:b/>
                <w:color w:val="2E75B5"/>
                <w:sz w:val="44"/>
                <w:szCs w:val="44"/>
              </w:rPr>
            </w:pPr>
            <w:r>
              <w:rPr>
                <w:sz w:val="28"/>
                <w:szCs w:val="28"/>
              </w:rPr>
              <w:br/>
            </w:r>
            <w:r>
              <w:rPr>
                <w:b/>
                <w:color w:val="2E75B5"/>
                <w:sz w:val="44"/>
                <w:szCs w:val="44"/>
              </w:rPr>
              <w:t>Habeeb Ayodeji Yusuf</w:t>
            </w:r>
          </w:p>
          <w:p w:rsidR="004D0F17" w:rsidRDefault="00DC2896">
            <w:pPr>
              <w:pStyle w:val="normal0"/>
              <w:spacing w:after="0" w:line="276" w:lineRule="auto"/>
              <w:jc w:val="center"/>
              <w:rPr>
                <w:b/>
              </w:rPr>
            </w:pPr>
            <w:r>
              <w:rPr>
                <w:b/>
              </w:rPr>
              <w:t>Student Number: 1803762</w:t>
            </w:r>
          </w:p>
          <w:p w:rsidR="004D0F17" w:rsidRDefault="00DC2896">
            <w:pPr>
              <w:pStyle w:val="normal0"/>
              <w:spacing w:after="0" w:line="276" w:lineRule="auto"/>
              <w:jc w:val="center"/>
              <w:rPr>
                <w:i/>
                <w:sz w:val="20"/>
                <w:szCs w:val="20"/>
              </w:rPr>
            </w:pPr>
            <w:r>
              <w:rPr>
                <w:i/>
                <w:sz w:val="20"/>
                <w:szCs w:val="20"/>
              </w:rPr>
              <w:t xml:space="preserve">A Management in Complex Environment Assignment (MiCE) presented as part of the requirements for the award of </w:t>
            </w:r>
          </w:p>
          <w:p w:rsidR="004D0F17" w:rsidRDefault="00DC2896">
            <w:pPr>
              <w:pStyle w:val="normal0"/>
              <w:spacing w:after="0" w:line="276" w:lineRule="auto"/>
              <w:jc w:val="center"/>
              <w:rPr>
                <w:b/>
                <w:color w:val="2E75B5"/>
                <w:sz w:val="28"/>
                <w:szCs w:val="28"/>
              </w:rPr>
            </w:pPr>
            <w:r>
              <w:rPr>
                <w:b/>
                <w:color w:val="2E75B5"/>
                <w:sz w:val="28"/>
                <w:szCs w:val="28"/>
              </w:rPr>
              <w:t>Doctorate in Business Administration (DBA)</w:t>
            </w:r>
          </w:p>
          <w:p w:rsidR="004D0F17" w:rsidRDefault="00DC2896">
            <w:pPr>
              <w:pStyle w:val="normal0"/>
              <w:spacing w:after="0" w:line="276" w:lineRule="auto"/>
              <w:jc w:val="center"/>
              <w:rPr>
                <w:sz w:val="28"/>
                <w:szCs w:val="28"/>
              </w:rPr>
            </w:pPr>
            <w:r>
              <w:rPr>
                <w:b/>
                <w:sz w:val="28"/>
                <w:szCs w:val="28"/>
              </w:rPr>
              <w:t>LECTURERS:</w:t>
            </w:r>
            <w:r>
              <w:rPr>
                <w:sz w:val="28"/>
                <w:szCs w:val="28"/>
              </w:rPr>
              <w:t xml:space="preserve">  Dr S T Sommerville and Dr Marry March</w:t>
            </w:r>
          </w:p>
          <w:p w:rsidR="004D0F17" w:rsidRDefault="00DC2896">
            <w:pPr>
              <w:pStyle w:val="normal0"/>
              <w:spacing w:after="0" w:line="276" w:lineRule="auto"/>
              <w:jc w:val="center"/>
              <w:rPr>
                <w:sz w:val="32"/>
                <w:szCs w:val="32"/>
              </w:rPr>
            </w:pPr>
            <w:r>
              <w:rPr>
                <w:sz w:val="32"/>
                <w:szCs w:val="32"/>
              </w:rPr>
              <w:t>NOVEMBER 2018</w:t>
            </w:r>
          </w:p>
        </w:tc>
      </w:tr>
    </w:tbl>
    <w:p w:rsidR="004D0F17" w:rsidRDefault="004D0F17">
      <w:pPr>
        <w:pStyle w:val="normal0"/>
        <w:tabs>
          <w:tab w:val="left" w:pos="3465"/>
        </w:tabs>
        <w:spacing w:line="360" w:lineRule="auto"/>
        <w:jc w:val="center"/>
        <w:rPr>
          <w:b/>
          <w:color w:val="44546A"/>
          <w:sz w:val="28"/>
          <w:szCs w:val="28"/>
        </w:rPr>
      </w:pPr>
    </w:p>
    <w:p w:rsidR="004D0F17" w:rsidRDefault="004D0F17">
      <w:pPr>
        <w:pStyle w:val="normal0"/>
        <w:tabs>
          <w:tab w:val="left" w:pos="3465"/>
        </w:tabs>
        <w:spacing w:line="360" w:lineRule="auto"/>
        <w:jc w:val="center"/>
        <w:rPr>
          <w:b/>
          <w:color w:val="44546A"/>
          <w:sz w:val="28"/>
          <w:szCs w:val="28"/>
        </w:rPr>
      </w:pPr>
    </w:p>
    <w:p w:rsidR="001302C2" w:rsidRDefault="001302C2">
      <w:pPr>
        <w:pStyle w:val="normal0"/>
        <w:tabs>
          <w:tab w:val="left" w:pos="3465"/>
        </w:tabs>
        <w:spacing w:line="360" w:lineRule="auto"/>
        <w:jc w:val="center"/>
        <w:rPr>
          <w:b/>
          <w:color w:val="44546A"/>
          <w:sz w:val="28"/>
          <w:szCs w:val="28"/>
        </w:rPr>
      </w:pPr>
    </w:p>
    <w:p w:rsidR="004D0F17" w:rsidRDefault="00DC2896" w:rsidP="00347B78">
      <w:pPr>
        <w:pStyle w:val="normal0"/>
        <w:tabs>
          <w:tab w:val="left" w:pos="3465"/>
        </w:tabs>
        <w:spacing w:after="0" w:line="360" w:lineRule="auto"/>
        <w:jc w:val="center"/>
        <w:rPr>
          <w:rFonts w:ascii="Cambria" w:eastAsia="Cambria" w:hAnsi="Cambria" w:cs="Cambria"/>
          <w:b/>
          <w:color w:val="000000"/>
          <w:sz w:val="30"/>
          <w:szCs w:val="30"/>
        </w:rPr>
      </w:pPr>
      <w:r>
        <w:rPr>
          <w:rFonts w:ascii="Cambria" w:eastAsia="Cambria" w:hAnsi="Cambria" w:cs="Cambria"/>
          <w:b/>
          <w:color w:val="000000"/>
          <w:sz w:val="30"/>
          <w:szCs w:val="30"/>
        </w:rPr>
        <w:lastRenderedPageBreak/>
        <w:t xml:space="preserve">A Report </w:t>
      </w:r>
    </w:p>
    <w:p w:rsidR="004D0F17" w:rsidRDefault="00DC2896" w:rsidP="00347B78">
      <w:pPr>
        <w:pStyle w:val="normal0"/>
        <w:tabs>
          <w:tab w:val="left" w:pos="3465"/>
        </w:tabs>
        <w:spacing w:after="0" w:line="360" w:lineRule="auto"/>
        <w:jc w:val="center"/>
        <w:rPr>
          <w:i/>
        </w:rPr>
      </w:pPr>
      <w:r>
        <w:rPr>
          <w:color w:val="000000"/>
          <w:sz w:val="24"/>
          <w:szCs w:val="24"/>
        </w:rPr>
        <w:t>on</w:t>
      </w:r>
      <w:r>
        <w:rPr>
          <w:rFonts w:ascii="Cambria" w:eastAsia="Cambria" w:hAnsi="Cambria" w:cs="Cambria"/>
          <w:b/>
          <w:color w:val="2E75B5"/>
          <w:sz w:val="30"/>
          <w:szCs w:val="30"/>
        </w:rPr>
        <w:br/>
        <w:t>THE NEED FOR A CONTINUOUSLY DIVERSIFIED WORKFORCE AT AETNA HEALTH</w:t>
      </w:r>
      <w:r>
        <w:rPr>
          <w:rFonts w:ascii="Cambria" w:eastAsia="Cambria" w:hAnsi="Cambria" w:cs="Cambria"/>
          <w:b/>
          <w:color w:val="2E75B5"/>
          <w:sz w:val="40"/>
          <w:szCs w:val="40"/>
        </w:rPr>
        <w:br/>
      </w:r>
      <w:r>
        <w:rPr>
          <w:i/>
        </w:rPr>
        <w:t xml:space="preserve">An MiCE Assignment Report </w:t>
      </w:r>
      <w:r>
        <w:t>by</w:t>
      </w:r>
    </w:p>
    <w:p w:rsidR="004D0F17" w:rsidRDefault="00DC2896" w:rsidP="00347B78">
      <w:pPr>
        <w:pStyle w:val="normal0"/>
        <w:spacing w:after="0" w:line="276" w:lineRule="auto"/>
        <w:jc w:val="center"/>
        <w:rPr>
          <w:b/>
          <w:color w:val="2E75B5"/>
          <w:sz w:val="40"/>
          <w:szCs w:val="40"/>
        </w:rPr>
      </w:pPr>
      <w:r>
        <w:rPr>
          <w:b/>
          <w:color w:val="2E75B5"/>
          <w:sz w:val="40"/>
          <w:szCs w:val="40"/>
        </w:rPr>
        <w:t>Habeeb Ayodeji Yusuf</w:t>
      </w:r>
    </w:p>
    <w:p w:rsidR="004D0F17" w:rsidRDefault="00DC2896" w:rsidP="00347B78">
      <w:pPr>
        <w:pStyle w:val="normal0"/>
        <w:spacing w:after="0" w:line="276" w:lineRule="auto"/>
        <w:jc w:val="center"/>
        <w:rPr>
          <w:i/>
        </w:rPr>
      </w:pPr>
      <w:r>
        <w:rPr>
          <w:i/>
        </w:rPr>
        <w:t xml:space="preserve">Presented as part of the requirements for the award of </w:t>
      </w:r>
    </w:p>
    <w:p w:rsidR="004D0F17" w:rsidRDefault="00DC2896" w:rsidP="00347B78">
      <w:pPr>
        <w:pStyle w:val="normal0"/>
        <w:spacing w:after="0" w:line="276" w:lineRule="auto"/>
        <w:jc w:val="center"/>
        <w:rPr>
          <w:b/>
          <w:color w:val="2E75B5"/>
          <w:sz w:val="28"/>
          <w:szCs w:val="28"/>
        </w:rPr>
      </w:pPr>
      <w:r>
        <w:rPr>
          <w:b/>
          <w:color w:val="2E75B5"/>
          <w:sz w:val="28"/>
          <w:szCs w:val="28"/>
        </w:rPr>
        <w:t xml:space="preserve">Doctorate in Business Administration (DBA) in International Business </w:t>
      </w:r>
    </w:p>
    <w:p w:rsidR="004D0F17" w:rsidRDefault="00DC2896" w:rsidP="00347B78">
      <w:pPr>
        <w:pStyle w:val="normal0"/>
        <w:tabs>
          <w:tab w:val="left" w:pos="3465"/>
        </w:tabs>
        <w:spacing w:after="0" w:line="360" w:lineRule="auto"/>
        <w:jc w:val="center"/>
      </w:pPr>
      <w:r>
        <w:t>at</w:t>
      </w:r>
    </w:p>
    <w:p w:rsidR="004D0F17" w:rsidRDefault="00DC2896" w:rsidP="00347B78">
      <w:pPr>
        <w:pStyle w:val="normal0"/>
        <w:tabs>
          <w:tab w:val="left" w:pos="3465"/>
        </w:tabs>
        <w:spacing w:after="0" w:line="360" w:lineRule="auto"/>
        <w:jc w:val="center"/>
        <w:rPr>
          <w:b/>
          <w:color w:val="000000"/>
          <w:sz w:val="36"/>
          <w:szCs w:val="36"/>
        </w:rPr>
      </w:pPr>
      <w:r>
        <w:rPr>
          <w:b/>
          <w:color w:val="000000"/>
          <w:sz w:val="36"/>
          <w:szCs w:val="36"/>
        </w:rPr>
        <w:t>University of Wales Trinity Saint David, London Campus</w:t>
      </w:r>
    </w:p>
    <w:tbl>
      <w:tblPr>
        <w:tblStyle w:val="4"/>
        <w:tblW w:w="9016"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ayout w:type="fixed"/>
        <w:tblLook w:val="0400"/>
      </w:tblPr>
      <w:tblGrid>
        <w:gridCol w:w="9016"/>
      </w:tblGrid>
      <w:tr w:rsidR="004D0F17">
        <w:tc>
          <w:tcPr>
            <w:tcW w:w="9016" w:type="dxa"/>
          </w:tcPr>
          <w:p w:rsidR="004D0F17" w:rsidRDefault="00DC2896">
            <w:pPr>
              <w:pStyle w:val="Heading1"/>
              <w:spacing w:before="0"/>
              <w:jc w:val="center"/>
              <w:outlineLvl w:val="0"/>
            </w:pPr>
            <w:bookmarkStart w:id="0" w:name="_Toc534626197"/>
            <w:bookmarkStart w:id="1" w:name="_Toc534667861"/>
            <w:bookmarkStart w:id="2" w:name="_Toc534681840"/>
            <w:r>
              <w:t>EXECUTIVE SUMMARY</w:t>
            </w:r>
            <w:bookmarkEnd w:id="0"/>
            <w:bookmarkEnd w:id="1"/>
            <w:bookmarkEnd w:id="2"/>
          </w:p>
          <w:p w:rsidR="004D0F17" w:rsidRDefault="004D0F17">
            <w:pPr>
              <w:pStyle w:val="normal0"/>
              <w:jc w:val="both"/>
            </w:pPr>
          </w:p>
          <w:p w:rsidR="00BC0C55" w:rsidRDefault="00703E25" w:rsidP="00A33433">
            <w:pPr>
              <w:pStyle w:val="normal0"/>
              <w:spacing w:line="360" w:lineRule="auto"/>
              <w:jc w:val="both"/>
            </w:pPr>
            <w:r>
              <w:t xml:space="preserve">Of course, </w:t>
            </w:r>
            <w:r w:rsidR="00DA573C">
              <w:t xml:space="preserve">the global recession has necessitated the need to cut cost on a lot of initiatives. However, diversity (and inclusion) should not be touched but rather entrenched. Over the past few decades, </w:t>
            </w:r>
            <w:r w:rsidR="00A33433">
              <w:t>US demographics have</w:t>
            </w:r>
            <w:r w:rsidR="00DA573C">
              <w:t xml:space="preserve"> undergone </w:t>
            </w:r>
            <w:r w:rsidR="00A33433">
              <w:t xml:space="preserve">significant transformation. According to </w:t>
            </w:r>
            <w:r w:rsidR="00A33433">
              <w:rPr>
                <w:noProof/>
              </w:rPr>
              <w:t>US Census Bureau Board</w:t>
            </w:r>
            <w:r w:rsidR="00A33433">
              <w:t xml:space="preserve"> </w:t>
            </w:r>
            <w:sdt>
              <w:sdtPr>
                <w:id w:val="23433888"/>
                <w:citation/>
              </w:sdtPr>
              <w:sdtContent>
                <w:fldSimple w:instr=" CITATION USC12 \n  \l 2057  ">
                  <w:r w:rsidR="00A33433">
                    <w:rPr>
                      <w:noProof/>
                    </w:rPr>
                    <w:t>(2012)</w:t>
                  </w:r>
                </w:fldSimple>
              </w:sdtContent>
            </w:sdt>
            <w:r w:rsidR="00A33433">
              <w:t>, the minority group would eclipse the majority group by 2045 therefore changing the market landscape. With this, Aetna, the third largest publicly traded health insurance provider need to diversify by creating new products for new markets. Doing this, among others, require a great understanding of the (target) market as well as others</w:t>
            </w:r>
            <w:r w:rsidR="00BC0C55">
              <w:t xml:space="preserve"> which diversity and a great inclusion policy can provide</w:t>
            </w:r>
            <w:r w:rsidR="00A33433">
              <w:t>. Bes</w:t>
            </w:r>
            <w:r w:rsidR="00BC0C55">
              <w:t>ides this, diversity has been found to be correlated with performance (</w:t>
            </w:r>
            <w:r w:rsidR="00BC0C55">
              <w:rPr>
                <w:noProof/>
              </w:rPr>
              <w:t>Ali et al., 2011</w:t>
            </w:r>
            <w:r w:rsidR="00BC0C55">
              <w:t xml:space="preserve">; </w:t>
            </w:r>
            <w:r w:rsidR="00BC0C55">
              <w:rPr>
                <w:noProof/>
              </w:rPr>
              <w:t>Backes-Gellner &amp; Veen, 2013; Delloite Australia, 2013</w:t>
            </w:r>
            <w:r w:rsidR="00BC0C55">
              <w:t>), short term profitability in Earnings Before Interest and Tax (EBIT) as well as long term profitability</w:t>
            </w:r>
            <w:sdt>
              <w:sdtPr>
                <w:id w:val="23433891"/>
                <w:citation/>
              </w:sdtPr>
              <w:sdtContent>
                <w:fldSimple w:instr=" CITATION Hun18 \l 2057 ">
                  <w:r w:rsidR="00BC0C55">
                    <w:rPr>
                      <w:noProof/>
                    </w:rPr>
                    <w:t xml:space="preserve"> (Hunt et al., 2018)</w:t>
                  </w:r>
                </w:fldSimple>
              </w:sdtContent>
            </w:sdt>
            <w:r w:rsidR="00BC0C55">
              <w:t>. Having looked at previous literature review, do strategic analysis of the company, industry and market to predict the potential happenstances, it is my believe that Aetna should not just continue with the diversity policies but entrench them more.</w:t>
            </w:r>
            <w:r w:rsidR="00A33433">
              <w:t xml:space="preserve"> </w:t>
            </w:r>
          </w:p>
          <w:p w:rsidR="00347B78" w:rsidRPr="001302C2" w:rsidRDefault="00347B78" w:rsidP="001302C2">
            <w:pPr>
              <w:pStyle w:val="normal0"/>
              <w:jc w:val="both"/>
              <w:rPr>
                <w:sz w:val="8"/>
                <w:szCs w:val="8"/>
              </w:rPr>
            </w:pPr>
          </w:p>
          <w:p w:rsidR="00BC0C55" w:rsidRDefault="00BC0C55" w:rsidP="00A33433">
            <w:pPr>
              <w:pStyle w:val="normal0"/>
              <w:spacing w:line="360" w:lineRule="auto"/>
              <w:jc w:val="both"/>
            </w:pPr>
            <w:r>
              <w:t>More importantly, it is not just about the number of workers</w:t>
            </w:r>
            <w:r w:rsidR="00347B78">
              <w:t xml:space="preserve"> with different diversity dimens</w:t>
            </w:r>
            <w:r>
              <w:t xml:space="preserve">ions or the numbers of programs, but how diversity is truly managed so as to serve as one of competitive advantage in the red ocean. </w:t>
            </w:r>
          </w:p>
          <w:p w:rsidR="006267BF" w:rsidRPr="001302C2" w:rsidRDefault="006267BF" w:rsidP="001302C2">
            <w:pPr>
              <w:pStyle w:val="normal0"/>
              <w:rPr>
                <w:sz w:val="6"/>
                <w:szCs w:val="6"/>
              </w:rPr>
            </w:pPr>
          </w:p>
          <w:p w:rsidR="004D0F17" w:rsidRPr="00347B78" w:rsidRDefault="00347B78" w:rsidP="00347B78">
            <w:pPr>
              <w:pStyle w:val="normal0"/>
              <w:spacing w:line="360" w:lineRule="auto"/>
              <w:jc w:val="both"/>
            </w:pPr>
            <w:r>
              <w:t xml:space="preserve">This report is as such an analysis of the contemporary issues surrounding diversity as it pertains to Aetna: it looked at the cost-benefit analysis of diversity, reviewed the present situation as well as look at the company’s industry and market so as to make a decision that would align well with the future projections. </w:t>
            </w:r>
          </w:p>
        </w:tc>
      </w:tr>
    </w:tbl>
    <w:p w:rsidR="00676626" w:rsidRPr="00676626" w:rsidRDefault="00676626" w:rsidP="00676626"/>
    <w:p w:rsidR="004D0F17" w:rsidRDefault="00DC2896">
      <w:pPr>
        <w:pStyle w:val="Heading1"/>
        <w:jc w:val="center"/>
      </w:pPr>
      <w:bookmarkStart w:id="3" w:name="_Toc534626198"/>
      <w:bookmarkStart w:id="4" w:name="_Toc534667862"/>
      <w:bookmarkStart w:id="5" w:name="_Toc534681841"/>
      <w:r>
        <w:lastRenderedPageBreak/>
        <w:t>TABLE OF CONTENTS</w:t>
      </w:r>
      <w:bookmarkEnd w:id="3"/>
      <w:bookmarkEnd w:id="4"/>
      <w:bookmarkEnd w:id="5"/>
    </w:p>
    <w:sdt>
      <w:sdtPr>
        <w:id w:val="25701508"/>
        <w:docPartObj>
          <w:docPartGallery w:val="Table of Contents"/>
          <w:docPartUnique/>
        </w:docPartObj>
      </w:sdtPr>
      <w:sdtContent>
        <w:p w:rsidR="009A4C88" w:rsidRDefault="00EC097A">
          <w:pPr>
            <w:pStyle w:val="TOC1"/>
            <w:rPr>
              <w:rFonts w:asciiTheme="minorHAnsi" w:eastAsiaTheme="minorEastAsia" w:hAnsiTheme="minorHAnsi" w:cstheme="minorBidi"/>
              <w:noProof/>
            </w:rPr>
          </w:pPr>
          <w:r>
            <w:fldChar w:fldCharType="begin"/>
          </w:r>
          <w:r w:rsidR="00DC2896">
            <w:instrText xml:space="preserve"> TOC \h \u \z </w:instrText>
          </w:r>
          <w:r>
            <w:fldChar w:fldCharType="separate"/>
          </w:r>
          <w:hyperlink w:anchor="_Toc534681840" w:history="1">
            <w:r w:rsidR="009A4C88" w:rsidRPr="00820B16">
              <w:rPr>
                <w:rStyle w:val="Hyperlink"/>
                <w:noProof/>
              </w:rPr>
              <w:t>EXECUTIVE SUMMARY</w:t>
            </w:r>
            <w:r w:rsidR="009A4C88">
              <w:rPr>
                <w:noProof/>
                <w:webHidden/>
              </w:rPr>
              <w:tab/>
            </w:r>
            <w:r w:rsidR="009A4C88">
              <w:rPr>
                <w:noProof/>
                <w:webHidden/>
              </w:rPr>
              <w:fldChar w:fldCharType="begin"/>
            </w:r>
            <w:r w:rsidR="009A4C88">
              <w:rPr>
                <w:noProof/>
                <w:webHidden/>
              </w:rPr>
              <w:instrText xml:space="preserve"> PAGEREF _Toc534681840 \h </w:instrText>
            </w:r>
            <w:r w:rsidR="009A4C88">
              <w:rPr>
                <w:noProof/>
                <w:webHidden/>
              </w:rPr>
            </w:r>
            <w:r w:rsidR="009A4C88">
              <w:rPr>
                <w:noProof/>
                <w:webHidden/>
              </w:rPr>
              <w:fldChar w:fldCharType="separate"/>
            </w:r>
            <w:r w:rsidR="009A4C88">
              <w:rPr>
                <w:noProof/>
                <w:webHidden/>
              </w:rPr>
              <w:t>2</w:t>
            </w:r>
            <w:r w:rsidR="009A4C88">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1" w:history="1">
            <w:r w:rsidRPr="00820B16">
              <w:rPr>
                <w:rStyle w:val="Hyperlink"/>
                <w:noProof/>
              </w:rPr>
              <w:t>TABLE OF CONTENTS</w:t>
            </w:r>
            <w:r>
              <w:rPr>
                <w:noProof/>
                <w:webHidden/>
              </w:rPr>
              <w:tab/>
            </w:r>
            <w:r>
              <w:rPr>
                <w:noProof/>
                <w:webHidden/>
              </w:rPr>
              <w:fldChar w:fldCharType="begin"/>
            </w:r>
            <w:r>
              <w:rPr>
                <w:noProof/>
                <w:webHidden/>
              </w:rPr>
              <w:instrText xml:space="preserve"> PAGEREF _Toc534681841 \h </w:instrText>
            </w:r>
            <w:r>
              <w:rPr>
                <w:noProof/>
                <w:webHidden/>
              </w:rPr>
            </w:r>
            <w:r>
              <w:rPr>
                <w:noProof/>
                <w:webHidden/>
              </w:rPr>
              <w:fldChar w:fldCharType="separate"/>
            </w:r>
            <w:r>
              <w:rPr>
                <w:noProof/>
                <w:webHidden/>
              </w:rPr>
              <w:t>3</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2" w:history="1">
            <w:r w:rsidRPr="00820B16">
              <w:rPr>
                <w:rStyle w:val="Hyperlink"/>
                <w:noProof/>
              </w:rPr>
              <w:t>TABLE OF FIGURES</w:t>
            </w:r>
            <w:r>
              <w:rPr>
                <w:noProof/>
                <w:webHidden/>
              </w:rPr>
              <w:tab/>
            </w:r>
            <w:r>
              <w:rPr>
                <w:noProof/>
                <w:webHidden/>
              </w:rPr>
              <w:fldChar w:fldCharType="begin"/>
            </w:r>
            <w:r>
              <w:rPr>
                <w:noProof/>
                <w:webHidden/>
              </w:rPr>
              <w:instrText xml:space="preserve"> PAGEREF _Toc534681842 \h </w:instrText>
            </w:r>
            <w:r>
              <w:rPr>
                <w:noProof/>
                <w:webHidden/>
              </w:rPr>
            </w:r>
            <w:r>
              <w:rPr>
                <w:noProof/>
                <w:webHidden/>
              </w:rPr>
              <w:fldChar w:fldCharType="separate"/>
            </w:r>
            <w:r>
              <w:rPr>
                <w:noProof/>
                <w:webHidden/>
              </w:rPr>
              <w:t>4</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3" w:history="1">
            <w:r w:rsidRPr="00820B16">
              <w:rPr>
                <w:rStyle w:val="Hyperlink"/>
                <w:noProof/>
              </w:rPr>
              <w:t>TABLE OF TABLES</w:t>
            </w:r>
            <w:r>
              <w:rPr>
                <w:noProof/>
                <w:webHidden/>
              </w:rPr>
              <w:tab/>
            </w:r>
            <w:r>
              <w:rPr>
                <w:noProof/>
                <w:webHidden/>
              </w:rPr>
              <w:fldChar w:fldCharType="begin"/>
            </w:r>
            <w:r>
              <w:rPr>
                <w:noProof/>
                <w:webHidden/>
              </w:rPr>
              <w:instrText xml:space="preserve"> PAGEREF _Toc534681843 \h </w:instrText>
            </w:r>
            <w:r>
              <w:rPr>
                <w:noProof/>
                <w:webHidden/>
              </w:rPr>
            </w:r>
            <w:r>
              <w:rPr>
                <w:noProof/>
                <w:webHidden/>
              </w:rPr>
              <w:fldChar w:fldCharType="separate"/>
            </w:r>
            <w:r>
              <w:rPr>
                <w:noProof/>
                <w:webHidden/>
              </w:rPr>
              <w:t>4</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4" w:history="1">
            <w:r w:rsidRPr="00820B16">
              <w:rPr>
                <w:rStyle w:val="Hyperlink"/>
                <w:noProof/>
              </w:rPr>
              <w:t>GLOSSARY OF ACRONYMS</w:t>
            </w:r>
            <w:r>
              <w:rPr>
                <w:noProof/>
                <w:webHidden/>
              </w:rPr>
              <w:tab/>
            </w:r>
            <w:r>
              <w:rPr>
                <w:noProof/>
                <w:webHidden/>
              </w:rPr>
              <w:fldChar w:fldCharType="begin"/>
            </w:r>
            <w:r>
              <w:rPr>
                <w:noProof/>
                <w:webHidden/>
              </w:rPr>
              <w:instrText xml:space="preserve"> PAGEREF _Toc534681844 \h </w:instrText>
            </w:r>
            <w:r>
              <w:rPr>
                <w:noProof/>
                <w:webHidden/>
              </w:rPr>
            </w:r>
            <w:r>
              <w:rPr>
                <w:noProof/>
                <w:webHidden/>
              </w:rPr>
              <w:fldChar w:fldCharType="separate"/>
            </w:r>
            <w:r>
              <w:rPr>
                <w:noProof/>
                <w:webHidden/>
              </w:rPr>
              <w:t>4</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5" w:history="1">
            <w:r w:rsidRPr="00820B16">
              <w:rPr>
                <w:rStyle w:val="Hyperlink"/>
                <w:noProof/>
              </w:rPr>
              <w:t>SECTION ONE: REPORT INTRODUCTION</w:t>
            </w:r>
            <w:r>
              <w:rPr>
                <w:noProof/>
                <w:webHidden/>
              </w:rPr>
              <w:tab/>
            </w:r>
            <w:r>
              <w:rPr>
                <w:noProof/>
                <w:webHidden/>
              </w:rPr>
              <w:fldChar w:fldCharType="begin"/>
            </w:r>
            <w:r>
              <w:rPr>
                <w:noProof/>
                <w:webHidden/>
              </w:rPr>
              <w:instrText xml:space="preserve"> PAGEREF _Toc534681845 \h </w:instrText>
            </w:r>
            <w:r>
              <w:rPr>
                <w:noProof/>
                <w:webHidden/>
              </w:rPr>
            </w:r>
            <w:r>
              <w:rPr>
                <w:noProof/>
                <w:webHidden/>
              </w:rPr>
              <w:fldChar w:fldCharType="separate"/>
            </w:r>
            <w:r>
              <w:rPr>
                <w:noProof/>
                <w:webHidden/>
              </w:rPr>
              <w:t>5</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46" w:history="1">
            <w:r w:rsidRPr="00820B16">
              <w:rPr>
                <w:rStyle w:val="Hyperlink"/>
                <w:noProof/>
              </w:rPr>
              <w:t>1.1 CONTEXT</w:t>
            </w:r>
            <w:r>
              <w:rPr>
                <w:noProof/>
                <w:webHidden/>
              </w:rPr>
              <w:tab/>
            </w:r>
            <w:r>
              <w:rPr>
                <w:noProof/>
                <w:webHidden/>
              </w:rPr>
              <w:fldChar w:fldCharType="begin"/>
            </w:r>
            <w:r>
              <w:rPr>
                <w:noProof/>
                <w:webHidden/>
              </w:rPr>
              <w:instrText xml:space="preserve"> PAGEREF _Toc534681846 \h </w:instrText>
            </w:r>
            <w:r>
              <w:rPr>
                <w:noProof/>
                <w:webHidden/>
              </w:rPr>
            </w:r>
            <w:r>
              <w:rPr>
                <w:noProof/>
                <w:webHidden/>
              </w:rPr>
              <w:fldChar w:fldCharType="separate"/>
            </w:r>
            <w:r>
              <w:rPr>
                <w:noProof/>
                <w:webHidden/>
              </w:rPr>
              <w:t>5</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47" w:history="1">
            <w:r w:rsidRPr="00820B16">
              <w:rPr>
                <w:rStyle w:val="Hyperlink"/>
                <w:noProof/>
              </w:rPr>
              <w:t>1.2 STRUCTURE OF THE REPORT</w:t>
            </w:r>
            <w:r>
              <w:rPr>
                <w:noProof/>
                <w:webHidden/>
              </w:rPr>
              <w:tab/>
            </w:r>
            <w:r>
              <w:rPr>
                <w:noProof/>
                <w:webHidden/>
              </w:rPr>
              <w:fldChar w:fldCharType="begin"/>
            </w:r>
            <w:r>
              <w:rPr>
                <w:noProof/>
                <w:webHidden/>
              </w:rPr>
              <w:instrText xml:space="preserve"> PAGEREF _Toc534681847 \h </w:instrText>
            </w:r>
            <w:r>
              <w:rPr>
                <w:noProof/>
                <w:webHidden/>
              </w:rPr>
            </w:r>
            <w:r>
              <w:rPr>
                <w:noProof/>
                <w:webHidden/>
              </w:rPr>
              <w:fldChar w:fldCharType="separate"/>
            </w:r>
            <w:r>
              <w:rPr>
                <w:noProof/>
                <w:webHidden/>
              </w:rPr>
              <w:t>6</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48" w:history="1">
            <w:r w:rsidRPr="00820B16">
              <w:rPr>
                <w:rStyle w:val="Hyperlink"/>
                <w:noProof/>
              </w:rPr>
              <w:t>SECTION TWO: REVIEW AND ANALYSIS</w:t>
            </w:r>
            <w:r>
              <w:rPr>
                <w:noProof/>
                <w:webHidden/>
              </w:rPr>
              <w:tab/>
            </w:r>
            <w:r>
              <w:rPr>
                <w:noProof/>
                <w:webHidden/>
              </w:rPr>
              <w:fldChar w:fldCharType="begin"/>
            </w:r>
            <w:r>
              <w:rPr>
                <w:noProof/>
                <w:webHidden/>
              </w:rPr>
              <w:instrText xml:space="preserve"> PAGEREF _Toc534681848 \h </w:instrText>
            </w:r>
            <w:r>
              <w:rPr>
                <w:noProof/>
                <w:webHidden/>
              </w:rPr>
            </w:r>
            <w:r>
              <w:rPr>
                <w:noProof/>
                <w:webHidden/>
              </w:rPr>
              <w:fldChar w:fldCharType="separate"/>
            </w:r>
            <w:r>
              <w:rPr>
                <w:noProof/>
                <w:webHidden/>
              </w:rPr>
              <w:t>6</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49" w:history="1">
            <w:r w:rsidRPr="00820B16">
              <w:rPr>
                <w:rStyle w:val="Hyperlink"/>
                <w:noProof/>
              </w:rPr>
              <w:t>2.1 DIVERSITY, ITS DIMENSIONS AND AETNA’S IMPLEMENTATION: AN OVERVIEW</w:t>
            </w:r>
            <w:r>
              <w:rPr>
                <w:noProof/>
                <w:webHidden/>
              </w:rPr>
              <w:tab/>
            </w:r>
            <w:r>
              <w:rPr>
                <w:noProof/>
                <w:webHidden/>
              </w:rPr>
              <w:fldChar w:fldCharType="begin"/>
            </w:r>
            <w:r>
              <w:rPr>
                <w:noProof/>
                <w:webHidden/>
              </w:rPr>
              <w:instrText xml:space="preserve"> PAGEREF _Toc534681849 \h </w:instrText>
            </w:r>
            <w:r>
              <w:rPr>
                <w:noProof/>
                <w:webHidden/>
              </w:rPr>
            </w:r>
            <w:r>
              <w:rPr>
                <w:noProof/>
                <w:webHidden/>
              </w:rPr>
              <w:fldChar w:fldCharType="separate"/>
            </w:r>
            <w:r>
              <w:rPr>
                <w:noProof/>
                <w:webHidden/>
              </w:rPr>
              <w:t>6</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50" w:history="1">
            <w:r w:rsidRPr="00820B16">
              <w:rPr>
                <w:rStyle w:val="Hyperlink"/>
                <w:noProof/>
              </w:rPr>
              <w:t>2.2 WORKPLACE DIVERSITY: A STRATEGIC IMPERATIVE</w:t>
            </w:r>
            <w:r>
              <w:rPr>
                <w:noProof/>
                <w:webHidden/>
              </w:rPr>
              <w:tab/>
            </w:r>
            <w:r>
              <w:rPr>
                <w:noProof/>
                <w:webHidden/>
              </w:rPr>
              <w:fldChar w:fldCharType="begin"/>
            </w:r>
            <w:r>
              <w:rPr>
                <w:noProof/>
                <w:webHidden/>
              </w:rPr>
              <w:instrText xml:space="preserve"> PAGEREF _Toc534681850 \h </w:instrText>
            </w:r>
            <w:r>
              <w:rPr>
                <w:noProof/>
                <w:webHidden/>
              </w:rPr>
            </w:r>
            <w:r>
              <w:rPr>
                <w:noProof/>
                <w:webHidden/>
              </w:rPr>
              <w:fldChar w:fldCharType="separate"/>
            </w:r>
            <w:r>
              <w:rPr>
                <w:noProof/>
                <w:webHidden/>
              </w:rPr>
              <w:t>9</w:t>
            </w:r>
            <w:r>
              <w:rPr>
                <w:noProof/>
                <w:webHidden/>
              </w:rPr>
              <w:fldChar w:fldCharType="end"/>
            </w:r>
          </w:hyperlink>
        </w:p>
        <w:p w:rsidR="009A4C88" w:rsidRDefault="009A4C88">
          <w:pPr>
            <w:pStyle w:val="TOC3"/>
            <w:tabs>
              <w:tab w:val="right" w:pos="9016"/>
            </w:tabs>
            <w:rPr>
              <w:rFonts w:asciiTheme="minorHAnsi" w:eastAsiaTheme="minorEastAsia" w:hAnsiTheme="minorHAnsi" w:cstheme="minorBidi"/>
              <w:noProof/>
            </w:rPr>
          </w:pPr>
          <w:hyperlink w:anchor="_Toc534681851" w:history="1">
            <w:r w:rsidRPr="00820B16">
              <w:rPr>
                <w:rStyle w:val="Hyperlink"/>
                <w:noProof/>
              </w:rPr>
              <w:t>2.2.1: OVERVIEW AND A BUSINESS CASE FOR DIVERSITY IN ETHNICITY OR RACE</w:t>
            </w:r>
            <w:r>
              <w:rPr>
                <w:noProof/>
                <w:webHidden/>
              </w:rPr>
              <w:tab/>
            </w:r>
            <w:r>
              <w:rPr>
                <w:noProof/>
                <w:webHidden/>
              </w:rPr>
              <w:fldChar w:fldCharType="begin"/>
            </w:r>
            <w:r>
              <w:rPr>
                <w:noProof/>
                <w:webHidden/>
              </w:rPr>
              <w:instrText xml:space="preserve"> PAGEREF _Toc534681851 \h </w:instrText>
            </w:r>
            <w:r>
              <w:rPr>
                <w:noProof/>
                <w:webHidden/>
              </w:rPr>
            </w:r>
            <w:r>
              <w:rPr>
                <w:noProof/>
                <w:webHidden/>
              </w:rPr>
              <w:fldChar w:fldCharType="separate"/>
            </w:r>
            <w:r>
              <w:rPr>
                <w:noProof/>
                <w:webHidden/>
              </w:rPr>
              <w:t>9</w:t>
            </w:r>
            <w:r>
              <w:rPr>
                <w:noProof/>
                <w:webHidden/>
              </w:rPr>
              <w:fldChar w:fldCharType="end"/>
            </w:r>
          </w:hyperlink>
        </w:p>
        <w:p w:rsidR="009A4C88" w:rsidRDefault="009A4C88">
          <w:pPr>
            <w:pStyle w:val="TOC3"/>
            <w:tabs>
              <w:tab w:val="right" w:pos="9016"/>
            </w:tabs>
            <w:rPr>
              <w:rFonts w:asciiTheme="minorHAnsi" w:eastAsiaTheme="minorEastAsia" w:hAnsiTheme="minorHAnsi" w:cstheme="minorBidi"/>
              <w:noProof/>
            </w:rPr>
          </w:pPr>
          <w:hyperlink w:anchor="_Toc534681852" w:history="1">
            <w:r w:rsidRPr="00820B16">
              <w:rPr>
                <w:rStyle w:val="Hyperlink"/>
                <w:noProof/>
              </w:rPr>
              <w:t>2.2.2: THE GENDER DIMENSION: A BUSINESS CASE FOR DIVERSITY IN GENDER</w:t>
            </w:r>
            <w:r>
              <w:rPr>
                <w:noProof/>
                <w:webHidden/>
              </w:rPr>
              <w:tab/>
            </w:r>
            <w:r>
              <w:rPr>
                <w:noProof/>
                <w:webHidden/>
              </w:rPr>
              <w:fldChar w:fldCharType="begin"/>
            </w:r>
            <w:r>
              <w:rPr>
                <w:noProof/>
                <w:webHidden/>
              </w:rPr>
              <w:instrText xml:space="preserve"> PAGEREF _Toc534681852 \h </w:instrText>
            </w:r>
            <w:r>
              <w:rPr>
                <w:noProof/>
                <w:webHidden/>
              </w:rPr>
            </w:r>
            <w:r>
              <w:rPr>
                <w:noProof/>
                <w:webHidden/>
              </w:rPr>
              <w:fldChar w:fldCharType="separate"/>
            </w:r>
            <w:r>
              <w:rPr>
                <w:noProof/>
                <w:webHidden/>
              </w:rPr>
              <w:t>11</w:t>
            </w:r>
            <w:r>
              <w:rPr>
                <w:noProof/>
                <w:webHidden/>
              </w:rPr>
              <w:fldChar w:fldCharType="end"/>
            </w:r>
          </w:hyperlink>
        </w:p>
        <w:p w:rsidR="009A4C88" w:rsidRDefault="009A4C88">
          <w:pPr>
            <w:pStyle w:val="TOC3"/>
            <w:tabs>
              <w:tab w:val="right" w:pos="9016"/>
            </w:tabs>
            <w:rPr>
              <w:rFonts w:asciiTheme="minorHAnsi" w:eastAsiaTheme="minorEastAsia" w:hAnsiTheme="minorHAnsi" w:cstheme="minorBidi"/>
              <w:noProof/>
            </w:rPr>
          </w:pPr>
          <w:hyperlink w:anchor="_Toc534681853" w:history="1">
            <w:r w:rsidRPr="00820B16">
              <w:rPr>
                <w:rStyle w:val="Hyperlink"/>
                <w:noProof/>
              </w:rPr>
              <w:t>2.2.3 SUMMARY OF STRATEGIC IMPERATIVE FOR DIVERSITY AND A COST-BENEFIT ANALYSIS</w:t>
            </w:r>
            <w:r>
              <w:rPr>
                <w:noProof/>
                <w:webHidden/>
              </w:rPr>
              <w:tab/>
            </w:r>
            <w:r>
              <w:rPr>
                <w:noProof/>
                <w:webHidden/>
              </w:rPr>
              <w:fldChar w:fldCharType="begin"/>
            </w:r>
            <w:r>
              <w:rPr>
                <w:noProof/>
                <w:webHidden/>
              </w:rPr>
              <w:instrText xml:space="preserve"> PAGEREF _Toc534681853 \h </w:instrText>
            </w:r>
            <w:r>
              <w:rPr>
                <w:noProof/>
                <w:webHidden/>
              </w:rPr>
            </w:r>
            <w:r>
              <w:rPr>
                <w:noProof/>
                <w:webHidden/>
              </w:rPr>
              <w:fldChar w:fldCharType="separate"/>
            </w:r>
            <w:r>
              <w:rPr>
                <w:noProof/>
                <w:webHidden/>
              </w:rPr>
              <w:t>12</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54" w:history="1">
            <w:r w:rsidRPr="00820B16">
              <w:rPr>
                <w:rStyle w:val="Hyperlink"/>
                <w:noProof/>
              </w:rPr>
              <w:t>2.3 HEALTH INSURANCE INDUSTRY, MARKET AND STRATEGIC ANALYSIS</w:t>
            </w:r>
            <w:r>
              <w:rPr>
                <w:noProof/>
                <w:webHidden/>
              </w:rPr>
              <w:tab/>
            </w:r>
            <w:r>
              <w:rPr>
                <w:noProof/>
                <w:webHidden/>
              </w:rPr>
              <w:fldChar w:fldCharType="begin"/>
            </w:r>
            <w:r>
              <w:rPr>
                <w:noProof/>
                <w:webHidden/>
              </w:rPr>
              <w:instrText xml:space="preserve"> PAGEREF _Toc534681854 \h </w:instrText>
            </w:r>
            <w:r>
              <w:rPr>
                <w:noProof/>
                <w:webHidden/>
              </w:rPr>
            </w:r>
            <w:r>
              <w:rPr>
                <w:noProof/>
                <w:webHidden/>
              </w:rPr>
              <w:fldChar w:fldCharType="separate"/>
            </w:r>
            <w:r>
              <w:rPr>
                <w:noProof/>
                <w:webHidden/>
              </w:rPr>
              <w:t>14</w:t>
            </w:r>
            <w:r>
              <w:rPr>
                <w:noProof/>
                <w:webHidden/>
              </w:rPr>
              <w:fldChar w:fldCharType="end"/>
            </w:r>
          </w:hyperlink>
        </w:p>
        <w:p w:rsidR="009A4C88" w:rsidRDefault="009A4C88">
          <w:pPr>
            <w:pStyle w:val="TOC3"/>
            <w:tabs>
              <w:tab w:val="right" w:pos="9016"/>
            </w:tabs>
            <w:rPr>
              <w:rFonts w:asciiTheme="minorHAnsi" w:eastAsiaTheme="minorEastAsia" w:hAnsiTheme="minorHAnsi" w:cstheme="minorBidi"/>
              <w:noProof/>
            </w:rPr>
          </w:pPr>
          <w:hyperlink w:anchor="_Toc534681855" w:history="1">
            <w:r w:rsidRPr="00820B16">
              <w:rPr>
                <w:rStyle w:val="Hyperlink"/>
                <w:noProof/>
              </w:rPr>
              <w:t>2.3.1 AETNA’S CURRENT SITUATION AND ANALYSIS OF THE STRATEGIC POSITION</w:t>
            </w:r>
            <w:r>
              <w:rPr>
                <w:noProof/>
                <w:webHidden/>
              </w:rPr>
              <w:tab/>
            </w:r>
            <w:r>
              <w:rPr>
                <w:noProof/>
                <w:webHidden/>
              </w:rPr>
              <w:fldChar w:fldCharType="begin"/>
            </w:r>
            <w:r>
              <w:rPr>
                <w:noProof/>
                <w:webHidden/>
              </w:rPr>
              <w:instrText xml:space="preserve"> PAGEREF _Toc534681855 \h </w:instrText>
            </w:r>
            <w:r>
              <w:rPr>
                <w:noProof/>
                <w:webHidden/>
              </w:rPr>
            </w:r>
            <w:r>
              <w:rPr>
                <w:noProof/>
                <w:webHidden/>
              </w:rPr>
              <w:fldChar w:fldCharType="separate"/>
            </w:r>
            <w:r>
              <w:rPr>
                <w:noProof/>
                <w:webHidden/>
              </w:rPr>
              <w:t>16</w:t>
            </w:r>
            <w:r>
              <w:rPr>
                <w:noProof/>
                <w:webHidden/>
              </w:rPr>
              <w:fldChar w:fldCharType="end"/>
            </w:r>
          </w:hyperlink>
        </w:p>
        <w:p w:rsidR="009A4C88" w:rsidRDefault="009A4C88">
          <w:pPr>
            <w:pStyle w:val="TOC3"/>
            <w:tabs>
              <w:tab w:val="right" w:pos="9016"/>
            </w:tabs>
            <w:rPr>
              <w:rFonts w:asciiTheme="minorHAnsi" w:eastAsiaTheme="minorEastAsia" w:hAnsiTheme="minorHAnsi" w:cstheme="minorBidi"/>
              <w:noProof/>
            </w:rPr>
          </w:pPr>
          <w:hyperlink w:anchor="_Toc534681856" w:history="1">
            <w:r w:rsidRPr="00820B16">
              <w:rPr>
                <w:rStyle w:val="Hyperlink"/>
                <w:noProof/>
              </w:rPr>
              <w:t>2.3.2 AETNA’S STRATEGIC CHOICES AND PRACTICAL IMPLEMENTATION</w:t>
            </w:r>
            <w:r>
              <w:rPr>
                <w:noProof/>
                <w:webHidden/>
              </w:rPr>
              <w:tab/>
            </w:r>
            <w:r>
              <w:rPr>
                <w:noProof/>
                <w:webHidden/>
              </w:rPr>
              <w:fldChar w:fldCharType="begin"/>
            </w:r>
            <w:r>
              <w:rPr>
                <w:noProof/>
                <w:webHidden/>
              </w:rPr>
              <w:instrText xml:space="preserve"> PAGEREF _Toc534681856 \h </w:instrText>
            </w:r>
            <w:r>
              <w:rPr>
                <w:noProof/>
                <w:webHidden/>
              </w:rPr>
            </w:r>
            <w:r>
              <w:rPr>
                <w:noProof/>
                <w:webHidden/>
              </w:rPr>
              <w:fldChar w:fldCharType="separate"/>
            </w:r>
            <w:r>
              <w:rPr>
                <w:noProof/>
                <w:webHidden/>
              </w:rPr>
              <w:t>20</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57" w:history="1">
            <w:r w:rsidRPr="00820B16">
              <w:rPr>
                <w:rStyle w:val="Hyperlink"/>
                <w:noProof/>
              </w:rPr>
              <w:t>SECTION THREE: RECOMMENDATION</w:t>
            </w:r>
            <w:r>
              <w:rPr>
                <w:noProof/>
                <w:webHidden/>
              </w:rPr>
              <w:tab/>
            </w:r>
            <w:r>
              <w:rPr>
                <w:noProof/>
                <w:webHidden/>
              </w:rPr>
              <w:fldChar w:fldCharType="begin"/>
            </w:r>
            <w:r>
              <w:rPr>
                <w:noProof/>
                <w:webHidden/>
              </w:rPr>
              <w:instrText xml:space="preserve"> PAGEREF _Toc534681857 \h </w:instrText>
            </w:r>
            <w:r>
              <w:rPr>
                <w:noProof/>
                <w:webHidden/>
              </w:rPr>
            </w:r>
            <w:r>
              <w:rPr>
                <w:noProof/>
                <w:webHidden/>
              </w:rPr>
              <w:fldChar w:fldCharType="separate"/>
            </w:r>
            <w:r>
              <w:rPr>
                <w:noProof/>
                <w:webHidden/>
              </w:rPr>
              <w:t>20</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58" w:history="1">
            <w:r w:rsidRPr="00820B16">
              <w:rPr>
                <w:rStyle w:val="Hyperlink"/>
                <w:noProof/>
              </w:rPr>
              <w:t>SECTION FOUR: SUMMARY AND CONCLUSION</w:t>
            </w:r>
            <w:r>
              <w:rPr>
                <w:noProof/>
                <w:webHidden/>
              </w:rPr>
              <w:tab/>
            </w:r>
            <w:r>
              <w:rPr>
                <w:noProof/>
                <w:webHidden/>
              </w:rPr>
              <w:fldChar w:fldCharType="begin"/>
            </w:r>
            <w:r>
              <w:rPr>
                <w:noProof/>
                <w:webHidden/>
              </w:rPr>
              <w:instrText xml:space="preserve"> PAGEREF _Toc534681858 \h </w:instrText>
            </w:r>
            <w:r>
              <w:rPr>
                <w:noProof/>
                <w:webHidden/>
              </w:rPr>
            </w:r>
            <w:r>
              <w:rPr>
                <w:noProof/>
                <w:webHidden/>
              </w:rPr>
              <w:fldChar w:fldCharType="separate"/>
            </w:r>
            <w:r>
              <w:rPr>
                <w:noProof/>
                <w:webHidden/>
              </w:rPr>
              <w:t>25</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59" w:history="1">
            <w:r w:rsidRPr="00820B16">
              <w:rPr>
                <w:rStyle w:val="Hyperlink"/>
                <w:noProof/>
              </w:rPr>
              <w:t>5.0 REFERENCES</w:t>
            </w:r>
            <w:r>
              <w:rPr>
                <w:noProof/>
                <w:webHidden/>
              </w:rPr>
              <w:tab/>
            </w:r>
            <w:r>
              <w:rPr>
                <w:noProof/>
                <w:webHidden/>
              </w:rPr>
              <w:fldChar w:fldCharType="begin"/>
            </w:r>
            <w:r>
              <w:rPr>
                <w:noProof/>
                <w:webHidden/>
              </w:rPr>
              <w:instrText xml:space="preserve"> PAGEREF _Toc534681859 \h </w:instrText>
            </w:r>
            <w:r>
              <w:rPr>
                <w:noProof/>
                <w:webHidden/>
              </w:rPr>
            </w:r>
            <w:r>
              <w:rPr>
                <w:noProof/>
                <w:webHidden/>
              </w:rPr>
              <w:fldChar w:fldCharType="separate"/>
            </w:r>
            <w:r>
              <w:rPr>
                <w:noProof/>
                <w:webHidden/>
              </w:rPr>
              <w:t>26</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60" w:history="1">
            <w:r w:rsidRPr="00820B16">
              <w:rPr>
                <w:rStyle w:val="Hyperlink"/>
                <w:noProof/>
              </w:rPr>
              <w:t>6.0 BIBLIOGRAPHY</w:t>
            </w:r>
            <w:r>
              <w:rPr>
                <w:noProof/>
                <w:webHidden/>
              </w:rPr>
              <w:tab/>
            </w:r>
            <w:r>
              <w:rPr>
                <w:noProof/>
                <w:webHidden/>
              </w:rPr>
              <w:fldChar w:fldCharType="begin"/>
            </w:r>
            <w:r>
              <w:rPr>
                <w:noProof/>
                <w:webHidden/>
              </w:rPr>
              <w:instrText xml:space="preserve"> PAGEREF _Toc534681860 \h </w:instrText>
            </w:r>
            <w:r>
              <w:rPr>
                <w:noProof/>
                <w:webHidden/>
              </w:rPr>
            </w:r>
            <w:r>
              <w:rPr>
                <w:noProof/>
                <w:webHidden/>
              </w:rPr>
              <w:fldChar w:fldCharType="separate"/>
            </w:r>
            <w:r>
              <w:rPr>
                <w:noProof/>
                <w:webHidden/>
              </w:rPr>
              <w:t>29</w:t>
            </w:r>
            <w:r>
              <w:rPr>
                <w:noProof/>
                <w:webHidden/>
              </w:rPr>
              <w:fldChar w:fldCharType="end"/>
            </w:r>
          </w:hyperlink>
        </w:p>
        <w:p w:rsidR="009A4C88" w:rsidRDefault="009A4C88">
          <w:pPr>
            <w:pStyle w:val="TOC1"/>
            <w:rPr>
              <w:rFonts w:asciiTheme="minorHAnsi" w:eastAsiaTheme="minorEastAsia" w:hAnsiTheme="minorHAnsi" w:cstheme="minorBidi"/>
              <w:noProof/>
            </w:rPr>
          </w:pPr>
          <w:hyperlink w:anchor="_Toc534681861" w:history="1">
            <w:r w:rsidRPr="00820B16">
              <w:rPr>
                <w:rStyle w:val="Hyperlink"/>
                <w:noProof/>
              </w:rPr>
              <w:t>7.0 APPENDIX</w:t>
            </w:r>
            <w:r>
              <w:rPr>
                <w:noProof/>
                <w:webHidden/>
              </w:rPr>
              <w:tab/>
            </w:r>
            <w:r>
              <w:rPr>
                <w:noProof/>
                <w:webHidden/>
              </w:rPr>
              <w:fldChar w:fldCharType="begin"/>
            </w:r>
            <w:r>
              <w:rPr>
                <w:noProof/>
                <w:webHidden/>
              </w:rPr>
              <w:instrText xml:space="preserve"> PAGEREF _Toc534681861 \h </w:instrText>
            </w:r>
            <w:r>
              <w:rPr>
                <w:noProof/>
                <w:webHidden/>
              </w:rPr>
            </w:r>
            <w:r>
              <w:rPr>
                <w:noProof/>
                <w:webHidden/>
              </w:rPr>
              <w:fldChar w:fldCharType="separate"/>
            </w:r>
            <w:r>
              <w:rPr>
                <w:noProof/>
                <w:webHidden/>
              </w:rPr>
              <w:t>30</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62" w:history="1">
            <w:r w:rsidRPr="00820B16">
              <w:rPr>
                <w:rStyle w:val="Hyperlink"/>
                <w:noProof/>
              </w:rPr>
              <w:t>6.1 CENSUS BUREAU BOARD BREAKDOWN OF US POPULATION PROJECTION</w:t>
            </w:r>
            <w:r>
              <w:rPr>
                <w:noProof/>
                <w:webHidden/>
              </w:rPr>
              <w:tab/>
            </w:r>
            <w:r>
              <w:rPr>
                <w:noProof/>
                <w:webHidden/>
              </w:rPr>
              <w:fldChar w:fldCharType="begin"/>
            </w:r>
            <w:r>
              <w:rPr>
                <w:noProof/>
                <w:webHidden/>
              </w:rPr>
              <w:instrText xml:space="preserve"> PAGEREF _Toc534681862 \h </w:instrText>
            </w:r>
            <w:r>
              <w:rPr>
                <w:noProof/>
                <w:webHidden/>
              </w:rPr>
            </w:r>
            <w:r>
              <w:rPr>
                <w:noProof/>
                <w:webHidden/>
              </w:rPr>
              <w:fldChar w:fldCharType="separate"/>
            </w:r>
            <w:r>
              <w:rPr>
                <w:noProof/>
                <w:webHidden/>
              </w:rPr>
              <w:t>30</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63" w:history="1">
            <w:r w:rsidRPr="00820B16">
              <w:rPr>
                <w:rStyle w:val="Hyperlink"/>
                <w:noProof/>
              </w:rPr>
              <w:t>6.2 GLOBAL GENDER GAP REPORT SCREENSHOTS</w:t>
            </w:r>
            <w:r>
              <w:rPr>
                <w:noProof/>
                <w:webHidden/>
              </w:rPr>
              <w:tab/>
            </w:r>
            <w:r>
              <w:rPr>
                <w:noProof/>
                <w:webHidden/>
              </w:rPr>
              <w:fldChar w:fldCharType="begin"/>
            </w:r>
            <w:r>
              <w:rPr>
                <w:noProof/>
                <w:webHidden/>
              </w:rPr>
              <w:instrText xml:space="preserve"> PAGEREF _Toc534681863 \h </w:instrText>
            </w:r>
            <w:r>
              <w:rPr>
                <w:noProof/>
                <w:webHidden/>
              </w:rPr>
            </w:r>
            <w:r>
              <w:rPr>
                <w:noProof/>
                <w:webHidden/>
              </w:rPr>
              <w:fldChar w:fldCharType="separate"/>
            </w:r>
            <w:r>
              <w:rPr>
                <w:noProof/>
                <w:webHidden/>
              </w:rPr>
              <w:t>31</w:t>
            </w:r>
            <w:r>
              <w:rPr>
                <w:noProof/>
                <w:webHidden/>
              </w:rPr>
              <w:fldChar w:fldCharType="end"/>
            </w:r>
          </w:hyperlink>
        </w:p>
        <w:p w:rsidR="009A4C88" w:rsidRDefault="009A4C88">
          <w:pPr>
            <w:pStyle w:val="TOC2"/>
            <w:tabs>
              <w:tab w:val="right" w:pos="9016"/>
            </w:tabs>
            <w:rPr>
              <w:rFonts w:asciiTheme="minorHAnsi" w:eastAsiaTheme="minorEastAsia" w:hAnsiTheme="minorHAnsi" w:cstheme="minorBidi"/>
              <w:noProof/>
            </w:rPr>
          </w:pPr>
          <w:hyperlink w:anchor="_Toc534681864" w:history="1">
            <w:r w:rsidRPr="00820B16">
              <w:rPr>
                <w:rStyle w:val="Hyperlink"/>
                <w:noProof/>
              </w:rPr>
              <w:t>6.3 BCG MATRIX</w:t>
            </w:r>
            <w:r>
              <w:rPr>
                <w:noProof/>
                <w:webHidden/>
              </w:rPr>
              <w:tab/>
            </w:r>
            <w:r>
              <w:rPr>
                <w:noProof/>
                <w:webHidden/>
              </w:rPr>
              <w:fldChar w:fldCharType="begin"/>
            </w:r>
            <w:r>
              <w:rPr>
                <w:noProof/>
                <w:webHidden/>
              </w:rPr>
              <w:instrText xml:space="preserve"> PAGEREF _Toc534681864 \h </w:instrText>
            </w:r>
            <w:r>
              <w:rPr>
                <w:noProof/>
                <w:webHidden/>
              </w:rPr>
            </w:r>
            <w:r>
              <w:rPr>
                <w:noProof/>
                <w:webHidden/>
              </w:rPr>
              <w:fldChar w:fldCharType="separate"/>
            </w:r>
            <w:r>
              <w:rPr>
                <w:noProof/>
                <w:webHidden/>
              </w:rPr>
              <w:t>32</w:t>
            </w:r>
            <w:r>
              <w:rPr>
                <w:noProof/>
                <w:webHidden/>
              </w:rPr>
              <w:fldChar w:fldCharType="end"/>
            </w:r>
          </w:hyperlink>
        </w:p>
        <w:p w:rsidR="004D0F17" w:rsidRDefault="00EC097A">
          <w:pPr>
            <w:pStyle w:val="normal0"/>
          </w:pPr>
          <w:r>
            <w:fldChar w:fldCharType="end"/>
          </w:r>
        </w:p>
      </w:sdtContent>
    </w:sdt>
    <w:p w:rsidR="00053401" w:rsidRDefault="00053401">
      <w:pPr>
        <w:pStyle w:val="normal0"/>
        <w:spacing w:line="360" w:lineRule="auto"/>
        <w:jc w:val="both"/>
      </w:pPr>
    </w:p>
    <w:p w:rsidR="00644E98" w:rsidRDefault="00644E98">
      <w:pPr>
        <w:pStyle w:val="normal0"/>
        <w:spacing w:line="360" w:lineRule="auto"/>
        <w:jc w:val="both"/>
      </w:pPr>
    </w:p>
    <w:p w:rsidR="004D0F17" w:rsidRDefault="00DC2896">
      <w:pPr>
        <w:pStyle w:val="Heading1"/>
        <w:jc w:val="center"/>
      </w:pPr>
      <w:bookmarkStart w:id="6" w:name="_Toc534626199"/>
      <w:bookmarkStart w:id="7" w:name="_Toc534667863"/>
      <w:bookmarkStart w:id="8" w:name="_Toc534681842"/>
      <w:r>
        <w:lastRenderedPageBreak/>
        <w:t>TABLE OF FIGURES</w:t>
      </w:r>
      <w:bookmarkEnd w:id="6"/>
      <w:bookmarkEnd w:id="7"/>
      <w:bookmarkEnd w:id="8"/>
    </w:p>
    <w:p w:rsidR="009A4C88" w:rsidRDefault="00453193">
      <w:pPr>
        <w:pStyle w:val="TableofFigures"/>
        <w:tabs>
          <w:tab w:val="right" w:leader="dot" w:pos="9016"/>
        </w:tabs>
        <w:rPr>
          <w:rFonts w:asciiTheme="minorHAnsi" w:eastAsiaTheme="minorEastAsia" w:hAnsiTheme="minorHAnsi" w:cstheme="minorBidi"/>
          <w:noProof/>
        </w:rPr>
      </w:pPr>
      <w:r>
        <w:fldChar w:fldCharType="begin"/>
      </w:r>
      <w:r>
        <w:instrText xml:space="preserve"> TOC \h \z \c "Figure" </w:instrText>
      </w:r>
      <w:r>
        <w:fldChar w:fldCharType="separate"/>
      </w:r>
      <w:hyperlink w:anchor="_Toc534681865" w:history="1">
        <w:r w:rsidR="009A4C88" w:rsidRPr="0063337E">
          <w:rPr>
            <w:rStyle w:val="Hyperlink"/>
            <w:noProof/>
          </w:rPr>
          <w:t>Figure 1: Imperative for Building D&amp;I Strategy</w:t>
        </w:r>
        <w:r w:rsidR="009A4C88">
          <w:rPr>
            <w:noProof/>
            <w:webHidden/>
          </w:rPr>
          <w:tab/>
        </w:r>
        <w:r w:rsidR="009A4C88">
          <w:rPr>
            <w:noProof/>
            <w:webHidden/>
          </w:rPr>
          <w:fldChar w:fldCharType="begin"/>
        </w:r>
        <w:r w:rsidR="009A4C88">
          <w:rPr>
            <w:noProof/>
            <w:webHidden/>
          </w:rPr>
          <w:instrText xml:space="preserve"> PAGEREF _Toc534681865 \h </w:instrText>
        </w:r>
        <w:r w:rsidR="009A4C88">
          <w:rPr>
            <w:noProof/>
            <w:webHidden/>
          </w:rPr>
        </w:r>
        <w:r w:rsidR="009A4C88">
          <w:rPr>
            <w:noProof/>
            <w:webHidden/>
          </w:rPr>
          <w:fldChar w:fldCharType="separate"/>
        </w:r>
        <w:r w:rsidR="009A4C88">
          <w:rPr>
            <w:noProof/>
            <w:webHidden/>
          </w:rPr>
          <w:t>24</w:t>
        </w:r>
        <w:r w:rsidR="009A4C88">
          <w:rPr>
            <w:noProof/>
            <w:webHidden/>
          </w:rPr>
          <w:fldChar w:fldCharType="end"/>
        </w:r>
      </w:hyperlink>
    </w:p>
    <w:p w:rsidR="004D0F17" w:rsidRDefault="00453193" w:rsidP="00453193">
      <w:pPr>
        <w:pStyle w:val="normal0"/>
        <w:spacing w:line="360" w:lineRule="auto"/>
        <w:jc w:val="both"/>
      </w:pPr>
      <w:r>
        <w:fldChar w:fldCharType="end"/>
      </w:r>
    </w:p>
    <w:p w:rsidR="004D0F17" w:rsidRDefault="00DC2896">
      <w:pPr>
        <w:pStyle w:val="Heading1"/>
        <w:jc w:val="center"/>
      </w:pPr>
      <w:bookmarkStart w:id="9" w:name="_Toc534626200"/>
      <w:bookmarkStart w:id="10" w:name="_Toc534667864"/>
      <w:bookmarkStart w:id="11" w:name="_Toc534681843"/>
      <w:r>
        <w:t>TABLE OF TABLES</w:t>
      </w:r>
      <w:bookmarkEnd w:id="9"/>
      <w:bookmarkEnd w:id="10"/>
      <w:bookmarkEnd w:id="11"/>
    </w:p>
    <w:p w:rsidR="009A4C88" w:rsidRDefault="00644E98">
      <w:pPr>
        <w:pStyle w:val="TableofFigures"/>
        <w:tabs>
          <w:tab w:val="right" w:leader="dot" w:pos="9016"/>
        </w:tabs>
        <w:rPr>
          <w:rFonts w:asciiTheme="minorHAnsi" w:eastAsiaTheme="minorEastAsia" w:hAnsiTheme="minorHAnsi" w:cstheme="minorBidi"/>
          <w:noProof/>
        </w:rPr>
      </w:pPr>
      <w:r>
        <w:fldChar w:fldCharType="begin"/>
      </w:r>
      <w:r>
        <w:instrText xml:space="preserve"> TOC \h \z \c "Table" </w:instrText>
      </w:r>
      <w:r>
        <w:fldChar w:fldCharType="separate"/>
      </w:r>
      <w:hyperlink w:anchor="_Toc534681866" w:history="1">
        <w:r w:rsidR="009A4C88" w:rsidRPr="002A60EB">
          <w:rPr>
            <w:rStyle w:val="Hyperlink"/>
            <w:noProof/>
          </w:rPr>
          <w:t>Table 1: Statistics of Workplace Diversity at Aetna</w:t>
        </w:r>
        <w:r w:rsidR="009A4C88">
          <w:rPr>
            <w:noProof/>
            <w:webHidden/>
          </w:rPr>
          <w:tab/>
        </w:r>
        <w:r w:rsidR="009A4C88">
          <w:rPr>
            <w:noProof/>
            <w:webHidden/>
          </w:rPr>
          <w:fldChar w:fldCharType="begin"/>
        </w:r>
        <w:r w:rsidR="009A4C88">
          <w:rPr>
            <w:noProof/>
            <w:webHidden/>
          </w:rPr>
          <w:instrText xml:space="preserve"> PAGEREF _Toc534681866 \h </w:instrText>
        </w:r>
        <w:r w:rsidR="009A4C88">
          <w:rPr>
            <w:noProof/>
            <w:webHidden/>
          </w:rPr>
        </w:r>
        <w:r w:rsidR="009A4C88">
          <w:rPr>
            <w:noProof/>
            <w:webHidden/>
          </w:rPr>
          <w:fldChar w:fldCharType="separate"/>
        </w:r>
        <w:r w:rsidR="009A4C88">
          <w:rPr>
            <w:noProof/>
            <w:webHidden/>
          </w:rPr>
          <w:t>7</w:t>
        </w:r>
        <w:r w:rsidR="009A4C88">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67" w:history="1">
        <w:r w:rsidRPr="002A60EB">
          <w:rPr>
            <w:rStyle w:val="Hyperlink"/>
            <w:noProof/>
          </w:rPr>
          <w:t>Table 2: Population by Race and Hispanic Origin: 2012 and 2060 (US Census Bureau Board, 2012)</w:t>
        </w:r>
        <w:r>
          <w:rPr>
            <w:noProof/>
            <w:webHidden/>
          </w:rPr>
          <w:tab/>
        </w:r>
        <w:r>
          <w:rPr>
            <w:noProof/>
            <w:webHidden/>
          </w:rPr>
          <w:fldChar w:fldCharType="begin"/>
        </w:r>
        <w:r>
          <w:rPr>
            <w:noProof/>
            <w:webHidden/>
          </w:rPr>
          <w:instrText xml:space="preserve"> PAGEREF _Toc534681867 \h </w:instrText>
        </w:r>
        <w:r>
          <w:rPr>
            <w:noProof/>
            <w:webHidden/>
          </w:rPr>
        </w:r>
        <w:r>
          <w:rPr>
            <w:noProof/>
            <w:webHidden/>
          </w:rPr>
          <w:fldChar w:fldCharType="separate"/>
        </w:r>
        <w:r>
          <w:rPr>
            <w:noProof/>
            <w:webHidden/>
          </w:rPr>
          <w:t>11</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68" w:history="1">
        <w:r w:rsidRPr="002A60EB">
          <w:rPr>
            <w:rStyle w:val="Hyperlink"/>
            <w:noProof/>
          </w:rPr>
          <w:t>Table 3: Health Insurance Market Revenue Growth</w:t>
        </w:r>
        <w:r>
          <w:rPr>
            <w:noProof/>
            <w:webHidden/>
          </w:rPr>
          <w:tab/>
        </w:r>
        <w:r>
          <w:rPr>
            <w:noProof/>
            <w:webHidden/>
          </w:rPr>
          <w:fldChar w:fldCharType="begin"/>
        </w:r>
        <w:r>
          <w:rPr>
            <w:noProof/>
            <w:webHidden/>
          </w:rPr>
          <w:instrText xml:space="preserve"> PAGEREF _Toc534681868 \h </w:instrText>
        </w:r>
        <w:r>
          <w:rPr>
            <w:noProof/>
            <w:webHidden/>
          </w:rPr>
        </w:r>
        <w:r>
          <w:rPr>
            <w:noProof/>
            <w:webHidden/>
          </w:rPr>
          <w:fldChar w:fldCharType="separate"/>
        </w:r>
        <w:r>
          <w:rPr>
            <w:noProof/>
            <w:webHidden/>
          </w:rPr>
          <w:t>14</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69" w:history="1">
        <w:r w:rsidRPr="002A60EB">
          <w:rPr>
            <w:rStyle w:val="Hyperlink"/>
            <w:noProof/>
          </w:rPr>
          <w:t>Table 4: Biggest Health Insurance Providers in the United States of America</w:t>
        </w:r>
        <w:r>
          <w:rPr>
            <w:noProof/>
            <w:webHidden/>
          </w:rPr>
          <w:tab/>
        </w:r>
        <w:r>
          <w:rPr>
            <w:noProof/>
            <w:webHidden/>
          </w:rPr>
          <w:fldChar w:fldCharType="begin"/>
        </w:r>
        <w:r>
          <w:rPr>
            <w:noProof/>
            <w:webHidden/>
          </w:rPr>
          <w:instrText xml:space="preserve"> PAGEREF _Toc534681869 \h </w:instrText>
        </w:r>
        <w:r>
          <w:rPr>
            <w:noProof/>
            <w:webHidden/>
          </w:rPr>
        </w:r>
        <w:r>
          <w:rPr>
            <w:noProof/>
            <w:webHidden/>
          </w:rPr>
          <w:fldChar w:fldCharType="separate"/>
        </w:r>
        <w:r>
          <w:rPr>
            <w:noProof/>
            <w:webHidden/>
          </w:rPr>
          <w:t>15</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70" w:history="1">
        <w:r w:rsidRPr="002A60EB">
          <w:rPr>
            <w:rStyle w:val="Hyperlink"/>
            <w:noProof/>
          </w:rPr>
          <w:t>Table 5: SWOT Analysis of Aetna Inc</w:t>
        </w:r>
        <w:r>
          <w:rPr>
            <w:noProof/>
            <w:webHidden/>
          </w:rPr>
          <w:tab/>
        </w:r>
        <w:r>
          <w:rPr>
            <w:noProof/>
            <w:webHidden/>
          </w:rPr>
          <w:fldChar w:fldCharType="begin"/>
        </w:r>
        <w:r>
          <w:rPr>
            <w:noProof/>
            <w:webHidden/>
          </w:rPr>
          <w:instrText xml:space="preserve"> PAGEREF _Toc534681870 \h </w:instrText>
        </w:r>
        <w:r>
          <w:rPr>
            <w:noProof/>
            <w:webHidden/>
          </w:rPr>
        </w:r>
        <w:r>
          <w:rPr>
            <w:noProof/>
            <w:webHidden/>
          </w:rPr>
          <w:fldChar w:fldCharType="separate"/>
        </w:r>
        <w:r>
          <w:rPr>
            <w:noProof/>
            <w:webHidden/>
          </w:rPr>
          <w:t>16</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71" w:history="1">
        <w:r w:rsidRPr="002A60EB">
          <w:rPr>
            <w:rStyle w:val="Hyperlink"/>
            <w:noProof/>
          </w:rPr>
          <w:t>Table 6: PESTLE Analysis of Aetna Inc</w:t>
        </w:r>
        <w:r>
          <w:rPr>
            <w:noProof/>
            <w:webHidden/>
          </w:rPr>
          <w:tab/>
        </w:r>
        <w:r>
          <w:rPr>
            <w:noProof/>
            <w:webHidden/>
          </w:rPr>
          <w:fldChar w:fldCharType="begin"/>
        </w:r>
        <w:r>
          <w:rPr>
            <w:noProof/>
            <w:webHidden/>
          </w:rPr>
          <w:instrText xml:space="preserve"> PAGEREF _Toc534681871 \h </w:instrText>
        </w:r>
        <w:r>
          <w:rPr>
            <w:noProof/>
            <w:webHidden/>
          </w:rPr>
        </w:r>
        <w:r>
          <w:rPr>
            <w:noProof/>
            <w:webHidden/>
          </w:rPr>
          <w:fldChar w:fldCharType="separate"/>
        </w:r>
        <w:r>
          <w:rPr>
            <w:noProof/>
            <w:webHidden/>
          </w:rPr>
          <w:t>17</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72" w:history="1">
        <w:r w:rsidRPr="002A60EB">
          <w:rPr>
            <w:rStyle w:val="Hyperlink"/>
            <w:noProof/>
          </w:rPr>
          <w:t>Table 7: Porter's Five Forces Analysis iof Aetna</w:t>
        </w:r>
        <w:r>
          <w:rPr>
            <w:noProof/>
            <w:webHidden/>
          </w:rPr>
          <w:tab/>
        </w:r>
        <w:r>
          <w:rPr>
            <w:noProof/>
            <w:webHidden/>
          </w:rPr>
          <w:fldChar w:fldCharType="begin"/>
        </w:r>
        <w:r>
          <w:rPr>
            <w:noProof/>
            <w:webHidden/>
          </w:rPr>
          <w:instrText xml:space="preserve"> PAGEREF _Toc534681872 \h </w:instrText>
        </w:r>
        <w:r>
          <w:rPr>
            <w:noProof/>
            <w:webHidden/>
          </w:rPr>
        </w:r>
        <w:r>
          <w:rPr>
            <w:noProof/>
            <w:webHidden/>
          </w:rPr>
          <w:fldChar w:fldCharType="separate"/>
        </w:r>
        <w:r>
          <w:rPr>
            <w:noProof/>
            <w:webHidden/>
          </w:rPr>
          <w:t>19</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73" w:history="1">
        <w:r w:rsidRPr="002A60EB">
          <w:rPr>
            <w:rStyle w:val="Hyperlink"/>
            <w:noProof/>
          </w:rPr>
          <w:t>Table 9: Ansoff Growth Matrix</w:t>
        </w:r>
        <w:r>
          <w:rPr>
            <w:noProof/>
            <w:webHidden/>
          </w:rPr>
          <w:tab/>
        </w:r>
        <w:r>
          <w:rPr>
            <w:noProof/>
            <w:webHidden/>
          </w:rPr>
          <w:fldChar w:fldCharType="begin"/>
        </w:r>
        <w:r>
          <w:rPr>
            <w:noProof/>
            <w:webHidden/>
          </w:rPr>
          <w:instrText xml:space="preserve"> PAGEREF _Toc534681873 \h </w:instrText>
        </w:r>
        <w:r>
          <w:rPr>
            <w:noProof/>
            <w:webHidden/>
          </w:rPr>
        </w:r>
        <w:r>
          <w:rPr>
            <w:noProof/>
            <w:webHidden/>
          </w:rPr>
          <w:fldChar w:fldCharType="separate"/>
        </w:r>
        <w:r>
          <w:rPr>
            <w:noProof/>
            <w:webHidden/>
          </w:rPr>
          <w:t>21</w:t>
        </w:r>
        <w:r>
          <w:rPr>
            <w:noProof/>
            <w:webHidden/>
          </w:rPr>
          <w:fldChar w:fldCharType="end"/>
        </w:r>
      </w:hyperlink>
    </w:p>
    <w:p w:rsidR="009A4C88" w:rsidRDefault="009A4C88">
      <w:pPr>
        <w:pStyle w:val="TableofFigures"/>
        <w:tabs>
          <w:tab w:val="right" w:leader="dot" w:pos="9016"/>
        </w:tabs>
        <w:rPr>
          <w:rFonts w:asciiTheme="minorHAnsi" w:eastAsiaTheme="minorEastAsia" w:hAnsiTheme="minorHAnsi" w:cstheme="minorBidi"/>
          <w:noProof/>
        </w:rPr>
      </w:pPr>
      <w:hyperlink w:anchor="_Toc534681874" w:history="1">
        <w:r w:rsidRPr="002A60EB">
          <w:rPr>
            <w:rStyle w:val="Hyperlink"/>
            <w:noProof/>
          </w:rPr>
          <w:t>Table 8: US Healthcare Company Shares of January 30, 2018</w:t>
        </w:r>
        <w:r>
          <w:rPr>
            <w:noProof/>
            <w:webHidden/>
          </w:rPr>
          <w:tab/>
        </w:r>
        <w:r>
          <w:rPr>
            <w:noProof/>
            <w:webHidden/>
          </w:rPr>
          <w:fldChar w:fldCharType="begin"/>
        </w:r>
        <w:r>
          <w:rPr>
            <w:noProof/>
            <w:webHidden/>
          </w:rPr>
          <w:instrText xml:space="preserve"> PAGEREF _Toc534681874 \h </w:instrText>
        </w:r>
        <w:r>
          <w:rPr>
            <w:noProof/>
            <w:webHidden/>
          </w:rPr>
        </w:r>
        <w:r>
          <w:rPr>
            <w:noProof/>
            <w:webHidden/>
          </w:rPr>
          <w:fldChar w:fldCharType="separate"/>
        </w:r>
        <w:r>
          <w:rPr>
            <w:noProof/>
            <w:webHidden/>
          </w:rPr>
          <w:t>22</w:t>
        </w:r>
        <w:r>
          <w:rPr>
            <w:noProof/>
            <w:webHidden/>
          </w:rPr>
          <w:fldChar w:fldCharType="end"/>
        </w:r>
      </w:hyperlink>
    </w:p>
    <w:p w:rsidR="004D0F17" w:rsidRDefault="00644E98" w:rsidP="00644E98">
      <w:pPr>
        <w:pStyle w:val="TOC1"/>
      </w:pPr>
      <w:r>
        <w:fldChar w:fldCharType="end"/>
      </w:r>
    </w:p>
    <w:p w:rsidR="00453193" w:rsidRPr="00453193" w:rsidRDefault="00453193" w:rsidP="00453193">
      <w:bookmarkStart w:id="12" w:name="_Toc534626202"/>
    </w:p>
    <w:p w:rsidR="004D0F17" w:rsidRDefault="00DC2896">
      <w:pPr>
        <w:pStyle w:val="Heading1"/>
        <w:jc w:val="center"/>
      </w:pPr>
      <w:bookmarkStart w:id="13" w:name="_Toc534667865"/>
      <w:bookmarkStart w:id="14" w:name="_Toc534681844"/>
      <w:r>
        <w:t>GLOSSARY OF ACRONYMS</w:t>
      </w:r>
      <w:bookmarkEnd w:id="12"/>
      <w:bookmarkEnd w:id="13"/>
      <w:bookmarkEnd w:id="14"/>
    </w:p>
    <w:p w:rsidR="004D0F17" w:rsidRDefault="004D0F17">
      <w:pPr>
        <w:pStyle w:val="normal0"/>
        <w:spacing w:line="360" w:lineRule="auto"/>
        <w:jc w:val="both"/>
      </w:pPr>
    </w:p>
    <w:tbl>
      <w:tblPr>
        <w:tblStyle w:val="3"/>
        <w:tblW w:w="9010" w:type="dxa"/>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Layout w:type="fixed"/>
        <w:tblLook w:val="0400"/>
      </w:tblPr>
      <w:tblGrid>
        <w:gridCol w:w="2345"/>
        <w:gridCol w:w="6665"/>
      </w:tblGrid>
      <w:tr w:rsidR="004D0F17">
        <w:tc>
          <w:tcPr>
            <w:tcW w:w="2345" w:type="dxa"/>
          </w:tcPr>
          <w:p w:rsidR="004D0F17" w:rsidRDefault="00DC2896">
            <w:pPr>
              <w:pStyle w:val="normal0"/>
              <w:spacing w:line="360" w:lineRule="auto"/>
              <w:jc w:val="both"/>
              <w:rPr>
                <w:rFonts w:ascii="Cambria" w:eastAsia="Cambria" w:hAnsi="Cambria" w:cs="Cambria"/>
                <w:b/>
                <w:color w:val="2E75B5"/>
                <w:sz w:val="28"/>
                <w:szCs w:val="28"/>
              </w:rPr>
            </w:pPr>
            <w:r>
              <w:rPr>
                <w:rFonts w:ascii="Cambria" w:eastAsia="Cambria" w:hAnsi="Cambria" w:cs="Cambria"/>
                <w:b/>
                <w:color w:val="2E75B5"/>
                <w:sz w:val="28"/>
                <w:szCs w:val="28"/>
              </w:rPr>
              <w:t>ACRONYM</w:t>
            </w:r>
          </w:p>
        </w:tc>
        <w:tc>
          <w:tcPr>
            <w:tcW w:w="6665" w:type="dxa"/>
          </w:tcPr>
          <w:p w:rsidR="004D0F17" w:rsidRDefault="00DC2896">
            <w:pPr>
              <w:pStyle w:val="normal0"/>
              <w:spacing w:line="360" w:lineRule="auto"/>
              <w:jc w:val="both"/>
              <w:rPr>
                <w:rFonts w:ascii="Cambria" w:eastAsia="Cambria" w:hAnsi="Cambria" w:cs="Cambria"/>
                <w:b/>
                <w:color w:val="2E75B5"/>
                <w:sz w:val="28"/>
                <w:szCs w:val="28"/>
              </w:rPr>
            </w:pPr>
            <w:r>
              <w:rPr>
                <w:rFonts w:ascii="Cambria" w:eastAsia="Cambria" w:hAnsi="Cambria" w:cs="Cambria"/>
                <w:b/>
                <w:color w:val="2E75B5"/>
                <w:sz w:val="28"/>
                <w:szCs w:val="28"/>
              </w:rPr>
              <w:t>MEANING</w:t>
            </w:r>
          </w:p>
        </w:tc>
      </w:tr>
      <w:tr w:rsidR="001302C2" w:rsidTr="00351788">
        <w:tc>
          <w:tcPr>
            <w:tcW w:w="2345" w:type="dxa"/>
          </w:tcPr>
          <w:p w:rsidR="001302C2" w:rsidRDefault="001302C2" w:rsidP="00351788">
            <w:pPr>
              <w:pStyle w:val="normal0"/>
              <w:spacing w:line="360" w:lineRule="auto"/>
              <w:jc w:val="both"/>
              <w:rPr>
                <w:b/>
              </w:rPr>
            </w:pPr>
            <w:r>
              <w:rPr>
                <w:b/>
              </w:rPr>
              <w:t>D&amp;I</w:t>
            </w:r>
          </w:p>
        </w:tc>
        <w:tc>
          <w:tcPr>
            <w:tcW w:w="6665" w:type="dxa"/>
          </w:tcPr>
          <w:p w:rsidR="001302C2" w:rsidRDefault="001302C2" w:rsidP="00351788">
            <w:pPr>
              <w:pStyle w:val="normal0"/>
              <w:spacing w:line="360" w:lineRule="auto"/>
              <w:jc w:val="both"/>
            </w:pPr>
            <w:r>
              <w:t>Diversity &amp; Inclusion</w:t>
            </w:r>
          </w:p>
        </w:tc>
      </w:tr>
      <w:tr w:rsidR="004D0F17">
        <w:tc>
          <w:tcPr>
            <w:tcW w:w="2345" w:type="dxa"/>
          </w:tcPr>
          <w:p w:rsidR="004D0F17" w:rsidRDefault="003249C6">
            <w:pPr>
              <w:pStyle w:val="normal0"/>
              <w:spacing w:line="360" w:lineRule="auto"/>
              <w:jc w:val="both"/>
              <w:rPr>
                <w:b/>
              </w:rPr>
            </w:pPr>
            <w:r>
              <w:rPr>
                <w:b/>
              </w:rPr>
              <w:t>GGGR</w:t>
            </w:r>
          </w:p>
        </w:tc>
        <w:tc>
          <w:tcPr>
            <w:tcW w:w="6665" w:type="dxa"/>
          </w:tcPr>
          <w:p w:rsidR="004D0F17" w:rsidRDefault="003249C6">
            <w:pPr>
              <w:pStyle w:val="normal0"/>
              <w:spacing w:line="360" w:lineRule="auto"/>
              <w:jc w:val="both"/>
            </w:pPr>
            <w:r>
              <w:t>Global Gender Gap Report</w:t>
            </w:r>
          </w:p>
        </w:tc>
      </w:tr>
      <w:tr w:rsidR="00676626" w:rsidTr="003D1B6A">
        <w:tc>
          <w:tcPr>
            <w:tcW w:w="2345" w:type="dxa"/>
          </w:tcPr>
          <w:p w:rsidR="00676626" w:rsidRDefault="00676626" w:rsidP="003D1B6A">
            <w:pPr>
              <w:pStyle w:val="normal0"/>
              <w:spacing w:line="360" w:lineRule="auto"/>
              <w:jc w:val="both"/>
              <w:rPr>
                <w:b/>
              </w:rPr>
            </w:pPr>
            <w:r>
              <w:rPr>
                <w:b/>
              </w:rPr>
              <w:t>ROI</w:t>
            </w:r>
          </w:p>
        </w:tc>
        <w:tc>
          <w:tcPr>
            <w:tcW w:w="6665" w:type="dxa"/>
          </w:tcPr>
          <w:p w:rsidR="00676626" w:rsidRDefault="00676626" w:rsidP="003D1B6A">
            <w:pPr>
              <w:pStyle w:val="normal0"/>
              <w:spacing w:line="360" w:lineRule="auto"/>
              <w:jc w:val="both"/>
            </w:pPr>
            <w:r>
              <w:t>Return on Investment</w:t>
            </w:r>
          </w:p>
        </w:tc>
      </w:tr>
      <w:tr w:rsidR="00053401" w:rsidTr="003D1B6A">
        <w:tc>
          <w:tcPr>
            <w:tcW w:w="2345" w:type="dxa"/>
          </w:tcPr>
          <w:p w:rsidR="00053401" w:rsidRDefault="00053401" w:rsidP="003D1B6A">
            <w:pPr>
              <w:pStyle w:val="normal0"/>
              <w:spacing w:line="360" w:lineRule="auto"/>
              <w:jc w:val="both"/>
              <w:rPr>
                <w:b/>
              </w:rPr>
            </w:pPr>
            <w:r>
              <w:rPr>
                <w:b/>
              </w:rPr>
              <w:t>USA</w:t>
            </w:r>
          </w:p>
        </w:tc>
        <w:tc>
          <w:tcPr>
            <w:tcW w:w="6665" w:type="dxa"/>
          </w:tcPr>
          <w:p w:rsidR="00053401" w:rsidRDefault="00053401" w:rsidP="003D1B6A">
            <w:pPr>
              <w:pStyle w:val="normal0"/>
              <w:spacing w:line="360" w:lineRule="auto"/>
              <w:jc w:val="both"/>
            </w:pPr>
            <w:r>
              <w:t>United States of America</w:t>
            </w:r>
          </w:p>
        </w:tc>
      </w:tr>
      <w:tr w:rsidR="003249C6" w:rsidTr="003D1B6A">
        <w:tc>
          <w:tcPr>
            <w:tcW w:w="2345" w:type="dxa"/>
          </w:tcPr>
          <w:p w:rsidR="003249C6" w:rsidRDefault="003249C6" w:rsidP="003D1B6A">
            <w:pPr>
              <w:pStyle w:val="normal0"/>
              <w:spacing w:line="360" w:lineRule="auto"/>
              <w:jc w:val="both"/>
              <w:rPr>
                <w:b/>
              </w:rPr>
            </w:pPr>
            <w:r>
              <w:rPr>
                <w:b/>
              </w:rPr>
              <w:t>VP</w:t>
            </w:r>
          </w:p>
        </w:tc>
        <w:tc>
          <w:tcPr>
            <w:tcW w:w="6665" w:type="dxa"/>
          </w:tcPr>
          <w:p w:rsidR="003249C6" w:rsidRDefault="003249C6" w:rsidP="003D1B6A">
            <w:pPr>
              <w:pStyle w:val="normal0"/>
              <w:spacing w:line="360" w:lineRule="auto"/>
              <w:jc w:val="both"/>
            </w:pPr>
            <w:r>
              <w:t>Vice President</w:t>
            </w:r>
          </w:p>
        </w:tc>
      </w:tr>
      <w:tr w:rsidR="003249C6">
        <w:tc>
          <w:tcPr>
            <w:tcW w:w="2345" w:type="dxa"/>
          </w:tcPr>
          <w:p w:rsidR="003249C6" w:rsidRDefault="003249C6">
            <w:pPr>
              <w:pStyle w:val="normal0"/>
              <w:spacing w:line="360" w:lineRule="auto"/>
              <w:jc w:val="both"/>
              <w:rPr>
                <w:b/>
              </w:rPr>
            </w:pPr>
            <w:r>
              <w:rPr>
                <w:b/>
              </w:rPr>
              <w:t>WEF</w:t>
            </w:r>
          </w:p>
        </w:tc>
        <w:tc>
          <w:tcPr>
            <w:tcW w:w="6665" w:type="dxa"/>
          </w:tcPr>
          <w:p w:rsidR="003249C6" w:rsidRDefault="003249C6">
            <w:pPr>
              <w:pStyle w:val="normal0"/>
              <w:spacing w:line="360" w:lineRule="auto"/>
              <w:jc w:val="both"/>
            </w:pPr>
            <w:r>
              <w:t>World Economic Forum</w:t>
            </w:r>
          </w:p>
        </w:tc>
      </w:tr>
    </w:tbl>
    <w:p w:rsidR="004D0F17" w:rsidRDefault="004D0F17">
      <w:pPr>
        <w:pStyle w:val="normal0"/>
      </w:pPr>
    </w:p>
    <w:p w:rsidR="00676626" w:rsidRDefault="00676626">
      <w:pPr>
        <w:pStyle w:val="normal0"/>
      </w:pPr>
    </w:p>
    <w:p w:rsidR="00676626" w:rsidRDefault="00676626">
      <w:pPr>
        <w:pStyle w:val="normal0"/>
      </w:pPr>
    </w:p>
    <w:p w:rsidR="00676626" w:rsidRDefault="00676626">
      <w:pPr>
        <w:pStyle w:val="normal0"/>
      </w:pPr>
    </w:p>
    <w:p w:rsidR="004D0F17" w:rsidRDefault="00DC2896">
      <w:pPr>
        <w:pStyle w:val="Heading1"/>
        <w:spacing w:line="360" w:lineRule="auto"/>
        <w:jc w:val="both"/>
      </w:pPr>
      <w:bookmarkStart w:id="15" w:name="_Toc534626203"/>
      <w:bookmarkStart w:id="16" w:name="_Toc534667866"/>
      <w:bookmarkStart w:id="17" w:name="_Toc534681845"/>
      <w:r>
        <w:lastRenderedPageBreak/>
        <w:t>SECTION ONE: REPORT INTRODUCTION</w:t>
      </w:r>
      <w:bookmarkEnd w:id="15"/>
      <w:bookmarkEnd w:id="16"/>
      <w:bookmarkEnd w:id="17"/>
    </w:p>
    <w:p w:rsidR="004D0F17" w:rsidRDefault="00DC2896">
      <w:pPr>
        <w:pStyle w:val="Heading2"/>
        <w:spacing w:line="360" w:lineRule="auto"/>
        <w:jc w:val="both"/>
      </w:pPr>
      <w:bookmarkStart w:id="18" w:name="_Toc534626204"/>
      <w:bookmarkStart w:id="19" w:name="_Toc534667867"/>
      <w:bookmarkStart w:id="20" w:name="_Toc534681846"/>
      <w:r>
        <w:t>1.1 CONTEXT</w:t>
      </w:r>
      <w:bookmarkEnd w:id="18"/>
      <w:bookmarkEnd w:id="19"/>
      <w:bookmarkEnd w:id="20"/>
    </w:p>
    <w:p w:rsidR="004D0F17" w:rsidRDefault="009524B7">
      <w:pPr>
        <w:pStyle w:val="normal0"/>
        <w:spacing w:line="360" w:lineRule="auto"/>
        <w:jc w:val="both"/>
      </w:pPr>
      <w:r>
        <w:t>“The definition of ‘a</w:t>
      </w:r>
      <w:r w:rsidR="00DC2896">
        <w:t xml:space="preserve"> typical customer’ is radically changing. An increasingly diverse customer base is looking for product marketing, service and sales to suit individual tastes, needs and style. As a result, business leaders charged with financial growth and shareholder value have recognized the need to include diversity initiatives among corporation’s most significant priorities.”</w:t>
      </w:r>
    </w:p>
    <w:p w:rsidR="004D0F17" w:rsidRDefault="00DC2896">
      <w:pPr>
        <w:pStyle w:val="normal0"/>
        <w:spacing w:line="360" w:lineRule="auto"/>
        <w:jc w:val="both"/>
      </w:pPr>
      <w:r>
        <w:t>Gwen Houston, VP of Diversity Capability and Business Development, Aetna Inc</w:t>
      </w:r>
      <w:r w:rsidR="007C6294">
        <w:t>.</w:t>
      </w:r>
      <w:r>
        <w:t xml:space="preserve"> while responding to questions from Institute for Diversity in Health Management, an affiliate of the American health Association on the importance of diversified workforce in 2003.</w:t>
      </w:r>
    </w:p>
    <w:p w:rsidR="004D0F17" w:rsidRDefault="004D0F17">
      <w:pPr>
        <w:pStyle w:val="normal0"/>
        <w:spacing w:line="360" w:lineRule="auto"/>
        <w:jc w:val="both"/>
      </w:pPr>
    </w:p>
    <w:p w:rsidR="004D0F17" w:rsidRDefault="00DC2896">
      <w:pPr>
        <w:pStyle w:val="normal0"/>
        <w:spacing w:line="360" w:lineRule="auto"/>
        <w:jc w:val="both"/>
        <w:rPr>
          <w:color w:val="000000"/>
        </w:rPr>
      </w:pPr>
      <w:r>
        <w:rPr>
          <w:color w:val="000000"/>
        </w:rPr>
        <w:t>The importance of a diversified workforce cannot be over-emphasized. It has been established in extant literatures as very important to gaining strategic advantages in the red ocean of highly competitive market place (</w:t>
      </w:r>
      <w:r>
        <w:rPr>
          <w:color w:val="000000"/>
          <w:highlight w:val="white"/>
        </w:rPr>
        <w:t>Lo</w:t>
      </w:r>
      <w:r w:rsidR="006267BF">
        <w:rPr>
          <w:color w:val="000000"/>
          <w:highlight w:val="white"/>
        </w:rPr>
        <w:t xml:space="preserve">ckwood, 2005; Mateescu, </w:t>
      </w:r>
      <w:r>
        <w:rPr>
          <w:color w:val="000000"/>
          <w:highlight w:val="white"/>
        </w:rPr>
        <w:t xml:space="preserve">2015; </w:t>
      </w:r>
      <w:r>
        <w:rPr>
          <w:color w:val="000000"/>
        </w:rPr>
        <w:t>Rose &amp; Palma-Rivas, 1998). It is a fundamental component of a company that is not just a respecter of the individuality of its workforce and (target) market but one which is a vital tool to understanding inherent differences of the needs of its market. Justifications have been made in social science literatures as to why diversity in various dimensions - ages (</w:t>
      </w:r>
      <w:r w:rsidR="009A659F">
        <w:rPr>
          <w:color w:val="000000"/>
          <w:highlight w:val="white"/>
        </w:rPr>
        <w:t>Backes-Gellner</w:t>
      </w:r>
      <w:r w:rsidR="00A01733">
        <w:rPr>
          <w:color w:val="000000"/>
          <w:highlight w:val="white"/>
        </w:rPr>
        <w:t xml:space="preserve"> &amp;</w:t>
      </w:r>
      <w:r w:rsidR="009A659F">
        <w:rPr>
          <w:color w:val="000000"/>
          <w:highlight w:val="white"/>
        </w:rPr>
        <w:t xml:space="preserve"> Veen</w:t>
      </w:r>
      <w:r>
        <w:rPr>
          <w:color w:val="000000"/>
          <w:highlight w:val="white"/>
        </w:rPr>
        <w:t>, 2013</w:t>
      </w:r>
      <w:r w:rsidR="00A01733">
        <w:rPr>
          <w:color w:val="000000"/>
          <w:highlight w:val="white"/>
        </w:rPr>
        <w:t>; Li et. al, 2011; Przetacka, 2009; Rabl &amp; Triana, 2014; Tanikawa, Kim &amp; Jung</w:t>
      </w:r>
      <w:r>
        <w:rPr>
          <w:color w:val="000000"/>
          <w:highlight w:val="white"/>
        </w:rPr>
        <w:t>, 2017</w:t>
      </w:r>
      <w:r w:rsidR="00A01733">
        <w:rPr>
          <w:color w:val="000000"/>
        </w:rPr>
        <w:t xml:space="preserve">), races and ethnicities </w:t>
      </w:r>
      <w:r w:rsidR="00A01733" w:rsidRPr="00A01733">
        <w:rPr>
          <w:noProof/>
          <w:color w:val="000000"/>
        </w:rPr>
        <w:t>(Barta et al., 2012</w:t>
      </w:r>
      <w:r w:rsidR="00A01733">
        <w:rPr>
          <w:noProof/>
          <w:color w:val="000000"/>
        </w:rPr>
        <w:t>; Lockwood, 2005; Sharma, 2016</w:t>
      </w:r>
      <w:r w:rsidR="00A01733" w:rsidRPr="00A01733">
        <w:rPr>
          <w:noProof/>
          <w:color w:val="000000"/>
        </w:rPr>
        <w:t>)</w:t>
      </w:r>
      <w:r>
        <w:rPr>
          <w:color w:val="000000"/>
        </w:rPr>
        <w:t xml:space="preserve"> among others - will further help propel organizations to global dominance. </w:t>
      </w:r>
    </w:p>
    <w:p w:rsidR="004D0F17" w:rsidRDefault="00DC2896">
      <w:pPr>
        <w:pStyle w:val="normal0"/>
        <w:spacing w:line="360" w:lineRule="auto"/>
        <w:jc w:val="both"/>
        <w:rPr>
          <w:color w:val="000000"/>
        </w:rPr>
      </w:pPr>
      <w:r>
        <w:rPr>
          <w:color w:val="000000"/>
        </w:rPr>
        <w:t xml:space="preserve">However, with the economic </w:t>
      </w:r>
      <w:r>
        <w:t>crisis</w:t>
      </w:r>
      <w:r>
        <w:rPr>
          <w:color w:val="000000"/>
        </w:rPr>
        <w:t xml:space="preserve"> of 2008 – 2009, it is understandable why the company need to cut cost on some of its initiatives. Diversity </w:t>
      </w:r>
      <w:r w:rsidR="00053401">
        <w:t>initiatives are</w:t>
      </w:r>
      <w:r w:rsidR="00D37C00">
        <w:t xml:space="preserve"> also</w:t>
      </w:r>
      <w:r>
        <w:t xml:space="preserve"> under serious consideration</w:t>
      </w:r>
      <w:r w:rsidR="00053401">
        <w:t>s</w:t>
      </w:r>
      <w:r>
        <w:t xml:space="preserve"> and there is a </w:t>
      </w:r>
      <w:r w:rsidR="00D37C00">
        <w:t>need to strategically look at them</w:t>
      </w:r>
      <w:r>
        <w:t xml:space="preserve"> and make data-informed decision. </w:t>
      </w:r>
      <w:r>
        <w:rPr>
          <w:color w:val="000000"/>
        </w:rPr>
        <w:t>From all evidences available, however, I will strongly recommend continuing with Aetna’s Health diversity initiatives. This is</w:t>
      </w:r>
      <w:r w:rsidR="00053401">
        <w:rPr>
          <w:color w:val="000000"/>
        </w:rPr>
        <w:t>,</w:t>
      </w:r>
      <w:r>
        <w:rPr>
          <w:color w:val="000000"/>
        </w:rPr>
        <w:t xml:space="preserve"> as such</w:t>
      </w:r>
      <w:r w:rsidR="00053401">
        <w:rPr>
          <w:color w:val="000000"/>
        </w:rPr>
        <w:t>,</w:t>
      </w:r>
      <w:r>
        <w:rPr>
          <w:color w:val="000000"/>
        </w:rPr>
        <w:t xml:space="preserve"> a report justifying the need for continuously diversifying Aetna Health’s workforce. </w:t>
      </w:r>
    </w:p>
    <w:p w:rsidR="004D0F17" w:rsidRDefault="00DC2896">
      <w:pPr>
        <w:pStyle w:val="normal0"/>
        <w:shd w:val="clear" w:color="auto" w:fill="FFFFFF"/>
        <w:spacing w:after="0" w:line="360" w:lineRule="auto"/>
        <w:jc w:val="both"/>
      </w:pPr>
      <w:r>
        <w:t>Conclusively and having understood this as an academic-cum-management work acco</w:t>
      </w:r>
      <w:r w:rsidR="00740B7D">
        <w:t>rding to the set instructions and</w:t>
      </w:r>
      <w:r>
        <w:t xml:space="preserve"> stated objectives, a report is expected which will detail the reason to continue with the diversity initiatives. This is a strategic case which will look at the industry the company operates in, the market and its need, the company itself and look at what is best in the context of diversity and other human reso</w:t>
      </w:r>
      <w:r w:rsidR="00053401">
        <w:t xml:space="preserve">urce issues. Premising on this </w:t>
      </w:r>
      <w:r>
        <w:t xml:space="preserve">would allow one to make an informed decision as this would allow one to have an all-round understanding of the surrounding intricacies. </w:t>
      </w:r>
    </w:p>
    <w:p w:rsidR="004D0F17" w:rsidRDefault="00DC2896">
      <w:pPr>
        <w:pStyle w:val="Heading2"/>
      </w:pPr>
      <w:bookmarkStart w:id="21" w:name="_Toc534626205"/>
      <w:bookmarkStart w:id="22" w:name="_Toc534667868"/>
      <w:bookmarkStart w:id="23" w:name="_Toc534681847"/>
      <w:r>
        <w:lastRenderedPageBreak/>
        <w:t>1.2 STRUCTURE OF THE REPORT</w:t>
      </w:r>
      <w:bookmarkEnd w:id="21"/>
      <w:bookmarkEnd w:id="22"/>
      <w:bookmarkEnd w:id="23"/>
    </w:p>
    <w:p w:rsidR="004D0F17" w:rsidRDefault="00544DA3">
      <w:pPr>
        <w:pStyle w:val="normal0"/>
        <w:spacing w:line="360" w:lineRule="auto"/>
        <w:jc w:val="both"/>
      </w:pPr>
      <w:r>
        <w:t>For clarity and brevity, the main content of this report is</w:t>
      </w:r>
      <w:r w:rsidR="00DC2896">
        <w:t xml:space="preserve"> divided into four (4) sections thus:</w:t>
      </w:r>
    </w:p>
    <w:p w:rsidR="004D0F17" w:rsidRDefault="00DC2896">
      <w:pPr>
        <w:pStyle w:val="normal0"/>
        <w:spacing w:line="360" w:lineRule="auto"/>
        <w:jc w:val="both"/>
      </w:pPr>
      <w:r>
        <w:t>Section one provides an overview of the report. This inc</w:t>
      </w:r>
      <w:r w:rsidR="00053401">
        <w:t>ludes the context of the report</w:t>
      </w:r>
      <w:r>
        <w:t xml:space="preserve"> as well as this part, the structure of the </w:t>
      </w:r>
      <w:r w:rsidR="00053401">
        <w:t>report, which gives a</w:t>
      </w:r>
      <w:r>
        <w:t xml:space="preserve"> summary overview of the whole write-up. </w:t>
      </w:r>
    </w:p>
    <w:p w:rsidR="004D0F17" w:rsidRDefault="00DC2896">
      <w:pPr>
        <w:pStyle w:val="normal0"/>
        <w:spacing w:line="360" w:lineRule="auto"/>
        <w:jc w:val="both"/>
      </w:pPr>
      <w:r>
        <w:t>Section two delves more into the analysis and discussion of the contending issues while providing a layout for the recommendations in the next section.</w:t>
      </w:r>
    </w:p>
    <w:p w:rsidR="004D0F17" w:rsidRDefault="00DC2896">
      <w:pPr>
        <w:pStyle w:val="normal0"/>
        <w:spacing w:line="360" w:lineRule="auto"/>
        <w:jc w:val="both"/>
      </w:pPr>
      <w:r>
        <w:t>Section three is strictly dedicated to recommendation because of its inherent importance.</w:t>
      </w:r>
    </w:p>
    <w:p w:rsidR="004D0F17" w:rsidRDefault="00DC2896">
      <w:pPr>
        <w:pStyle w:val="normal0"/>
        <w:spacing w:line="360" w:lineRule="auto"/>
        <w:jc w:val="both"/>
      </w:pPr>
      <w:r>
        <w:t xml:space="preserve">Section four is tagged summary and conclusion. And as the name implies, it encompasses the summary of the report as well as its conclusion.   </w:t>
      </w:r>
    </w:p>
    <w:p w:rsidR="00DC2896" w:rsidRDefault="00DC2896">
      <w:pPr>
        <w:pStyle w:val="normal0"/>
        <w:spacing w:line="360" w:lineRule="auto"/>
        <w:jc w:val="both"/>
      </w:pPr>
    </w:p>
    <w:p w:rsidR="004D0F17" w:rsidRDefault="00DC2896">
      <w:pPr>
        <w:pStyle w:val="Heading1"/>
        <w:spacing w:line="360" w:lineRule="auto"/>
        <w:jc w:val="both"/>
      </w:pPr>
      <w:bookmarkStart w:id="24" w:name="_Toc534626206"/>
      <w:bookmarkStart w:id="25" w:name="_Toc534667869"/>
      <w:bookmarkStart w:id="26" w:name="_Toc534681848"/>
      <w:r>
        <w:t>SECTION TWO: REVIEW AND ANALYSIS</w:t>
      </w:r>
      <w:bookmarkEnd w:id="24"/>
      <w:bookmarkEnd w:id="25"/>
      <w:bookmarkEnd w:id="26"/>
    </w:p>
    <w:p w:rsidR="00570AEA" w:rsidRPr="00570AEA" w:rsidRDefault="00740B7D" w:rsidP="00570AEA">
      <w:pPr>
        <w:pStyle w:val="Heading2"/>
        <w:jc w:val="both"/>
      </w:pPr>
      <w:bookmarkStart w:id="27" w:name="_Toc534626207"/>
      <w:bookmarkStart w:id="28" w:name="_Toc534667870"/>
      <w:bookmarkStart w:id="29" w:name="_Toc534681849"/>
      <w:r>
        <w:t>2.1 DIVERSITY, ITS DIMENSIONS AND AETNA’S IMPLEMENTATION</w:t>
      </w:r>
      <w:r w:rsidR="00935AFF">
        <w:t>: AN OVERVIEW</w:t>
      </w:r>
      <w:bookmarkEnd w:id="27"/>
      <w:bookmarkEnd w:id="28"/>
      <w:bookmarkEnd w:id="29"/>
    </w:p>
    <w:p w:rsidR="00F71506" w:rsidRDefault="00423A9C" w:rsidP="00187D61">
      <w:pPr>
        <w:pStyle w:val="normal0"/>
        <w:spacing w:line="360" w:lineRule="auto"/>
        <w:jc w:val="both"/>
        <w:rPr>
          <w:noProof/>
        </w:rPr>
      </w:pPr>
      <w:r>
        <w:t>In today’</w:t>
      </w:r>
      <w:r w:rsidR="00443C88">
        <w:t>s increasingly globalized world which is</w:t>
      </w:r>
      <w:r>
        <w:t xml:space="preserve"> commonly referred to as a “global village”, diversity has become a household concept in business organizations. While its emergence can be traced to the need to see to furthering equal opportunities among people of different backgrounds</w:t>
      </w:r>
      <w:r w:rsidR="00187D61">
        <w:rPr>
          <w:noProof/>
        </w:rPr>
        <w:t xml:space="preserve"> (Alesina et al., 2016; Benhamou &amp; Peltier, 2007)</w:t>
      </w:r>
      <w:r>
        <w:t>, its importance has moved from a ‘nice to have’ concept to a tool for competitive advantage and consolidation</w:t>
      </w:r>
      <w:r w:rsidR="00187D61">
        <w:t xml:space="preserve"> </w:t>
      </w:r>
      <w:r w:rsidR="00187D61">
        <w:rPr>
          <w:noProof/>
        </w:rPr>
        <w:t>(Acheson &amp; Maule, 2004; Boxall &amp; Purcell, 2011)</w:t>
      </w:r>
      <w:r>
        <w:t xml:space="preserve"> . No small thanks to technological advancement, globalization and internationalization, the factors enhancing homogeneity are being gradually eroded and paving way for heterogeneity in various dimensions</w:t>
      </w:r>
      <w:r w:rsidR="00EB2827">
        <w:t xml:space="preserve"> </w:t>
      </w:r>
      <w:r w:rsidR="00EB2827">
        <w:rPr>
          <w:noProof/>
        </w:rPr>
        <w:t>(Cowen, 2002; Mark, 2008)</w:t>
      </w:r>
      <w:r>
        <w:t xml:space="preserve">. </w:t>
      </w:r>
    </w:p>
    <w:p w:rsidR="00F71506" w:rsidRDefault="00423A9C" w:rsidP="00E85B2E">
      <w:pPr>
        <w:pStyle w:val="normal0"/>
        <w:spacing w:line="360" w:lineRule="auto"/>
        <w:jc w:val="both"/>
      </w:pPr>
      <w:r>
        <w:t>The various definitions of diversity in extant l</w:t>
      </w:r>
      <w:r w:rsidR="00B722D4">
        <w:t>iteratures have enumerated its</w:t>
      </w:r>
      <w:r>
        <w:t xml:space="preserve"> dimensions but in different pr</w:t>
      </w:r>
      <w:r w:rsidR="00EB2827">
        <w:t>oportions. Nkomo (1995, cited in</w:t>
      </w:r>
      <w:r>
        <w:t xml:space="preserve"> Ogaga-Oghene &amp; Ehimare 2011) posited that two major viewpoints, the narrow and the broad perspectives, are</w:t>
      </w:r>
      <w:r w:rsidR="00B722D4">
        <w:t xml:space="preserve"> used in providing meaning to diversity</w:t>
      </w:r>
      <w:r>
        <w:t>. Scholars favoura</w:t>
      </w:r>
      <w:r w:rsidR="00B722D4">
        <w:t>b</w:t>
      </w:r>
      <w:r>
        <w:t>ly disposed to the narrow</w:t>
      </w:r>
      <w:r w:rsidR="00B722D4">
        <w:t xml:space="preserve"> viewpoint opined that diversit</w:t>
      </w:r>
      <w:r>
        <w:t>y should be restricted to specific cultural categories like gender and race</w:t>
      </w:r>
      <w:r w:rsidR="002D638B">
        <w:t xml:space="preserve"> </w:t>
      </w:r>
      <w:sdt>
        <w:sdtPr>
          <w:id w:val="23433873"/>
          <w:citation/>
        </w:sdtPr>
        <w:sdtContent>
          <w:fldSimple w:instr=" CITATION Tur85 \l 2057 ">
            <w:r w:rsidR="002D638B">
              <w:rPr>
                <w:noProof/>
              </w:rPr>
              <w:t>(Turner, 1985)</w:t>
            </w:r>
          </w:fldSimple>
        </w:sdtContent>
      </w:sdt>
      <w:r w:rsidR="00EB2827">
        <w:t xml:space="preserve">. </w:t>
      </w:r>
      <w:r>
        <w:t xml:space="preserve">The scholars in support of the broad definition viewpoint, however, are of the opinion that the differences in race, gender and ethnicity </w:t>
      </w:r>
      <w:r w:rsidR="009B5AC4">
        <w:t>alone are</w:t>
      </w:r>
      <w:r w:rsidR="00B722D4">
        <w:t xml:space="preserve"> inadequate and can</w:t>
      </w:r>
      <w:r>
        <w:t>not be understood in the same way as diversity in organizational function, abilit</w:t>
      </w:r>
      <w:r w:rsidR="002D638B">
        <w:t xml:space="preserve">ies and cognitive orientations </w:t>
      </w:r>
      <w:sdt>
        <w:sdtPr>
          <w:id w:val="23433874"/>
          <w:citation/>
        </w:sdtPr>
        <w:sdtContent>
          <w:fldSimple w:instr=" CITATION Tur85 \l 2057 ">
            <w:r w:rsidR="002D638B">
              <w:rPr>
                <w:noProof/>
              </w:rPr>
              <w:t>(Turner, 1985)</w:t>
            </w:r>
          </w:fldSimple>
        </w:sdtContent>
      </w:sdt>
      <w:r w:rsidR="002D638B">
        <w:t xml:space="preserve">. </w:t>
      </w:r>
      <w:r>
        <w:t>To these latter advocates, diversity should include the various way</w:t>
      </w:r>
      <w:r w:rsidR="00B722D4">
        <w:t>s</w:t>
      </w:r>
      <w:r>
        <w:t xml:space="preserve"> we differ. </w:t>
      </w:r>
    </w:p>
    <w:p w:rsidR="002E6941" w:rsidRDefault="00F71506" w:rsidP="002E6941">
      <w:pPr>
        <w:pStyle w:val="normal0"/>
        <w:spacing w:line="360" w:lineRule="auto"/>
        <w:jc w:val="both"/>
      </w:pPr>
      <w:r>
        <w:lastRenderedPageBreak/>
        <w:t>One of the often recognised position i</w:t>
      </w:r>
      <w:r w:rsidR="00536CAA">
        <w:t>n di</w:t>
      </w:r>
      <w:r>
        <w:t>versity</w:t>
      </w:r>
      <w:r w:rsidR="00B722D4">
        <w:t>, and</w:t>
      </w:r>
      <w:r>
        <w:t xml:space="preserve"> its </w:t>
      </w:r>
      <w:r w:rsidR="00B722D4">
        <w:t>dimension</w:t>
      </w:r>
      <w:r>
        <w:t xml:space="preserve">, </w:t>
      </w:r>
      <w:r w:rsidR="00B722D4">
        <w:t>is a</w:t>
      </w:r>
      <w:r w:rsidR="00536CAA">
        <w:t xml:space="preserve"> five cluster classification conceptualized by McGath</w:t>
      </w:r>
      <w:r w:rsidR="00EB2827">
        <w:t xml:space="preserve"> et al. (1995 cited in</w:t>
      </w:r>
      <w:r w:rsidR="00570AEA">
        <w:t xml:space="preserve"> Ogaga-Oghene &amp; Ehimare 2011). They posited that the</w:t>
      </w:r>
      <w:r w:rsidR="00536CAA">
        <w:t xml:space="preserve"> dimensions</w:t>
      </w:r>
      <w:r w:rsidR="00B722D4">
        <w:t xml:space="preserve"> are categorized</w:t>
      </w:r>
      <w:r w:rsidR="00536CAA">
        <w:t xml:space="preserve"> in five ways thus: </w:t>
      </w:r>
      <w:r w:rsidR="00570AEA">
        <w:t>“demographic characteristics such as age, ethnicity, gender, sexual orientation, physical status, religion and education; task-related knowledge, skills and capacities; values, views and attitudes; personal, cognitive and attitudinal styles; Status in the organization such as one’s hierarchical position, professional domain, departmental affiliation and seniority” McGath et al. (1995 cited by Ogaga-Oghene &amp; Ehimare 2011) concluded.</w:t>
      </w:r>
      <w:r w:rsidR="009C3859">
        <w:t xml:space="preserve"> In summary,</w:t>
      </w:r>
      <w:r w:rsidR="002E6941">
        <w:t xml:space="preserve"> the definition of diversity by</w:t>
      </w:r>
      <w:r w:rsidR="009C3859">
        <w:t xml:space="preserve"> </w:t>
      </w:r>
      <w:r w:rsidR="002E6941">
        <w:t xml:space="preserve">the Society for Human Resources Management (SHRM) which sees it as </w:t>
      </w:r>
      <w:r w:rsidR="002E6941" w:rsidRPr="002E6941">
        <w:t>“the collective mixture of differences and similarities that includes</w:t>
      </w:r>
      <w:r w:rsidR="009B5AC4">
        <w:t>,</w:t>
      </w:r>
      <w:r w:rsidR="002E6941" w:rsidRPr="002E6941">
        <w:t xml:space="preserve"> for example, individual and organizational characteristics, values, beliefs, experiences, backgrou</w:t>
      </w:r>
      <w:r w:rsidR="007C6294">
        <w:t>nds, preferences, and behaviors</w:t>
      </w:r>
      <w:r w:rsidR="002E6941" w:rsidRPr="002E6941">
        <w:t>”</w:t>
      </w:r>
      <w:r w:rsidR="002E6941">
        <w:t xml:space="preserve"> </w:t>
      </w:r>
      <w:sdt>
        <w:sdtPr>
          <w:id w:val="25605400"/>
          <w:citation/>
        </w:sdtPr>
        <w:sdtContent>
          <w:fldSimple w:instr=" CITATION SHR17 \l 2057  ">
            <w:r w:rsidR="00B66EF6">
              <w:rPr>
                <w:noProof/>
              </w:rPr>
              <w:t>(SHRM, 2017)</w:t>
            </w:r>
          </w:fldSimple>
        </w:sdtContent>
      </w:sdt>
      <w:r w:rsidR="002E6941">
        <w:t xml:space="preserve"> would be utilized. While categorizing the dimensions into visible diversity and invisible diver</w:t>
      </w:r>
      <w:r w:rsidR="009B5AC4">
        <w:t>sity traits, SHRM enumerated diversity</w:t>
      </w:r>
      <w:r w:rsidR="002E6941">
        <w:t xml:space="preserve"> dimensions as age, gender, colour, disability, family status, education, race, ethnicity/ national origin, language, life experience, socio-economic status, level in organization, </w:t>
      </w:r>
      <w:r w:rsidR="00094C69">
        <w:t>religion and</w:t>
      </w:r>
      <w:r w:rsidR="002E6941">
        <w:t xml:space="preserve"> sexual orientation personality among others </w:t>
      </w:r>
      <w:r w:rsidR="00B66EF6">
        <w:t>(</w:t>
      </w:r>
      <w:r w:rsidR="00B66EF6">
        <w:rPr>
          <w:noProof/>
        </w:rPr>
        <w:t>SHRM, 2016; SHRM, 2018</w:t>
      </w:r>
      <w:r w:rsidR="002E6941">
        <w:t xml:space="preserve">). </w:t>
      </w:r>
    </w:p>
    <w:p w:rsidR="002E6941" w:rsidRDefault="00094C69" w:rsidP="002E6941">
      <w:pPr>
        <w:spacing w:line="360" w:lineRule="auto"/>
        <w:jc w:val="both"/>
      </w:pPr>
      <w:r>
        <w:t>At Aetna, several dimensions were taken into cognizance</w:t>
      </w:r>
      <w:r w:rsidR="005C3C54">
        <w:t xml:space="preserve"> for their human resource strategy</w:t>
      </w:r>
      <w:r>
        <w:t xml:space="preserve">. The dimensions and statistics depicted in the table below were deduced from Aetna website. </w:t>
      </w:r>
    </w:p>
    <w:p w:rsidR="00925FE2" w:rsidRPr="00925FE2" w:rsidRDefault="00925FE2" w:rsidP="00925FE2">
      <w:pPr>
        <w:pStyle w:val="Caption"/>
        <w:keepNext/>
        <w:spacing w:after="0"/>
        <w:jc w:val="both"/>
        <w:rPr>
          <w:sz w:val="22"/>
          <w:szCs w:val="22"/>
        </w:rPr>
      </w:pPr>
      <w:bookmarkStart w:id="30" w:name="_Toc534681866"/>
      <w:r w:rsidRPr="00925FE2">
        <w:rPr>
          <w:sz w:val="22"/>
          <w:szCs w:val="22"/>
        </w:rPr>
        <w:t xml:space="preserve">Table </w:t>
      </w:r>
      <w:r w:rsidR="00EC097A" w:rsidRPr="00925FE2">
        <w:rPr>
          <w:sz w:val="22"/>
          <w:szCs w:val="22"/>
        </w:rPr>
        <w:fldChar w:fldCharType="begin"/>
      </w:r>
      <w:r w:rsidRPr="00925FE2">
        <w:rPr>
          <w:sz w:val="22"/>
          <w:szCs w:val="22"/>
        </w:rPr>
        <w:instrText xml:space="preserve"> SEQ Table \* ARABIC </w:instrText>
      </w:r>
      <w:r w:rsidR="00EC097A" w:rsidRPr="00925FE2">
        <w:rPr>
          <w:sz w:val="22"/>
          <w:szCs w:val="22"/>
        </w:rPr>
        <w:fldChar w:fldCharType="separate"/>
      </w:r>
      <w:r w:rsidR="00856A95">
        <w:rPr>
          <w:noProof/>
          <w:sz w:val="22"/>
          <w:szCs w:val="22"/>
        </w:rPr>
        <w:t>1</w:t>
      </w:r>
      <w:r w:rsidR="00EC097A" w:rsidRPr="00925FE2">
        <w:rPr>
          <w:sz w:val="22"/>
          <w:szCs w:val="22"/>
        </w:rPr>
        <w:fldChar w:fldCharType="end"/>
      </w:r>
      <w:r w:rsidRPr="00925FE2">
        <w:rPr>
          <w:sz w:val="22"/>
          <w:szCs w:val="22"/>
        </w:rPr>
        <w:t>: Statistics of Workplace Diversity at Aetna</w:t>
      </w:r>
      <w:bookmarkEnd w:id="30"/>
    </w:p>
    <w:tbl>
      <w:tblPr>
        <w:tblStyle w:val="MediumGrid2-Accent1"/>
        <w:tblW w:w="9889" w:type="dxa"/>
        <w:tblLayout w:type="fixed"/>
        <w:tblLook w:val="0600"/>
      </w:tblPr>
      <w:tblGrid>
        <w:gridCol w:w="534"/>
        <w:gridCol w:w="1559"/>
        <w:gridCol w:w="1965"/>
        <w:gridCol w:w="5831"/>
      </w:tblGrid>
      <w:tr w:rsidR="00094C69" w:rsidRPr="00094C69" w:rsidTr="005C3C54">
        <w:tc>
          <w:tcPr>
            <w:tcW w:w="534" w:type="dxa"/>
            <w:shd w:val="clear" w:color="auto" w:fill="365F91" w:themeFill="accent1" w:themeFillShade="BF"/>
            <w:vAlign w:val="center"/>
          </w:tcPr>
          <w:p w:rsidR="00094C69" w:rsidRPr="00094C69" w:rsidRDefault="00094C69" w:rsidP="00925FE2">
            <w:pPr>
              <w:pStyle w:val="normal0"/>
              <w:widowControl w:val="0"/>
              <w:jc w:val="center"/>
              <w:rPr>
                <w:rFonts w:asciiTheme="minorHAnsi" w:hAnsiTheme="minorHAnsi"/>
                <w:b/>
                <w:color w:val="FFFFFF" w:themeColor="background1"/>
                <w:sz w:val="24"/>
                <w:szCs w:val="24"/>
              </w:rPr>
            </w:pPr>
            <w:r>
              <w:rPr>
                <w:rFonts w:asciiTheme="minorHAnsi" w:hAnsiTheme="minorHAnsi"/>
                <w:b/>
                <w:color w:val="FFFFFF" w:themeColor="background1"/>
                <w:sz w:val="24"/>
                <w:szCs w:val="24"/>
              </w:rPr>
              <w:t>NO</w:t>
            </w:r>
          </w:p>
        </w:tc>
        <w:tc>
          <w:tcPr>
            <w:tcW w:w="1559" w:type="dxa"/>
            <w:shd w:val="clear" w:color="auto" w:fill="365F91" w:themeFill="accent1" w:themeFillShade="BF"/>
            <w:vAlign w:val="center"/>
          </w:tcPr>
          <w:p w:rsidR="00094C69" w:rsidRPr="00094C69" w:rsidRDefault="00094C69" w:rsidP="00094C69">
            <w:pPr>
              <w:pStyle w:val="normal0"/>
              <w:widowControl w:val="0"/>
              <w:jc w:val="center"/>
              <w:rPr>
                <w:rFonts w:asciiTheme="minorHAnsi" w:hAnsiTheme="minorHAnsi"/>
                <w:b/>
                <w:color w:val="FFFFFF" w:themeColor="background1"/>
                <w:sz w:val="24"/>
                <w:szCs w:val="24"/>
              </w:rPr>
            </w:pPr>
            <w:r w:rsidRPr="00094C69">
              <w:rPr>
                <w:rFonts w:asciiTheme="minorHAnsi" w:hAnsiTheme="minorHAnsi"/>
                <w:b/>
                <w:color w:val="FFFFFF" w:themeColor="background1"/>
                <w:sz w:val="24"/>
                <w:szCs w:val="24"/>
              </w:rPr>
              <w:t>DIMENSION OF DIVERSITY</w:t>
            </w:r>
          </w:p>
        </w:tc>
        <w:tc>
          <w:tcPr>
            <w:tcW w:w="1965" w:type="dxa"/>
            <w:shd w:val="clear" w:color="auto" w:fill="365F91" w:themeFill="accent1" w:themeFillShade="BF"/>
            <w:vAlign w:val="center"/>
          </w:tcPr>
          <w:p w:rsidR="00094C69" w:rsidRPr="00094C69" w:rsidRDefault="00094C69" w:rsidP="00094C69">
            <w:pPr>
              <w:pStyle w:val="normal0"/>
              <w:widowControl w:val="0"/>
              <w:jc w:val="center"/>
              <w:rPr>
                <w:rFonts w:asciiTheme="minorHAnsi" w:hAnsiTheme="minorHAnsi"/>
                <w:b/>
                <w:color w:val="FFFFFF" w:themeColor="background1"/>
                <w:sz w:val="24"/>
                <w:szCs w:val="24"/>
              </w:rPr>
            </w:pPr>
            <w:r w:rsidRPr="00094C69">
              <w:rPr>
                <w:rFonts w:asciiTheme="minorHAnsi" w:hAnsiTheme="minorHAnsi"/>
                <w:b/>
                <w:color w:val="FFFFFF" w:themeColor="background1"/>
                <w:sz w:val="24"/>
                <w:szCs w:val="24"/>
              </w:rPr>
              <w:t>UNIT</w:t>
            </w:r>
          </w:p>
        </w:tc>
        <w:tc>
          <w:tcPr>
            <w:tcW w:w="5831" w:type="dxa"/>
            <w:shd w:val="clear" w:color="auto" w:fill="365F91" w:themeFill="accent1" w:themeFillShade="BF"/>
            <w:vAlign w:val="center"/>
          </w:tcPr>
          <w:p w:rsidR="00094C69" w:rsidRPr="00094C69" w:rsidRDefault="005C3C54" w:rsidP="00094C69">
            <w:pPr>
              <w:pStyle w:val="normal0"/>
              <w:widowControl w:val="0"/>
              <w:jc w:val="center"/>
              <w:rPr>
                <w:rFonts w:asciiTheme="minorHAnsi" w:hAnsiTheme="minorHAnsi"/>
                <w:b/>
                <w:color w:val="FFFFFF" w:themeColor="background1"/>
                <w:sz w:val="24"/>
                <w:szCs w:val="24"/>
              </w:rPr>
            </w:pPr>
            <w:r>
              <w:rPr>
                <w:rFonts w:asciiTheme="minorHAnsi" w:hAnsiTheme="minorHAnsi"/>
                <w:b/>
                <w:color w:val="FFFFFF" w:themeColor="background1"/>
                <w:sz w:val="24"/>
                <w:szCs w:val="24"/>
              </w:rPr>
              <w:t>STATISTICS</w:t>
            </w:r>
          </w:p>
        </w:tc>
      </w:tr>
      <w:tr w:rsidR="00094C69" w:rsidTr="005C3C54">
        <w:trPr>
          <w:trHeight w:val="420"/>
        </w:trPr>
        <w:tc>
          <w:tcPr>
            <w:tcW w:w="534" w:type="dxa"/>
            <w:vMerge w:val="restart"/>
          </w:tcPr>
          <w:p w:rsidR="00094C69" w:rsidRDefault="00094C69" w:rsidP="00AD3CE0">
            <w:pPr>
              <w:pStyle w:val="normal0"/>
              <w:widowControl w:val="0"/>
              <w:rPr>
                <w:b/>
              </w:rPr>
            </w:pPr>
            <w:r>
              <w:rPr>
                <w:b/>
              </w:rPr>
              <w:t>1</w:t>
            </w:r>
          </w:p>
        </w:tc>
        <w:tc>
          <w:tcPr>
            <w:tcW w:w="1559" w:type="dxa"/>
            <w:vMerge w:val="restart"/>
          </w:tcPr>
          <w:p w:rsidR="00094C69" w:rsidRDefault="00094C69" w:rsidP="00AD3CE0">
            <w:pPr>
              <w:pStyle w:val="normal0"/>
              <w:widowControl w:val="0"/>
              <w:rPr>
                <w:b/>
              </w:rPr>
            </w:pPr>
            <w:r>
              <w:rPr>
                <w:b/>
              </w:rPr>
              <w:t>Gender</w:t>
            </w:r>
          </w:p>
        </w:tc>
        <w:tc>
          <w:tcPr>
            <w:tcW w:w="1965" w:type="dxa"/>
          </w:tcPr>
          <w:p w:rsidR="00094C69" w:rsidRPr="00094C69" w:rsidRDefault="00094C69" w:rsidP="00AD3CE0">
            <w:pPr>
              <w:pStyle w:val="normal0"/>
              <w:widowControl w:val="0"/>
            </w:pPr>
            <w:r w:rsidRPr="00094C69">
              <w:t>Men</w:t>
            </w:r>
          </w:p>
        </w:tc>
        <w:tc>
          <w:tcPr>
            <w:tcW w:w="5831" w:type="dxa"/>
          </w:tcPr>
          <w:p w:rsidR="00094C69" w:rsidRDefault="00094C69" w:rsidP="00AD3CE0">
            <w:pPr>
              <w:pStyle w:val="normal0"/>
              <w:widowControl w:val="0"/>
              <w:numPr>
                <w:ilvl w:val="0"/>
                <w:numId w:val="1"/>
              </w:numPr>
              <w:ind w:left="360"/>
            </w:pPr>
            <w:r>
              <w:t>24% of total employees are men</w:t>
            </w:r>
          </w:p>
        </w:tc>
      </w:tr>
      <w:tr w:rsidR="00094C69" w:rsidTr="005C3C54">
        <w:trPr>
          <w:trHeight w:val="420"/>
        </w:trPr>
        <w:tc>
          <w:tcPr>
            <w:tcW w:w="534" w:type="dxa"/>
            <w:vMerge/>
            <w:tcBorders>
              <w:bottom w:val="single" w:sz="8" w:space="0" w:color="4F81BD" w:themeColor="accent1"/>
            </w:tcBorders>
          </w:tcPr>
          <w:p w:rsidR="00094C69" w:rsidRDefault="00094C69" w:rsidP="00AD3CE0">
            <w:pPr>
              <w:pStyle w:val="normal0"/>
              <w:widowControl w:val="0"/>
              <w:rPr>
                <w:b/>
              </w:rPr>
            </w:pPr>
          </w:p>
        </w:tc>
        <w:tc>
          <w:tcPr>
            <w:tcW w:w="1559" w:type="dxa"/>
            <w:vMerge/>
            <w:tcBorders>
              <w:bottom w:val="single" w:sz="8" w:space="0" w:color="4F81BD" w:themeColor="accent1"/>
            </w:tcBorders>
          </w:tcPr>
          <w:p w:rsidR="00094C69" w:rsidRDefault="00094C69" w:rsidP="00AD3CE0">
            <w:pPr>
              <w:pStyle w:val="normal0"/>
              <w:widowControl w:val="0"/>
              <w:rPr>
                <w:b/>
              </w:rPr>
            </w:pPr>
          </w:p>
        </w:tc>
        <w:tc>
          <w:tcPr>
            <w:tcW w:w="1965" w:type="dxa"/>
            <w:tcBorders>
              <w:bottom w:val="single" w:sz="8" w:space="0" w:color="4F81BD" w:themeColor="accent1"/>
            </w:tcBorders>
          </w:tcPr>
          <w:p w:rsidR="00094C69" w:rsidRPr="00094C69" w:rsidRDefault="00094C69" w:rsidP="00AD3CE0">
            <w:pPr>
              <w:pStyle w:val="normal0"/>
              <w:widowControl w:val="0"/>
            </w:pPr>
            <w:r w:rsidRPr="00094C69">
              <w:t>Women</w:t>
            </w:r>
          </w:p>
        </w:tc>
        <w:tc>
          <w:tcPr>
            <w:tcW w:w="5831" w:type="dxa"/>
            <w:tcBorders>
              <w:bottom w:val="single" w:sz="8" w:space="0" w:color="4F81BD" w:themeColor="accent1"/>
            </w:tcBorders>
          </w:tcPr>
          <w:p w:rsidR="00094C69" w:rsidRDefault="00094C69" w:rsidP="00AD3CE0">
            <w:pPr>
              <w:pStyle w:val="normal0"/>
              <w:widowControl w:val="0"/>
              <w:numPr>
                <w:ilvl w:val="0"/>
                <w:numId w:val="2"/>
              </w:numPr>
              <w:ind w:left="360"/>
            </w:pPr>
            <w:r>
              <w:t>76% of total employees are women</w:t>
            </w:r>
          </w:p>
          <w:p w:rsidR="00094C69" w:rsidRDefault="00094C69" w:rsidP="00AD3CE0">
            <w:pPr>
              <w:pStyle w:val="normal0"/>
              <w:widowControl w:val="0"/>
              <w:numPr>
                <w:ilvl w:val="0"/>
                <w:numId w:val="2"/>
              </w:numPr>
              <w:ind w:left="360"/>
            </w:pPr>
            <w:r>
              <w:t>64% of women hold management/ supervisory positions</w:t>
            </w:r>
          </w:p>
          <w:p w:rsidR="00094C69" w:rsidRDefault="00094C69" w:rsidP="00AD3CE0">
            <w:pPr>
              <w:pStyle w:val="normal0"/>
              <w:widowControl w:val="0"/>
              <w:numPr>
                <w:ilvl w:val="0"/>
                <w:numId w:val="2"/>
              </w:numPr>
              <w:ind w:left="360"/>
            </w:pPr>
            <w:r>
              <w:t>32% of executive positions are held by women.</w:t>
            </w:r>
          </w:p>
        </w:tc>
      </w:tr>
      <w:tr w:rsidR="00094C69" w:rsidTr="005C3C54">
        <w:trPr>
          <w:trHeight w:val="420"/>
        </w:trPr>
        <w:tc>
          <w:tcPr>
            <w:tcW w:w="534" w:type="dxa"/>
            <w:vMerge w:val="restart"/>
            <w:shd w:val="clear" w:color="auto" w:fill="EEECE1" w:themeFill="background2"/>
          </w:tcPr>
          <w:p w:rsidR="00094C69" w:rsidRDefault="00094C69" w:rsidP="00AD3CE0">
            <w:pPr>
              <w:pStyle w:val="normal0"/>
              <w:widowControl w:val="0"/>
              <w:rPr>
                <w:b/>
              </w:rPr>
            </w:pPr>
            <w:r>
              <w:rPr>
                <w:b/>
              </w:rPr>
              <w:t>2</w:t>
            </w:r>
          </w:p>
        </w:tc>
        <w:tc>
          <w:tcPr>
            <w:tcW w:w="1559" w:type="dxa"/>
            <w:vMerge w:val="restart"/>
            <w:shd w:val="clear" w:color="auto" w:fill="EEECE1" w:themeFill="background2"/>
          </w:tcPr>
          <w:p w:rsidR="00094C69" w:rsidRDefault="00094C69" w:rsidP="00AD3CE0">
            <w:pPr>
              <w:pStyle w:val="normal0"/>
              <w:widowControl w:val="0"/>
              <w:rPr>
                <w:b/>
              </w:rPr>
            </w:pPr>
            <w:r>
              <w:rPr>
                <w:b/>
              </w:rPr>
              <w:t>Race and ethnicity</w:t>
            </w:r>
          </w:p>
        </w:tc>
        <w:tc>
          <w:tcPr>
            <w:tcW w:w="1965" w:type="dxa"/>
            <w:shd w:val="clear" w:color="auto" w:fill="EEECE1" w:themeFill="background2"/>
          </w:tcPr>
          <w:p w:rsidR="00094C69" w:rsidRPr="00094C69" w:rsidRDefault="00094C69" w:rsidP="00AD3CE0">
            <w:pPr>
              <w:pStyle w:val="normal0"/>
              <w:widowControl w:val="0"/>
            </w:pPr>
            <w:r w:rsidRPr="00094C69">
              <w:t>People of Colour</w:t>
            </w:r>
          </w:p>
        </w:tc>
        <w:tc>
          <w:tcPr>
            <w:tcW w:w="5831" w:type="dxa"/>
            <w:shd w:val="clear" w:color="auto" w:fill="EEECE1" w:themeFill="background2"/>
          </w:tcPr>
          <w:p w:rsidR="00094C69" w:rsidRDefault="00094C69" w:rsidP="00AD3CE0">
            <w:pPr>
              <w:pStyle w:val="normal0"/>
              <w:widowControl w:val="0"/>
              <w:numPr>
                <w:ilvl w:val="0"/>
                <w:numId w:val="2"/>
              </w:numPr>
              <w:ind w:left="360"/>
            </w:pPr>
            <w:r>
              <w:t>32% of employees are people of colour</w:t>
            </w:r>
          </w:p>
          <w:p w:rsidR="00094C69" w:rsidRDefault="00094C69" w:rsidP="00AD3CE0">
            <w:pPr>
              <w:pStyle w:val="normal0"/>
              <w:widowControl w:val="0"/>
              <w:numPr>
                <w:ilvl w:val="0"/>
                <w:numId w:val="2"/>
              </w:numPr>
              <w:ind w:left="360"/>
            </w:pPr>
            <w:r>
              <w:t>19% of management/ supervisory position are held by people of colour</w:t>
            </w:r>
          </w:p>
          <w:p w:rsidR="00094C69" w:rsidRDefault="00094C69" w:rsidP="00AD3CE0">
            <w:pPr>
              <w:pStyle w:val="normal0"/>
              <w:widowControl w:val="0"/>
              <w:numPr>
                <w:ilvl w:val="0"/>
                <w:numId w:val="2"/>
              </w:numPr>
              <w:ind w:left="360"/>
            </w:pPr>
            <w:r>
              <w:t>14% of executive positions are held by people of colour</w:t>
            </w:r>
          </w:p>
        </w:tc>
      </w:tr>
      <w:tr w:rsidR="00094C69" w:rsidTr="005C3C54">
        <w:trPr>
          <w:trHeight w:val="420"/>
        </w:trPr>
        <w:tc>
          <w:tcPr>
            <w:tcW w:w="534" w:type="dxa"/>
            <w:vMerge/>
            <w:shd w:val="clear" w:color="auto" w:fill="EEECE1" w:themeFill="background2"/>
          </w:tcPr>
          <w:p w:rsidR="00094C69" w:rsidRDefault="00094C69" w:rsidP="00AD3CE0">
            <w:pPr>
              <w:pStyle w:val="normal0"/>
              <w:widowControl w:val="0"/>
            </w:pPr>
          </w:p>
        </w:tc>
        <w:tc>
          <w:tcPr>
            <w:tcW w:w="1559" w:type="dxa"/>
            <w:vMerge/>
            <w:shd w:val="clear" w:color="auto" w:fill="EEECE1" w:themeFill="background2"/>
          </w:tcPr>
          <w:p w:rsidR="00094C69" w:rsidRDefault="00094C69" w:rsidP="00AD3CE0">
            <w:pPr>
              <w:pStyle w:val="normal0"/>
              <w:widowControl w:val="0"/>
            </w:pPr>
          </w:p>
        </w:tc>
        <w:tc>
          <w:tcPr>
            <w:tcW w:w="1965" w:type="dxa"/>
            <w:shd w:val="clear" w:color="auto" w:fill="EEECE1" w:themeFill="background2"/>
          </w:tcPr>
          <w:p w:rsidR="00094C69" w:rsidRPr="00094C69" w:rsidRDefault="00094C69" w:rsidP="00AD3CE0">
            <w:pPr>
              <w:pStyle w:val="normal0"/>
              <w:widowControl w:val="0"/>
            </w:pPr>
            <w:r w:rsidRPr="00094C69">
              <w:t>White</w:t>
            </w:r>
          </w:p>
        </w:tc>
        <w:tc>
          <w:tcPr>
            <w:tcW w:w="5831" w:type="dxa"/>
            <w:shd w:val="clear" w:color="auto" w:fill="EEECE1" w:themeFill="background2"/>
          </w:tcPr>
          <w:p w:rsidR="00094C69" w:rsidRDefault="00094C69" w:rsidP="00AD3CE0">
            <w:pPr>
              <w:pStyle w:val="normal0"/>
              <w:widowControl w:val="0"/>
              <w:numPr>
                <w:ilvl w:val="0"/>
                <w:numId w:val="2"/>
              </w:numPr>
              <w:ind w:left="360"/>
            </w:pPr>
            <w:r>
              <w:t>68% of employees are white people</w:t>
            </w:r>
          </w:p>
          <w:p w:rsidR="00094C69" w:rsidRDefault="00094C69" w:rsidP="00AD3CE0">
            <w:pPr>
              <w:pStyle w:val="normal0"/>
              <w:widowControl w:val="0"/>
              <w:numPr>
                <w:ilvl w:val="0"/>
                <w:numId w:val="2"/>
              </w:numPr>
              <w:ind w:left="360"/>
            </w:pPr>
            <w:r>
              <w:t>71% of management/ supervisory position are held by white people</w:t>
            </w:r>
          </w:p>
          <w:p w:rsidR="00094C69" w:rsidRDefault="00094C69" w:rsidP="00AD3CE0">
            <w:pPr>
              <w:pStyle w:val="normal0"/>
              <w:widowControl w:val="0"/>
              <w:numPr>
                <w:ilvl w:val="0"/>
                <w:numId w:val="2"/>
              </w:numPr>
              <w:ind w:left="360"/>
            </w:pPr>
            <w:r>
              <w:t>86% of executive positions are held by white people</w:t>
            </w:r>
          </w:p>
        </w:tc>
      </w:tr>
      <w:tr w:rsidR="00094C69" w:rsidTr="005C3C54">
        <w:trPr>
          <w:trHeight w:val="420"/>
        </w:trPr>
        <w:tc>
          <w:tcPr>
            <w:tcW w:w="534" w:type="dxa"/>
            <w:vMerge w:val="restart"/>
          </w:tcPr>
          <w:p w:rsidR="00094C69" w:rsidRDefault="00094C69" w:rsidP="00AD3CE0">
            <w:pPr>
              <w:pStyle w:val="normal0"/>
              <w:widowControl w:val="0"/>
              <w:rPr>
                <w:b/>
              </w:rPr>
            </w:pPr>
            <w:r>
              <w:rPr>
                <w:b/>
              </w:rPr>
              <w:t>3</w:t>
            </w:r>
          </w:p>
        </w:tc>
        <w:tc>
          <w:tcPr>
            <w:tcW w:w="1559" w:type="dxa"/>
            <w:vMerge w:val="restart"/>
          </w:tcPr>
          <w:p w:rsidR="00094C69" w:rsidRDefault="00094C69" w:rsidP="00AD3CE0">
            <w:pPr>
              <w:pStyle w:val="normal0"/>
              <w:widowControl w:val="0"/>
              <w:rPr>
                <w:b/>
              </w:rPr>
            </w:pPr>
            <w:r>
              <w:rPr>
                <w:b/>
              </w:rPr>
              <w:t>Multi-generation workplace</w:t>
            </w:r>
          </w:p>
        </w:tc>
        <w:tc>
          <w:tcPr>
            <w:tcW w:w="1965" w:type="dxa"/>
          </w:tcPr>
          <w:p w:rsidR="00094C69" w:rsidRPr="00094C69" w:rsidRDefault="00094C69" w:rsidP="00AD3CE0">
            <w:pPr>
              <w:pStyle w:val="normal0"/>
              <w:widowControl w:val="0"/>
            </w:pPr>
            <w:r w:rsidRPr="00094C69">
              <w:t>Traditionalists (1925 - 1945)</w:t>
            </w:r>
          </w:p>
        </w:tc>
        <w:tc>
          <w:tcPr>
            <w:tcW w:w="5831" w:type="dxa"/>
          </w:tcPr>
          <w:p w:rsidR="00094C69" w:rsidRDefault="00094C69" w:rsidP="00AD3CE0">
            <w:pPr>
              <w:pStyle w:val="normal0"/>
              <w:widowControl w:val="0"/>
              <w:numPr>
                <w:ilvl w:val="0"/>
                <w:numId w:val="2"/>
              </w:numPr>
              <w:ind w:left="360"/>
            </w:pPr>
            <w:r>
              <w:t>Less than 1% of the workforce.</w:t>
            </w:r>
          </w:p>
        </w:tc>
      </w:tr>
      <w:tr w:rsidR="00094C69" w:rsidTr="005C3C54">
        <w:trPr>
          <w:trHeight w:val="420"/>
        </w:trPr>
        <w:tc>
          <w:tcPr>
            <w:tcW w:w="534" w:type="dxa"/>
            <w:vMerge/>
          </w:tcPr>
          <w:p w:rsidR="00094C69" w:rsidRDefault="00094C69" w:rsidP="00AD3CE0">
            <w:pPr>
              <w:pStyle w:val="normal0"/>
              <w:widowControl w:val="0"/>
            </w:pPr>
          </w:p>
        </w:tc>
        <w:tc>
          <w:tcPr>
            <w:tcW w:w="1559" w:type="dxa"/>
            <w:vMerge/>
          </w:tcPr>
          <w:p w:rsidR="00094C69" w:rsidRDefault="00094C69" w:rsidP="00AD3CE0">
            <w:pPr>
              <w:pStyle w:val="normal0"/>
              <w:widowControl w:val="0"/>
            </w:pPr>
          </w:p>
        </w:tc>
        <w:tc>
          <w:tcPr>
            <w:tcW w:w="1965" w:type="dxa"/>
          </w:tcPr>
          <w:p w:rsidR="00094C69" w:rsidRPr="00094C69" w:rsidRDefault="00094C69" w:rsidP="00AD3CE0">
            <w:pPr>
              <w:pStyle w:val="normal0"/>
              <w:widowControl w:val="0"/>
            </w:pPr>
            <w:r w:rsidRPr="00094C69">
              <w:t>Baby Boomers (1946 to 1963)</w:t>
            </w:r>
          </w:p>
        </w:tc>
        <w:tc>
          <w:tcPr>
            <w:tcW w:w="5831" w:type="dxa"/>
          </w:tcPr>
          <w:p w:rsidR="00094C69" w:rsidRDefault="00094C69" w:rsidP="00AD3CE0">
            <w:pPr>
              <w:pStyle w:val="normal0"/>
              <w:widowControl w:val="0"/>
              <w:numPr>
                <w:ilvl w:val="0"/>
                <w:numId w:val="2"/>
              </w:numPr>
              <w:ind w:left="360"/>
            </w:pPr>
            <w:r>
              <w:t>30% of the workforce.</w:t>
            </w:r>
          </w:p>
        </w:tc>
      </w:tr>
      <w:tr w:rsidR="00094C69" w:rsidTr="005C3C54">
        <w:trPr>
          <w:trHeight w:val="420"/>
        </w:trPr>
        <w:tc>
          <w:tcPr>
            <w:tcW w:w="534" w:type="dxa"/>
            <w:vMerge/>
          </w:tcPr>
          <w:p w:rsidR="00094C69" w:rsidRDefault="00094C69" w:rsidP="00AD3CE0">
            <w:pPr>
              <w:pStyle w:val="normal0"/>
              <w:widowControl w:val="0"/>
            </w:pPr>
          </w:p>
        </w:tc>
        <w:tc>
          <w:tcPr>
            <w:tcW w:w="1559" w:type="dxa"/>
            <w:vMerge/>
          </w:tcPr>
          <w:p w:rsidR="00094C69" w:rsidRDefault="00094C69" w:rsidP="00AD3CE0">
            <w:pPr>
              <w:pStyle w:val="normal0"/>
              <w:widowControl w:val="0"/>
            </w:pPr>
          </w:p>
        </w:tc>
        <w:tc>
          <w:tcPr>
            <w:tcW w:w="1965" w:type="dxa"/>
          </w:tcPr>
          <w:p w:rsidR="00094C69" w:rsidRPr="00094C69" w:rsidRDefault="00094C69" w:rsidP="00AD3CE0">
            <w:pPr>
              <w:pStyle w:val="normal0"/>
              <w:widowControl w:val="0"/>
            </w:pPr>
            <w:r w:rsidRPr="00094C69">
              <w:t>Generation X (1964 to 1978)</w:t>
            </w:r>
          </w:p>
        </w:tc>
        <w:tc>
          <w:tcPr>
            <w:tcW w:w="5831" w:type="dxa"/>
          </w:tcPr>
          <w:p w:rsidR="00094C69" w:rsidRDefault="00094C69" w:rsidP="00AD3CE0">
            <w:pPr>
              <w:pStyle w:val="normal0"/>
              <w:widowControl w:val="0"/>
              <w:numPr>
                <w:ilvl w:val="0"/>
                <w:numId w:val="2"/>
              </w:numPr>
              <w:ind w:left="360"/>
            </w:pPr>
            <w:r>
              <w:t>45% of the workforce.</w:t>
            </w:r>
          </w:p>
        </w:tc>
      </w:tr>
      <w:tr w:rsidR="00094C69" w:rsidTr="005C3C54">
        <w:trPr>
          <w:trHeight w:val="420"/>
        </w:trPr>
        <w:tc>
          <w:tcPr>
            <w:tcW w:w="534" w:type="dxa"/>
            <w:vMerge/>
          </w:tcPr>
          <w:p w:rsidR="00094C69" w:rsidRDefault="00094C69" w:rsidP="00AD3CE0">
            <w:pPr>
              <w:pStyle w:val="normal0"/>
              <w:widowControl w:val="0"/>
            </w:pPr>
          </w:p>
        </w:tc>
        <w:tc>
          <w:tcPr>
            <w:tcW w:w="1559" w:type="dxa"/>
            <w:vMerge/>
          </w:tcPr>
          <w:p w:rsidR="00094C69" w:rsidRDefault="00094C69" w:rsidP="00AD3CE0">
            <w:pPr>
              <w:pStyle w:val="normal0"/>
              <w:widowControl w:val="0"/>
            </w:pPr>
          </w:p>
        </w:tc>
        <w:tc>
          <w:tcPr>
            <w:tcW w:w="1965" w:type="dxa"/>
          </w:tcPr>
          <w:p w:rsidR="00094C69" w:rsidRPr="00094C69" w:rsidRDefault="00094C69" w:rsidP="00AD3CE0">
            <w:pPr>
              <w:pStyle w:val="normal0"/>
              <w:widowControl w:val="0"/>
            </w:pPr>
            <w:r w:rsidRPr="00094C69">
              <w:t>Generation Y (1979 to 1994)</w:t>
            </w:r>
          </w:p>
        </w:tc>
        <w:tc>
          <w:tcPr>
            <w:tcW w:w="5831" w:type="dxa"/>
          </w:tcPr>
          <w:p w:rsidR="00094C69" w:rsidRDefault="00094C69" w:rsidP="00AD3CE0">
            <w:pPr>
              <w:pStyle w:val="normal0"/>
              <w:widowControl w:val="0"/>
              <w:numPr>
                <w:ilvl w:val="0"/>
                <w:numId w:val="2"/>
              </w:numPr>
              <w:ind w:left="360"/>
            </w:pPr>
            <w:r>
              <w:t>25% of the workforce.</w:t>
            </w:r>
          </w:p>
        </w:tc>
      </w:tr>
      <w:tr w:rsidR="00094C69" w:rsidTr="005C3C54">
        <w:trPr>
          <w:trHeight w:val="420"/>
        </w:trPr>
        <w:tc>
          <w:tcPr>
            <w:tcW w:w="534" w:type="dxa"/>
            <w:vMerge/>
            <w:tcBorders>
              <w:bottom w:val="single" w:sz="8" w:space="0" w:color="4F81BD" w:themeColor="accent1"/>
            </w:tcBorders>
          </w:tcPr>
          <w:p w:rsidR="00094C69" w:rsidRDefault="00094C69" w:rsidP="00AD3CE0">
            <w:pPr>
              <w:pStyle w:val="normal0"/>
              <w:widowControl w:val="0"/>
            </w:pPr>
          </w:p>
        </w:tc>
        <w:tc>
          <w:tcPr>
            <w:tcW w:w="1559" w:type="dxa"/>
            <w:vMerge/>
            <w:tcBorders>
              <w:bottom w:val="single" w:sz="8" w:space="0" w:color="4F81BD" w:themeColor="accent1"/>
            </w:tcBorders>
          </w:tcPr>
          <w:p w:rsidR="00094C69" w:rsidRDefault="00094C69" w:rsidP="00AD3CE0">
            <w:pPr>
              <w:pStyle w:val="normal0"/>
              <w:widowControl w:val="0"/>
            </w:pPr>
          </w:p>
        </w:tc>
        <w:tc>
          <w:tcPr>
            <w:tcW w:w="1965" w:type="dxa"/>
            <w:tcBorders>
              <w:bottom w:val="single" w:sz="8" w:space="0" w:color="4F81BD" w:themeColor="accent1"/>
            </w:tcBorders>
          </w:tcPr>
          <w:p w:rsidR="00094C69" w:rsidRPr="00094C69" w:rsidRDefault="00094C69" w:rsidP="00AD3CE0">
            <w:pPr>
              <w:pStyle w:val="normal0"/>
              <w:widowControl w:val="0"/>
            </w:pPr>
            <w:r w:rsidRPr="00094C69">
              <w:t xml:space="preserve">Generation Z (1995 to 2009) </w:t>
            </w:r>
          </w:p>
        </w:tc>
        <w:tc>
          <w:tcPr>
            <w:tcW w:w="5831" w:type="dxa"/>
            <w:tcBorders>
              <w:bottom w:val="single" w:sz="8" w:space="0" w:color="4F81BD" w:themeColor="accent1"/>
            </w:tcBorders>
          </w:tcPr>
          <w:p w:rsidR="00094C69" w:rsidRDefault="00094C69" w:rsidP="00AD3CE0">
            <w:pPr>
              <w:pStyle w:val="normal0"/>
              <w:widowControl w:val="0"/>
              <w:numPr>
                <w:ilvl w:val="0"/>
                <w:numId w:val="2"/>
              </w:numPr>
              <w:ind w:left="360"/>
            </w:pPr>
            <w:r>
              <w:t>Less than 1% of the workforce.</w:t>
            </w:r>
          </w:p>
        </w:tc>
      </w:tr>
      <w:tr w:rsidR="00094C69" w:rsidTr="005C3C54">
        <w:trPr>
          <w:trHeight w:val="420"/>
        </w:trPr>
        <w:tc>
          <w:tcPr>
            <w:tcW w:w="534" w:type="dxa"/>
            <w:vMerge w:val="restart"/>
            <w:shd w:val="clear" w:color="auto" w:fill="EEECE1" w:themeFill="background2"/>
          </w:tcPr>
          <w:p w:rsidR="00094C69" w:rsidRDefault="00094C69" w:rsidP="00AD3CE0">
            <w:pPr>
              <w:pStyle w:val="normal0"/>
              <w:widowControl w:val="0"/>
              <w:rPr>
                <w:b/>
              </w:rPr>
            </w:pPr>
            <w:r>
              <w:rPr>
                <w:b/>
              </w:rPr>
              <w:t>4</w:t>
            </w:r>
          </w:p>
        </w:tc>
        <w:tc>
          <w:tcPr>
            <w:tcW w:w="1559" w:type="dxa"/>
            <w:vMerge w:val="restart"/>
            <w:shd w:val="clear" w:color="auto" w:fill="EEECE1" w:themeFill="background2"/>
          </w:tcPr>
          <w:p w:rsidR="00094C69" w:rsidRDefault="00094C69" w:rsidP="00AD3CE0">
            <w:pPr>
              <w:pStyle w:val="normal0"/>
              <w:widowControl w:val="0"/>
              <w:rPr>
                <w:b/>
              </w:rPr>
            </w:pPr>
            <w:r>
              <w:rPr>
                <w:b/>
              </w:rPr>
              <w:t>Geography</w:t>
            </w:r>
          </w:p>
        </w:tc>
        <w:tc>
          <w:tcPr>
            <w:tcW w:w="1965" w:type="dxa"/>
            <w:shd w:val="clear" w:color="auto" w:fill="EEECE1" w:themeFill="background2"/>
          </w:tcPr>
          <w:p w:rsidR="00094C69" w:rsidRPr="00094C69" w:rsidRDefault="00094C69" w:rsidP="00AD3CE0">
            <w:pPr>
              <w:pStyle w:val="normal0"/>
              <w:widowControl w:val="0"/>
            </w:pPr>
            <w:r w:rsidRPr="00094C69">
              <w:t>All</w:t>
            </w:r>
          </w:p>
        </w:tc>
        <w:tc>
          <w:tcPr>
            <w:tcW w:w="5831" w:type="dxa"/>
            <w:shd w:val="clear" w:color="auto" w:fill="EEECE1" w:themeFill="background2"/>
          </w:tcPr>
          <w:p w:rsidR="00094C69" w:rsidRDefault="00094C69" w:rsidP="00AD3CE0">
            <w:pPr>
              <w:pStyle w:val="normal0"/>
              <w:widowControl w:val="0"/>
              <w:numPr>
                <w:ilvl w:val="0"/>
                <w:numId w:val="2"/>
              </w:numPr>
              <w:ind w:left="360"/>
            </w:pPr>
            <w:r>
              <w:t>Have employee</w:t>
            </w:r>
            <w:r w:rsidR="005C3C54">
              <w:t xml:space="preserve">s in all 50 states and District </w:t>
            </w:r>
            <w:r>
              <w:t xml:space="preserve">of </w:t>
            </w:r>
            <w:r w:rsidR="005C3C54">
              <w:t>Columbia</w:t>
            </w:r>
            <w:r>
              <w:t>.</w:t>
            </w:r>
          </w:p>
        </w:tc>
      </w:tr>
      <w:tr w:rsidR="00094C69" w:rsidTr="005C3C54">
        <w:trPr>
          <w:trHeight w:val="420"/>
        </w:trPr>
        <w:tc>
          <w:tcPr>
            <w:tcW w:w="534" w:type="dxa"/>
            <w:vMerge/>
            <w:shd w:val="clear" w:color="auto" w:fill="EEECE1" w:themeFill="background2"/>
          </w:tcPr>
          <w:p w:rsidR="00094C69" w:rsidRDefault="00094C69" w:rsidP="00AD3CE0">
            <w:pPr>
              <w:pStyle w:val="normal0"/>
              <w:widowControl w:val="0"/>
            </w:pPr>
          </w:p>
        </w:tc>
        <w:tc>
          <w:tcPr>
            <w:tcW w:w="1559" w:type="dxa"/>
            <w:vMerge/>
            <w:shd w:val="clear" w:color="auto" w:fill="EEECE1" w:themeFill="background2"/>
          </w:tcPr>
          <w:p w:rsidR="00094C69" w:rsidRDefault="00094C69" w:rsidP="00AD3CE0">
            <w:pPr>
              <w:pStyle w:val="normal0"/>
              <w:widowControl w:val="0"/>
            </w:pPr>
          </w:p>
        </w:tc>
        <w:tc>
          <w:tcPr>
            <w:tcW w:w="1965" w:type="dxa"/>
            <w:shd w:val="clear" w:color="auto" w:fill="EEECE1" w:themeFill="background2"/>
          </w:tcPr>
          <w:p w:rsidR="00094C69" w:rsidRPr="00094C69" w:rsidRDefault="00094C69" w:rsidP="00AD3CE0">
            <w:pPr>
              <w:pStyle w:val="normal0"/>
              <w:widowControl w:val="0"/>
            </w:pPr>
          </w:p>
        </w:tc>
        <w:tc>
          <w:tcPr>
            <w:tcW w:w="5831" w:type="dxa"/>
            <w:shd w:val="clear" w:color="auto" w:fill="EEECE1" w:themeFill="background2"/>
          </w:tcPr>
          <w:p w:rsidR="00094C69" w:rsidRDefault="00094C69" w:rsidP="00AD3CE0">
            <w:pPr>
              <w:pStyle w:val="normal0"/>
              <w:widowControl w:val="0"/>
              <w:numPr>
                <w:ilvl w:val="0"/>
                <w:numId w:val="2"/>
              </w:numPr>
              <w:ind w:left="360"/>
            </w:pPr>
            <w:r>
              <w:t>Largest network are</w:t>
            </w:r>
            <w:r>
              <w:br/>
              <w:t xml:space="preserve"> </w:t>
            </w:r>
            <w:r>
              <w:tab/>
              <w:t>A. Hartford, Connecticut</w:t>
            </w:r>
            <w:r>
              <w:br/>
              <w:t xml:space="preserve"> </w:t>
            </w:r>
            <w:r>
              <w:tab/>
              <w:t>B. Blue Bell, Pennsylvania</w:t>
            </w:r>
            <w:r>
              <w:br/>
              <w:t xml:space="preserve"> </w:t>
            </w:r>
            <w:r>
              <w:tab/>
              <w:t>C. Phoenix, Arizona</w:t>
            </w:r>
          </w:p>
        </w:tc>
      </w:tr>
      <w:tr w:rsidR="00094C69" w:rsidTr="005C3C54">
        <w:trPr>
          <w:trHeight w:val="440"/>
        </w:trPr>
        <w:tc>
          <w:tcPr>
            <w:tcW w:w="534" w:type="dxa"/>
            <w:vMerge w:val="restart"/>
          </w:tcPr>
          <w:p w:rsidR="00094C69" w:rsidRDefault="00094C69" w:rsidP="00AD3CE0">
            <w:pPr>
              <w:pStyle w:val="normal0"/>
              <w:widowControl w:val="0"/>
              <w:rPr>
                <w:b/>
              </w:rPr>
            </w:pPr>
            <w:r>
              <w:rPr>
                <w:b/>
              </w:rPr>
              <w:t>5</w:t>
            </w:r>
          </w:p>
        </w:tc>
        <w:tc>
          <w:tcPr>
            <w:tcW w:w="1559" w:type="dxa"/>
            <w:vMerge w:val="restart"/>
          </w:tcPr>
          <w:p w:rsidR="00094C69" w:rsidRDefault="00094C69" w:rsidP="00AD3CE0">
            <w:pPr>
              <w:pStyle w:val="normal0"/>
              <w:widowControl w:val="0"/>
              <w:rPr>
                <w:b/>
              </w:rPr>
            </w:pPr>
            <w:r>
              <w:rPr>
                <w:b/>
              </w:rPr>
              <w:t>Years of service</w:t>
            </w:r>
          </w:p>
        </w:tc>
        <w:tc>
          <w:tcPr>
            <w:tcW w:w="1965" w:type="dxa"/>
            <w:vMerge w:val="restart"/>
          </w:tcPr>
          <w:p w:rsidR="00094C69" w:rsidRPr="00094C69" w:rsidRDefault="00094C69" w:rsidP="00AD3CE0">
            <w:pPr>
              <w:pStyle w:val="normal0"/>
              <w:widowControl w:val="0"/>
            </w:pPr>
            <w:r w:rsidRPr="00094C69">
              <w:t>20 years yardstick</w:t>
            </w:r>
          </w:p>
        </w:tc>
        <w:tc>
          <w:tcPr>
            <w:tcW w:w="5831" w:type="dxa"/>
          </w:tcPr>
          <w:p w:rsidR="00094C69" w:rsidRDefault="00094C69" w:rsidP="00AD3CE0">
            <w:pPr>
              <w:pStyle w:val="normal0"/>
              <w:widowControl w:val="0"/>
              <w:numPr>
                <w:ilvl w:val="0"/>
                <w:numId w:val="2"/>
              </w:numPr>
              <w:ind w:left="360"/>
            </w:pPr>
            <w:r>
              <w:t>14% of employees have worked at Aetna for more than 20 years</w:t>
            </w:r>
          </w:p>
        </w:tc>
      </w:tr>
      <w:tr w:rsidR="00094C69" w:rsidTr="005C3C54">
        <w:trPr>
          <w:trHeight w:val="440"/>
        </w:trPr>
        <w:tc>
          <w:tcPr>
            <w:tcW w:w="534" w:type="dxa"/>
            <w:vMerge/>
          </w:tcPr>
          <w:p w:rsidR="00094C69" w:rsidRDefault="00094C69" w:rsidP="00AD3CE0">
            <w:pPr>
              <w:pStyle w:val="normal0"/>
              <w:widowControl w:val="0"/>
            </w:pPr>
          </w:p>
        </w:tc>
        <w:tc>
          <w:tcPr>
            <w:tcW w:w="1559" w:type="dxa"/>
            <w:vMerge/>
          </w:tcPr>
          <w:p w:rsidR="00094C69" w:rsidRDefault="00094C69" w:rsidP="00AD3CE0">
            <w:pPr>
              <w:pStyle w:val="normal0"/>
              <w:widowControl w:val="0"/>
            </w:pPr>
          </w:p>
        </w:tc>
        <w:tc>
          <w:tcPr>
            <w:tcW w:w="1965" w:type="dxa"/>
            <w:vMerge/>
          </w:tcPr>
          <w:p w:rsidR="00094C69" w:rsidRPr="00094C69" w:rsidRDefault="00094C69" w:rsidP="00AD3CE0">
            <w:pPr>
              <w:pStyle w:val="normal0"/>
              <w:widowControl w:val="0"/>
            </w:pPr>
          </w:p>
        </w:tc>
        <w:tc>
          <w:tcPr>
            <w:tcW w:w="5831" w:type="dxa"/>
          </w:tcPr>
          <w:p w:rsidR="00094C69" w:rsidRDefault="00094C69" w:rsidP="00AD3CE0">
            <w:pPr>
              <w:pStyle w:val="normal0"/>
              <w:widowControl w:val="0"/>
              <w:numPr>
                <w:ilvl w:val="0"/>
                <w:numId w:val="2"/>
              </w:numPr>
              <w:ind w:left="360"/>
            </w:pPr>
            <w:r>
              <w:t>86% of employees have not worked up to 20 years</w:t>
            </w:r>
          </w:p>
        </w:tc>
      </w:tr>
      <w:tr w:rsidR="00094C69" w:rsidTr="005C3C54">
        <w:trPr>
          <w:trHeight w:val="440"/>
        </w:trPr>
        <w:tc>
          <w:tcPr>
            <w:tcW w:w="534" w:type="dxa"/>
            <w:vMerge/>
          </w:tcPr>
          <w:p w:rsidR="00094C69" w:rsidRDefault="00094C69" w:rsidP="00AD3CE0">
            <w:pPr>
              <w:pStyle w:val="normal0"/>
              <w:widowControl w:val="0"/>
            </w:pPr>
          </w:p>
        </w:tc>
        <w:tc>
          <w:tcPr>
            <w:tcW w:w="1559" w:type="dxa"/>
            <w:vMerge/>
          </w:tcPr>
          <w:p w:rsidR="00094C69" w:rsidRDefault="00094C69" w:rsidP="00AD3CE0">
            <w:pPr>
              <w:pStyle w:val="normal0"/>
              <w:widowControl w:val="0"/>
            </w:pPr>
          </w:p>
        </w:tc>
        <w:tc>
          <w:tcPr>
            <w:tcW w:w="1965" w:type="dxa"/>
            <w:vMerge w:val="restart"/>
          </w:tcPr>
          <w:p w:rsidR="00094C69" w:rsidRPr="00094C69" w:rsidRDefault="00094C69" w:rsidP="00AD3CE0">
            <w:pPr>
              <w:pStyle w:val="normal0"/>
              <w:widowControl w:val="0"/>
            </w:pPr>
            <w:r w:rsidRPr="00094C69">
              <w:t>5 years yardstick</w:t>
            </w:r>
          </w:p>
        </w:tc>
        <w:tc>
          <w:tcPr>
            <w:tcW w:w="5831" w:type="dxa"/>
          </w:tcPr>
          <w:p w:rsidR="00094C69" w:rsidRDefault="00094C69" w:rsidP="00AD3CE0">
            <w:pPr>
              <w:pStyle w:val="normal0"/>
              <w:widowControl w:val="0"/>
              <w:numPr>
                <w:ilvl w:val="0"/>
                <w:numId w:val="2"/>
              </w:numPr>
              <w:ind w:left="360"/>
            </w:pPr>
            <w:r>
              <w:t>62% of employees have worked more than or equal to 5 years</w:t>
            </w:r>
          </w:p>
        </w:tc>
      </w:tr>
      <w:tr w:rsidR="00094C69" w:rsidTr="005C3C54">
        <w:trPr>
          <w:trHeight w:val="440"/>
        </w:trPr>
        <w:tc>
          <w:tcPr>
            <w:tcW w:w="534" w:type="dxa"/>
            <w:vMerge/>
            <w:tcBorders>
              <w:bottom w:val="single" w:sz="8" w:space="0" w:color="4F81BD" w:themeColor="accent1"/>
            </w:tcBorders>
          </w:tcPr>
          <w:p w:rsidR="00094C69" w:rsidRDefault="00094C69" w:rsidP="00AD3CE0">
            <w:pPr>
              <w:pStyle w:val="normal0"/>
              <w:widowControl w:val="0"/>
            </w:pPr>
          </w:p>
        </w:tc>
        <w:tc>
          <w:tcPr>
            <w:tcW w:w="1559" w:type="dxa"/>
            <w:vMerge/>
            <w:tcBorders>
              <w:bottom w:val="single" w:sz="8" w:space="0" w:color="4F81BD" w:themeColor="accent1"/>
            </w:tcBorders>
          </w:tcPr>
          <w:p w:rsidR="00094C69" w:rsidRDefault="00094C69" w:rsidP="00AD3CE0">
            <w:pPr>
              <w:pStyle w:val="normal0"/>
              <w:widowControl w:val="0"/>
            </w:pPr>
          </w:p>
        </w:tc>
        <w:tc>
          <w:tcPr>
            <w:tcW w:w="1965" w:type="dxa"/>
            <w:vMerge/>
            <w:tcBorders>
              <w:bottom w:val="single" w:sz="8" w:space="0" w:color="4F81BD" w:themeColor="accent1"/>
            </w:tcBorders>
          </w:tcPr>
          <w:p w:rsidR="00094C69" w:rsidRPr="00094C69" w:rsidRDefault="00094C69" w:rsidP="00AD3CE0">
            <w:pPr>
              <w:pStyle w:val="normal0"/>
              <w:widowControl w:val="0"/>
            </w:pPr>
          </w:p>
        </w:tc>
        <w:tc>
          <w:tcPr>
            <w:tcW w:w="5831" w:type="dxa"/>
            <w:tcBorders>
              <w:bottom w:val="single" w:sz="8" w:space="0" w:color="4F81BD" w:themeColor="accent1"/>
            </w:tcBorders>
          </w:tcPr>
          <w:p w:rsidR="00094C69" w:rsidRDefault="00094C69" w:rsidP="00AD3CE0">
            <w:pPr>
              <w:pStyle w:val="normal0"/>
              <w:widowControl w:val="0"/>
              <w:numPr>
                <w:ilvl w:val="0"/>
                <w:numId w:val="2"/>
              </w:numPr>
              <w:ind w:left="360"/>
            </w:pPr>
            <w:r>
              <w:t>38% of employees have worked less than 5 years</w:t>
            </w:r>
          </w:p>
        </w:tc>
      </w:tr>
      <w:tr w:rsidR="00094C69" w:rsidTr="005C3C54">
        <w:trPr>
          <w:trHeight w:val="420"/>
        </w:trPr>
        <w:tc>
          <w:tcPr>
            <w:tcW w:w="534" w:type="dxa"/>
            <w:vMerge w:val="restart"/>
            <w:shd w:val="clear" w:color="auto" w:fill="EEECE1" w:themeFill="background2"/>
          </w:tcPr>
          <w:p w:rsidR="00094C69" w:rsidRDefault="00094C69" w:rsidP="00AD3CE0">
            <w:pPr>
              <w:pStyle w:val="normal0"/>
              <w:widowControl w:val="0"/>
              <w:rPr>
                <w:b/>
              </w:rPr>
            </w:pPr>
            <w:r>
              <w:rPr>
                <w:b/>
              </w:rPr>
              <w:t>6</w:t>
            </w:r>
          </w:p>
        </w:tc>
        <w:tc>
          <w:tcPr>
            <w:tcW w:w="1559" w:type="dxa"/>
            <w:vMerge w:val="restart"/>
            <w:shd w:val="clear" w:color="auto" w:fill="EEECE1" w:themeFill="background2"/>
          </w:tcPr>
          <w:p w:rsidR="00094C69" w:rsidRDefault="00094C69" w:rsidP="00AD3CE0">
            <w:pPr>
              <w:pStyle w:val="normal0"/>
              <w:widowControl w:val="0"/>
              <w:rPr>
                <w:b/>
              </w:rPr>
            </w:pPr>
            <w:r>
              <w:rPr>
                <w:b/>
              </w:rPr>
              <w:t>Veteran Status</w:t>
            </w:r>
          </w:p>
        </w:tc>
        <w:tc>
          <w:tcPr>
            <w:tcW w:w="1965" w:type="dxa"/>
            <w:shd w:val="clear" w:color="auto" w:fill="EEECE1" w:themeFill="background2"/>
          </w:tcPr>
          <w:p w:rsidR="00094C69" w:rsidRPr="00094C69" w:rsidRDefault="00094C69" w:rsidP="00AD3CE0">
            <w:pPr>
              <w:pStyle w:val="normal0"/>
              <w:widowControl w:val="0"/>
            </w:pPr>
            <w:r w:rsidRPr="00094C69">
              <w:t>Veteran</w:t>
            </w:r>
          </w:p>
        </w:tc>
        <w:tc>
          <w:tcPr>
            <w:tcW w:w="5831" w:type="dxa"/>
            <w:shd w:val="clear" w:color="auto" w:fill="EEECE1" w:themeFill="background2"/>
          </w:tcPr>
          <w:p w:rsidR="00094C69" w:rsidRDefault="00094C69" w:rsidP="00AD3CE0">
            <w:pPr>
              <w:pStyle w:val="normal0"/>
              <w:widowControl w:val="0"/>
              <w:numPr>
                <w:ilvl w:val="0"/>
                <w:numId w:val="2"/>
              </w:numPr>
              <w:ind w:left="360"/>
            </w:pPr>
            <w:r>
              <w:t>2.4% are veteran</w:t>
            </w:r>
          </w:p>
        </w:tc>
      </w:tr>
      <w:tr w:rsidR="00094C69" w:rsidTr="005C3C54">
        <w:trPr>
          <w:trHeight w:val="420"/>
        </w:trPr>
        <w:tc>
          <w:tcPr>
            <w:tcW w:w="534" w:type="dxa"/>
            <w:vMerge/>
            <w:shd w:val="clear" w:color="auto" w:fill="EEECE1" w:themeFill="background2"/>
          </w:tcPr>
          <w:p w:rsidR="00094C69" w:rsidRDefault="00094C69" w:rsidP="00AD3CE0">
            <w:pPr>
              <w:pStyle w:val="normal0"/>
              <w:widowControl w:val="0"/>
            </w:pPr>
          </w:p>
        </w:tc>
        <w:tc>
          <w:tcPr>
            <w:tcW w:w="1559" w:type="dxa"/>
            <w:vMerge/>
            <w:shd w:val="clear" w:color="auto" w:fill="EEECE1" w:themeFill="background2"/>
          </w:tcPr>
          <w:p w:rsidR="00094C69" w:rsidRDefault="00094C69" w:rsidP="00AD3CE0">
            <w:pPr>
              <w:pStyle w:val="normal0"/>
              <w:widowControl w:val="0"/>
            </w:pPr>
          </w:p>
        </w:tc>
        <w:tc>
          <w:tcPr>
            <w:tcW w:w="1965" w:type="dxa"/>
            <w:shd w:val="clear" w:color="auto" w:fill="EEECE1" w:themeFill="background2"/>
          </w:tcPr>
          <w:p w:rsidR="00094C69" w:rsidRPr="00094C69" w:rsidRDefault="00094C69" w:rsidP="00AD3CE0">
            <w:pPr>
              <w:pStyle w:val="normal0"/>
              <w:widowControl w:val="0"/>
            </w:pPr>
            <w:r w:rsidRPr="00094C69">
              <w:t>Not a veteran</w:t>
            </w:r>
          </w:p>
        </w:tc>
        <w:tc>
          <w:tcPr>
            <w:tcW w:w="5831" w:type="dxa"/>
            <w:shd w:val="clear" w:color="auto" w:fill="EEECE1" w:themeFill="background2"/>
          </w:tcPr>
          <w:p w:rsidR="00094C69" w:rsidRDefault="00094C69" w:rsidP="00AD3CE0">
            <w:pPr>
              <w:pStyle w:val="normal0"/>
              <w:widowControl w:val="0"/>
              <w:numPr>
                <w:ilvl w:val="0"/>
                <w:numId w:val="2"/>
              </w:numPr>
              <w:ind w:left="360"/>
            </w:pPr>
            <w:r>
              <w:t>97.6% are not veteran</w:t>
            </w:r>
          </w:p>
        </w:tc>
      </w:tr>
      <w:tr w:rsidR="00094C69" w:rsidTr="005C3C54">
        <w:tc>
          <w:tcPr>
            <w:tcW w:w="534" w:type="dxa"/>
            <w:vMerge w:val="restart"/>
          </w:tcPr>
          <w:p w:rsidR="00094C69" w:rsidRDefault="00094C69" w:rsidP="00AD3CE0">
            <w:pPr>
              <w:pStyle w:val="normal0"/>
              <w:widowControl w:val="0"/>
              <w:rPr>
                <w:b/>
              </w:rPr>
            </w:pPr>
            <w:r>
              <w:rPr>
                <w:b/>
              </w:rPr>
              <w:t>7</w:t>
            </w:r>
          </w:p>
        </w:tc>
        <w:tc>
          <w:tcPr>
            <w:tcW w:w="1559" w:type="dxa"/>
          </w:tcPr>
          <w:p w:rsidR="00094C69" w:rsidRDefault="00094C69" w:rsidP="00AD3CE0">
            <w:pPr>
              <w:pStyle w:val="normal0"/>
              <w:widowControl w:val="0"/>
              <w:rPr>
                <w:b/>
              </w:rPr>
            </w:pPr>
            <w:r>
              <w:rPr>
                <w:b/>
              </w:rPr>
              <w:t>LGBT</w:t>
            </w:r>
          </w:p>
        </w:tc>
        <w:tc>
          <w:tcPr>
            <w:tcW w:w="1965" w:type="dxa"/>
          </w:tcPr>
          <w:p w:rsidR="00094C69" w:rsidRPr="00094C69" w:rsidRDefault="00094C69" w:rsidP="00AD3CE0">
            <w:pPr>
              <w:pStyle w:val="normal0"/>
              <w:widowControl w:val="0"/>
            </w:pPr>
            <w:r w:rsidRPr="00094C69">
              <w:t>LGBT</w:t>
            </w:r>
          </w:p>
        </w:tc>
        <w:tc>
          <w:tcPr>
            <w:tcW w:w="5831" w:type="dxa"/>
          </w:tcPr>
          <w:p w:rsidR="00094C69" w:rsidRDefault="00094C69" w:rsidP="00AD3CE0">
            <w:pPr>
              <w:pStyle w:val="normal0"/>
              <w:widowControl w:val="0"/>
              <w:numPr>
                <w:ilvl w:val="0"/>
                <w:numId w:val="2"/>
              </w:numPr>
              <w:ind w:left="360"/>
            </w:pPr>
            <w:r>
              <w:t>4% of employees identified as gay, lesbian, bisexual or transgender</w:t>
            </w:r>
            <w:r>
              <w:tab/>
            </w:r>
            <w:r>
              <w:tab/>
            </w:r>
            <w:r>
              <w:tab/>
            </w:r>
            <w:r>
              <w:tab/>
            </w:r>
            <w:r>
              <w:tab/>
            </w:r>
          </w:p>
        </w:tc>
      </w:tr>
      <w:tr w:rsidR="00094C69" w:rsidTr="005C3C54">
        <w:tc>
          <w:tcPr>
            <w:tcW w:w="534" w:type="dxa"/>
            <w:vMerge/>
          </w:tcPr>
          <w:p w:rsidR="00094C69" w:rsidRDefault="00094C69" w:rsidP="00AD3CE0">
            <w:pPr>
              <w:pStyle w:val="normal0"/>
              <w:widowControl w:val="0"/>
            </w:pPr>
          </w:p>
        </w:tc>
        <w:tc>
          <w:tcPr>
            <w:tcW w:w="1559" w:type="dxa"/>
          </w:tcPr>
          <w:p w:rsidR="00094C69" w:rsidRDefault="00094C69" w:rsidP="00AD3CE0">
            <w:pPr>
              <w:pStyle w:val="normal0"/>
              <w:widowControl w:val="0"/>
            </w:pPr>
          </w:p>
        </w:tc>
        <w:tc>
          <w:tcPr>
            <w:tcW w:w="1965" w:type="dxa"/>
          </w:tcPr>
          <w:p w:rsidR="00094C69" w:rsidRPr="00094C69" w:rsidRDefault="00094C69" w:rsidP="00AD3CE0">
            <w:pPr>
              <w:pStyle w:val="normal0"/>
              <w:widowControl w:val="0"/>
            </w:pPr>
          </w:p>
        </w:tc>
        <w:tc>
          <w:tcPr>
            <w:tcW w:w="5831" w:type="dxa"/>
          </w:tcPr>
          <w:p w:rsidR="00094C69" w:rsidRDefault="00094C69" w:rsidP="00AD3CE0">
            <w:pPr>
              <w:pStyle w:val="normal0"/>
              <w:widowControl w:val="0"/>
              <w:numPr>
                <w:ilvl w:val="0"/>
                <w:numId w:val="2"/>
              </w:numPr>
              <w:ind w:left="360"/>
            </w:pPr>
            <w:r>
              <w:t>96% of the employees are straight.</w:t>
            </w:r>
          </w:p>
        </w:tc>
      </w:tr>
    </w:tbl>
    <w:p w:rsidR="00925FE2" w:rsidRDefault="00094C69" w:rsidP="00925FE2">
      <w:pPr>
        <w:pStyle w:val="normal0"/>
        <w:spacing w:line="360" w:lineRule="auto"/>
      </w:pPr>
      <w:r>
        <w:rPr>
          <w:b/>
        </w:rPr>
        <w:t>REFERENCE:</w:t>
      </w:r>
      <w:r w:rsidR="00925FE2">
        <w:rPr>
          <w:b/>
        </w:rPr>
        <w:t xml:space="preserve"> </w:t>
      </w:r>
      <w:r w:rsidR="00925FE2">
        <w:t xml:space="preserve">Deduced from </w:t>
      </w:r>
      <w:r w:rsidR="00925FE2">
        <w:rPr>
          <w:noProof/>
        </w:rPr>
        <w:t>Aetna</w:t>
      </w:r>
      <w:r w:rsidR="00925FE2">
        <w:t xml:space="preserve"> </w:t>
      </w:r>
      <w:sdt>
        <w:sdtPr>
          <w:id w:val="25605396"/>
          <w:citation/>
        </w:sdtPr>
        <w:sdtContent>
          <w:fldSimple w:instr=" CITATION Aet18 \n  \l 2057  ">
            <w:r w:rsidR="007C6294">
              <w:rPr>
                <w:noProof/>
              </w:rPr>
              <w:t>(2018a)</w:t>
            </w:r>
          </w:fldSimple>
        </w:sdtContent>
      </w:sdt>
    </w:p>
    <w:p w:rsidR="005C3C54" w:rsidRDefault="005C3C54" w:rsidP="00094C69">
      <w:pPr>
        <w:pStyle w:val="normal0"/>
        <w:spacing w:line="360" w:lineRule="auto"/>
        <w:jc w:val="both"/>
      </w:pPr>
    </w:p>
    <w:p w:rsidR="005C3C54" w:rsidRDefault="005C3C54" w:rsidP="00094C69">
      <w:pPr>
        <w:pStyle w:val="normal0"/>
        <w:spacing w:line="360" w:lineRule="auto"/>
        <w:jc w:val="both"/>
      </w:pPr>
      <w:r>
        <w:t xml:space="preserve">The statistics shown here depicts not so bad statistics on gender and ethnicity/ race, the two dimensions of diversity I am placing emphasis on because both of these dimensions have probably generated highest number of bias and, as such, discussions in recent times. But while the total number of employees in these variations are not that bad, the statistics in the executive composition gives little for concern and can be regarded as not fully representative of the community Aetna operates in.  </w:t>
      </w:r>
    </w:p>
    <w:p w:rsidR="005C3C54" w:rsidRPr="005C3C54" w:rsidRDefault="005C3C54" w:rsidP="005C3C54">
      <w:pPr>
        <w:pStyle w:val="normal0"/>
        <w:spacing w:line="360" w:lineRule="auto"/>
        <w:jc w:val="both"/>
      </w:pPr>
      <w:r>
        <w:t>That several</w:t>
      </w:r>
      <w:r w:rsidR="00094C69">
        <w:t xml:space="preserve"> programs</w:t>
      </w:r>
      <w:r>
        <w:t xml:space="preserve"> were</w:t>
      </w:r>
      <w:r w:rsidR="00094C69">
        <w:t xml:space="preserve"> designed to leverage on the diversified workforce</w:t>
      </w:r>
      <w:r>
        <w:t xml:space="preserve"> is a good thing</w:t>
      </w:r>
      <w:r w:rsidR="00C87218">
        <w:t xml:space="preserve"> though</w:t>
      </w:r>
      <w:r w:rsidR="00094C69">
        <w:t>. This includes women’s leadership alliance, power of the purse, strategies for success leadership program, strategies for success sponsorship program, men advocating real change (MARC) leaders program and employees resource groups among others</w:t>
      </w:r>
      <w:r w:rsidR="00925FE2">
        <w:t xml:space="preserve"> </w:t>
      </w:r>
      <w:sdt>
        <w:sdtPr>
          <w:id w:val="25605397"/>
          <w:citation/>
        </w:sdtPr>
        <w:sdtContent>
          <w:fldSimple w:instr=" CITATION Aet18 \l 2057  ">
            <w:r w:rsidR="007C6294">
              <w:rPr>
                <w:noProof/>
              </w:rPr>
              <w:t>(Aetna Inc., 2018a)</w:t>
            </w:r>
          </w:fldSimple>
        </w:sdtContent>
      </w:sdt>
      <w:r w:rsidR="00094C69">
        <w:t xml:space="preserve">. </w:t>
      </w:r>
      <w:r>
        <w:t>Extending the</w:t>
      </w:r>
      <w:r w:rsidR="00094C69">
        <w:t xml:space="preserve"> diversity to the company suppliers too</w:t>
      </w:r>
      <w:r>
        <w:t xml:space="preserve"> is very good. However, as good as the programs </w:t>
      </w:r>
      <w:r w:rsidR="00CF3F34">
        <w:t>are</w:t>
      </w:r>
      <w:r>
        <w:t xml:space="preserve">, the encompassing diversity management, should be given more priority. Diversity management, </w:t>
      </w:r>
      <w:r w:rsidR="00B66EF6">
        <w:t xml:space="preserve">which SHRM (2017) </w:t>
      </w:r>
      <w:r w:rsidR="00C87218">
        <w:t xml:space="preserve">defined as </w:t>
      </w:r>
      <w:r w:rsidRPr="005C3C54">
        <w:rPr>
          <w:bCs/>
          <w:lang w:val="en-US"/>
        </w:rPr>
        <w:t>“</w:t>
      </w:r>
      <w:r w:rsidRPr="005C3C54">
        <w:rPr>
          <w:bCs/>
          <w:iCs/>
          <w:lang w:val="en-US"/>
        </w:rPr>
        <w:t>the comprehensive organizational and managerial process for leveraging diversity and achieving inclusion that maximizes the potential of all employees</w:t>
      </w:r>
      <w:r>
        <w:rPr>
          <w:bCs/>
          <w:iCs/>
          <w:lang w:val="en-US"/>
        </w:rPr>
        <w:t>”, determines the end result of the diversity initiatives.</w:t>
      </w:r>
    </w:p>
    <w:p w:rsidR="001B22BA" w:rsidRDefault="001B22BA" w:rsidP="001B22BA">
      <w:pPr>
        <w:pStyle w:val="normal0"/>
        <w:spacing w:line="360" w:lineRule="auto"/>
        <w:jc w:val="both"/>
      </w:pPr>
      <w:r>
        <w:t>When Aetna Insurance Company organized an annuity fund to sell life insurance in 1850, the health insurance company which eventually separated and incorporated as Aetna Life Insurance</w:t>
      </w:r>
      <w:r w:rsidR="00925FE2">
        <w:t xml:space="preserve"> </w:t>
      </w:r>
      <w:sdt>
        <w:sdtPr>
          <w:id w:val="25605398"/>
          <w:citation/>
        </w:sdtPr>
        <w:sdtContent>
          <w:fldSimple w:instr=" CITATION Aet8b \l 2057 ">
            <w:r w:rsidR="00925FE2">
              <w:rPr>
                <w:noProof/>
              </w:rPr>
              <w:t xml:space="preserve">(Aetna </w:t>
            </w:r>
            <w:r w:rsidR="00925FE2">
              <w:rPr>
                <w:noProof/>
              </w:rPr>
              <w:lastRenderedPageBreak/>
              <w:t>Inc., 2018b)</w:t>
            </w:r>
          </w:fldSimple>
        </w:sdtContent>
      </w:sdt>
      <w:r w:rsidR="007C6294">
        <w:t xml:space="preserve"> </w:t>
      </w:r>
      <w:r>
        <w:t xml:space="preserve">had no idea it would grew to become one of the largest health insurance providers in </w:t>
      </w:r>
      <w:r w:rsidR="00EB2F5D">
        <w:t xml:space="preserve">the United States of America (USA) and </w:t>
      </w:r>
      <w:r>
        <w:t>the world</w:t>
      </w:r>
      <w:r w:rsidR="00EB2F5D">
        <w:t xml:space="preserve"> at large</w:t>
      </w:r>
      <w:r>
        <w:t>. With several products like health insurance, medicaid insurance, pharmacy insurance, group life insurance and disability insurance sold in all the fifty (50) states in the united states, it is easy to see why CVS Health strived hard to acquire it</w:t>
      </w:r>
      <w:r w:rsidR="00A01733">
        <w:t xml:space="preserve"> this year, 2018 </w:t>
      </w:r>
      <w:sdt>
        <w:sdtPr>
          <w:id w:val="23433862"/>
          <w:citation/>
        </w:sdtPr>
        <w:sdtContent>
          <w:fldSimple w:instr=" CITATION Aet181 \l 2057 ">
            <w:r w:rsidR="00A01733">
              <w:rPr>
                <w:noProof/>
              </w:rPr>
              <w:t>(Aetna News, 2018)</w:t>
            </w:r>
          </w:fldSimple>
        </w:sdtContent>
      </w:sdt>
      <w:r>
        <w:t>. Aetna’s financial performance can be associated with its huge and diversified customer base: people of different colour, ethnicity, age and gender among numerous others. This</w:t>
      </w:r>
      <w:r w:rsidR="00C87218">
        <w:t xml:space="preserve"> once again</w:t>
      </w:r>
      <w:r>
        <w:t xml:space="preserve"> necessitates the need for not just diversity but diversity management.</w:t>
      </w:r>
    </w:p>
    <w:p w:rsidR="00570AEA" w:rsidRDefault="009A4C88" w:rsidP="00E85B2E">
      <w:pPr>
        <w:pStyle w:val="normal0"/>
        <w:spacing w:line="360" w:lineRule="auto"/>
        <w:jc w:val="both"/>
      </w:pPr>
      <w:r>
        <w:t>Like Milliken and</w:t>
      </w:r>
      <w:r w:rsidR="001B22BA">
        <w:t xml:space="preserve"> Martins (1994 cited in Ogaga-Oghene &amp; Ehimare 2011 pg. 94)</w:t>
      </w:r>
      <w:r w:rsidR="009B5AC4">
        <w:t>, however,</w:t>
      </w:r>
      <w:r w:rsidR="001B22BA">
        <w:t xml:space="preserve"> opined, “diversity appears to be a double-edged sword, increasing the opportunity for creativity as well as the likelihood that group members will be dissatisfied and fail to identify with the group”. In summary, it has contrasting implications depending on the management of the varying dimensions. </w:t>
      </w:r>
      <w:r w:rsidR="00570AEA">
        <w:t>While looking</w:t>
      </w:r>
      <w:r w:rsidR="001B22BA">
        <w:t xml:space="preserve"> at diversity</w:t>
      </w:r>
      <w:r w:rsidR="00570AEA">
        <w:t xml:space="preserve"> from the prism </w:t>
      </w:r>
      <w:r w:rsidR="001B22BA">
        <w:t>of its</w:t>
      </w:r>
      <w:r w:rsidR="00570AEA">
        <w:t xml:space="preserve"> effects </w:t>
      </w:r>
      <w:r w:rsidR="001B22BA">
        <w:t>on the organization</w:t>
      </w:r>
      <w:r w:rsidR="00570AEA">
        <w:t>, three theoretical frameworks are mostly utilized. These are social categorization theory, similarity/ attraction theory, and information and decision-making theo</w:t>
      </w:r>
      <w:r w:rsidR="001B22BA">
        <w:t>ry</w:t>
      </w:r>
      <w:r w:rsidR="00D038AE">
        <w:t xml:space="preserve"> </w:t>
      </w:r>
      <w:sdt>
        <w:sdtPr>
          <w:id w:val="23433875"/>
          <w:citation/>
        </w:sdtPr>
        <w:sdtContent>
          <w:fldSimple w:instr=" CITATION Hog06 \l 2057 ">
            <w:r w:rsidR="00D038AE">
              <w:rPr>
                <w:noProof/>
              </w:rPr>
              <w:t>(Hogg &amp; Reid, 2006)</w:t>
            </w:r>
          </w:fldSimple>
        </w:sdtContent>
      </w:sdt>
      <w:r w:rsidR="001B22BA">
        <w:t>.</w:t>
      </w:r>
      <w:r w:rsidR="002419D8">
        <w:t xml:space="preserve"> </w:t>
      </w:r>
      <w:r w:rsidR="001F7E40">
        <w:t>Consistent with this contrasting implications are the arguments, for and against, of the three popular theoretical frameworks. The next section would look at the</w:t>
      </w:r>
      <w:r w:rsidR="009A4570">
        <w:t xml:space="preserve"> strategic impe</w:t>
      </w:r>
      <w:r w:rsidR="009B5AC4">
        <w:t>rative of workplace diversity while</w:t>
      </w:r>
      <w:r w:rsidR="009A4570">
        <w:t xml:space="preserve"> reviewing the </w:t>
      </w:r>
      <w:r w:rsidR="009B5AC4">
        <w:t>benefits as well as the costs.</w:t>
      </w:r>
    </w:p>
    <w:p w:rsidR="001B22BA" w:rsidRDefault="001B22BA" w:rsidP="00740B7D">
      <w:pPr>
        <w:pStyle w:val="normal0"/>
      </w:pPr>
    </w:p>
    <w:p w:rsidR="008F680A" w:rsidRDefault="00076DCA" w:rsidP="008F680A">
      <w:pPr>
        <w:pStyle w:val="Heading2"/>
        <w:jc w:val="both"/>
      </w:pPr>
      <w:bookmarkStart w:id="31" w:name="_n0521rc7tn1c" w:colFirst="0" w:colLast="0"/>
      <w:bookmarkStart w:id="32" w:name="_y4i1tlkpvpei" w:colFirst="0" w:colLast="0"/>
      <w:bookmarkStart w:id="33" w:name="_Toc534626208"/>
      <w:bookmarkStart w:id="34" w:name="_Toc534667871"/>
      <w:bookmarkStart w:id="35" w:name="_Toc534681850"/>
      <w:bookmarkEnd w:id="31"/>
      <w:bookmarkEnd w:id="32"/>
      <w:r>
        <w:t>2.2</w:t>
      </w:r>
      <w:r w:rsidR="00DC2896">
        <w:t xml:space="preserve"> WORKPLACE DIVERSITY: A STRATEGIC IMPERATIVE</w:t>
      </w:r>
      <w:bookmarkEnd w:id="33"/>
      <w:bookmarkEnd w:id="34"/>
      <w:bookmarkEnd w:id="35"/>
    </w:p>
    <w:p w:rsidR="00627FEA" w:rsidRPr="00627FEA" w:rsidRDefault="00627FEA" w:rsidP="001C1FA4">
      <w:pPr>
        <w:pStyle w:val="Heading3"/>
      </w:pPr>
      <w:bookmarkStart w:id="36" w:name="_Toc534626209"/>
      <w:bookmarkStart w:id="37" w:name="_Toc534667872"/>
      <w:bookmarkStart w:id="38" w:name="_Toc534681851"/>
      <w:r>
        <w:t>2.2.1: OVERVIEW AND A BUSINESS CASE FOR DIVERSITY IN ETHNICITY OR RACE</w:t>
      </w:r>
      <w:bookmarkEnd w:id="36"/>
      <w:bookmarkEnd w:id="37"/>
      <w:bookmarkEnd w:id="38"/>
    </w:p>
    <w:p w:rsidR="004D0F17" w:rsidRPr="00D038AE" w:rsidRDefault="00AD3CE0">
      <w:pPr>
        <w:pStyle w:val="normal0"/>
        <w:spacing w:line="360" w:lineRule="auto"/>
        <w:jc w:val="both"/>
      </w:pPr>
      <w:r>
        <w:t>As said earlier, d</w:t>
      </w:r>
      <w:r w:rsidR="00DC2896">
        <w:t>iversity in workplace has gained enormous discussion and research among researchers</w:t>
      </w:r>
      <w:r w:rsidR="009B5AC4">
        <w:t xml:space="preserve"> and management professionals</w:t>
      </w:r>
      <w:r w:rsidR="00DC2896">
        <w:t xml:space="preserve"> alike. Globalization and internationalization, few of the contributing factors enhancing i</w:t>
      </w:r>
      <w:r w:rsidR="00D038AE">
        <w:t xml:space="preserve">mmigration </w:t>
      </w:r>
      <w:sdt>
        <w:sdtPr>
          <w:id w:val="23433876"/>
          <w:citation/>
        </w:sdtPr>
        <w:sdtContent>
          <w:fldSimple w:instr=" CITATION Cow02 \l 2057 ">
            <w:r w:rsidR="00D038AE">
              <w:rPr>
                <w:noProof/>
              </w:rPr>
              <w:t>(Cowen, 2002)</w:t>
            </w:r>
          </w:fldSimple>
        </w:sdtContent>
      </w:sdt>
      <w:r w:rsidR="002419D8">
        <w:t xml:space="preserve">, </w:t>
      </w:r>
      <w:r w:rsidR="00DC2896">
        <w:t>have ensured that workplace diversity would continue to be a trend for a lon</w:t>
      </w:r>
      <w:r>
        <w:t>g time. While buttressing this,</w:t>
      </w:r>
      <w:r w:rsidR="00DC2896">
        <w:t xml:space="preserve"> </w:t>
      </w:r>
      <w:r w:rsidR="00EB2F5D">
        <w:t xml:space="preserve">Cox </w:t>
      </w:r>
      <w:r w:rsidR="009A4C88">
        <w:t>and</w:t>
      </w:r>
      <w:r w:rsidR="00EB2F5D">
        <w:t xml:space="preserve"> Blake (1</w:t>
      </w:r>
      <w:r w:rsidR="00D038AE">
        <w:t>991, cited in Okoro &amp; Washington</w:t>
      </w:r>
      <w:r w:rsidR="00EB2F5D">
        <w:t xml:space="preserve"> </w:t>
      </w:r>
      <w:r w:rsidR="00DC2896">
        <w:t>2012) argued that this would remain for a long time and the ability to manage this diversified workforce will provide a competitive advantage because of improved decision-making and cross-cultural negotiation that could be accrued from such.</w:t>
      </w:r>
    </w:p>
    <w:p w:rsidR="004D0F17" w:rsidRDefault="00DC2896">
      <w:pPr>
        <w:pStyle w:val="normal0"/>
        <w:spacing w:line="360" w:lineRule="auto"/>
        <w:jc w:val="both"/>
      </w:pPr>
      <w:r>
        <w:t>Although</w:t>
      </w:r>
      <w:r w:rsidR="009B5AC4">
        <w:t xml:space="preserve">, some researchers opined that it is difficult </w:t>
      </w:r>
      <w:r>
        <w:t xml:space="preserve">to quantify the immediate return on investment (ROI) of workplace diversity, </w:t>
      </w:r>
      <w:r w:rsidR="00D038AE">
        <w:t>they</w:t>
      </w:r>
      <w:r>
        <w:t xml:space="preserve"> are, however, mostly unanimous on its positive implica</w:t>
      </w:r>
      <w:r w:rsidR="00D038AE">
        <w:t xml:space="preserve">tion to workplace productivity </w:t>
      </w:r>
      <w:r w:rsidR="00D038AE">
        <w:rPr>
          <w:noProof/>
        </w:rPr>
        <w:t>(Acheson &amp; Maule, 2004; Ali et al., 2011; Arch et al., 2009; Li et al., 2011)</w:t>
      </w:r>
      <w:r>
        <w:t>. While emphasizing its importance to</w:t>
      </w:r>
      <w:r w:rsidR="00D038AE">
        <w:t xml:space="preserve"> productivity, Kanu’s (2008, cited </w:t>
      </w:r>
      <w:r>
        <w:t xml:space="preserve">in Okoro &amp; Washington 2012) also pointed to the case of Goldman Sachs with more than 30,000 employees </w:t>
      </w:r>
      <w:r>
        <w:lastRenderedPageBreak/>
        <w:t xml:space="preserve">representing 160 nationalities. This, to him, epitomizes the standard in business organizations in the United States and, more importantly, is a business necessity. This is because having a diversified workplace, which is the inherent business practice, enables organizations to understand the target market which are also diversified. In short, a diversified workforce is simply a microcosm of the larger society.  </w:t>
      </w:r>
    </w:p>
    <w:p w:rsidR="004D0F17" w:rsidRDefault="00DC2896">
      <w:pPr>
        <w:pStyle w:val="normal0"/>
        <w:spacing w:line="360" w:lineRule="auto"/>
        <w:jc w:val="both"/>
      </w:pPr>
      <w:r>
        <w:t>Consistent wi</w:t>
      </w:r>
      <w:r w:rsidR="00D038AE">
        <w:t>th this latter argument, Bovee and</w:t>
      </w:r>
      <w:r>
        <w:t xml:space="preserve"> Thill (2008) also argued that United States (US), the primary market for Aetna Health, has been a nation of immigrants right from onset and as such populated with people of different ethnicity and race. According to the US Census Bureau, the country’s multi-ethnicity would keep getting entrenched that by the middle of twenty-first century, the majority race would be in the minority (majority-minority) in that Non-Hispanic white, though still the majority race, would comprise less than one-half of the total population. Hispanic whites would account for almost one-fourth, African Americans will grow to about 13 percent while the Asian Americans are projected to be around 8 percent. The Acting Director of US Census Bureau, </w:t>
      </w:r>
      <w:r w:rsidRPr="00C87218">
        <w:rPr>
          <w:color w:val="000000" w:themeColor="text1"/>
          <w:highlight w:val="white"/>
        </w:rPr>
        <w:t xml:space="preserve">Thomas L. Mesenbourg summarize it succinctly thus: “The next half century marks key points in continuing trends — the U.S. will become a plurality nation, where the non-Hispanic white population remains the largest single group, but no group is in the majority” </w:t>
      </w:r>
      <w:sdt>
        <w:sdtPr>
          <w:rPr>
            <w:color w:val="000000" w:themeColor="text1"/>
            <w:highlight w:val="white"/>
          </w:rPr>
          <w:id w:val="25605408"/>
          <w:citation/>
        </w:sdtPr>
        <w:sdtContent>
          <w:r w:rsidR="00EC097A">
            <w:rPr>
              <w:color w:val="000000" w:themeColor="text1"/>
              <w:highlight w:val="white"/>
            </w:rPr>
            <w:fldChar w:fldCharType="begin"/>
          </w:r>
          <w:r w:rsidR="002C11D2">
            <w:rPr>
              <w:color w:val="000000" w:themeColor="text1"/>
              <w:highlight w:val="white"/>
            </w:rPr>
            <w:instrText xml:space="preserve"> CITATION USC12 \l 2057 </w:instrText>
          </w:r>
          <w:r w:rsidR="00EC097A">
            <w:rPr>
              <w:color w:val="000000" w:themeColor="text1"/>
              <w:highlight w:val="white"/>
            </w:rPr>
            <w:fldChar w:fldCharType="separate"/>
          </w:r>
          <w:r w:rsidR="002C11D2" w:rsidRPr="002C11D2">
            <w:rPr>
              <w:noProof/>
              <w:color w:val="000000" w:themeColor="text1"/>
              <w:highlight w:val="white"/>
            </w:rPr>
            <w:t>(US Census Bureau Board, 2012)</w:t>
          </w:r>
          <w:r w:rsidR="00EC097A">
            <w:rPr>
              <w:color w:val="000000" w:themeColor="text1"/>
              <w:highlight w:val="white"/>
            </w:rPr>
            <w:fldChar w:fldCharType="end"/>
          </w:r>
        </w:sdtContent>
      </w:sdt>
      <w:r w:rsidRPr="00C87218">
        <w:rPr>
          <w:color w:val="000000" w:themeColor="text1"/>
          <w:highlight w:val="white"/>
        </w:rPr>
        <w:t>. While the next figure shows the population percentages of 2012 and projections for 2060, a breakdown of the US population projections is detailed in the appendix. One thing is however apparent, the increasing plurality - in race and ethnicity - of the market. This is a very telling indicator of why companies keep diversifying their workforce to meet up with the increasing differences in the larger society.</w:t>
      </w:r>
      <w:r>
        <w:rPr>
          <w:color w:val="333333"/>
          <w:highlight w:val="white"/>
        </w:rPr>
        <w:t xml:space="preserve"> </w:t>
      </w:r>
    </w:p>
    <w:p w:rsidR="004D0F17" w:rsidRDefault="00DC2896">
      <w:pPr>
        <w:pStyle w:val="normal0"/>
        <w:jc w:val="both"/>
      </w:pPr>
      <w:r>
        <w:rPr>
          <w:noProof/>
        </w:rPr>
        <w:lastRenderedPageBreak/>
        <w:drawing>
          <wp:inline distT="114300" distB="114300" distL="114300" distR="114300">
            <wp:extent cx="5734050" cy="4305300"/>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734050" cy="4305300"/>
                    </a:xfrm>
                    <a:prstGeom prst="rect">
                      <a:avLst/>
                    </a:prstGeom>
                    <a:ln/>
                  </pic:spPr>
                </pic:pic>
              </a:graphicData>
            </a:graphic>
          </wp:inline>
        </w:drawing>
      </w:r>
    </w:p>
    <w:p w:rsidR="002C11D2" w:rsidRPr="002C11D2" w:rsidRDefault="00335623" w:rsidP="002C11D2">
      <w:pPr>
        <w:pStyle w:val="Caption"/>
        <w:rPr>
          <w:color w:val="000000" w:themeColor="text1"/>
          <w:sz w:val="22"/>
          <w:szCs w:val="22"/>
        </w:rPr>
      </w:pPr>
      <w:bookmarkStart w:id="39" w:name="_Toc534681867"/>
      <w:r>
        <w:rPr>
          <w:color w:val="000000" w:themeColor="text1"/>
          <w:sz w:val="22"/>
          <w:szCs w:val="22"/>
        </w:rPr>
        <w:t>Table</w:t>
      </w:r>
      <w:r w:rsidR="002C11D2" w:rsidRPr="002C11D2">
        <w:rPr>
          <w:color w:val="000000" w:themeColor="text1"/>
          <w:sz w:val="22"/>
          <w:szCs w:val="22"/>
        </w:rPr>
        <w:t xml:space="preserve"> </w:t>
      </w:r>
      <w:r>
        <w:rPr>
          <w:color w:val="000000" w:themeColor="text1"/>
          <w:sz w:val="22"/>
          <w:szCs w:val="22"/>
        </w:rPr>
        <w:fldChar w:fldCharType="begin"/>
      </w:r>
      <w:r>
        <w:rPr>
          <w:color w:val="000000" w:themeColor="text1"/>
          <w:sz w:val="22"/>
          <w:szCs w:val="22"/>
        </w:rPr>
        <w:instrText xml:space="preserve"> SEQ Table \* ARABIC </w:instrText>
      </w:r>
      <w:r>
        <w:rPr>
          <w:color w:val="000000" w:themeColor="text1"/>
          <w:sz w:val="22"/>
          <w:szCs w:val="22"/>
        </w:rPr>
        <w:fldChar w:fldCharType="separate"/>
      </w:r>
      <w:r w:rsidR="00856A95">
        <w:rPr>
          <w:noProof/>
          <w:color w:val="000000" w:themeColor="text1"/>
          <w:sz w:val="22"/>
          <w:szCs w:val="22"/>
        </w:rPr>
        <w:t>2</w:t>
      </w:r>
      <w:r>
        <w:rPr>
          <w:color w:val="000000" w:themeColor="text1"/>
          <w:sz w:val="22"/>
          <w:szCs w:val="22"/>
        </w:rPr>
        <w:fldChar w:fldCharType="end"/>
      </w:r>
      <w:r w:rsidR="002C11D2" w:rsidRPr="002C11D2">
        <w:rPr>
          <w:color w:val="000000" w:themeColor="text1"/>
          <w:sz w:val="22"/>
          <w:szCs w:val="22"/>
        </w:rPr>
        <w:t xml:space="preserve">: Population by Race and Hispanic Origin: 2012 and 2060 </w:t>
      </w:r>
      <w:sdt>
        <w:sdtPr>
          <w:rPr>
            <w:color w:val="000000" w:themeColor="text1"/>
            <w:sz w:val="22"/>
            <w:szCs w:val="22"/>
          </w:rPr>
          <w:id w:val="25605409"/>
          <w:citation/>
        </w:sdtPr>
        <w:sdtContent>
          <w:r w:rsidR="00EC097A" w:rsidRPr="002C11D2">
            <w:rPr>
              <w:color w:val="000000" w:themeColor="text1"/>
              <w:sz w:val="22"/>
              <w:szCs w:val="22"/>
            </w:rPr>
            <w:fldChar w:fldCharType="begin"/>
          </w:r>
          <w:r w:rsidR="002C11D2" w:rsidRPr="002C11D2">
            <w:rPr>
              <w:color w:val="000000" w:themeColor="text1"/>
              <w:sz w:val="22"/>
              <w:szCs w:val="22"/>
            </w:rPr>
            <w:instrText xml:space="preserve"> CITATION USC12 \l 2057 </w:instrText>
          </w:r>
          <w:r w:rsidR="00EC097A" w:rsidRPr="002C11D2">
            <w:rPr>
              <w:color w:val="000000" w:themeColor="text1"/>
              <w:sz w:val="22"/>
              <w:szCs w:val="22"/>
            </w:rPr>
            <w:fldChar w:fldCharType="separate"/>
          </w:r>
          <w:r w:rsidR="002C11D2" w:rsidRPr="002C11D2">
            <w:rPr>
              <w:noProof/>
              <w:color w:val="000000" w:themeColor="text1"/>
              <w:sz w:val="22"/>
              <w:szCs w:val="22"/>
            </w:rPr>
            <w:t>(US Census Bureau Board, 2012)</w:t>
          </w:r>
          <w:r w:rsidR="00EC097A" w:rsidRPr="002C11D2">
            <w:rPr>
              <w:color w:val="000000" w:themeColor="text1"/>
              <w:sz w:val="22"/>
              <w:szCs w:val="22"/>
            </w:rPr>
            <w:fldChar w:fldCharType="end"/>
          </w:r>
        </w:sdtContent>
      </w:sdt>
      <w:bookmarkEnd w:id="39"/>
    </w:p>
    <w:p w:rsidR="008F680A" w:rsidRDefault="008F680A">
      <w:pPr>
        <w:pStyle w:val="normal0"/>
        <w:jc w:val="both"/>
      </w:pPr>
    </w:p>
    <w:p w:rsidR="008F680A" w:rsidRPr="00627FEA" w:rsidRDefault="008F680A" w:rsidP="001C1FA4">
      <w:pPr>
        <w:pStyle w:val="Heading3"/>
      </w:pPr>
      <w:bookmarkStart w:id="40" w:name="_Toc534626210"/>
      <w:bookmarkStart w:id="41" w:name="_Toc534667873"/>
      <w:bookmarkStart w:id="42" w:name="_Toc534681852"/>
      <w:r>
        <w:t>2.2.2: THE GENDER DIMENSION: A BUSINESS CASE FOR DIVERSITY IN GENDER</w:t>
      </w:r>
      <w:bookmarkEnd w:id="40"/>
      <w:bookmarkEnd w:id="41"/>
      <w:bookmarkEnd w:id="42"/>
      <w:r>
        <w:t xml:space="preserve"> </w:t>
      </w:r>
    </w:p>
    <w:p w:rsidR="008F680A" w:rsidRDefault="00BF637C" w:rsidP="00354064">
      <w:pPr>
        <w:pStyle w:val="normal0"/>
        <w:spacing w:line="360" w:lineRule="auto"/>
        <w:jc w:val="both"/>
      </w:pPr>
      <w:r>
        <w:t xml:space="preserve">All over the world, gender bias is a problem that needs sorting. </w:t>
      </w:r>
      <w:r w:rsidR="003249C6">
        <w:t>According to the World Economic Forum (WEF) Global Gender Gap Report (GGGR) of 2018, United States ranked 51 out of 149 countries with a 72 percentage mark and ranked 19 in economic participation and opportunity with 78.2 percentages</w:t>
      </w:r>
      <w:r w:rsidR="0005075E">
        <w:t xml:space="preserve"> </w:t>
      </w:r>
      <w:sdt>
        <w:sdtPr>
          <w:id w:val="23433881"/>
          <w:citation/>
        </w:sdtPr>
        <w:sdtContent>
          <w:fldSimple w:instr=" CITATION WEF18 \l 2057 ">
            <w:r w:rsidR="0005075E">
              <w:rPr>
                <w:noProof/>
              </w:rPr>
              <w:t>(WEF, 2018)</w:t>
            </w:r>
          </w:fldSimple>
        </w:sdtContent>
      </w:sdt>
      <w:r w:rsidR="003249C6">
        <w:t>. The 72% mark means that for every 100% opportunity available for men, 72 percentages of such is available for women</w:t>
      </w:r>
      <w:r w:rsidR="00005785">
        <w:t>.</w:t>
      </w:r>
      <w:r w:rsidR="003249C6">
        <w:t xml:space="preserve"> Though </w:t>
      </w:r>
      <w:r w:rsidR="00005785">
        <w:t xml:space="preserve">it has varying percentages in the </w:t>
      </w:r>
      <w:r w:rsidR="003249C6">
        <w:t>sub</w:t>
      </w:r>
      <w:r w:rsidR="00005785">
        <w:t>-</w:t>
      </w:r>
      <w:r w:rsidR="003249C6">
        <w:t>indices</w:t>
      </w:r>
      <w:r w:rsidR="00005785">
        <w:t xml:space="preserve"> -economic participation, educational attainment, health and survival, and political empowerment - the result nevertheless shows a bias and disparity based on gender</w:t>
      </w:r>
      <w:r w:rsidR="0005075E">
        <w:t>, WEF (2018) concluded</w:t>
      </w:r>
      <w:r w:rsidR="00005785">
        <w:t>. Not capacity. More importantly, there is a strong correlation between gender diversity in the workplace and organizational perform</w:t>
      </w:r>
      <w:r w:rsidR="0005075E">
        <w:t>ance</w:t>
      </w:r>
      <w:sdt>
        <w:sdtPr>
          <w:id w:val="23433882"/>
          <w:citation/>
        </w:sdtPr>
        <w:sdtContent>
          <w:fldSimple w:instr=" CITATION Bac13 \l 2057 ">
            <w:r w:rsidR="0005075E">
              <w:rPr>
                <w:noProof/>
              </w:rPr>
              <w:t xml:space="preserve"> (Backes-Gellner &amp; Veen, 2013)</w:t>
            </w:r>
          </w:fldSimple>
        </w:sdtContent>
      </w:sdt>
      <w:r w:rsidR="00010740">
        <w:t>. So why are</w:t>
      </w:r>
      <w:r w:rsidR="00005785">
        <w:t xml:space="preserve"> these discrepancies still existing despite this?</w:t>
      </w:r>
    </w:p>
    <w:p w:rsidR="00005785" w:rsidRDefault="00005785" w:rsidP="00354064">
      <w:pPr>
        <w:pStyle w:val="normal0"/>
        <w:spacing w:line="360" w:lineRule="auto"/>
        <w:jc w:val="both"/>
      </w:pPr>
      <w:r>
        <w:t>Over the years however, ther</w:t>
      </w:r>
      <w:r w:rsidR="00076DCA">
        <w:t>e is increasing number of women</w:t>
      </w:r>
      <w:r>
        <w:t xml:space="preserve"> joining the workforce and the statistics of number of women working at Aetna is impressive even if not more tilted to women folks. However, what has remained problematic is that invisible glass ceiling which Buhler (2012</w:t>
      </w:r>
      <w:r w:rsidR="00833928">
        <w:t>,</w:t>
      </w:r>
      <w:r>
        <w:t xml:space="preserve"> cited in </w:t>
      </w:r>
      <w:r w:rsidR="00833928">
        <w:rPr>
          <w:noProof/>
        </w:rPr>
        <w:t>Okoro &amp; Washington 2012)</w:t>
      </w:r>
      <w:r>
        <w:t xml:space="preserve"> described as “invisible ceiling (barrier) that prevents women and </w:t>
      </w:r>
      <w:r>
        <w:lastRenderedPageBreak/>
        <w:t>minorities from obtaining promotions into higher level positions, including management”. This is also evident at Aetna when you factor in percentage of executives who are female</w:t>
      </w:r>
      <w:r>
        <w:rPr>
          <w:rStyle w:val="FootnoteReference"/>
        </w:rPr>
        <w:footnoteReference w:id="2"/>
      </w:r>
      <w:r>
        <w:t xml:space="preserve">. </w:t>
      </w:r>
      <w:r w:rsidR="00076DCA">
        <w:t>So it is not just about women who are in the company but number of women of women in the position of power.</w:t>
      </w:r>
      <w:r>
        <w:t xml:space="preserve"> </w:t>
      </w:r>
    </w:p>
    <w:p w:rsidR="00BF637C" w:rsidRDefault="00005785" w:rsidP="00354064">
      <w:pPr>
        <w:pStyle w:val="normal0"/>
        <w:spacing w:line="360" w:lineRule="auto"/>
        <w:jc w:val="both"/>
      </w:pPr>
      <w:r>
        <w:t>More so, while a cost-benefit analysis of diversity will summarise this section, section 2.2, it is worth mentioning that  having good representation of women folks to provide a rightful balance would not just allow for greater creativity and innovation, it would also allow Aetna in understanding the customer base more (</w:t>
      </w:r>
      <w:r w:rsidR="00833928">
        <w:rPr>
          <w:noProof/>
        </w:rPr>
        <w:t xml:space="preserve">Patrick &amp; Kumar, 2012; </w:t>
      </w:r>
      <w:r w:rsidR="00833928">
        <w:t>Sharma, 2016</w:t>
      </w:r>
      <w:r>
        <w:t>).</w:t>
      </w:r>
    </w:p>
    <w:p w:rsidR="002779AD" w:rsidRDefault="002779AD" w:rsidP="00354064">
      <w:pPr>
        <w:pStyle w:val="normal0"/>
        <w:jc w:val="both"/>
      </w:pPr>
    </w:p>
    <w:p w:rsidR="004D0F17" w:rsidRDefault="00627FEA" w:rsidP="001C1FA4">
      <w:pPr>
        <w:pStyle w:val="Heading3"/>
      </w:pPr>
      <w:bookmarkStart w:id="43" w:name="_Toc534626211"/>
      <w:bookmarkStart w:id="44" w:name="_Toc534667874"/>
      <w:bookmarkStart w:id="45" w:name="_Toc534681853"/>
      <w:r>
        <w:t xml:space="preserve">2.2.3 </w:t>
      </w:r>
      <w:r w:rsidR="007824C2">
        <w:t xml:space="preserve">SUMMARY OF STRATEGIC IMPERATIVE FOR DIVERSITY AND A </w:t>
      </w:r>
      <w:r w:rsidR="00DC2896">
        <w:t>COST-BENEFIT ANALYSIS</w:t>
      </w:r>
      <w:bookmarkEnd w:id="43"/>
      <w:bookmarkEnd w:id="44"/>
      <w:bookmarkEnd w:id="45"/>
    </w:p>
    <w:p w:rsidR="00EE05D5" w:rsidRDefault="00354064" w:rsidP="00354064">
      <w:pPr>
        <w:pStyle w:val="normal0"/>
        <w:spacing w:line="360" w:lineRule="auto"/>
        <w:jc w:val="both"/>
      </w:pPr>
      <w:r>
        <w:t>From the preceding analyses, indications have shown that the motivating factor behind diversity has moved from ethical to regulatory and now economic reasons. But</w:t>
      </w:r>
      <w:r w:rsidR="00833928">
        <w:t>,</w:t>
      </w:r>
      <w:r>
        <w:t xml:space="preserve"> is this enough considering the cost of the initiatives at a time of global recession? Though the next section would give an understanding of the market and the industry, the evaluation of the benefits (both tangible and intangible) against the cost would provide the needed clarity in this regard.</w:t>
      </w:r>
    </w:p>
    <w:p w:rsidR="00DC2896" w:rsidRPr="00EE05D5" w:rsidRDefault="00354064" w:rsidP="00EE05D5">
      <w:pPr>
        <w:pStyle w:val="normal0"/>
        <w:spacing w:after="0" w:line="360" w:lineRule="auto"/>
        <w:jc w:val="both"/>
        <w:rPr>
          <w:rFonts w:asciiTheme="minorHAnsi" w:hAnsiTheme="minorHAnsi"/>
          <w:b/>
        </w:rPr>
      </w:pPr>
      <w:r w:rsidRPr="00EE05D5">
        <w:rPr>
          <w:rFonts w:asciiTheme="minorHAnsi" w:hAnsiTheme="minorHAnsi"/>
          <w:b/>
        </w:rPr>
        <w:t xml:space="preserve">The Benefits </w:t>
      </w:r>
    </w:p>
    <w:p w:rsidR="00EE05D5" w:rsidRDefault="00EE05D5" w:rsidP="00EE05D5">
      <w:pPr>
        <w:pStyle w:val="normal0"/>
        <w:spacing w:line="360" w:lineRule="auto"/>
        <w:jc w:val="both"/>
      </w:pPr>
      <w:r>
        <w:t>The benefits of diversified workforce are enormous and are backed by several research studies in extant</w:t>
      </w:r>
      <w:r w:rsidR="00010740">
        <w:t xml:space="preserve"> literatures </w:t>
      </w:r>
      <w:r w:rsidR="00010740">
        <w:rPr>
          <w:noProof/>
        </w:rPr>
        <w:t>(Ali et al., 2011; Backes-Gellner &amp; Veen, 2013; Barta et al., 2012; Li et al., 2011)</w:t>
      </w:r>
      <w:r>
        <w:t>. In broad terms, they can be categorized into tangible and</w:t>
      </w:r>
      <w:r w:rsidR="00EB651A">
        <w:t xml:space="preserve"> intangible benefits</w:t>
      </w:r>
      <w:r>
        <w:t>. While the tangible benefits are measurable in monetary terms, the intangible assets are often subjective and not measurable in monetary t</w:t>
      </w:r>
      <w:r w:rsidR="00EB651A">
        <w:t>erms</w:t>
      </w:r>
      <w:r>
        <w:t xml:space="preserve">. </w:t>
      </w:r>
    </w:p>
    <w:p w:rsidR="00EE05D5" w:rsidRDefault="00EE05D5" w:rsidP="00EE05D5">
      <w:pPr>
        <w:pStyle w:val="normal0"/>
        <w:spacing w:line="360" w:lineRule="auto"/>
        <w:jc w:val="both"/>
      </w:pPr>
      <w:r>
        <w:t>In the case of Aetna, the potential tangible benefits are numerous and enormous. Three however stands out thus: increased market share,</w:t>
      </w:r>
      <w:r w:rsidR="00BD5273">
        <w:t xml:space="preserve"> increased</w:t>
      </w:r>
      <w:r>
        <w:t xml:space="preserve"> productivity and innovation, and </w:t>
      </w:r>
      <w:r w:rsidR="00BD5273">
        <w:t xml:space="preserve">improved </w:t>
      </w:r>
      <w:r>
        <w:t xml:space="preserve">employee retention and attraction.  </w:t>
      </w:r>
    </w:p>
    <w:p w:rsidR="00BD5273" w:rsidRDefault="00BD5273" w:rsidP="00EE05D5">
      <w:pPr>
        <w:pStyle w:val="normal0"/>
        <w:spacing w:line="360" w:lineRule="auto"/>
        <w:jc w:val="both"/>
      </w:pPr>
      <w:r w:rsidRPr="00BD5273">
        <w:rPr>
          <w:b/>
          <w:color w:val="000000" w:themeColor="text1"/>
        </w:rPr>
        <w:t xml:space="preserve">Increased </w:t>
      </w:r>
      <w:r w:rsidR="00EE05D5" w:rsidRPr="00BD5273">
        <w:rPr>
          <w:b/>
          <w:color w:val="000000" w:themeColor="text1"/>
        </w:rPr>
        <w:t>Productivity and Innovation:</w:t>
      </w:r>
      <w:r>
        <w:rPr>
          <w:color w:val="000000" w:themeColor="text1"/>
        </w:rPr>
        <w:t xml:space="preserve"> With increasing productivity backed by </w:t>
      </w:r>
      <w:r w:rsidR="009B4D2D">
        <w:rPr>
          <w:color w:val="000000" w:themeColor="text1"/>
        </w:rPr>
        <w:t>prior studies</w:t>
      </w:r>
      <w:r>
        <w:rPr>
          <w:color w:val="000000" w:themeColor="text1"/>
        </w:rPr>
        <w:t xml:space="preserve"> </w:t>
      </w:r>
      <w:r w:rsidR="009E3A0F" w:rsidRPr="009E3A0F">
        <w:rPr>
          <w:noProof/>
          <w:color w:val="000000" w:themeColor="text1"/>
        </w:rPr>
        <w:t>(</w:t>
      </w:r>
      <w:r w:rsidR="005143CE" w:rsidRPr="003D585B">
        <w:rPr>
          <w:noProof/>
          <w:color w:val="000000" w:themeColor="text1"/>
        </w:rPr>
        <w:t>Delloite Australia, 2013</w:t>
      </w:r>
      <w:r w:rsidR="005143CE">
        <w:rPr>
          <w:noProof/>
          <w:color w:val="000000" w:themeColor="text1"/>
        </w:rPr>
        <w:t xml:space="preserve">; </w:t>
      </w:r>
      <w:r w:rsidR="009E3A0F" w:rsidRPr="009E3A0F">
        <w:rPr>
          <w:noProof/>
          <w:color w:val="000000" w:themeColor="text1"/>
        </w:rPr>
        <w:t>Reynolds &amp; Lewis, 2017)</w:t>
      </w:r>
      <w:r>
        <w:rPr>
          <w:color w:val="000000" w:themeColor="text1"/>
        </w:rPr>
        <w:t>,</w:t>
      </w:r>
      <w:r w:rsidR="009E3A0F">
        <w:rPr>
          <w:color w:val="000000" w:themeColor="text1"/>
        </w:rPr>
        <w:t xml:space="preserve"> </w:t>
      </w:r>
      <w:r>
        <w:rPr>
          <w:color w:val="000000" w:themeColor="text1"/>
        </w:rPr>
        <w:t>Aetna can be guarantee</w:t>
      </w:r>
      <w:r w:rsidR="00010740">
        <w:rPr>
          <w:color w:val="000000" w:themeColor="text1"/>
        </w:rPr>
        <w:t xml:space="preserve">d to have its decision made 60% </w:t>
      </w:r>
      <w:r>
        <w:rPr>
          <w:color w:val="000000" w:themeColor="text1"/>
        </w:rPr>
        <w:t xml:space="preserve">faster than </w:t>
      </w:r>
      <w:r w:rsidR="00C47A9D">
        <w:rPr>
          <w:color w:val="000000" w:themeColor="text1"/>
        </w:rPr>
        <w:t>a homogeneous</w:t>
      </w:r>
      <w:r>
        <w:rPr>
          <w:color w:val="000000" w:themeColor="text1"/>
        </w:rPr>
        <w:t xml:space="preserve"> workforce </w:t>
      </w:r>
      <w:sdt>
        <w:sdtPr>
          <w:rPr>
            <w:color w:val="000000" w:themeColor="text1"/>
          </w:rPr>
          <w:id w:val="25605412"/>
          <w:citation/>
        </w:sdtPr>
        <w:sdtContent>
          <w:r w:rsidR="00EC097A">
            <w:rPr>
              <w:color w:val="000000" w:themeColor="text1"/>
            </w:rPr>
            <w:fldChar w:fldCharType="begin"/>
          </w:r>
          <w:r w:rsidR="005143CE">
            <w:rPr>
              <w:color w:val="000000" w:themeColor="text1"/>
            </w:rPr>
            <w:instrText xml:space="preserve"> CITATION Peo \l 2057  </w:instrText>
          </w:r>
          <w:r w:rsidR="00EC097A">
            <w:rPr>
              <w:color w:val="000000" w:themeColor="text1"/>
            </w:rPr>
            <w:fldChar w:fldCharType="separate"/>
          </w:r>
          <w:r w:rsidR="005143CE" w:rsidRPr="005143CE">
            <w:rPr>
              <w:noProof/>
              <w:color w:val="000000" w:themeColor="text1"/>
            </w:rPr>
            <w:t>(People Management, 2017)</w:t>
          </w:r>
          <w:r w:rsidR="00EC097A">
            <w:rPr>
              <w:color w:val="000000" w:themeColor="text1"/>
            </w:rPr>
            <w:fldChar w:fldCharType="end"/>
          </w:r>
        </w:sdtContent>
      </w:sdt>
      <w:r>
        <w:rPr>
          <w:color w:val="000000" w:themeColor="text1"/>
        </w:rPr>
        <w:t>. But perhaps a more important one is the increased innovation and creativity in getting new products. According to a McKinsey study, public companies in US with diverse executive board have 95% Return on Equity (ROE) than those with non-diverse boards. This is because they were able to make decisions and products in alignment with the diversified populace</w:t>
      </w:r>
      <w:r w:rsidR="005143CE">
        <w:rPr>
          <w:color w:val="000000" w:themeColor="text1"/>
        </w:rPr>
        <w:t xml:space="preserve"> </w:t>
      </w:r>
      <w:sdt>
        <w:sdtPr>
          <w:rPr>
            <w:color w:val="000000" w:themeColor="text1"/>
          </w:rPr>
          <w:id w:val="25605413"/>
          <w:citation/>
        </w:sdtPr>
        <w:sdtContent>
          <w:r w:rsidR="00EC097A">
            <w:rPr>
              <w:color w:val="000000" w:themeColor="text1"/>
            </w:rPr>
            <w:fldChar w:fldCharType="begin"/>
          </w:r>
          <w:r w:rsidR="005143CE">
            <w:rPr>
              <w:color w:val="000000" w:themeColor="text1"/>
            </w:rPr>
            <w:instrText xml:space="preserve"> CITATION Bar12 \l 2057 </w:instrText>
          </w:r>
          <w:r w:rsidR="00EC097A">
            <w:rPr>
              <w:color w:val="000000" w:themeColor="text1"/>
            </w:rPr>
            <w:fldChar w:fldCharType="separate"/>
          </w:r>
          <w:r w:rsidR="005143CE" w:rsidRPr="005143CE">
            <w:rPr>
              <w:noProof/>
              <w:color w:val="000000" w:themeColor="text1"/>
            </w:rPr>
            <w:t>(Barta et al., 2012)</w:t>
          </w:r>
          <w:r w:rsidR="00EC097A">
            <w:rPr>
              <w:color w:val="000000" w:themeColor="text1"/>
            </w:rPr>
            <w:fldChar w:fldCharType="end"/>
          </w:r>
        </w:sdtContent>
      </w:sdt>
      <w:r>
        <w:rPr>
          <w:color w:val="000000" w:themeColor="text1"/>
        </w:rPr>
        <w:t xml:space="preserve">. With the statement credited to Aetna Chairman and CEO that the company continue to win in the market despite financial </w:t>
      </w:r>
      <w:r>
        <w:rPr>
          <w:color w:val="000000" w:themeColor="text1"/>
        </w:rPr>
        <w:lastRenderedPageBreak/>
        <w:t xml:space="preserve">recession because of the </w:t>
      </w:r>
      <w:r>
        <w:t>“offering [of] a broad range of products and providing excellent customer service”</w:t>
      </w:r>
      <w:r w:rsidR="00010740">
        <w:rPr>
          <w:rStyle w:val="FootnoteReference"/>
        </w:rPr>
        <w:footnoteReference w:id="3"/>
      </w:r>
      <w:r>
        <w:t>. When the impact of the impacts of the highlighted Employee Resource Groups (ERGs) are weighted in quantitative terms in terms of productivity and most importantly, innovation of new products to strengthen the company’s grip of the market, we would understand a more tangible impacts of diversity</w:t>
      </w:r>
      <w:r w:rsidR="00BE1D9E">
        <w:t xml:space="preserve"> </w:t>
      </w:r>
      <w:sdt>
        <w:sdtPr>
          <w:id w:val="23433886"/>
          <w:citation/>
        </w:sdtPr>
        <w:sdtContent>
          <w:fldSimple w:instr=" CITATION Jos06 \l 2057 ">
            <w:r w:rsidR="00BE1D9E">
              <w:rPr>
                <w:noProof/>
              </w:rPr>
              <w:t>(Joshi &amp; Jackson, 2006)</w:t>
            </w:r>
          </w:fldSimple>
        </w:sdtContent>
      </w:sdt>
      <w:r>
        <w:t>.</w:t>
      </w:r>
    </w:p>
    <w:p w:rsidR="00BD5273" w:rsidRDefault="00BD5273" w:rsidP="00EE05D5">
      <w:pPr>
        <w:pStyle w:val="normal0"/>
        <w:spacing w:line="360" w:lineRule="auto"/>
        <w:jc w:val="both"/>
      </w:pPr>
      <w:r w:rsidRPr="00BD5273">
        <w:rPr>
          <w:b/>
        </w:rPr>
        <w:t>Increased Market Share:</w:t>
      </w:r>
      <w:r>
        <w:t xml:space="preserve"> That the twin corporate strategy being “growth opportunities in non-traditional market” and “the need to reflect and understand the customer base Aetna serves” is a pointer to the importance of diversity. Perhaps more important</w:t>
      </w:r>
      <w:r w:rsidR="00D769EF">
        <w:t xml:space="preserve"> is the trend that the non-traditional market is increasing and </w:t>
      </w:r>
      <w:r w:rsidR="00C47A9D">
        <w:t>would soon</w:t>
      </w:r>
      <w:r w:rsidR="00D769EF">
        <w:t xml:space="preserve"> eclipse the traditional market considering the result released by the US census board bureau</w:t>
      </w:r>
      <w:r w:rsidR="00C47A9D">
        <w:rPr>
          <w:rStyle w:val="FootnoteReference"/>
        </w:rPr>
        <w:footnoteReference w:id="4"/>
      </w:r>
      <w:r w:rsidR="00D769EF">
        <w:t>.</w:t>
      </w:r>
      <w:r w:rsidR="00676626">
        <w:t xml:space="preserve"> </w:t>
      </w:r>
      <w:r w:rsidR="00C47A9D">
        <w:t>By assessing new markets and expanding on highlighted minority markets which would soon become majority in the United States, you can be sure that the memberships (medical and dental among others) would increase drastically.</w:t>
      </w:r>
      <w:r w:rsidR="00D769EF">
        <w:t xml:space="preserve"> </w:t>
      </w:r>
      <w:r>
        <w:t xml:space="preserve">  </w:t>
      </w:r>
    </w:p>
    <w:p w:rsidR="00C47A9D" w:rsidRDefault="00C47A9D" w:rsidP="00EE05D5">
      <w:pPr>
        <w:pStyle w:val="normal0"/>
        <w:spacing w:line="360" w:lineRule="auto"/>
        <w:jc w:val="both"/>
      </w:pPr>
      <w:r>
        <w:rPr>
          <w:b/>
        </w:rPr>
        <w:t>Improved Employee Retention and Attraction</w:t>
      </w:r>
      <w:r w:rsidRPr="00BD5273">
        <w:rPr>
          <w:b/>
        </w:rPr>
        <w:t>:</w:t>
      </w:r>
      <w:r>
        <w:t xml:space="preserve"> With diversity, there is increased pool of talent to pick from and as such the chances to finding the best person for the job. More importantly, should employees feel valued and included, the possibility of leaving reduces and such reduces the expen</w:t>
      </w:r>
      <w:r w:rsidR="00EB651A">
        <w:t>ses on recruitment, training as well as</w:t>
      </w:r>
      <w:r>
        <w:t xml:space="preserve"> retention. </w:t>
      </w:r>
    </w:p>
    <w:p w:rsidR="00A86EFC" w:rsidRDefault="00A86EFC" w:rsidP="00EE05D5">
      <w:pPr>
        <w:pStyle w:val="normal0"/>
        <w:spacing w:line="360" w:lineRule="auto"/>
        <w:jc w:val="both"/>
      </w:pPr>
    </w:p>
    <w:p w:rsidR="00C47A9D" w:rsidRDefault="00C47A9D" w:rsidP="00EE05D5">
      <w:pPr>
        <w:pStyle w:val="normal0"/>
        <w:spacing w:line="360" w:lineRule="auto"/>
        <w:jc w:val="both"/>
      </w:pPr>
      <w:r>
        <w:t>The intangible benefits which cannot be quantified</w:t>
      </w:r>
      <w:r w:rsidR="00BA3A2E">
        <w:t xml:space="preserve"> in monetary terms</w:t>
      </w:r>
      <w:r>
        <w:t xml:space="preserve"> also include the below thus:</w:t>
      </w:r>
    </w:p>
    <w:p w:rsidR="0060341B" w:rsidRDefault="00654024" w:rsidP="00EE05D5">
      <w:pPr>
        <w:pStyle w:val="normal0"/>
        <w:spacing w:line="360" w:lineRule="auto"/>
        <w:jc w:val="both"/>
      </w:pPr>
      <w:r w:rsidRPr="00EB651A">
        <w:rPr>
          <w:b/>
        </w:rPr>
        <w:t>Improved Employer Brand and Reputation:</w:t>
      </w:r>
      <w:r>
        <w:t xml:space="preserve"> </w:t>
      </w:r>
      <w:r w:rsidR="00BA3A2E">
        <w:t>A diversified and nicely inclusive workplace adds more glamour to the employer brand image and reputation. This invariably attracts more investors.</w:t>
      </w:r>
    </w:p>
    <w:p w:rsidR="00C47A9D" w:rsidRDefault="0060341B" w:rsidP="00EE05D5">
      <w:pPr>
        <w:pStyle w:val="normal0"/>
        <w:spacing w:line="360" w:lineRule="auto"/>
        <w:jc w:val="both"/>
      </w:pPr>
      <w:r>
        <w:t xml:space="preserve">Others are healthy working environment, increased skill set, and opportunities for employee growth and development. </w:t>
      </w:r>
      <w:r w:rsidR="00BA3A2E">
        <w:t xml:space="preserve"> </w:t>
      </w:r>
    </w:p>
    <w:p w:rsidR="00C06553" w:rsidRDefault="00C06553" w:rsidP="00EE05D5">
      <w:pPr>
        <w:pStyle w:val="normal0"/>
        <w:spacing w:line="360" w:lineRule="auto"/>
        <w:jc w:val="both"/>
      </w:pPr>
    </w:p>
    <w:p w:rsidR="00C06553" w:rsidRPr="00EE05D5" w:rsidRDefault="00C06553" w:rsidP="00C06553">
      <w:pPr>
        <w:pStyle w:val="normal0"/>
        <w:spacing w:after="0" w:line="360" w:lineRule="auto"/>
        <w:jc w:val="both"/>
        <w:rPr>
          <w:rFonts w:asciiTheme="minorHAnsi" w:hAnsiTheme="minorHAnsi"/>
          <w:b/>
        </w:rPr>
      </w:pPr>
      <w:r w:rsidRPr="00EE05D5">
        <w:rPr>
          <w:rFonts w:asciiTheme="minorHAnsi" w:hAnsiTheme="minorHAnsi"/>
          <w:b/>
        </w:rPr>
        <w:t xml:space="preserve">The </w:t>
      </w:r>
      <w:r>
        <w:rPr>
          <w:rFonts w:asciiTheme="minorHAnsi" w:hAnsiTheme="minorHAnsi"/>
          <w:b/>
        </w:rPr>
        <w:t>Costs</w:t>
      </w:r>
    </w:p>
    <w:p w:rsidR="00354064" w:rsidRDefault="00BE1D9E" w:rsidP="00C06553">
      <w:pPr>
        <w:spacing w:line="360" w:lineRule="auto"/>
        <w:jc w:val="both"/>
      </w:pPr>
      <w:r>
        <w:t xml:space="preserve">Diversity itself does not really have disadvantage except if it is not managed very well that there can be fallout from such. Besides this, the cost in  nominal terms are those associated with recruitment, diversity engagements, programs like employee resource groups, and lots more.  </w:t>
      </w:r>
    </w:p>
    <w:p w:rsidR="00A33FC9" w:rsidRPr="00354064" w:rsidRDefault="00A33FC9" w:rsidP="00C06553">
      <w:pPr>
        <w:spacing w:line="360" w:lineRule="auto"/>
        <w:jc w:val="both"/>
      </w:pPr>
    </w:p>
    <w:p w:rsidR="004D0F17" w:rsidRDefault="00627FEA">
      <w:pPr>
        <w:pStyle w:val="Heading2"/>
        <w:spacing w:line="360" w:lineRule="auto"/>
        <w:jc w:val="both"/>
      </w:pPr>
      <w:bookmarkStart w:id="46" w:name="_Toc534626212"/>
      <w:bookmarkStart w:id="47" w:name="_Toc534667875"/>
      <w:bookmarkStart w:id="48" w:name="_Toc534681854"/>
      <w:r>
        <w:lastRenderedPageBreak/>
        <w:t xml:space="preserve">2.3 </w:t>
      </w:r>
      <w:r w:rsidR="005143CE">
        <w:t xml:space="preserve">HEALTH INSURANCE </w:t>
      </w:r>
      <w:r w:rsidR="00DC2896">
        <w:t>INDUSTRY</w:t>
      </w:r>
      <w:r w:rsidR="007824C2">
        <w:t xml:space="preserve">, </w:t>
      </w:r>
      <w:r w:rsidR="005143CE">
        <w:t xml:space="preserve">MARKET </w:t>
      </w:r>
      <w:r w:rsidR="00F6788D">
        <w:t>AND STRATEGI</w:t>
      </w:r>
      <w:r w:rsidR="007824C2">
        <w:t>C ANALYSIS</w:t>
      </w:r>
      <w:bookmarkEnd w:id="46"/>
      <w:bookmarkEnd w:id="47"/>
      <w:bookmarkEnd w:id="48"/>
    </w:p>
    <w:p w:rsidR="00F9484C" w:rsidRDefault="001C1FA4">
      <w:pPr>
        <w:pStyle w:val="normal0"/>
        <w:spacing w:line="360" w:lineRule="auto"/>
        <w:jc w:val="both"/>
      </w:pPr>
      <w:r>
        <w:t>While making recommendation on what needs to be</w:t>
      </w:r>
      <w:r w:rsidR="00AE2148">
        <w:t xml:space="preserve"> done in terms </w:t>
      </w:r>
      <w:r w:rsidR="009524B7">
        <w:t>of</w:t>
      </w:r>
      <w:r w:rsidR="00AB0E0A">
        <w:t xml:space="preserve"> diversity initiatives</w:t>
      </w:r>
      <w:r w:rsidR="00AE2148">
        <w:t xml:space="preserve"> at Aetna, a</w:t>
      </w:r>
      <w:r>
        <w:t xml:space="preserve"> strategic</w:t>
      </w:r>
      <w:r w:rsidR="00AE2148">
        <w:t xml:space="preserve"> case</w:t>
      </w:r>
      <w:r>
        <w:t xml:space="preserve">, there is need to look at the industry and the market: what </w:t>
      </w:r>
      <w:r w:rsidR="0053068D">
        <w:t>are the market trends</w:t>
      </w:r>
      <w:r w:rsidR="006267BF">
        <w:t>, what are the critical success</w:t>
      </w:r>
      <w:r>
        <w:t xml:space="preserve"> factors</w:t>
      </w:r>
      <w:r w:rsidR="006267BF">
        <w:t xml:space="preserve"> (CSFs)</w:t>
      </w:r>
      <w:r>
        <w:t xml:space="preserve"> </w:t>
      </w:r>
      <w:r w:rsidR="00AB0E0A">
        <w:t>and will</w:t>
      </w:r>
      <w:r>
        <w:t xml:space="preserve"> diversi</w:t>
      </w:r>
      <w:r w:rsidR="00AB0E0A">
        <w:t>ty have effects on these</w:t>
      </w:r>
      <w:r w:rsidR="0053068D">
        <w:t>?</w:t>
      </w:r>
      <w:r w:rsidR="00AB0E0A">
        <w:t xml:space="preserve"> These are lingering questions that need answering to. </w:t>
      </w:r>
    </w:p>
    <w:p w:rsidR="00CE23A7" w:rsidRDefault="00E41E51">
      <w:pPr>
        <w:pStyle w:val="normal0"/>
        <w:spacing w:line="360" w:lineRule="auto"/>
        <w:jc w:val="both"/>
      </w:pPr>
      <w:r>
        <w:t>Health insurance</w:t>
      </w:r>
      <w:r w:rsidR="00F9484C">
        <w:t>, a subset of health care,</w:t>
      </w:r>
      <w:r>
        <w:t xml:space="preserve"> market</w:t>
      </w:r>
      <w:r w:rsidR="00F9484C">
        <w:t xml:space="preserve"> in the United States of America (USA) is very huge.</w:t>
      </w:r>
      <w:r w:rsidR="00CE23A7">
        <w:t xml:space="preserve"> Despite being huge, it keeps growing and has reportedly grown by 4.3% during the last five years with generated revenue of $938 billion in 2018 </w:t>
      </w:r>
      <w:r w:rsidR="00753647">
        <w:t>as depicted in the figure below thus:</w:t>
      </w:r>
    </w:p>
    <w:p w:rsidR="00CE23A7" w:rsidRDefault="00CE23A7">
      <w:pPr>
        <w:pStyle w:val="normal0"/>
        <w:spacing w:line="360" w:lineRule="auto"/>
        <w:jc w:val="both"/>
      </w:pPr>
    </w:p>
    <w:p w:rsidR="00CE23A7" w:rsidRPr="00CE23A7" w:rsidRDefault="00335623" w:rsidP="00CE23A7">
      <w:pPr>
        <w:pStyle w:val="Caption"/>
        <w:rPr>
          <w:sz w:val="22"/>
          <w:szCs w:val="22"/>
        </w:rPr>
      </w:pPr>
      <w:bookmarkStart w:id="49" w:name="_Toc534681868"/>
      <w:r>
        <w:rPr>
          <w:sz w:val="22"/>
          <w:szCs w:val="22"/>
        </w:rPr>
        <w:t>Table</w:t>
      </w:r>
      <w:r w:rsidR="00CE23A7" w:rsidRPr="00CE23A7">
        <w:rPr>
          <w:sz w:val="22"/>
          <w:szCs w:val="22"/>
        </w:rPr>
        <w:t xml:space="preserve"> </w:t>
      </w:r>
      <w:r>
        <w:rPr>
          <w:sz w:val="22"/>
          <w:szCs w:val="22"/>
        </w:rPr>
        <w:fldChar w:fldCharType="begin"/>
      </w:r>
      <w:r>
        <w:rPr>
          <w:sz w:val="22"/>
          <w:szCs w:val="22"/>
        </w:rPr>
        <w:instrText xml:space="preserve"> SEQ Table \* ARABIC </w:instrText>
      </w:r>
      <w:r>
        <w:rPr>
          <w:sz w:val="22"/>
          <w:szCs w:val="22"/>
        </w:rPr>
        <w:fldChar w:fldCharType="separate"/>
      </w:r>
      <w:r w:rsidR="00856A95">
        <w:rPr>
          <w:noProof/>
          <w:sz w:val="22"/>
          <w:szCs w:val="22"/>
        </w:rPr>
        <w:t>3</w:t>
      </w:r>
      <w:r>
        <w:rPr>
          <w:sz w:val="22"/>
          <w:szCs w:val="22"/>
        </w:rPr>
        <w:fldChar w:fldCharType="end"/>
      </w:r>
      <w:r w:rsidR="00CE23A7" w:rsidRPr="00CE23A7">
        <w:rPr>
          <w:sz w:val="22"/>
          <w:szCs w:val="22"/>
        </w:rPr>
        <w:t>: Health Insurance Market Revenue Growth</w:t>
      </w:r>
      <w:bookmarkEnd w:id="49"/>
    </w:p>
    <w:p w:rsidR="00CE23A7" w:rsidRDefault="00CE23A7" w:rsidP="00CE23A7">
      <w:pPr>
        <w:pStyle w:val="normal0"/>
        <w:spacing w:line="360" w:lineRule="auto"/>
        <w:jc w:val="center"/>
      </w:pPr>
      <w:r>
        <w:rPr>
          <w:noProof/>
        </w:rPr>
        <w:drawing>
          <wp:inline distT="0" distB="0" distL="0" distR="0">
            <wp:extent cx="4051300" cy="3529965"/>
            <wp:effectExtent l="19050" t="0" r="6350" b="0"/>
            <wp:docPr id="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a:srcRect/>
                    <a:stretch>
                      <a:fillRect/>
                    </a:stretch>
                  </pic:blipFill>
                  <pic:spPr bwMode="auto">
                    <a:xfrm>
                      <a:off x="0" y="0"/>
                      <a:ext cx="4051300" cy="3529965"/>
                    </a:xfrm>
                    <a:prstGeom prst="rect">
                      <a:avLst/>
                    </a:prstGeom>
                    <a:noFill/>
                    <a:ln w="9525">
                      <a:noFill/>
                      <a:miter lim="800000"/>
                      <a:headEnd/>
                      <a:tailEnd/>
                    </a:ln>
                  </pic:spPr>
                </pic:pic>
              </a:graphicData>
            </a:graphic>
          </wp:inline>
        </w:drawing>
      </w:r>
    </w:p>
    <w:p w:rsidR="00CE23A7" w:rsidRDefault="00CE23A7" w:rsidP="00CE23A7">
      <w:pPr>
        <w:pStyle w:val="normal0"/>
        <w:spacing w:line="360" w:lineRule="auto"/>
        <w:jc w:val="both"/>
      </w:pPr>
      <w:r w:rsidRPr="00753647">
        <w:rPr>
          <w:b/>
        </w:rPr>
        <w:t>SOURCE:</w:t>
      </w:r>
      <w:r w:rsidR="00753647">
        <w:t xml:space="preserve"> </w:t>
      </w:r>
      <w:r w:rsidR="00753647">
        <w:rPr>
          <w:noProof/>
        </w:rPr>
        <w:t>IBISWorld</w:t>
      </w:r>
      <w:r>
        <w:t xml:space="preserve"> </w:t>
      </w:r>
      <w:sdt>
        <w:sdtPr>
          <w:id w:val="25605436"/>
          <w:citation/>
        </w:sdtPr>
        <w:sdtContent>
          <w:fldSimple w:instr=" CITATION IBI18 \n  \l 2057  ">
            <w:r w:rsidR="00753647">
              <w:rPr>
                <w:noProof/>
              </w:rPr>
              <w:t>(2018)</w:t>
            </w:r>
          </w:fldSimple>
        </w:sdtContent>
      </w:sdt>
    </w:p>
    <w:p w:rsidR="00753647" w:rsidRDefault="00753647" w:rsidP="00CE23A7">
      <w:pPr>
        <w:pStyle w:val="normal0"/>
        <w:spacing w:line="360" w:lineRule="auto"/>
        <w:jc w:val="both"/>
      </w:pPr>
    </w:p>
    <w:p w:rsidR="00CE23A7" w:rsidRDefault="00753647" w:rsidP="00753647">
      <w:pPr>
        <w:pStyle w:val="normal0"/>
        <w:spacing w:line="360" w:lineRule="auto"/>
        <w:jc w:val="both"/>
      </w:pPr>
      <w:r>
        <w:t xml:space="preserve">According to the figure released by Forbes in 2014, Aetna is the third biggest health insurance provider in the United States based on market capitalization </w:t>
      </w:r>
      <w:sdt>
        <w:sdtPr>
          <w:id w:val="25605438"/>
          <w:citation/>
        </w:sdtPr>
        <w:sdtContent>
          <w:fldSimple w:instr=" CITATION For14 \l 2057 ">
            <w:r>
              <w:rPr>
                <w:noProof/>
              </w:rPr>
              <w:t>(Forbes, 2014)</w:t>
            </w:r>
          </w:fldSimple>
        </w:sdtContent>
      </w:sdt>
      <w:r>
        <w:t xml:space="preserve">. This is depicted in the table below. This 2014 submission by Forbes is also consistent with the 2018 submission of </w:t>
      </w:r>
      <w:r>
        <w:rPr>
          <w:noProof/>
        </w:rPr>
        <w:t>IBISWorld</w:t>
      </w:r>
      <w:r>
        <w:t xml:space="preserve"> </w:t>
      </w:r>
      <w:sdt>
        <w:sdtPr>
          <w:id w:val="25605437"/>
          <w:citation/>
        </w:sdtPr>
        <w:sdtContent>
          <w:fldSimple w:instr=" CITATION IBI18 \n  \l 2057  ">
            <w:r>
              <w:rPr>
                <w:noProof/>
              </w:rPr>
              <w:t>(2018)</w:t>
            </w:r>
          </w:fldSimple>
        </w:sdtContent>
      </w:sdt>
      <w:r>
        <w:t xml:space="preserve"> but while the latter statistics of 2018 put Humana Inc. as fourth, Forbes record of 2014 put</w:t>
      </w:r>
      <w:r w:rsidR="004C7219">
        <w:t xml:space="preserve"> it on</w:t>
      </w:r>
      <w:r>
        <w:t xml:space="preserve"> Cigna</w:t>
      </w:r>
      <w:r w:rsidR="004C7219">
        <w:t xml:space="preserve"> as depicted in the table below thus:</w:t>
      </w:r>
      <w:r>
        <w:t xml:space="preserve">  </w:t>
      </w:r>
    </w:p>
    <w:p w:rsidR="004C7219" w:rsidRDefault="004C7219" w:rsidP="00753647">
      <w:pPr>
        <w:pStyle w:val="normal0"/>
        <w:spacing w:line="360" w:lineRule="auto"/>
        <w:jc w:val="both"/>
      </w:pPr>
    </w:p>
    <w:p w:rsidR="00CE23A7" w:rsidRPr="004C7219" w:rsidRDefault="004C7219" w:rsidP="004C7219">
      <w:pPr>
        <w:pStyle w:val="Caption"/>
        <w:rPr>
          <w:sz w:val="22"/>
          <w:szCs w:val="22"/>
        </w:rPr>
      </w:pPr>
      <w:bookmarkStart w:id="50" w:name="_Toc534681869"/>
      <w:r w:rsidRPr="004C7219">
        <w:rPr>
          <w:sz w:val="22"/>
          <w:szCs w:val="22"/>
        </w:rPr>
        <w:lastRenderedPageBreak/>
        <w:t xml:space="preserve">Table </w:t>
      </w:r>
      <w:r w:rsidR="00EC097A" w:rsidRPr="004C7219">
        <w:rPr>
          <w:sz w:val="22"/>
          <w:szCs w:val="22"/>
        </w:rPr>
        <w:fldChar w:fldCharType="begin"/>
      </w:r>
      <w:r w:rsidRPr="004C7219">
        <w:rPr>
          <w:sz w:val="22"/>
          <w:szCs w:val="22"/>
        </w:rPr>
        <w:instrText xml:space="preserve"> SEQ Table \* ARABIC </w:instrText>
      </w:r>
      <w:r w:rsidR="00EC097A" w:rsidRPr="004C7219">
        <w:rPr>
          <w:sz w:val="22"/>
          <w:szCs w:val="22"/>
        </w:rPr>
        <w:fldChar w:fldCharType="separate"/>
      </w:r>
      <w:r w:rsidR="00856A95">
        <w:rPr>
          <w:noProof/>
          <w:sz w:val="22"/>
          <w:szCs w:val="22"/>
        </w:rPr>
        <w:t>4</w:t>
      </w:r>
      <w:r w:rsidR="00EC097A" w:rsidRPr="004C7219">
        <w:rPr>
          <w:sz w:val="22"/>
          <w:szCs w:val="22"/>
        </w:rPr>
        <w:fldChar w:fldCharType="end"/>
      </w:r>
      <w:r w:rsidRPr="004C7219">
        <w:rPr>
          <w:sz w:val="22"/>
          <w:szCs w:val="22"/>
        </w:rPr>
        <w:t>: Biggest Health Insurance Providers in the United States of America</w:t>
      </w:r>
      <w:bookmarkEnd w:id="50"/>
    </w:p>
    <w:tbl>
      <w:tblPr>
        <w:tblStyle w:val="MediumShading1-Accent11"/>
        <w:tblW w:w="0" w:type="auto"/>
        <w:tblLook w:val="04A0"/>
      </w:tblPr>
      <w:tblGrid>
        <w:gridCol w:w="3936"/>
        <w:gridCol w:w="2693"/>
        <w:gridCol w:w="2613"/>
      </w:tblGrid>
      <w:tr w:rsidR="004C7219" w:rsidRPr="00843FB8" w:rsidTr="0090091C">
        <w:trPr>
          <w:cnfStyle w:val="100000000000"/>
        </w:trPr>
        <w:tc>
          <w:tcPr>
            <w:cnfStyle w:val="001000000000"/>
            <w:tcW w:w="3936" w:type="dxa"/>
          </w:tcPr>
          <w:p w:rsidR="004C7219" w:rsidRPr="00843FB8" w:rsidRDefault="004C7219" w:rsidP="0090091C">
            <w:pPr>
              <w:pStyle w:val="normal0"/>
              <w:spacing w:line="360" w:lineRule="auto"/>
              <w:jc w:val="both"/>
              <w:rPr>
                <w:b w:val="0"/>
              </w:rPr>
            </w:pPr>
            <w:r w:rsidRPr="00843FB8">
              <w:rPr>
                <w:b w:val="0"/>
              </w:rPr>
              <w:t>HEALTH INSURANCE PROVIDER</w:t>
            </w:r>
          </w:p>
        </w:tc>
        <w:tc>
          <w:tcPr>
            <w:tcW w:w="2693" w:type="dxa"/>
          </w:tcPr>
          <w:p w:rsidR="004C7219" w:rsidRPr="00843FB8" w:rsidRDefault="004C7219" w:rsidP="0090091C">
            <w:pPr>
              <w:pStyle w:val="normal0"/>
              <w:spacing w:line="360" w:lineRule="auto"/>
              <w:jc w:val="center"/>
              <w:cnfStyle w:val="100000000000"/>
              <w:rPr>
                <w:b w:val="0"/>
              </w:rPr>
            </w:pPr>
            <w:r w:rsidRPr="00843FB8">
              <w:rPr>
                <w:b w:val="0"/>
              </w:rPr>
              <w:t>MARKET VALUE</w:t>
            </w:r>
            <w:r>
              <w:rPr>
                <w:b w:val="0"/>
              </w:rPr>
              <w:t xml:space="preserve"> (in billion dollars)</w:t>
            </w:r>
          </w:p>
        </w:tc>
        <w:tc>
          <w:tcPr>
            <w:tcW w:w="2613" w:type="dxa"/>
          </w:tcPr>
          <w:p w:rsidR="004C7219" w:rsidRPr="00843FB8" w:rsidRDefault="004C7219" w:rsidP="0090091C">
            <w:pPr>
              <w:pStyle w:val="normal0"/>
              <w:spacing w:line="360" w:lineRule="auto"/>
              <w:jc w:val="center"/>
              <w:cnfStyle w:val="100000000000"/>
              <w:rPr>
                <w:b w:val="0"/>
              </w:rPr>
            </w:pPr>
            <w:r w:rsidRPr="00843FB8">
              <w:rPr>
                <w:b w:val="0"/>
              </w:rPr>
              <w:t>NET SALES</w:t>
            </w:r>
            <w:r>
              <w:rPr>
                <w:b w:val="0"/>
              </w:rPr>
              <w:t xml:space="preserve"> (in billion dollars)</w:t>
            </w:r>
          </w:p>
        </w:tc>
      </w:tr>
      <w:tr w:rsidR="004C7219" w:rsidTr="0090091C">
        <w:trPr>
          <w:cnfStyle w:val="000000100000"/>
        </w:trPr>
        <w:tc>
          <w:tcPr>
            <w:cnfStyle w:val="001000000000"/>
            <w:tcW w:w="3936" w:type="dxa"/>
          </w:tcPr>
          <w:p w:rsidR="004C7219" w:rsidRDefault="004C7219" w:rsidP="0090091C">
            <w:pPr>
              <w:pStyle w:val="normal0"/>
              <w:spacing w:line="360" w:lineRule="auto"/>
              <w:jc w:val="both"/>
            </w:pPr>
            <w:r>
              <w:t>United Healthcare Group</w:t>
            </w:r>
          </w:p>
        </w:tc>
        <w:tc>
          <w:tcPr>
            <w:tcW w:w="2693" w:type="dxa"/>
          </w:tcPr>
          <w:p w:rsidR="004C7219" w:rsidRDefault="004C7219" w:rsidP="0090091C">
            <w:pPr>
              <w:pStyle w:val="normal0"/>
              <w:spacing w:line="360" w:lineRule="auto"/>
              <w:jc w:val="center"/>
              <w:cnfStyle w:val="000000100000"/>
            </w:pPr>
            <w:r>
              <w:t>112.7</w:t>
            </w:r>
          </w:p>
        </w:tc>
        <w:tc>
          <w:tcPr>
            <w:tcW w:w="2613" w:type="dxa"/>
          </w:tcPr>
          <w:p w:rsidR="004C7219" w:rsidRDefault="004C7219" w:rsidP="0090091C">
            <w:pPr>
              <w:pStyle w:val="normal0"/>
              <w:spacing w:line="360" w:lineRule="auto"/>
              <w:jc w:val="center"/>
              <w:cnfStyle w:val="000000100000"/>
            </w:pPr>
            <w:r>
              <w:t>130.5</w:t>
            </w:r>
          </w:p>
        </w:tc>
      </w:tr>
      <w:tr w:rsidR="004C7219" w:rsidTr="0090091C">
        <w:trPr>
          <w:cnfStyle w:val="000000010000"/>
        </w:trPr>
        <w:tc>
          <w:tcPr>
            <w:cnfStyle w:val="001000000000"/>
            <w:tcW w:w="3936" w:type="dxa"/>
          </w:tcPr>
          <w:p w:rsidR="004C7219" w:rsidRDefault="004C7219" w:rsidP="0090091C">
            <w:pPr>
              <w:pStyle w:val="normal0"/>
              <w:spacing w:line="360" w:lineRule="auto"/>
              <w:jc w:val="both"/>
            </w:pPr>
            <w:r>
              <w:t>Anthem</w:t>
            </w:r>
          </w:p>
        </w:tc>
        <w:tc>
          <w:tcPr>
            <w:tcW w:w="2693" w:type="dxa"/>
          </w:tcPr>
          <w:p w:rsidR="004C7219" w:rsidRDefault="004C7219" w:rsidP="0090091C">
            <w:pPr>
              <w:pStyle w:val="normal0"/>
              <w:spacing w:line="360" w:lineRule="auto"/>
              <w:jc w:val="center"/>
              <w:cnfStyle w:val="000000010000"/>
            </w:pPr>
            <w:r>
              <w:t>41</w:t>
            </w:r>
          </w:p>
        </w:tc>
        <w:tc>
          <w:tcPr>
            <w:tcW w:w="2613" w:type="dxa"/>
          </w:tcPr>
          <w:p w:rsidR="004C7219" w:rsidRDefault="004C7219" w:rsidP="0090091C">
            <w:pPr>
              <w:pStyle w:val="normal0"/>
              <w:spacing w:line="360" w:lineRule="auto"/>
              <w:jc w:val="center"/>
              <w:cnfStyle w:val="000000010000"/>
            </w:pPr>
            <w:r>
              <w:t>74B</w:t>
            </w:r>
          </w:p>
        </w:tc>
      </w:tr>
      <w:tr w:rsidR="004C7219" w:rsidTr="0090091C">
        <w:trPr>
          <w:cnfStyle w:val="000000100000"/>
        </w:trPr>
        <w:tc>
          <w:tcPr>
            <w:cnfStyle w:val="001000000000"/>
            <w:tcW w:w="3936" w:type="dxa"/>
          </w:tcPr>
          <w:p w:rsidR="004C7219" w:rsidRDefault="004C7219" w:rsidP="0090091C">
            <w:pPr>
              <w:pStyle w:val="normal0"/>
              <w:spacing w:line="360" w:lineRule="auto"/>
              <w:jc w:val="both"/>
            </w:pPr>
            <w:r>
              <w:t>Aetna</w:t>
            </w:r>
          </w:p>
        </w:tc>
        <w:tc>
          <w:tcPr>
            <w:tcW w:w="2693" w:type="dxa"/>
          </w:tcPr>
          <w:p w:rsidR="004C7219" w:rsidRDefault="004C7219" w:rsidP="0090091C">
            <w:pPr>
              <w:pStyle w:val="normal0"/>
              <w:spacing w:line="360" w:lineRule="auto"/>
              <w:jc w:val="center"/>
              <w:cnfStyle w:val="000000100000"/>
            </w:pPr>
            <w:r>
              <w:t>38</w:t>
            </w:r>
          </w:p>
        </w:tc>
        <w:tc>
          <w:tcPr>
            <w:tcW w:w="2613" w:type="dxa"/>
          </w:tcPr>
          <w:p w:rsidR="004C7219" w:rsidRDefault="004C7219" w:rsidP="0090091C">
            <w:pPr>
              <w:pStyle w:val="normal0"/>
              <w:spacing w:line="360" w:lineRule="auto"/>
              <w:jc w:val="center"/>
              <w:cnfStyle w:val="000000100000"/>
            </w:pPr>
            <w:r>
              <w:t>58</w:t>
            </w:r>
          </w:p>
        </w:tc>
      </w:tr>
      <w:tr w:rsidR="004C7219" w:rsidTr="0090091C">
        <w:trPr>
          <w:cnfStyle w:val="000000010000"/>
        </w:trPr>
        <w:tc>
          <w:tcPr>
            <w:cnfStyle w:val="001000000000"/>
            <w:tcW w:w="3936" w:type="dxa"/>
          </w:tcPr>
          <w:p w:rsidR="004C7219" w:rsidRDefault="004C7219" w:rsidP="0090091C">
            <w:pPr>
              <w:pStyle w:val="normal0"/>
              <w:spacing w:line="360" w:lineRule="auto"/>
              <w:jc w:val="both"/>
            </w:pPr>
            <w:r>
              <w:t>Cigna</w:t>
            </w:r>
          </w:p>
        </w:tc>
        <w:tc>
          <w:tcPr>
            <w:tcW w:w="2693" w:type="dxa"/>
          </w:tcPr>
          <w:p w:rsidR="004C7219" w:rsidRDefault="004C7219" w:rsidP="0090091C">
            <w:pPr>
              <w:pStyle w:val="normal0"/>
              <w:spacing w:line="360" w:lineRule="auto"/>
              <w:jc w:val="center"/>
              <w:cnfStyle w:val="000000010000"/>
            </w:pPr>
            <w:r>
              <w:t>33.8</w:t>
            </w:r>
          </w:p>
        </w:tc>
        <w:tc>
          <w:tcPr>
            <w:tcW w:w="2613" w:type="dxa"/>
          </w:tcPr>
          <w:p w:rsidR="004C7219" w:rsidRDefault="004C7219" w:rsidP="0090091C">
            <w:pPr>
              <w:pStyle w:val="normal0"/>
              <w:spacing w:line="360" w:lineRule="auto"/>
              <w:jc w:val="center"/>
              <w:cnfStyle w:val="000000010000"/>
            </w:pPr>
            <w:r>
              <w:t>35</w:t>
            </w:r>
          </w:p>
        </w:tc>
      </w:tr>
      <w:tr w:rsidR="004C7219" w:rsidTr="0090091C">
        <w:trPr>
          <w:cnfStyle w:val="000000100000"/>
        </w:trPr>
        <w:tc>
          <w:tcPr>
            <w:cnfStyle w:val="001000000000"/>
            <w:tcW w:w="3936" w:type="dxa"/>
          </w:tcPr>
          <w:p w:rsidR="004C7219" w:rsidRDefault="004C7219" w:rsidP="0090091C">
            <w:pPr>
              <w:pStyle w:val="normal0"/>
              <w:spacing w:line="360" w:lineRule="auto"/>
              <w:jc w:val="both"/>
            </w:pPr>
            <w:r>
              <w:t>Humana</w:t>
            </w:r>
          </w:p>
        </w:tc>
        <w:tc>
          <w:tcPr>
            <w:tcW w:w="2693" w:type="dxa"/>
          </w:tcPr>
          <w:p w:rsidR="004C7219" w:rsidRDefault="004C7219" w:rsidP="0090091C">
            <w:pPr>
              <w:pStyle w:val="normal0"/>
              <w:spacing w:line="360" w:lineRule="auto"/>
              <w:jc w:val="center"/>
              <w:cnfStyle w:val="000000100000"/>
            </w:pPr>
            <w:r>
              <w:t>27.2</w:t>
            </w:r>
          </w:p>
        </w:tc>
        <w:tc>
          <w:tcPr>
            <w:tcW w:w="2613" w:type="dxa"/>
          </w:tcPr>
          <w:p w:rsidR="004C7219" w:rsidRDefault="004C7219" w:rsidP="0090091C">
            <w:pPr>
              <w:pStyle w:val="normal0"/>
              <w:spacing w:line="360" w:lineRule="auto"/>
              <w:jc w:val="center"/>
              <w:cnfStyle w:val="000000100000"/>
            </w:pPr>
            <w:r>
              <w:t>48.5</w:t>
            </w:r>
          </w:p>
        </w:tc>
      </w:tr>
      <w:tr w:rsidR="004C7219" w:rsidTr="0090091C">
        <w:trPr>
          <w:cnfStyle w:val="000000010000"/>
        </w:trPr>
        <w:tc>
          <w:tcPr>
            <w:cnfStyle w:val="001000000000"/>
            <w:tcW w:w="3936" w:type="dxa"/>
          </w:tcPr>
          <w:p w:rsidR="004C7219" w:rsidRDefault="004C7219" w:rsidP="0090091C">
            <w:pPr>
              <w:pStyle w:val="normal0"/>
              <w:spacing w:line="360" w:lineRule="auto"/>
              <w:jc w:val="both"/>
            </w:pPr>
            <w:r>
              <w:t>Centene</w:t>
            </w:r>
          </w:p>
        </w:tc>
        <w:tc>
          <w:tcPr>
            <w:tcW w:w="2693" w:type="dxa"/>
          </w:tcPr>
          <w:p w:rsidR="004C7219" w:rsidRDefault="004C7219" w:rsidP="0090091C">
            <w:pPr>
              <w:pStyle w:val="normal0"/>
              <w:spacing w:line="360" w:lineRule="auto"/>
              <w:jc w:val="center"/>
              <w:cnfStyle w:val="000000010000"/>
            </w:pPr>
            <w:r>
              <w:t>8.6</w:t>
            </w:r>
          </w:p>
        </w:tc>
        <w:tc>
          <w:tcPr>
            <w:tcW w:w="2613" w:type="dxa"/>
          </w:tcPr>
          <w:p w:rsidR="004C7219" w:rsidRDefault="004C7219" w:rsidP="0090091C">
            <w:pPr>
              <w:pStyle w:val="normal0"/>
              <w:spacing w:line="360" w:lineRule="auto"/>
              <w:jc w:val="center"/>
              <w:cnfStyle w:val="000000010000"/>
            </w:pPr>
            <w:r>
              <w:t>16.6</w:t>
            </w:r>
          </w:p>
        </w:tc>
      </w:tr>
      <w:tr w:rsidR="004C7219" w:rsidTr="0090091C">
        <w:trPr>
          <w:cnfStyle w:val="000000100000"/>
        </w:trPr>
        <w:tc>
          <w:tcPr>
            <w:cnfStyle w:val="001000000000"/>
            <w:tcW w:w="3936" w:type="dxa"/>
          </w:tcPr>
          <w:p w:rsidR="004C7219" w:rsidRDefault="004C7219" w:rsidP="0090091C">
            <w:pPr>
              <w:pStyle w:val="normal0"/>
              <w:spacing w:line="360" w:lineRule="auto"/>
              <w:jc w:val="both"/>
            </w:pPr>
            <w:r>
              <w:t>Health Net</w:t>
            </w:r>
          </w:p>
        </w:tc>
        <w:tc>
          <w:tcPr>
            <w:tcW w:w="2693" w:type="dxa"/>
          </w:tcPr>
          <w:p w:rsidR="004C7219" w:rsidRDefault="004C7219" w:rsidP="0090091C">
            <w:pPr>
              <w:pStyle w:val="normal0"/>
              <w:spacing w:line="360" w:lineRule="auto"/>
              <w:jc w:val="center"/>
              <w:cnfStyle w:val="000000100000"/>
            </w:pPr>
            <w:r>
              <w:t>4.5</w:t>
            </w:r>
          </w:p>
        </w:tc>
        <w:tc>
          <w:tcPr>
            <w:tcW w:w="2613" w:type="dxa"/>
          </w:tcPr>
          <w:p w:rsidR="004C7219" w:rsidRDefault="004C7219" w:rsidP="0090091C">
            <w:pPr>
              <w:pStyle w:val="normal0"/>
              <w:spacing w:line="360" w:lineRule="auto"/>
              <w:jc w:val="center"/>
              <w:cnfStyle w:val="000000100000"/>
            </w:pPr>
            <w:r>
              <w:t>14</w:t>
            </w:r>
          </w:p>
        </w:tc>
      </w:tr>
      <w:tr w:rsidR="004C7219" w:rsidTr="0090091C">
        <w:trPr>
          <w:cnfStyle w:val="000000010000"/>
        </w:trPr>
        <w:tc>
          <w:tcPr>
            <w:cnfStyle w:val="001000000000"/>
            <w:tcW w:w="3936" w:type="dxa"/>
          </w:tcPr>
          <w:p w:rsidR="004C7219" w:rsidRDefault="004C7219" w:rsidP="0090091C">
            <w:pPr>
              <w:pStyle w:val="normal0"/>
              <w:spacing w:line="360" w:lineRule="auto"/>
              <w:jc w:val="both"/>
            </w:pPr>
            <w:r>
              <w:t>WellCare Health Plans</w:t>
            </w:r>
          </w:p>
        </w:tc>
        <w:tc>
          <w:tcPr>
            <w:tcW w:w="2693" w:type="dxa"/>
          </w:tcPr>
          <w:p w:rsidR="004C7219" w:rsidRDefault="004C7219" w:rsidP="0090091C">
            <w:pPr>
              <w:pStyle w:val="normal0"/>
              <w:spacing w:line="360" w:lineRule="auto"/>
              <w:jc w:val="center"/>
              <w:cnfStyle w:val="000000010000"/>
            </w:pPr>
            <w:r>
              <w:t>3.7</w:t>
            </w:r>
          </w:p>
        </w:tc>
        <w:tc>
          <w:tcPr>
            <w:tcW w:w="2613" w:type="dxa"/>
          </w:tcPr>
          <w:p w:rsidR="004C7219" w:rsidRDefault="004C7219" w:rsidP="0090091C">
            <w:pPr>
              <w:pStyle w:val="normal0"/>
              <w:spacing w:line="360" w:lineRule="auto"/>
              <w:jc w:val="center"/>
              <w:cnfStyle w:val="000000010000"/>
            </w:pPr>
            <w:r>
              <w:t>13</w:t>
            </w:r>
          </w:p>
        </w:tc>
      </w:tr>
      <w:tr w:rsidR="004C7219" w:rsidTr="0090091C">
        <w:trPr>
          <w:cnfStyle w:val="000000100000"/>
        </w:trPr>
        <w:tc>
          <w:tcPr>
            <w:cnfStyle w:val="001000000000"/>
            <w:tcW w:w="3936" w:type="dxa"/>
          </w:tcPr>
          <w:p w:rsidR="004C7219" w:rsidRDefault="004C7219" w:rsidP="0090091C">
            <w:pPr>
              <w:pStyle w:val="normal0"/>
              <w:spacing w:line="360" w:lineRule="auto"/>
              <w:jc w:val="both"/>
            </w:pPr>
            <w:r>
              <w:t>Molina</w:t>
            </w:r>
          </w:p>
        </w:tc>
        <w:tc>
          <w:tcPr>
            <w:tcW w:w="2693" w:type="dxa"/>
          </w:tcPr>
          <w:p w:rsidR="004C7219" w:rsidRDefault="004C7219" w:rsidP="0090091C">
            <w:pPr>
              <w:pStyle w:val="normal0"/>
              <w:spacing w:line="360" w:lineRule="auto"/>
              <w:jc w:val="center"/>
              <w:cnfStyle w:val="000000100000"/>
            </w:pPr>
            <w:r>
              <w:t>3.2</w:t>
            </w:r>
          </w:p>
        </w:tc>
        <w:tc>
          <w:tcPr>
            <w:tcW w:w="2613" w:type="dxa"/>
          </w:tcPr>
          <w:p w:rsidR="004C7219" w:rsidRDefault="004C7219" w:rsidP="0090091C">
            <w:pPr>
              <w:pStyle w:val="normal0"/>
              <w:spacing w:line="360" w:lineRule="auto"/>
              <w:jc w:val="center"/>
              <w:cnfStyle w:val="000000100000"/>
            </w:pPr>
            <w:r>
              <w:t>9.7</w:t>
            </w:r>
          </w:p>
        </w:tc>
      </w:tr>
      <w:tr w:rsidR="004C7219" w:rsidTr="0090091C">
        <w:trPr>
          <w:cnfStyle w:val="000000010000"/>
        </w:trPr>
        <w:tc>
          <w:tcPr>
            <w:cnfStyle w:val="001000000000"/>
            <w:tcW w:w="3936" w:type="dxa"/>
          </w:tcPr>
          <w:p w:rsidR="004C7219" w:rsidRDefault="004C7219" w:rsidP="0090091C">
            <w:pPr>
              <w:pStyle w:val="normal0"/>
              <w:spacing w:line="360" w:lineRule="auto"/>
              <w:jc w:val="both"/>
            </w:pPr>
            <w:r>
              <w:t>Magellan Health</w:t>
            </w:r>
          </w:p>
        </w:tc>
        <w:tc>
          <w:tcPr>
            <w:tcW w:w="2693" w:type="dxa"/>
          </w:tcPr>
          <w:p w:rsidR="004C7219" w:rsidRDefault="004C7219" w:rsidP="0090091C">
            <w:pPr>
              <w:pStyle w:val="normal0"/>
              <w:spacing w:line="360" w:lineRule="auto"/>
              <w:jc w:val="center"/>
              <w:cnfStyle w:val="000000010000"/>
            </w:pPr>
            <w:r>
              <w:t>1.9</w:t>
            </w:r>
          </w:p>
        </w:tc>
        <w:tc>
          <w:tcPr>
            <w:tcW w:w="2613" w:type="dxa"/>
          </w:tcPr>
          <w:p w:rsidR="004C7219" w:rsidRDefault="004C7219" w:rsidP="0090091C">
            <w:pPr>
              <w:pStyle w:val="normal0"/>
              <w:spacing w:line="360" w:lineRule="auto"/>
              <w:jc w:val="center"/>
              <w:cnfStyle w:val="000000010000"/>
            </w:pPr>
            <w:r>
              <w:t>3.8</w:t>
            </w:r>
          </w:p>
        </w:tc>
      </w:tr>
    </w:tbl>
    <w:p w:rsidR="004C7219" w:rsidRDefault="004C7219">
      <w:pPr>
        <w:pStyle w:val="normal0"/>
        <w:spacing w:line="360" w:lineRule="auto"/>
        <w:jc w:val="both"/>
      </w:pPr>
      <w:r w:rsidRPr="004C7219">
        <w:rPr>
          <w:b/>
        </w:rPr>
        <w:t>SOURCE:</w:t>
      </w:r>
      <w:r>
        <w:t xml:space="preserve"> Deduced from </w:t>
      </w:r>
      <w:r>
        <w:rPr>
          <w:noProof/>
        </w:rPr>
        <w:t>Forbes</w:t>
      </w:r>
      <w:r>
        <w:t xml:space="preserve"> </w:t>
      </w:r>
      <w:sdt>
        <w:sdtPr>
          <w:id w:val="25605440"/>
          <w:citation/>
        </w:sdtPr>
        <w:sdtContent>
          <w:fldSimple w:instr=" CITATION For14 \n  \l 2057  ">
            <w:r>
              <w:rPr>
                <w:noProof/>
              </w:rPr>
              <w:t>(2014)</w:t>
            </w:r>
          </w:fldSimple>
        </w:sdtContent>
      </w:sdt>
      <w:r>
        <w:t>.</w:t>
      </w:r>
    </w:p>
    <w:p w:rsidR="006267BF" w:rsidRDefault="006267BF">
      <w:pPr>
        <w:pStyle w:val="normal0"/>
        <w:spacing w:line="360" w:lineRule="auto"/>
        <w:jc w:val="both"/>
      </w:pPr>
    </w:p>
    <w:p w:rsidR="004D0F17" w:rsidRDefault="006267BF">
      <w:pPr>
        <w:pStyle w:val="normal0"/>
        <w:spacing w:line="360" w:lineRule="auto"/>
        <w:jc w:val="both"/>
      </w:pPr>
      <w:r>
        <w:t>The above are not contradictory however considering that</w:t>
      </w:r>
      <w:r w:rsidR="00137949">
        <w:t xml:space="preserve"> Forbes</w:t>
      </w:r>
      <w:r w:rsidR="002A7CF0">
        <w:t>’s</w:t>
      </w:r>
      <w:r w:rsidR="00137949">
        <w:t xml:space="preserve"> (2004)</w:t>
      </w:r>
      <w:r w:rsidR="002A7CF0">
        <w:t xml:space="preserve"> submission </w:t>
      </w:r>
      <w:r w:rsidR="00137949">
        <w:t xml:space="preserve"> was in 2014 and IBISWorld</w:t>
      </w:r>
      <w:r w:rsidR="002A7CF0">
        <w:t>’s</w:t>
      </w:r>
      <w:r w:rsidR="00137949">
        <w:t xml:space="preserve"> (2018) </w:t>
      </w:r>
      <w:r w:rsidR="002A7CF0">
        <w:t xml:space="preserve">one </w:t>
      </w:r>
      <w:r w:rsidR="00137949">
        <w:t>was in 2018.</w:t>
      </w:r>
      <w:r>
        <w:t xml:space="preserve"> </w:t>
      </w:r>
    </w:p>
    <w:p w:rsidR="00856A95" w:rsidRDefault="00856A95">
      <w:pPr>
        <w:pStyle w:val="normal0"/>
        <w:spacing w:line="360" w:lineRule="auto"/>
        <w:jc w:val="both"/>
      </w:pPr>
    </w:p>
    <w:p w:rsidR="00AA1B26" w:rsidRDefault="00674393">
      <w:pPr>
        <w:pStyle w:val="normal0"/>
        <w:spacing w:line="360" w:lineRule="auto"/>
        <w:jc w:val="both"/>
        <w:rPr>
          <w:noProof/>
        </w:rPr>
      </w:pPr>
      <w:r>
        <w:t xml:space="preserve">To have a better understanding of this, </w:t>
      </w:r>
      <w:r w:rsidR="000A59BC">
        <w:t xml:space="preserve">the </w:t>
      </w:r>
      <w:r>
        <w:t xml:space="preserve">strategic analysis </w:t>
      </w:r>
      <w:r w:rsidR="000A59BC">
        <w:t xml:space="preserve">of the company, market and industry </w:t>
      </w:r>
      <w:r>
        <w:t>is very important.</w:t>
      </w:r>
      <w:r w:rsidR="000A59BC">
        <w:t xml:space="preserve"> But why do we need strateg</w:t>
      </w:r>
      <w:r w:rsidR="00464D2F">
        <w:t xml:space="preserve">ic analysis when all we need </w:t>
      </w:r>
      <w:r w:rsidR="000A59BC">
        <w:t xml:space="preserve">is either to continue with diversity initiatives or not? </w:t>
      </w:r>
      <w:r w:rsidR="00464D2F">
        <w:t>This is because diversity policies, or lack of, can either make or mar a business. According to recent McKinsey’s report which studied over 1000 businesses in 12 countries, diversity initiative is not just a tool for social justice; it is now a tool for competitive advantage that has been found to have correlation between short term profitability in Earnings Before Interest and Tax (EBIT) as well as long-term profit</w:t>
      </w:r>
      <w:r w:rsidR="00A82D91">
        <w:t xml:space="preserve">ability </w:t>
      </w:r>
      <w:sdt>
        <w:sdtPr>
          <w:id w:val="23433526"/>
          <w:citation/>
        </w:sdtPr>
        <w:sdtContent>
          <w:fldSimple w:instr=" CITATION Hun18 \l 2057 ">
            <w:r w:rsidR="00A82D91">
              <w:rPr>
                <w:noProof/>
              </w:rPr>
              <w:t>(Hunt et al., 2018)</w:t>
            </w:r>
          </w:fldSimple>
        </w:sdtContent>
      </w:sdt>
      <w:r w:rsidR="00464D2F">
        <w:t>.</w:t>
      </w:r>
      <w:r w:rsidR="000A59BC">
        <w:t xml:space="preserve"> </w:t>
      </w:r>
      <w:r w:rsidR="000A59BC">
        <w:rPr>
          <w:noProof/>
        </w:rPr>
        <w:t>Gerry et al.</w:t>
      </w:r>
      <w:r w:rsidR="00A82D91">
        <w:rPr>
          <w:noProof/>
        </w:rPr>
        <w:t>’s</w:t>
      </w:r>
      <w:r w:rsidR="000A59BC">
        <w:t xml:space="preserve"> </w:t>
      </w:r>
      <w:sdt>
        <w:sdtPr>
          <w:id w:val="23433525"/>
          <w:citation/>
        </w:sdtPr>
        <w:sdtContent>
          <w:fldSimple w:instr=" CITATION Ger08 \n  \l 2057  ">
            <w:r w:rsidR="000A59BC">
              <w:rPr>
                <w:noProof/>
              </w:rPr>
              <w:t>(2008)</w:t>
            </w:r>
          </w:fldSimple>
        </w:sdtContent>
      </w:sdt>
      <w:r w:rsidR="000A59BC" w:rsidRPr="000A59BC">
        <w:rPr>
          <w:noProof/>
        </w:rPr>
        <w:t xml:space="preserve"> </w:t>
      </w:r>
      <w:r w:rsidR="00A82D91">
        <w:rPr>
          <w:noProof/>
        </w:rPr>
        <w:t>further explanation of need for strategic changes, and thus analysis, as due to the desire to grasp new opportunities or simply overcoming a (potential) prob</w:t>
      </w:r>
      <w:r w:rsidR="00975883">
        <w:rPr>
          <w:noProof/>
        </w:rPr>
        <w:t>lem, provided the needed clarity, and basis,</w:t>
      </w:r>
      <w:r w:rsidR="00A82D91">
        <w:rPr>
          <w:noProof/>
        </w:rPr>
        <w:t xml:space="preserve"> for this section. </w:t>
      </w:r>
      <w:r w:rsidR="00506990">
        <w:rPr>
          <w:noProof/>
        </w:rPr>
        <w:t xml:space="preserve">The advantages in this regards can also be attributed to the characteristics of strategic decisions which </w:t>
      </w:r>
      <w:r w:rsidR="00644E98" w:rsidRPr="00C60E44">
        <w:rPr>
          <w:noProof/>
        </w:rPr>
        <w:t>Fred</w:t>
      </w:r>
      <w:r w:rsidR="00644E98">
        <w:t xml:space="preserve"> </w:t>
      </w:r>
      <w:sdt>
        <w:sdtPr>
          <w:id w:val="457202040"/>
          <w:citation/>
        </w:sdtPr>
        <w:sdtContent>
          <w:fldSimple w:instr=" CITATION Fre131 \n  \l 2057  ">
            <w:r w:rsidR="00644E98">
              <w:rPr>
                <w:noProof/>
              </w:rPr>
              <w:t>(2013)</w:t>
            </w:r>
          </w:fldSimple>
        </w:sdtContent>
      </w:sdt>
      <w:r w:rsidR="00644E98">
        <w:t xml:space="preserve"> and </w:t>
      </w:r>
      <w:r w:rsidR="00506990">
        <w:t xml:space="preserve">Gerry, et al. </w:t>
      </w:r>
      <w:sdt>
        <w:sdtPr>
          <w:id w:val="23433534"/>
          <w:citation/>
        </w:sdtPr>
        <w:sdtContent>
          <w:fldSimple w:instr=" CITATION Ger08 \n  \l 2057  ">
            <w:r w:rsidR="00506990">
              <w:rPr>
                <w:noProof/>
              </w:rPr>
              <w:t>(2008)</w:t>
            </w:r>
          </w:fldSimple>
        </w:sdtContent>
      </w:sdt>
      <w:r w:rsidR="00506990">
        <w:t xml:space="preserve"> argued as typically associated with </w:t>
      </w:r>
      <w:r w:rsidR="00386EA7">
        <w:t xml:space="preserve">organization’s </w:t>
      </w:r>
      <w:r w:rsidR="00506990">
        <w:t>long-term directions,</w:t>
      </w:r>
      <w:r w:rsidR="00386EA7">
        <w:t xml:space="preserve"> advantages of competitions, strategic fit with the business environment (both internal and external), organization’s resources, values and expectations. </w:t>
      </w:r>
      <w:r w:rsidR="00386EA7">
        <w:rPr>
          <w:noProof/>
        </w:rPr>
        <w:t>More so</w:t>
      </w:r>
      <w:r w:rsidR="00AA1B26">
        <w:rPr>
          <w:noProof/>
        </w:rPr>
        <w:t>,</w:t>
      </w:r>
      <w:r w:rsidR="00386EA7">
        <w:rPr>
          <w:noProof/>
        </w:rPr>
        <w:t xml:space="preserve"> considering that</w:t>
      </w:r>
      <w:r w:rsidR="00AA1B26">
        <w:rPr>
          <w:noProof/>
        </w:rPr>
        <w:t xml:space="preserve"> human resources management</w:t>
      </w:r>
      <w:r w:rsidR="00386EA7">
        <w:rPr>
          <w:noProof/>
        </w:rPr>
        <w:t xml:space="preserve"> (HR); HR strategy and its practiical application,</w:t>
      </w:r>
      <w:r w:rsidR="00AA1B26">
        <w:rPr>
          <w:noProof/>
        </w:rPr>
        <w:t xml:space="preserve"> which encompasses diversity and inclusion policies need</w:t>
      </w:r>
      <w:r w:rsidR="00386EA7">
        <w:rPr>
          <w:noProof/>
        </w:rPr>
        <w:t>s</w:t>
      </w:r>
      <w:r w:rsidR="00AA1B26">
        <w:rPr>
          <w:noProof/>
        </w:rPr>
        <w:t xml:space="preserve"> to align with the company</w:t>
      </w:r>
      <w:r w:rsidR="00386EA7">
        <w:rPr>
          <w:noProof/>
        </w:rPr>
        <w:t>’s</w:t>
      </w:r>
      <w:r w:rsidR="00AA1B26">
        <w:rPr>
          <w:noProof/>
        </w:rPr>
        <w:t xml:space="preserve"> goals</w:t>
      </w:r>
      <w:r w:rsidR="00386EA7">
        <w:rPr>
          <w:noProof/>
        </w:rPr>
        <w:t xml:space="preserve"> and </w:t>
      </w:r>
      <w:r w:rsidR="00386EA7">
        <w:rPr>
          <w:noProof/>
        </w:rPr>
        <w:lastRenderedPageBreak/>
        <w:t>strategy, it only make sense to review human resource strategy in alignment with the company’s long term goal which might be affected with global dynamics</w:t>
      </w:r>
      <w:r w:rsidR="00AA1B26">
        <w:rPr>
          <w:noProof/>
        </w:rPr>
        <w:t xml:space="preserve">.  </w:t>
      </w:r>
    </w:p>
    <w:p w:rsidR="0089083C" w:rsidRDefault="00AA1B26">
      <w:pPr>
        <w:pStyle w:val="normal0"/>
        <w:spacing w:line="360" w:lineRule="auto"/>
        <w:jc w:val="both"/>
      </w:pPr>
      <w:r>
        <w:rPr>
          <w:noProof/>
        </w:rPr>
        <w:t xml:space="preserve">While the importance of strategic direction has been established </w:t>
      </w:r>
      <w:sdt>
        <w:sdtPr>
          <w:rPr>
            <w:noProof/>
          </w:rPr>
          <w:id w:val="23433527"/>
          <w:citation/>
        </w:sdtPr>
        <w:sdtContent>
          <w:r>
            <w:rPr>
              <w:noProof/>
            </w:rPr>
            <w:fldChar w:fldCharType="begin"/>
          </w:r>
          <w:r>
            <w:rPr>
              <w:noProof/>
            </w:rPr>
            <w:instrText xml:space="preserve"> CITATION Con03 \l 2057 </w:instrText>
          </w:r>
          <w:r>
            <w:rPr>
              <w:noProof/>
            </w:rPr>
            <w:fldChar w:fldCharType="separate"/>
          </w:r>
          <w:r>
            <w:rPr>
              <w:noProof/>
            </w:rPr>
            <w:t>(Contractor et al., 2003)</w:t>
          </w:r>
          <w:r>
            <w:rPr>
              <w:noProof/>
            </w:rPr>
            <w:fldChar w:fldCharType="end"/>
          </w:r>
        </w:sdtContent>
      </w:sdt>
      <w:r>
        <w:rPr>
          <w:noProof/>
        </w:rPr>
        <w:t xml:space="preserve">, Arch, et al., </w:t>
      </w:r>
      <w:sdt>
        <w:sdtPr>
          <w:id w:val="23433528"/>
          <w:citation/>
        </w:sdtPr>
        <w:sdtContent>
          <w:fldSimple w:instr=" CITATION Arc09 \n  \l 2057  ">
            <w:r>
              <w:rPr>
                <w:noProof/>
              </w:rPr>
              <w:t>(2009)</w:t>
            </w:r>
          </w:fldSimple>
        </w:sdtContent>
      </w:sdt>
      <w:r>
        <w:t xml:space="preserve"> opined that it should be a continuous program </w:t>
      </w:r>
      <w:r w:rsidR="002A7CF0">
        <w:t xml:space="preserve">so as </w:t>
      </w:r>
      <w:r>
        <w:t xml:space="preserve">to review constant happenstances that could make or mar companies. Citing the popular ‘Yahoo Peanut Butter Manifesto’ to buttress this </w:t>
      </w:r>
      <w:r w:rsidR="0089083C">
        <w:t xml:space="preserve">latter </w:t>
      </w:r>
      <w:r>
        <w:t xml:space="preserve">need, Gerry et al., (2008) however </w:t>
      </w:r>
      <w:r w:rsidR="0089083C">
        <w:t>looked at corporate</w:t>
      </w:r>
      <w:r>
        <w:t xml:space="preserve"> strategy</w:t>
      </w:r>
      <w:r w:rsidR="0089083C">
        <w:t xml:space="preserve"> management</w:t>
      </w:r>
      <w:r>
        <w:t xml:space="preserve"> </w:t>
      </w:r>
      <w:r w:rsidR="0089083C">
        <w:t xml:space="preserve">in three ways; one is reviewing the strategic position and </w:t>
      </w:r>
      <w:r w:rsidR="007831F2">
        <w:t>analysing the current situation;</w:t>
      </w:r>
      <w:r w:rsidR="0089083C">
        <w:t xml:space="preserve"> second is looking at strategic choices and charting the best way forward having understood the present </w:t>
      </w:r>
      <w:r w:rsidR="007831F2">
        <w:t>situation; and thirdly, drafting the practical implementation.</w:t>
      </w:r>
      <w:r w:rsidR="0089083C">
        <w:t xml:space="preserve"> </w:t>
      </w:r>
    </w:p>
    <w:p w:rsidR="000A59BC" w:rsidRDefault="000A59BC">
      <w:pPr>
        <w:pStyle w:val="normal0"/>
        <w:spacing w:line="360" w:lineRule="auto"/>
        <w:jc w:val="both"/>
        <w:rPr>
          <w:noProof/>
        </w:rPr>
      </w:pPr>
    </w:p>
    <w:p w:rsidR="0088209D" w:rsidRDefault="0088209D" w:rsidP="0088209D">
      <w:pPr>
        <w:pStyle w:val="Heading3"/>
      </w:pPr>
      <w:bookmarkStart w:id="51" w:name="_Toc534667876"/>
      <w:bookmarkStart w:id="52" w:name="_Toc534681855"/>
      <w:r>
        <w:t>2.3.1</w:t>
      </w:r>
      <w:r w:rsidR="004319E6">
        <w:t xml:space="preserve"> AETNA’S</w:t>
      </w:r>
      <w:r>
        <w:t xml:space="preserve"> CURRENT SITUATION AND ANALYSIS OF THE STRATEGIC POSITION</w:t>
      </w:r>
      <w:bookmarkEnd w:id="51"/>
      <w:bookmarkEnd w:id="52"/>
    </w:p>
    <w:p w:rsidR="006F06F3" w:rsidRDefault="00263760" w:rsidP="0088209D">
      <w:pPr>
        <w:pStyle w:val="normal0"/>
        <w:spacing w:line="360" w:lineRule="auto"/>
        <w:jc w:val="both"/>
      </w:pPr>
      <w:r>
        <w:t xml:space="preserve">Understanding the present situation of Aetna as with the environment it operates in will allow one to predict what might affect the company in the future direction and cater for it in the context of HR strategies in general and diversity policies in specificity. While </w:t>
      </w:r>
      <w:r w:rsidRPr="00AA5949">
        <w:rPr>
          <w:noProof/>
        </w:rPr>
        <w:t>Gerry, et al.</w:t>
      </w:r>
      <w:r>
        <w:t xml:space="preserve"> </w:t>
      </w:r>
      <w:sdt>
        <w:sdtPr>
          <w:id w:val="899109610"/>
          <w:citation/>
        </w:sdtPr>
        <w:sdtContent>
          <w:fldSimple w:instr=" CITATION Ger08 \n  \l 2057  ">
            <w:r>
              <w:rPr>
                <w:noProof/>
              </w:rPr>
              <w:t>(2008)</w:t>
            </w:r>
          </w:fldSimple>
        </w:sdtContent>
      </w:sdt>
      <w:r>
        <w:t xml:space="preserve"> argued that this involves identifying with the environment, capabilities in the companies strategies, stakeholder’s expectations and culture, I am of the opinion the environmental analysis would provide a huge clue into the </w:t>
      </w:r>
      <w:r w:rsidR="006F06F3">
        <w:t xml:space="preserve">important pointers for future direction. Stancey </w:t>
      </w:r>
      <w:sdt>
        <w:sdtPr>
          <w:id w:val="23433537"/>
          <w:citation/>
        </w:sdtPr>
        <w:sdtContent>
          <w:fldSimple w:instr=" CITATION Sta07 \n  \l 2057  ">
            <w:r w:rsidR="006F06F3">
              <w:rPr>
                <w:noProof/>
              </w:rPr>
              <w:t>(2007)</w:t>
            </w:r>
          </w:fldSimple>
        </w:sdtContent>
      </w:sdt>
      <w:r w:rsidR="006F06F3">
        <w:t xml:space="preserve"> argued that this can either be internal or external. The internal activities are those that are internal to the company, Aetna, which includes the likes of the vision, mission and corporate values. SWOT analysis is mostly used in looking at the future prospects while leveraging the on the strengths as well as the potential threats while looking at the company’s weakness.</w:t>
      </w:r>
    </w:p>
    <w:p w:rsidR="00300836" w:rsidRDefault="00647FA9" w:rsidP="0088209D">
      <w:pPr>
        <w:pStyle w:val="normal0"/>
        <w:spacing w:line="360" w:lineRule="auto"/>
        <w:jc w:val="both"/>
      </w:pPr>
      <w:r>
        <w:t>The Strength (S), Weakness (W), Opportunity (O) and Threat (T) analysis of the company would be summarily looked at and presented in a tabular form after which we would highlight how HR and D</w:t>
      </w:r>
      <w:r w:rsidR="002A7CF0">
        <w:t>&amp;</w:t>
      </w:r>
      <w:r>
        <w:t>I policies would become handy. This would make policies relevant to Aetna be developed and not just a one style fit all.</w:t>
      </w:r>
    </w:p>
    <w:p w:rsidR="00647FA9" w:rsidRPr="00300836" w:rsidRDefault="00856A95" w:rsidP="00856A95">
      <w:pPr>
        <w:pStyle w:val="Caption"/>
        <w:rPr>
          <w:sz w:val="24"/>
          <w:szCs w:val="24"/>
        </w:rPr>
      </w:pPr>
      <w:bookmarkStart w:id="53" w:name="_Toc534681870"/>
      <w:r>
        <w:t xml:space="preserve">Table </w:t>
      </w:r>
      <w:fldSimple w:instr=" SEQ Table \* ARABIC ">
        <w:r>
          <w:rPr>
            <w:noProof/>
          </w:rPr>
          <w:t>5</w:t>
        </w:r>
      </w:fldSimple>
      <w:r w:rsidRPr="00300836">
        <w:rPr>
          <w:sz w:val="24"/>
          <w:szCs w:val="24"/>
        </w:rPr>
        <w:t>: SWOT Analysis of Aetna Inc</w:t>
      </w:r>
      <w:bookmarkEnd w:id="53"/>
    </w:p>
    <w:tbl>
      <w:tblPr>
        <w:tblStyle w:val="TableGrid"/>
        <w:tblW w:w="0" w:type="auto"/>
        <w:tblLook w:val="04A0"/>
      </w:tblPr>
      <w:tblGrid>
        <w:gridCol w:w="4621"/>
        <w:gridCol w:w="4621"/>
      </w:tblGrid>
      <w:tr w:rsidR="00647FA9" w:rsidTr="00647FA9">
        <w:tc>
          <w:tcPr>
            <w:tcW w:w="4621" w:type="dxa"/>
          </w:tcPr>
          <w:p w:rsidR="00647FA9" w:rsidRPr="00546939" w:rsidRDefault="00647FA9" w:rsidP="00546939">
            <w:pPr>
              <w:pStyle w:val="normal0"/>
              <w:spacing w:line="360" w:lineRule="auto"/>
              <w:jc w:val="center"/>
              <w:rPr>
                <w:rFonts w:asciiTheme="minorHAnsi" w:hAnsiTheme="minorHAnsi"/>
                <w:b/>
                <w:sz w:val="24"/>
                <w:szCs w:val="24"/>
              </w:rPr>
            </w:pPr>
            <w:r w:rsidRPr="00546939">
              <w:rPr>
                <w:rFonts w:asciiTheme="minorHAnsi" w:hAnsiTheme="minorHAnsi"/>
                <w:b/>
                <w:sz w:val="24"/>
                <w:szCs w:val="24"/>
              </w:rPr>
              <w:t>Strengths</w:t>
            </w:r>
          </w:p>
          <w:p w:rsidR="00546939" w:rsidRDefault="00546939" w:rsidP="00546939">
            <w:pPr>
              <w:pStyle w:val="normal0"/>
              <w:numPr>
                <w:ilvl w:val="0"/>
                <w:numId w:val="10"/>
              </w:numPr>
              <w:spacing w:line="360" w:lineRule="auto"/>
              <w:ind w:left="284" w:hanging="218"/>
              <w:jc w:val="both"/>
            </w:pPr>
            <w:r>
              <w:t>Strong market positioning – being the third largest publicly traded managed care organization with a market share of 9.9%, it is strongly posited in the America market.</w:t>
            </w:r>
          </w:p>
          <w:p w:rsidR="00546939" w:rsidRDefault="00546939" w:rsidP="00546939">
            <w:pPr>
              <w:pStyle w:val="normal0"/>
              <w:numPr>
                <w:ilvl w:val="0"/>
                <w:numId w:val="10"/>
              </w:numPr>
              <w:spacing w:line="360" w:lineRule="auto"/>
              <w:ind w:left="284" w:hanging="218"/>
              <w:jc w:val="both"/>
            </w:pPr>
            <w:r>
              <w:t xml:space="preserve">Pricing power and economy of scale – </w:t>
            </w:r>
            <w:r>
              <w:lastRenderedPageBreak/>
              <w:t>because of the size, they can reduce the price and still obtain profitability. Something smaller companies cannot do.</w:t>
            </w:r>
          </w:p>
          <w:p w:rsidR="00546939" w:rsidRDefault="00546939" w:rsidP="00546939">
            <w:pPr>
              <w:pStyle w:val="normal0"/>
              <w:numPr>
                <w:ilvl w:val="0"/>
                <w:numId w:val="10"/>
              </w:numPr>
              <w:spacing w:line="360" w:lineRule="auto"/>
              <w:ind w:left="284" w:hanging="218"/>
              <w:jc w:val="both"/>
            </w:pPr>
            <w:r>
              <w:t>Reliable suppliers because they are well diversified.</w:t>
            </w:r>
          </w:p>
          <w:p w:rsidR="00546939" w:rsidRDefault="00546939" w:rsidP="00546939">
            <w:pPr>
              <w:pStyle w:val="normal0"/>
              <w:numPr>
                <w:ilvl w:val="0"/>
                <w:numId w:val="10"/>
              </w:numPr>
              <w:spacing w:line="360" w:lineRule="auto"/>
              <w:ind w:left="284" w:hanging="218"/>
              <w:jc w:val="both"/>
            </w:pPr>
            <w:r>
              <w:t>Good customer satisfaction and loyalty.</w:t>
            </w:r>
          </w:p>
          <w:p w:rsidR="00546939" w:rsidRDefault="00546939" w:rsidP="00546939">
            <w:pPr>
              <w:pStyle w:val="normal0"/>
              <w:numPr>
                <w:ilvl w:val="0"/>
                <w:numId w:val="10"/>
              </w:numPr>
              <w:spacing w:line="360" w:lineRule="auto"/>
              <w:ind w:left="284" w:hanging="218"/>
              <w:jc w:val="both"/>
            </w:pPr>
            <w:r>
              <w:t xml:space="preserve">Good brand value and company image.  </w:t>
            </w:r>
          </w:p>
        </w:tc>
        <w:tc>
          <w:tcPr>
            <w:tcW w:w="4621" w:type="dxa"/>
          </w:tcPr>
          <w:p w:rsidR="00546939" w:rsidRPr="00300836" w:rsidRDefault="00647FA9" w:rsidP="00300836">
            <w:pPr>
              <w:pStyle w:val="normal0"/>
              <w:spacing w:line="360" w:lineRule="auto"/>
              <w:jc w:val="center"/>
              <w:rPr>
                <w:rFonts w:asciiTheme="minorHAnsi" w:hAnsiTheme="minorHAnsi"/>
                <w:b/>
                <w:sz w:val="24"/>
                <w:szCs w:val="24"/>
              </w:rPr>
            </w:pPr>
            <w:r w:rsidRPr="00300836">
              <w:rPr>
                <w:rFonts w:asciiTheme="minorHAnsi" w:hAnsiTheme="minorHAnsi"/>
                <w:b/>
                <w:sz w:val="24"/>
                <w:szCs w:val="24"/>
              </w:rPr>
              <w:lastRenderedPageBreak/>
              <w:t>Weaknesses</w:t>
            </w:r>
          </w:p>
          <w:p w:rsidR="00546939" w:rsidRDefault="00546939" w:rsidP="00B813E5">
            <w:pPr>
              <w:pStyle w:val="normal0"/>
              <w:numPr>
                <w:ilvl w:val="0"/>
                <w:numId w:val="11"/>
              </w:numPr>
              <w:spacing w:line="360" w:lineRule="auto"/>
              <w:ind w:left="199" w:hanging="218"/>
              <w:jc w:val="both"/>
            </w:pPr>
            <w:r>
              <w:t xml:space="preserve">Less diversity in products and policies to cater for </w:t>
            </w:r>
            <w:r w:rsidR="00B813E5">
              <w:t>lots of new markets especially around 2009.</w:t>
            </w:r>
          </w:p>
          <w:p w:rsidR="00B813E5" w:rsidRDefault="00B813E5" w:rsidP="00B813E5">
            <w:pPr>
              <w:pStyle w:val="normal0"/>
              <w:numPr>
                <w:ilvl w:val="0"/>
                <w:numId w:val="11"/>
              </w:numPr>
              <w:spacing w:line="360" w:lineRule="auto"/>
              <w:ind w:left="199" w:hanging="218"/>
              <w:jc w:val="both"/>
            </w:pPr>
            <w:r>
              <w:t>While they have economies of scale, the cost structures are comparatively higher.</w:t>
            </w:r>
          </w:p>
          <w:p w:rsidR="00B813E5" w:rsidRDefault="00B813E5" w:rsidP="00B813E5">
            <w:pPr>
              <w:pStyle w:val="normal0"/>
              <w:numPr>
                <w:ilvl w:val="0"/>
                <w:numId w:val="11"/>
              </w:numPr>
              <w:spacing w:line="360" w:lineRule="auto"/>
              <w:ind w:left="199" w:hanging="218"/>
              <w:jc w:val="both"/>
            </w:pPr>
            <w:r>
              <w:lastRenderedPageBreak/>
              <w:t>Low use of technology and online presence especially in the 2008 – 2009 context.</w:t>
            </w:r>
          </w:p>
          <w:p w:rsidR="00300836" w:rsidRDefault="00300836" w:rsidP="00B813E5">
            <w:pPr>
              <w:pStyle w:val="normal0"/>
              <w:numPr>
                <w:ilvl w:val="0"/>
                <w:numId w:val="11"/>
              </w:numPr>
              <w:spacing w:line="360" w:lineRule="auto"/>
              <w:ind w:left="199" w:hanging="218"/>
              <w:jc w:val="both"/>
            </w:pPr>
            <w:r>
              <w:t>Over dependence on the US market which narrows their target markets.</w:t>
            </w:r>
          </w:p>
        </w:tc>
      </w:tr>
      <w:tr w:rsidR="00647FA9" w:rsidTr="00647FA9">
        <w:tc>
          <w:tcPr>
            <w:tcW w:w="4621" w:type="dxa"/>
          </w:tcPr>
          <w:p w:rsidR="00546939" w:rsidRPr="00300836" w:rsidRDefault="00546939" w:rsidP="00300836">
            <w:pPr>
              <w:pStyle w:val="normal0"/>
              <w:spacing w:line="360" w:lineRule="auto"/>
              <w:jc w:val="center"/>
              <w:rPr>
                <w:rFonts w:asciiTheme="minorHAnsi" w:hAnsiTheme="minorHAnsi"/>
                <w:b/>
                <w:sz w:val="24"/>
                <w:szCs w:val="24"/>
              </w:rPr>
            </w:pPr>
            <w:r w:rsidRPr="00300836">
              <w:rPr>
                <w:rFonts w:asciiTheme="minorHAnsi" w:hAnsiTheme="minorHAnsi"/>
                <w:b/>
                <w:sz w:val="24"/>
                <w:szCs w:val="24"/>
              </w:rPr>
              <w:lastRenderedPageBreak/>
              <w:t>Opportunities</w:t>
            </w:r>
          </w:p>
          <w:p w:rsidR="00B813E5" w:rsidRDefault="00B813E5" w:rsidP="00B813E5">
            <w:pPr>
              <w:pStyle w:val="normal0"/>
              <w:numPr>
                <w:ilvl w:val="0"/>
                <w:numId w:val="12"/>
              </w:numPr>
              <w:spacing w:line="360" w:lineRule="auto"/>
              <w:ind w:left="284" w:hanging="218"/>
              <w:jc w:val="both"/>
            </w:pPr>
            <w:r>
              <w:t>Expansion with merger and acquisitions. In 2018, it was eventually acquired by CVS Health to make it the largest health provide in the world.</w:t>
            </w:r>
          </w:p>
          <w:p w:rsidR="00B813E5" w:rsidRDefault="00B813E5" w:rsidP="00B813E5">
            <w:pPr>
              <w:pStyle w:val="normal0"/>
              <w:numPr>
                <w:ilvl w:val="0"/>
                <w:numId w:val="12"/>
              </w:numPr>
              <w:spacing w:line="360" w:lineRule="auto"/>
              <w:ind w:left="284" w:hanging="218"/>
              <w:jc w:val="both"/>
            </w:pPr>
            <w:r>
              <w:t xml:space="preserve">Ability to expand to other states of the United States of America. </w:t>
            </w:r>
          </w:p>
          <w:p w:rsidR="00300836" w:rsidRDefault="00300836" w:rsidP="00B813E5">
            <w:pPr>
              <w:pStyle w:val="normal0"/>
              <w:numPr>
                <w:ilvl w:val="0"/>
                <w:numId w:val="12"/>
              </w:numPr>
              <w:spacing w:line="360" w:lineRule="auto"/>
              <w:ind w:left="284" w:hanging="218"/>
              <w:jc w:val="both"/>
            </w:pPr>
            <w:r>
              <w:t>Ability to expand to new markets with new products and services.</w:t>
            </w:r>
          </w:p>
        </w:tc>
        <w:tc>
          <w:tcPr>
            <w:tcW w:w="4621" w:type="dxa"/>
          </w:tcPr>
          <w:p w:rsidR="00546939" w:rsidRPr="00300836" w:rsidRDefault="00546939" w:rsidP="00300836">
            <w:pPr>
              <w:pStyle w:val="normal0"/>
              <w:spacing w:line="360" w:lineRule="auto"/>
              <w:jc w:val="center"/>
              <w:rPr>
                <w:rFonts w:asciiTheme="minorHAnsi" w:hAnsiTheme="minorHAnsi"/>
                <w:b/>
                <w:sz w:val="24"/>
                <w:szCs w:val="24"/>
              </w:rPr>
            </w:pPr>
            <w:r w:rsidRPr="00300836">
              <w:rPr>
                <w:rFonts w:asciiTheme="minorHAnsi" w:hAnsiTheme="minorHAnsi"/>
                <w:b/>
                <w:sz w:val="24"/>
                <w:szCs w:val="24"/>
              </w:rPr>
              <w:t>Threats</w:t>
            </w:r>
          </w:p>
          <w:p w:rsidR="00B813E5" w:rsidRDefault="00B813E5" w:rsidP="00B813E5">
            <w:pPr>
              <w:pStyle w:val="normal0"/>
              <w:numPr>
                <w:ilvl w:val="0"/>
                <w:numId w:val="13"/>
              </w:numPr>
              <w:spacing w:line="360" w:lineRule="auto"/>
              <w:ind w:left="199" w:hanging="218"/>
              <w:jc w:val="both"/>
            </w:pPr>
            <w:r>
              <w:t>Strong competition considering the market is open to continuous innovation.</w:t>
            </w:r>
          </w:p>
          <w:p w:rsidR="00B813E5" w:rsidRDefault="00B813E5" w:rsidP="00B813E5">
            <w:pPr>
              <w:pStyle w:val="normal0"/>
              <w:numPr>
                <w:ilvl w:val="0"/>
                <w:numId w:val="13"/>
              </w:numPr>
              <w:spacing w:line="360" w:lineRule="auto"/>
              <w:ind w:left="199" w:hanging="218"/>
              <w:jc w:val="both"/>
            </w:pPr>
            <w:r>
              <w:t>Government intervention.</w:t>
            </w:r>
          </w:p>
          <w:p w:rsidR="00300836" w:rsidRDefault="00300836" w:rsidP="00B813E5">
            <w:pPr>
              <w:pStyle w:val="normal0"/>
              <w:numPr>
                <w:ilvl w:val="0"/>
                <w:numId w:val="13"/>
              </w:numPr>
              <w:spacing w:line="360" w:lineRule="auto"/>
              <w:ind w:left="199" w:hanging="218"/>
              <w:jc w:val="both"/>
            </w:pPr>
            <w:r>
              <w:t>Changing demographics and customer needs.</w:t>
            </w:r>
          </w:p>
        </w:tc>
      </w:tr>
    </w:tbl>
    <w:p w:rsidR="00300836" w:rsidRDefault="00300836" w:rsidP="0088209D">
      <w:pPr>
        <w:pStyle w:val="normal0"/>
        <w:spacing w:line="360" w:lineRule="auto"/>
        <w:jc w:val="both"/>
      </w:pPr>
      <w:r w:rsidRPr="00300836">
        <w:rPr>
          <w:b/>
        </w:rPr>
        <w:t>SOURCE:</w:t>
      </w:r>
      <w:r>
        <w:t xml:space="preserve"> Own analysis</w:t>
      </w:r>
      <w:r w:rsidR="009E2F85">
        <w:t>.</w:t>
      </w:r>
    </w:p>
    <w:p w:rsidR="00300836" w:rsidRDefault="00300836" w:rsidP="0088209D">
      <w:pPr>
        <w:pStyle w:val="normal0"/>
        <w:spacing w:line="360" w:lineRule="auto"/>
        <w:jc w:val="both"/>
      </w:pPr>
    </w:p>
    <w:p w:rsidR="007A7AD6" w:rsidRDefault="00300836" w:rsidP="0088209D">
      <w:pPr>
        <w:pStyle w:val="normal0"/>
        <w:spacing w:line="360" w:lineRule="auto"/>
        <w:jc w:val="both"/>
      </w:pPr>
      <w:r>
        <w:t xml:space="preserve">Of the four segments of the SWOT analysis, the strengths and weaknesses are truly regarded as internal factors while the opportunity and threats are somewhat external to the company. </w:t>
      </w:r>
      <w:r w:rsidR="00505EB1">
        <w:t>The factors that are completely external are usually analysed with PESTLE and Porter’s five forces for a better understanding of the situation. The Political, Economic, Social, T</w:t>
      </w:r>
      <w:r w:rsidR="007A7AD6">
        <w:t>echnological, Legal and E</w:t>
      </w:r>
      <w:r w:rsidR="009815C1">
        <w:t>nvironmental</w:t>
      </w:r>
      <w:r w:rsidR="00505EB1">
        <w:t xml:space="preserve"> (PESTLE) analysis or any of its modern-day variants; STEEPLE, PESLIED, SLEPT, is regarded as a macro-external environmental analysis tool while the Porter’s five forces tool is regarded as the micro-external environmental analysis tool (</w:t>
      </w:r>
      <w:r w:rsidR="00505EB1" w:rsidRPr="00B27C6D">
        <w:rPr>
          <w:noProof/>
        </w:rPr>
        <w:t>Gerry, et al.,</w:t>
      </w:r>
      <w:r w:rsidR="00505EB1">
        <w:t xml:space="preserve"> </w:t>
      </w:r>
      <w:r w:rsidR="00505EB1">
        <w:rPr>
          <w:noProof/>
        </w:rPr>
        <w:t>2008; Stancey, 2007</w:t>
      </w:r>
      <w:r w:rsidR="00505EB1">
        <w:t xml:space="preserve">). The latter tool is the industry analysis tool. </w:t>
      </w:r>
      <w:r w:rsidR="007A7AD6">
        <w:t>Both PESTLE and Porter’s five forces analyses are found below thus:</w:t>
      </w:r>
    </w:p>
    <w:p w:rsidR="007A7AD6" w:rsidRDefault="007A7AD6" w:rsidP="0088209D">
      <w:pPr>
        <w:pStyle w:val="normal0"/>
        <w:spacing w:line="360" w:lineRule="auto"/>
        <w:jc w:val="both"/>
      </w:pPr>
    </w:p>
    <w:p w:rsidR="002A7CF0" w:rsidRDefault="002A7CF0" w:rsidP="0088209D">
      <w:pPr>
        <w:pStyle w:val="normal0"/>
        <w:spacing w:line="360" w:lineRule="auto"/>
        <w:jc w:val="both"/>
      </w:pPr>
    </w:p>
    <w:p w:rsidR="007A7AD6" w:rsidRPr="00856A95" w:rsidRDefault="00856A95" w:rsidP="00856A95">
      <w:pPr>
        <w:pStyle w:val="Caption"/>
        <w:keepNext/>
        <w:jc w:val="both"/>
        <w:rPr>
          <w:sz w:val="24"/>
          <w:szCs w:val="24"/>
        </w:rPr>
      </w:pPr>
      <w:bookmarkStart w:id="54" w:name="_Toc534681871"/>
      <w:r w:rsidRPr="00856A95">
        <w:rPr>
          <w:sz w:val="24"/>
          <w:szCs w:val="24"/>
        </w:rPr>
        <w:t xml:space="preserve">Table </w:t>
      </w:r>
      <w:r w:rsidRPr="00856A95">
        <w:rPr>
          <w:sz w:val="24"/>
          <w:szCs w:val="24"/>
        </w:rPr>
        <w:fldChar w:fldCharType="begin"/>
      </w:r>
      <w:r w:rsidRPr="00856A95">
        <w:rPr>
          <w:sz w:val="24"/>
          <w:szCs w:val="24"/>
        </w:rPr>
        <w:instrText xml:space="preserve"> SEQ Table \* ARABIC </w:instrText>
      </w:r>
      <w:r w:rsidRPr="00856A95">
        <w:rPr>
          <w:sz w:val="24"/>
          <w:szCs w:val="24"/>
        </w:rPr>
        <w:fldChar w:fldCharType="separate"/>
      </w:r>
      <w:r>
        <w:rPr>
          <w:noProof/>
          <w:sz w:val="24"/>
          <w:szCs w:val="24"/>
        </w:rPr>
        <w:t>6</w:t>
      </w:r>
      <w:r w:rsidRPr="00856A95">
        <w:rPr>
          <w:sz w:val="24"/>
          <w:szCs w:val="24"/>
        </w:rPr>
        <w:fldChar w:fldCharType="end"/>
      </w:r>
      <w:r w:rsidRPr="00856A95">
        <w:rPr>
          <w:sz w:val="24"/>
          <w:szCs w:val="24"/>
        </w:rPr>
        <w:t>: PESTLE Analysis of Aetna Inc</w:t>
      </w:r>
      <w:bookmarkEnd w:id="54"/>
    </w:p>
    <w:tbl>
      <w:tblPr>
        <w:tblStyle w:val="TableGrid"/>
        <w:tblW w:w="0" w:type="auto"/>
        <w:tblLook w:val="04A0"/>
      </w:tblPr>
      <w:tblGrid>
        <w:gridCol w:w="2093"/>
        <w:gridCol w:w="7149"/>
      </w:tblGrid>
      <w:tr w:rsidR="007A7AD6" w:rsidRPr="007A7AD6" w:rsidTr="00D72BB5">
        <w:tc>
          <w:tcPr>
            <w:tcW w:w="9242" w:type="dxa"/>
            <w:gridSpan w:val="2"/>
          </w:tcPr>
          <w:p w:rsidR="007A7AD6" w:rsidRPr="007A7AD6" w:rsidRDefault="007A7AD6" w:rsidP="007A7AD6">
            <w:pPr>
              <w:pStyle w:val="normal0"/>
              <w:spacing w:line="360" w:lineRule="auto"/>
              <w:jc w:val="center"/>
              <w:rPr>
                <w:rFonts w:asciiTheme="minorHAnsi" w:hAnsiTheme="minorHAnsi"/>
                <w:b/>
                <w:sz w:val="28"/>
                <w:szCs w:val="28"/>
              </w:rPr>
            </w:pPr>
            <w:r w:rsidRPr="007A7AD6">
              <w:rPr>
                <w:rFonts w:asciiTheme="minorHAnsi" w:hAnsiTheme="minorHAnsi"/>
                <w:b/>
                <w:sz w:val="28"/>
                <w:szCs w:val="28"/>
              </w:rPr>
              <w:t>PESTLE</w:t>
            </w:r>
            <w:r w:rsidR="00B24CA4">
              <w:rPr>
                <w:rFonts w:asciiTheme="minorHAnsi" w:hAnsiTheme="minorHAnsi"/>
                <w:b/>
                <w:sz w:val="28"/>
                <w:szCs w:val="28"/>
              </w:rPr>
              <w:t xml:space="preserve"> ANALYSIS</w:t>
            </w:r>
            <w:r w:rsidR="00B24CA4">
              <w:rPr>
                <w:rFonts w:asciiTheme="minorHAnsi" w:hAnsiTheme="minorHAnsi"/>
                <w:b/>
                <w:sz w:val="28"/>
                <w:szCs w:val="28"/>
              </w:rPr>
              <w:br/>
            </w:r>
            <w:r w:rsidR="00B24CA4">
              <w:rPr>
                <w:rFonts w:asciiTheme="majorHAnsi" w:hAnsiTheme="majorHAnsi"/>
                <w:b/>
                <w:sz w:val="24"/>
                <w:szCs w:val="24"/>
              </w:rPr>
              <w:t xml:space="preserve">(A </w:t>
            </w:r>
            <w:r w:rsidR="00B24CA4" w:rsidRPr="00B24CA4">
              <w:rPr>
                <w:rFonts w:asciiTheme="majorHAnsi" w:hAnsiTheme="majorHAnsi"/>
                <w:b/>
                <w:sz w:val="24"/>
                <w:szCs w:val="24"/>
              </w:rPr>
              <w:t>Macro-External Environmental Analysis</w:t>
            </w:r>
            <w:r w:rsidR="00B24CA4">
              <w:rPr>
                <w:rFonts w:asciiTheme="majorHAnsi" w:hAnsiTheme="majorHAnsi"/>
                <w:b/>
                <w:sz w:val="24"/>
                <w:szCs w:val="24"/>
              </w:rPr>
              <w:t xml:space="preserve"> Tool)</w:t>
            </w:r>
          </w:p>
        </w:tc>
      </w:tr>
      <w:tr w:rsidR="007A7AD6" w:rsidTr="007A7AD6">
        <w:tc>
          <w:tcPr>
            <w:tcW w:w="2093" w:type="dxa"/>
          </w:tcPr>
          <w:p w:rsidR="007A7AD6" w:rsidRPr="007A7AD6" w:rsidRDefault="007A7AD6" w:rsidP="00B24CA4">
            <w:pPr>
              <w:pStyle w:val="normal0"/>
              <w:spacing w:line="360" w:lineRule="auto"/>
              <w:jc w:val="both"/>
              <w:rPr>
                <w:rFonts w:asciiTheme="minorHAnsi" w:hAnsiTheme="minorHAnsi"/>
                <w:b/>
                <w:sz w:val="24"/>
                <w:szCs w:val="24"/>
              </w:rPr>
            </w:pPr>
            <w:r w:rsidRPr="007A7AD6">
              <w:rPr>
                <w:rFonts w:asciiTheme="minorHAnsi" w:hAnsiTheme="minorHAnsi"/>
                <w:b/>
                <w:sz w:val="24"/>
                <w:szCs w:val="24"/>
              </w:rPr>
              <w:lastRenderedPageBreak/>
              <w:t>Political</w:t>
            </w:r>
            <w:r>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B25919" w:rsidRDefault="00B24CA4" w:rsidP="007A7AD6">
            <w:pPr>
              <w:pStyle w:val="normal0"/>
              <w:numPr>
                <w:ilvl w:val="0"/>
                <w:numId w:val="14"/>
              </w:numPr>
              <w:spacing w:line="360" w:lineRule="auto"/>
              <w:ind w:left="317"/>
              <w:jc w:val="both"/>
            </w:pPr>
            <w:r>
              <w:t xml:space="preserve">Level of political stability in recent years. </w:t>
            </w:r>
            <w:r w:rsidR="00B25919">
              <w:t xml:space="preserve">With successive governments not coming from the same party and </w:t>
            </w:r>
            <w:r w:rsidR="002A7CF0">
              <w:t xml:space="preserve">successor </w:t>
            </w:r>
            <w:r w:rsidR="00B25919">
              <w:t xml:space="preserve">trying to reform </w:t>
            </w:r>
            <w:r w:rsidR="002A7CF0">
              <w:t xml:space="preserve">predecessor’s work especially in </w:t>
            </w:r>
            <w:r w:rsidR="00B25919">
              <w:t>the health sector. The sector is becoming more and more volatile.</w:t>
            </w:r>
          </w:p>
          <w:p w:rsidR="00B25919" w:rsidRDefault="00B25919" w:rsidP="007A7AD6">
            <w:pPr>
              <w:pStyle w:val="normal0"/>
              <w:numPr>
                <w:ilvl w:val="0"/>
                <w:numId w:val="14"/>
              </w:numPr>
              <w:spacing w:line="360" w:lineRule="auto"/>
              <w:ind w:left="317"/>
              <w:jc w:val="both"/>
            </w:pPr>
            <w:r>
              <w:t>The laws being enacted and enforced based on the aforementioned point in number 1.</w:t>
            </w:r>
          </w:p>
          <w:p w:rsidR="007A7AD6" w:rsidRDefault="00B25919" w:rsidP="007A7AD6">
            <w:pPr>
              <w:pStyle w:val="normal0"/>
              <w:numPr>
                <w:ilvl w:val="0"/>
                <w:numId w:val="14"/>
              </w:numPr>
              <w:spacing w:line="360" w:lineRule="auto"/>
              <w:ind w:left="317"/>
              <w:jc w:val="both"/>
            </w:pPr>
            <w:r>
              <w:t xml:space="preserve"> </w:t>
            </w:r>
            <w:r w:rsidR="001D0885">
              <w:t>The constant trade barriers being enacted by the governments might affect and harm people from those countries. In recent times, barriers have been enacted on trade with China. This might affect potential partnership with that country as with the customers who have roots in China because of the uncertainty.</w:t>
            </w:r>
          </w:p>
          <w:p w:rsidR="00A62F78" w:rsidRDefault="00A62F78" w:rsidP="007A7AD6">
            <w:pPr>
              <w:pStyle w:val="normal0"/>
              <w:numPr>
                <w:ilvl w:val="0"/>
                <w:numId w:val="14"/>
              </w:numPr>
              <w:spacing w:line="360" w:lineRule="auto"/>
              <w:ind w:left="317"/>
              <w:jc w:val="both"/>
            </w:pPr>
            <w:r>
              <w:t>Others include high level of taxation, setting of minimum wage by the government and protection of intellectual property across international borders among others.</w:t>
            </w:r>
          </w:p>
        </w:tc>
      </w:tr>
      <w:tr w:rsidR="007A7AD6" w:rsidTr="007A7AD6">
        <w:tc>
          <w:tcPr>
            <w:tcW w:w="2093" w:type="dxa"/>
          </w:tcPr>
          <w:p w:rsidR="007A7AD6" w:rsidRPr="007A7AD6" w:rsidRDefault="007A7AD6" w:rsidP="0088209D">
            <w:pPr>
              <w:pStyle w:val="normal0"/>
              <w:spacing w:line="360" w:lineRule="auto"/>
              <w:jc w:val="both"/>
              <w:rPr>
                <w:rFonts w:asciiTheme="minorHAnsi" w:hAnsiTheme="minorHAnsi"/>
                <w:b/>
                <w:sz w:val="24"/>
                <w:szCs w:val="24"/>
              </w:rPr>
            </w:pPr>
            <w:r w:rsidRPr="007A7AD6">
              <w:rPr>
                <w:rFonts w:asciiTheme="minorHAnsi" w:hAnsiTheme="minorHAnsi"/>
                <w:b/>
                <w:sz w:val="24"/>
                <w:szCs w:val="24"/>
              </w:rPr>
              <w:t>Economic</w:t>
            </w:r>
            <w:r>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A62F78" w:rsidRDefault="00A62F78" w:rsidP="00A62F78">
            <w:pPr>
              <w:pStyle w:val="normal0"/>
              <w:numPr>
                <w:ilvl w:val="0"/>
                <w:numId w:val="15"/>
              </w:numPr>
              <w:spacing w:line="360" w:lineRule="auto"/>
              <w:ind w:left="317"/>
              <w:jc w:val="both"/>
            </w:pPr>
            <w:r>
              <w:t>While the present day GDP growth in the country is good, the 2008-2009 wasn’t so good. It just left a global recession and as such affected by it.</w:t>
            </w:r>
          </w:p>
          <w:p w:rsidR="00A62F78" w:rsidRDefault="00A62F78" w:rsidP="00A62F78">
            <w:pPr>
              <w:pStyle w:val="normal0"/>
              <w:numPr>
                <w:ilvl w:val="0"/>
                <w:numId w:val="15"/>
              </w:numPr>
              <w:spacing w:line="360" w:lineRule="auto"/>
              <w:ind w:left="317"/>
              <w:jc w:val="both"/>
            </w:pPr>
            <w:r>
              <w:t xml:space="preserve">Unemployment level. Again, unemployment seems good now but this was not the case then as many people were laid off during </w:t>
            </w:r>
            <w:r w:rsidR="00010394">
              <w:t>that period</w:t>
            </w:r>
            <w:r>
              <w:t xml:space="preserve"> as companies went lean on resources and operations.</w:t>
            </w:r>
          </w:p>
          <w:p w:rsidR="007A7AD6" w:rsidRDefault="006348FA" w:rsidP="00A62F78">
            <w:pPr>
              <w:pStyle w:val="normal0"/>
              <w:numPr>
                <w:ilvl w:val="0"/>
                <w:numId w:val="15"/>
              </w:numPr>
              <w:spacing w:line="360" w:lineRule="auto"/>
              <w:ind w:left="317"/>
              <w:jc w:val="both"/>
            </w:pPr>
            <w:r>
              <w:t>Others are the exchange rate, the financial markets</w:t>
            </w:r>
            <w:r w:rsidR="00520105">
              <w:t xml:space="preserve"> which is poor and</w:t>
            </w:r>
            <w:r>
              <w:t xml:space="preserve"> </w:t>
            </w:r>
            <w:r w:rsidR="00520105">
              <w:t>interest rate among others.</w:t>
            </w:r>
          </w:p>
        </w:tc>
      </w:tr>
      <w:tr w:rsidR="007A7AD6" w:rsidTr="007A7AD6">
        <w:tc>
          <w:tcPr>
            <w:tcW w:w="2093" w:type="dxa"/>
          </w:tcPr>
          <w:p w:rsidR="007A7AD6" w:rsidRPr="007A7AD6" w:rsidRDefault="007A7AD6" w:rsidP="0088209D">
            <w:pPr>
              <w:pStyle w:val="normal0"/>
              <w:spacing w:line="360" w:lineRule="auto"/>
              <w:jc w:val="both"/>
              <w:rPr>
                <w:rFonts w:asciiTheme="minorHAnsi" w:hAnsiTheme="minorHAnsi"/>
                <w:b/>
                <w:sz w:val="24"/>
                <w:szCs w:val="24"/>
              </w:rPr>
            </w:pPr>
            <w:r w:rsidRPr="007A7AD6">
              <w:rPr>
                <w:rFonts w:asciiTheme="minorHAnsi" w:hAnsiTheme="minorHAnsi"/>
                <w:b/>
                <w:sz w:val="24"/>
                <w:szCs w:val="24"/>
              </w:rPr>
              <w:t>Social</w:t>
            </w:r>
            <w:r>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7A7AD6" w:rsidRDefault="00010394" w:rsidP="00010394">
            <w:pPr>
              <w:pStyle w:val="normal0"/>
              <w:numPr>
                <w:ilvl w:val="0"/>
                <w:numId w:val="16"/>
              </w:numPr>
              <w:spacing w:line="360" w:lineRule="auto"/>
              <w:ind w:left="317"/>
              <w:jc w:val="both"/>
            </w:pPr>
            <w:r>
              <w:t xml:space="preserve">Perhaps the most important here is the changing demographics. The US Census Board projected that the minorities would become the majority by 2045. There is a huge implication for these changing demographics. </w:t>
            </w:r>
          </w:p>
          <w:p w:rsidR="00010394" w:rsidRDefault="00010394" w:rsidP="00010394">
            <w:pPr>
              <w:pStyle w:val="normal0"/>
              <w:numPr>
                <w:ilvl w:val="0"/>
                <w:numId w:val="16"/>
              </w:numPr>
              <w:spacing w:line="360" w:lineRule="auto"/>
              <w:ind w:left="317"/>
              <w:jc w:val="both"/>
            </w:pPr>
            <w:r>
              <w:t>Class distribution is very apparent in the United States, the primary market for Aetna. With this changing demographics, this is even more important and would be explained later.</w:t>
            </w:r>
          </w:p>
        </w:tc>
      </w:tr>
      <w:tr w:rsidR="007A7AD6" w:rsidTr="007A7AD6">
        <w:tc>
          <w:tcPr>
            <w:tcW w:w="2093" w:type="dxa"/>
          </w:tcPr>
          <w:p w:rsidR="007A7AD6" w:rsidRPr="007A7AD6" w:rsidRDefault="007A7AD6" w:rsidP="0088209D">
            <w:pPr>
              <w:pStyle w:val="normal0"/>
              <w:spacing w:line="360" w:lineRule="auto"/>
              <w:jc w:val="both"/>
              <w:rPr>
                <w:rFonts w:asciiTheme="minorHAnsi" w:hAnsiTheme="minorHAnsi"/>
                <w:b/>
                <w:sz w:val="24"/>
                <w:szCs w:val="24"/>
              </w:rPr>
            </w:pPr>
            <w:r w:rsidRPr="007A7AD6">
              <w:rPr>
                <w:rFonts w:asciiTheme="minorHAnsi" w:hAnsiTheme="minorHAnsi"/>
                <w:b/>
                <w:sz w:val="24"/>
                <w:szCs w:val="24"/>
              </w:rPr>
              <w:t>Technological</w:t>
            </w:r>
            <w:r>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7A7AD6" w:rsidRDefault="00010394" w:rsidP="00010394">
            <w:pPr>
              <w:pStyle w:val="normal0"/>
              <w:numPr>
                <w:ilvl w:val="0"/>
                <w:numId w:val="17"/>
              </w:numPr>
              <w:spacing w:line="360" w:lineRule="auto"/>
              <w:ind w:left="317"/>
              <w:jc w:val="both"/>
            </w:pPr>
            <w:r>
              <w:t>Technological developments and disruption that can be made by competitors could be harmful to Aetna. When Amazon and Berkshire announced their investiture into healthcare, all publicly traded health companies lost a lot of value within hou</w:t>
            </w:r>
            <w:r w:rsidR="009815C1">
              <w:t>rs of the an</w:t>
            </w:r>
            <w:r>
              <w:t xml:space="preserve">nouncement. Aetna itself lost 2% under three hours. </w:t>
            </w:r>
          </w:p>
          <w:p w:rsidR="00010394" w:rsidRDefault="00010394" w:rsidP="00010394">
            <w:pPr>
              <w:pStyle w:val="normal0"/>
              <w:numPr>
                <w:ilvl w:val="0"/>
                <w:numId w:val="17"/>
              </w:numPr>
              <w:spacing w:line="360" w:lineRule="auto"/>
              <w:ind w:left="317"/>
              <w:jc w:val="both"/>
            </w:pPr>
            <w:r>
              <w:t xml:space="preserve">Level of technology diffusion in recent time is huge. With the invention of augmented reality and machine learning which is diffusing very fast, helth </w:t>
            </w:r>
            <w:r>
              <w:lastRenderedPageBreak/>
              <w:t xml:space="preserve">care might be disrupted in the not-so-long future. </w:t>
            </w:r>
          </w:p>
        </w:tc>
      </w:tr>
      <w:tr w:rsidR="007A7AD6" w:rsidTr="007A7AD6">
        <w:tc>
          <w:tcPr>
            <w:tcW w:w="2093" w:type="dxa"/>
          </w:tcPr>
          <w:p w:rsidR="007A7AD6" w:rsidRPr="007A7AD6" w:rsidRDefault="007A7AD6" w:rsidP="0088209D">
            <w:pPr>
              <w:pStyle w:val="normal0"/>
              <w:spacing w:line="360" w:lineRule="auto"/>
              <w:jc w:val="both"/>
              <w:rPr>
                <w:rFonts w:asciiTheme="minorHAnsi" w:hAnsiTheme="minorHAnsi"/>
                <w:b/>
                <w:sz w:val="24"/>
                <w:szCs w:val="24"/>
              </w:rPr>
            </w:pPr>
            <w:r w:rsidRPr="007A7AD6">
              <w:rPr>
                <w:rFonts w:asciiTheme="minorHAnsi" w:hAnsiTheme="minorHAnsi"/>
                <w:b/>
                <w:sz w:val="24"/>
                <w:szCs w:val="24"/>
              </w:rPr>
              <w:lastRenderedPageBreak/>
              <w:t>Legal</w:t>
            </w:r>
            <w:r>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7A7AD6" w:rsidRDefault="009815C1" w:rsidP="009815C1">
            <w:pPr>
              <w:pStyle w:val="normal0"/>
              <w:numPr>
                <w:ilvl w:val="0"/>
                <w:numId w:val="19"/>
              </w:numPr>
              <w:spacing w:line="360" w:lineRule="auto"/>
              <w:ind w:left="317"/>
              <w:jc w:val="both"/>
            </w:pPr>
            <w:r>
              <w:t>Discrimination laws enacted by the government to allow the state see to social justice.</w:t>
            </w:r>
          </w:p>
          <w:p w:rsidR="009815C1" w:rsidRDefault="009815C1" w:rsidP="009815C1">
            <w:pPr>
              <w:pStyle w:val="normal0"/>
              <w:numPr>
                <w:ilvl w:val="0"/>
                <w:numId w:val="19"/>
              </w:numPr>
              <w:spacing w:line="360" w:lineRule="auto"/>
              <w:ind w:left="317"/>
              <w:jc w:val="both"/>
            </w:pPr>
            <w:r>
              <w:t>Intellectual property laws as explained in the political factors.</w:t>
            </w:r>
          </w:p>
          <w:p w:rsidR="009815C1" w:rsidRDefault="009815C1" w:rsidP="009815C1">
            <w:pPr>
              <w:pStyle w:val="normal0"/>
              <w:numPr>
                <w:ilvl w:val="0"/>
                <w:numId w:val="19"/>
              </w:numPr>
              <w:spacing w:line="360" w:lineRule="auto"/>
              <w:ind w:left="317"/>
              <w:jc w:val="both"/>
            </w:pPr>
            <w:r>
              <w:t>Implementing all health and safety laws could be very expensive.</w:t>
            </w:r>
          </w:p>
          <w:p w:rsidR="009815C1" w:rsidRDefault="009815C1" w:rsidP="009815C1">
            <w:pPr>
              <w:pStyle w:val="normal0"/>
              <w:numPr>
                <w:ilvl w:val="0"/>
                <w:numId w:val="19"/>
              </w:numPr>
              <w:spacing w:line="360" w:lineRule="auto"/>
              <w:ind w:left="317"/>
              <w:jc w:val="both"/>
            </w:pPr>
            <w:r>
              <w:t>Laws to keep some products under reasonable price.</w:t>
            </w:r>
          </w:p>
        </w:tc>
      </w:tr>
      <w:tr w:rsidR="007A7AD6" w:rsidTr="007A7AD6">
        <w:tc>
          <w:tcPr>
            <w:tcW w:w="2093" w:type="dxa"/>
          </w:tcPr>
          <w:p w:rsidR="007A7AD6" w:rsidRPr="007A7AD6" w:rsidRDefault="00010394" w:rsidP="0088209D">
            <w:pPr>
              <w:pStyle w:val="normal0"/>
              <w:spacing w:line="360" w:lineRule="auto"/>
              <w:jc w:val="both"/>
              <w:rPr>
                <w:rFonts w:asciiTheme="minorHAnsi" w:hAnsiTheme="minorHAnsi"/>
                <w:b/>
                <w:sz w:val="24"/>
                <w:szCs w:val="24"/>
              </w:rPr>
            </w:pPr>
            <w:r>
              <w:rPr>
                <w:rFonts w:asciiTheme="minorHAnsi" w:hAnsiTheme="minorHAnsi"/>
                <w:b/>
                <w:sz w:val="24"/>
                <w:szCs w:val="24"/>
              </w:rPr>
              <w:t>Environmental</w:t>
            </w:r>
            <w:r w:rsidR="007A7AD6">
              <w:rPr>
                <w:rFonts w:asciiTheme="minorHAnsi" w:hAnsiTheme="minorHAnsi"/>
                <w:b/>
                <w:sz w:val="24"/>
                <w:szCs w:val="24"/>
              </w:rPr>
              <w:t xml:space="preserve"> </w:t>
            </w:r>
            <w:r w:rsidR="00B24CA4">
              <w:rPr>
                <w:rFonts w:asciiTheme="minorHAnsi" w:hAnsiTheme="minorHAnsi"/>
                <w:b/>
                <w:sz w:val="24"/>
                <w:szCs w:val="24"/>
              </w:rPr>
              <w:t>Factors</w:t>
            </w:r>
          </w:p>
        </w:tc>
        <w:tc>
          <w:tcPr>
            <w:tcW w:w="7149" w:type="dxa"/>
          </w:tcPr>
          <w:p w:rsidR="007A7AD6" w:rsidRDefault="00010394" w:rsidP="00010394">
            <w:pPr>
              <w:pStyle w:val="normal0"/>
              <w:numPr>
                <w:ilvl w:val="0"/>
                <w:numId w:val="18"/>
              </w:numPr>
              <w:spacing w:line="360" w:lineRule="auto"/>
              <w:ind w:left="317"/>
              <w:jc w:val="both"/>
            </w:pPr>
            <w:r>
              <w:t xml:space="preserve">Recent harsh weather conditions and environmental hazards can cause </w:t>
            </w:r>
            <w:r w:rsidR="009815C1">
              <w:t xml:space="preserve">transportation of resources difficult.  </w:t>
            </w:r>
          </w:p>
        </w:tc>
      </w:tr>
    </w:tbl>
    <w:p w:rsidR="00300836" w:rsidRDefault="00505EB1" w:rsidP="0088209D">
      <w:pPr>
        <w:pStyle w:val="normal0"/>
        <w:spacing w:line="360" w:lineRule="auto"/>
        <w:jc w:val="both"/>
      </w:pPr>
      <w:r>
        <w:t xml:space="preserve">   </w:t>
      </w:r>
      <w:r w:rsidR="00300836">
        <w:t xml:space="preserve"> </w:t>
      </w:r>
      <w:r w:rsidR="00263760">
        <w:t xml:space="preserve">  </w:t>
      </w:r>
      <w:r w:rsidR="00856A95" w:rsidRPr="00300836">
        <w:rPr>
          <w:b/>
        </w:rPr>
        <w:t>SOURCE:</w:t>
      </w:r>
      <w:r w:rsidR="00856A95">
        <w:t xml:space="preserve"> Own analysis</w:t>
      </w:r>
      <w:r w:rsidR="009E2F85">
        <w:t>.</w:t>
      </w:r>
    </w:p>
    <w:p w:rsidR="00856A95" w:rsidRDefault="00856A95" w:rsidP="0088209D">
      <w:pPr>
        <w:pStyle w:val="normal0"/>
        <w:spacing w:line="360" w:lineRule="auto"/>
        <w:jc w:val="both"/>
      </w:pPr>
    </w:p>
    <w:p w:rsidR="00300836" w:rsidRPr="00856A95" w:rsidRDefault="00856A95" w:rsidP="00856A95">
      <w:pPr>
        <w:pStyle w:val="Caption"/>
        <w:rPr>
          <w:sz w:val="22"/>
        </w:rPr>
      </w:pPr>
      <w:bookmarkStart w:id="55" w:name="_Toc534681872"/>
      <w:r w:rsidRPr="00856A95">
        <w:rPr>
          <w:sz w:val="22"/>
        </w:rPr>
        <w:t xml:space="preserve">Table </w:t>
      </w:r>
      <w:r w:rsidRPr="00856A95">
        <w:rPr>
          <w:sz w:val="22"/>
        </w:rPr>
        <w:fldChar w:fldCharType="begin"/>
      </w:r>
      <w:r w:rsidRPr="00856A95">
        <w:rPr>
          <w:sz w:val="22"/>
        </w:rPr>
        <w:instrText xml:space="preserve"> SEQ Table \* ARABIC </w:instrText>
      </w:r>
      <w:r w:rsidRPr="00856A95">
        <w:rPr>
          <w:sz w:val="22"/>
        </w:rPr>
        <w:fldChar w:fldCharType="separate"/>
      </w:r>
      <w:r w:rsidRPr="00856A95">
        <w:rPr>
          <w:noProof/>
          <w:sz w:val="22"/>
        </w:rPr>
        <w:t>7</w:t>
      </w:r>
      <w:r w:rsidRPr="00856A95">
        <w:rPr>
          <w:sz w:val="22"/>
        </w:rPr>
        <w:fldChar w:fldCharType="end"/>
      </w:r>
      <w:r w:rsidRPr="00856A95">
        <w:rPr>
          <w:sz w:val="22"/>
        </w:rPr>
        <w:t>: Porter's Five Forces Analysis iof Aetna</w:t>
      </w:r>
      <w:bookmarkEnd w:id="55"/>
    </w:p>
    <w:tbl>
      <w:tblPr>
        <w:tblStyle w:val="TableGrid"/>
        <w:tblW w:w="0" w:type="auto"/>
        <w:tblLook w:val="04A0"/>
      </w:tblPr>
      <w:tblGrid>
        <w:gridCol w:w="2093"/>
        <w:gridCol w:w="1328"/>
        <w:gridCol w:w="5821"/>
      </w:tblGrid>
      <w:tr w:rsidR="00B24CA4" w:rsidRPr="007A7AD6" w:rsidTr="00D72BB5">
        <w:tc>
          <w:tcPr>
            <w:tcW w:w="9242" w:type="dxa"/>
            <w:gridSpan w:val="3"/>
          </w:tcPr>
          <w:p w:rsidR="00B24CA4" w:rsidRDefault="00B24CA4" w:rsidP="00D72BB5">
            <w:pPr>
              <w:pStyle w:val="normal0"/>
              <w:spacing w:line="360" w:lineRule="auto"/>
              <w:jc w:val="center"/>
              <w:rPr>
                <w:rFonts w:asciiTheme="minorHAnsi" w:hAnsiTheme="minorHAnsi"/>
                <w:b/>
                <w:sz w:val="28"/>
                <w:szCs w:val="28"/>
              </w:rPr>
            </w:pPr>
            <w:r>
              <w:rPr>
                <w:rFonts w:asciiTheme="minorHAnsi" w:hAnsiTheme="minorHAnsi"/>
                <w:b/>
                <w:sz w:val="28"/>
                <w:szCs w:val="28"/>
              </w:rPr>
              <w:t>PORTER’S FIVE FORCES ANALYSIS</w:t>
            </w:r>
          </w:p>
          <w:p w:rsidR="00B24CA4" w:rsidRPr="007A7AD6" w:rsidRDefault="00B24CA4" w:rsidP="00D72BB5">
            <w:pPr>
              <w:pStyle w:val="normal0"/>
              <w:spacing w:line="360" w:lineRule="auto"/>
              <w:jc w:val="center"/>
              <w:rPr>
                <w:rFonts w:asciiTheme="minorHAnsi" w:hAnsiTheme="minorHAnsi"/>
                <w:b/>
                <w:sz w:val="28"/>
                <w:szCs w:val="28"/>
              </w:rPr>
            </w:pPr>
            <w:r>
              <w:rPr>
                <w:rFonts w:asciiTheme="majorHAnsi" w:hAnsiTheme="majorHAnsi"/>
                <w:b/>
                <w:sz w:val="24"/>
                <w:szCs w:val="24"/>
              </w:rPr>
              <w:t>(A Mi</w:t>
            </w:r>
            <w:r w:rsidRPr="00B24CA4">
              <w:rPr>
                <w:rFonts w:asciiTheme="majorHAnsi" w:hAnsiTheme="majorHAnsi"/>
                <w:b/>
                <w:sz w:val="24"/>
                <w:szCs w:val="24"/>
              </w:rPr>
              <w:t>cro-External Environmental Analysis</w:t>
            </w:r>
            <w:r>
              <w:rPr>
                <w:rFonts w:asciiTheme="majorHAnsi" w:hAnsiTheme="majorHAnsi"/>
                <w:b/>
                <w:sz w:val="24"/>
                <w:szCs w:val="24"/>
              </w:rPr>
              <w:t xml:space="preserve"> Tool – Industry Review)</w:t>
            </w:r>
          </w:p>
        </w:tc>
      </w:tr>
      <w:tr w:rsidR="001E2921" w:rsidRPr="001E2921" w:rsidTr="00D72BB5">
        <w:tc>
          <w:tcPr>
            <w:tcW w:w="2093" w:type="dxa"/>
          </w:tcPr>
          <w:p w:rsidR="001E2921" w:rsidRPr="001E2921" w:rsidRDefault="001E2921" w:rsidP="00D72BB5">
            <w:pPr>
              <w:pStyle w:val="normal0"/>
              <w:spacing w:line="360" w:lineRule="auto"/>
              <w:jc w:val="both"/>
              <w:rPr>
                <w:rFonts w:asciiTheme="minorHAnsi" w:hAnsiTheme="minorHAnsi"/>
                <w:b/>
                <w:color w:val="404040" w:themeColor="text1" w:themeTint="BF"/>
                <w:sz w:val="24"/>
                <w:szCs w:val="24"/>
              </w:rPr>
            </w:pPr>
            <w:r w:rsidRPr="001E2921">
              <w:rPr>
                <w:rFonts w:asciiTheme="minorHAnsi" w:hAnsiTheme="minorHAnsi"/>
                <w:b/>
                <w:color w:val="404040" w:themeColor="text1" w:themeTint="BF"/>
                <w:sz w:val="24"/>
                <w:szCs w:val="24"/>
              </w:rPr>
              <w:t>FORCE</w:t>
            </w:r>
          </w:p>
        </w:tc>
        <w:tc>
          <w:tcPr>
            <w:tcW w:w="1328" w:type="dxa"/>
          </w:tcPr>
          <w:p w:rsidR="001E2921" w:rsidRPr="001E2921" w:rsidRDefault="001E2921" w:rsidP="00D72BB5">
            <w:pPr>
              <w:pStyle w:val="normal0"/>
              <w:spacing w:line="360" w:lineRule="auto"/>
              <w:jc w:val="both"/>
              <w:rPr>
                <w:color w:val="404040" w:themeColor="text1" w:themeTint="BF"/>
              </w:rPr>
            </w:pPr>
            <w:r w:rsidRPr="001E2921">
              <w:rPr>
                <w:rFonts w:asciiTheme="minorHAnsi" w:hAnsiTheme="minorHAnsi"/>
                <w:b/>
                <w:color w:val="404040" w:themeColor="text1" w:themeTint="BF"/>
                <w:sz w:val="24"/>
                <w:szCs w:val="24"/>
              </w:rPr>
              <w:t>RATE</w:t>
            </w:r>
          </w:p>
        </w:tc>
        <w:tc>
          <w:tcPr>
            <w:tcW w:w="5821" w:type="dxa"/>
          </w:tcPr>
          <w:p w:rsidR="001E2921" w:rsidRPr="001E2921" w:rsidRDefault="001E2921" w:rsidP="00D72BB5">
            <w:pPr>
              <w:pStyle w:val="normal0"/>
              <w:spacing w:line="360" w:lineRule="auto"/>
              <w:jc w:val="both"/>
              <w:rPr>
                <w:color w:val="404040" w:themeColor="text1" w:themeTint="BF"/>
              </w:rPr>
            </w:pPr>
            <w:r w:rsidRPr="001E2921">
              <w:rPr>
                <w:rFonts w:asciiTheme="minorHAnsi" w:hAnsiTheme="minorHAnsi"/>
                <w:b/>
                <w:color w:val="404040" w:themeColor="text1" w:themeTint="BF"/>
                <w:sz w:val="24"/>
                <w:szCs w:val="24"/>
              </w:rPr>
              <w:t>NOTE</w:t>
            </w:r>
          </w:p>
        </w:tc>
      </w:tr>
      <w:tr w:rsidR="001E2921" w:rsidTr="00D72BB5">
        <w:tc>
          <w:tcPr>
            <w:tcW w:w="2093" w:type="dxa"/>
          </w:tcPr>
          <w:p w:rsidR="001E2921" w:rsidRDefault="001E2921" w:rsidP="00D72BB5">
            <w:pPr>
              <w:pStyle w:val="normal0"/>
              <w:spacing w:line="360" w:lineRule="auto"/>
              <w:jc w:val="both"/>
              <w:rPr>
                <w:rFonts w:asciiTheme="minorHAnsi" w:hAnsiTheme="minorHAnsi"/>
                <w:b/>
                <w:sz w:val="24"/>
                <w:szCs w:val="24"/>
              </w:rPr>
            </w:pPr>
            <w:r>
              <w:rPr>
                <w:rFonts w:asciiTheme="minorHAnsi" w:hAnsiTheme="minorHAnsi"/>
                <w:b/>
                <w:sz w:val="24"/>
                <w:szCs w:val="24"/>
              </w:rPr>
              <w:t>Threat of New Entrants</w:t>
            </w:r>
          </w:p>
          <w:p w:rsidR="001E2921" w:rsidRPr="007A7AD6" w:rsidRDefault="001E2921" w:rsidP="00D72BB5">
            <w:pPr>
              <w:pStyle w:val="normal0"/>
              <w:spacing w:line="360" w:lineRule="auto"/>
              <w:jc w:val="both"/>
              <w:rPr>
                <w:rFonts w:asciiTheme="minorHAnsi" w:hAnsiTheme="minorHAnsi"/>
                <w:b/>
                <w:sz w:val="24"/>
                <w:szCs w:val="24"/>
              </w:rPr>
            </w:pPr>
          </w:p>
        </w:tc>
        <w:tc>
          <w:tcPr>
            <w:tcW w:w="1328" w:type="dxa"/>
          </w:tcPr>
          <w:p w:rsidR="001E2921" w:rsidRDefault="001E2921" w:rsidP="00D72BB5">
            <w:pPr>
              <w:pStyle w:val="normal0"/>
              <w:spacing w:line="360" w:lineRule="auto"/>
              <w:jc w:val="both"/>
            </w:pPr>
            <w:r>
              <w:t>High</w:t>
            </w:r>
          </w:p>
        </w:tc>
        <w:tc>
          <w:tcPr>
            <w:tcW w:w="5821" w:type="dxa"/>
          </w:tcPr>
          <w:p w:rsidR="001E2921" w:rsidRDefault="001E2921" w:rsidP="00D72BB5">
            <w:pPr>
              <w:pStyle w:val="normal0"/>
              <w:spacing w:line="360" w:lineRule="auto"/>
              <w:jc w:val="both"/>
            </w:pPr>
            <w:r>
              <w:t xml:space="preserve">Threats through new entrants is huge. Any entrant can enter and brings about innovation using new technologies. </w:t>
            </w:r>
          </w:p>
        </w:tc>
      </w:tr>
      <w:tr w:rsidR="001E2921" w:rsidTr="001E2921">
        <w:tc>
          <w:tcPr>
            <w:tcW w:w="2093" w:type="dxa"/>
          </w:tcPr>
          <w:p w:rsidR="001E2921" w:rsidRPr="007A7AD6" w:rsidRDefault="001E2921" w:rsidP="001E2921">
            <w:pPr>
              <w:pStyle w:val="normal0"/>
              <w:spacing w:line="360" w:lineRule="auto"/>
              <w:jc w:val="both"/>
              <w:rPr>
                <w:rFonts w:asciiTheme="minorHAnsi" w:hAnsiTheme="minorHAnsi"/>
                <w:b/>
                <w:sz w:val="24"/>
                <w:szCs w:val="24"/>
              </w:rPr>
            </w:pPr>
            <w:r>
              <w:rPr>
                <w:rFonts w:asciiTheme="minorHAnsi" w:hAnsiTheme="minorHAnsi"/>
                <w:b/>
                <w:sz w:val="24"/>
                <w:szCs w:val="24"/>
              </w:rPr>
              <w:t>Bargaining Power of Suppliers</w:t>
            </w:r>
          </w:p>
        </w:tc>
        <w:tc>
          <w:tcPr>
            <w:tcW w:w="1328" w:type="dxa"/>
          </w:tcPr>
          <w:p w:rsidR="001E2921" w:rsidRDefault="001E2921" w:rsidP="00D72BB5">
            <w:pPr>
              <w:pStyle w:val="normal0"/>
              <w:spacing w:line="360" w:lineRule="auto"/>
              <w:jc w:val="both"/>
            </w:pPr>
            <w:r>
              <w:t>Low</w:t>
            </w:r>
          </w:p>
        </w:tc>
        <w:tc>
          <w:tcPr>
            <w:tcW w:w="5821" w:type="dxa"/>
          </w:tcPr>
          <w:p w:rsidR="001E2921" w:rsidRDefault="001E2921" w:rsidP="0057766B">
            <w:pPr>
              <w:pStyle w:val="normal0"/>
              <w:spacing w:line="360" w:lineRule="auto"/>
              <w:jc w:val="both"/>
            </w:pPr>
            <w:r>
              <w:t>The threat of supplier in the insurance industry is quite low. Besides, Aetna has diversified its supplier base making it even better</w:t>
            </w:r>
            <w:r w:rsidR="0057766B">
              <w:t xml:space="preserve"> with their supplier divert programs </w:t>
            </w:r>
            <w:sdt>
              <w:sdtPr>
                <w:id w:val="23433542"/>
                <w:citation/>
              </w:sdtPr>
              <w:sdtContent>
                <w:fldSimple w:instr=" CITATION Aet8c \l 2057 ">
                  <w:r w:rsidR="0057766B">
                    <w:rPr>
                      <w:noProof/>
                    </w:rPr>
                    <w:t>(Aetna Inc, 2018c)</w:t>
                  </w:r>
                </w:fldSimple>
              </w:sdtContent>
            </w:sdt>
          </w:p>
        </w:tc>
      </w:tr>
      <w:tr w:rsidR="001E2921" w:rsidTr="001E2921">
        <w:tc>
          <w:tcPr>
            <w:tcW w:w="2093" w:type="dxa"/>
          </w:tcPr>
          <w:p w:rsidR="001E2921" w:rsidRPr="007A7AD6" w:rsidRDefault="001E2921" w:rsidP="00D72BB5">
            <w:pPr>
              <w:pStyle w:val="normal0"/>
              <w:spacing w:line="360" w:lineRule="auto"/>
              <w:jc w:val="both"/>
              <w:rPr>
                <w:rFonts w:asciiTheme="minorHAnsi" w:hAnsiTheme="minorHAnsi"/>
                <w:b/>
                <w:sz w:val="24"/>
                <w:szCs w:val="24"/>
              </w:rPr>
            </w:pPr>
            <w:r>
              <w:rPr>
                <w:rFonts w:asciiTheme="minorHAnsi" w:hAnsiTheme="minorHAnsi"/>
                <w:b/>
                <w:sz w:val="24"/>
                <w:szCs w:val="24"/>
              </w:rPr>
              <w:t>Bargaining Power of Buyers</w:t>
            </w:r>
          </w:p>
        </w:tc>
        <w:tc>
          <w:tcPr>
            <w:tcW w:w="1328" w:type="dxa"/>
          </w:tcPr>
          <w:p w:rsidR="001E2921" w:rsidRDefault="0057766B" w:rsidP="00D72BB5">
            <w:pPr>
              <w:pStyle w:val="normal0"/>
              <w:spacing w:line="360" w:lineRule="auto"/>
              <w:jc w:val="both"/>
            </w:pPr>
            <w:r>
              <w:t>Average</w:t>
            </w:r>
          </w:p>
        </w:tc>
        <w:tc>
          <w:tcPr>
            <w:tcW w:w="5821" w:type="dxa"/>
          </w:tcPr>
          <w:p w:rsidR="001E2921" w:rsidRDefault="0057766B" w:rsidP="00D72BB5">
            <w:pPr>
              <w:pStyle w:val="normal0"/>
              <w:spacing w:line="360" w:lineRule="auto"/>
              <w:jc w:val="both"/>
            </w:pPr>
            <w:r>
              <w:t>Usually, the individual buyers do not have much power to influence things. The corporate clients who are usually large and sold premiums are more primed for this.</w:t>
            </w:r>
          </w:p>
        </w:tc>
      </w:tr>
      <w:tr w:rsidR="001E2921" w:rsidTr="001E2921">
        <w:tc>
          <w:tcPr>
            <w:tcW w:w="2093" w:type="dxa"/>
          </w:tcPr>
          <w:p w:rsidR="001E2921" w:rsidRDefault="001E2921" w:rsidP="00D72BB5">
            <w:pPr>
              <w:pStyle w:val="normal0"/>
              <w:spacing w:line="360" w:lineRule="auto"/>
              <w:jc w:val="both"/>
              <w:rPr>
                <w:rFonts w:asciiTheme="minorHAnsi" w:hAnsiTheme="minorHAnsi"/>
                <w:b/>
                <w:sz w:val="24"/>
                <w:szCs w:val="24"/>
              </w:rPr>
            </w:pPr>
            <w:r>
              <w:rPr>
                <w:rFonts w:asciiTheme="minorHAnsi" w:hAnsiTheme="minorHAnsi"/>
                <w:b/>
                <w:sz w:val="24"/>
                <w:szCs w:val="24"/>
              </w:rPr>
              <w:t>Threats of Substitute Products</w:t>
            </w:r>
          </w:p>
          <w:p w:rsidR="001E2921" w:rsidRPr="007A7AD6" w:rsidRDefault="001E2921" w:rsidP="00D72BB5">
            <w:pPr>
              <w:pStyle w:val="normal0"/>
              <w:spacing w:line="360" w:lineRule="auto"/>
              <w:jc w:val="both"/>
              <w:rPr>
                <w:rFonts w:asciiTheme="minorHAnsi" w:hAnsiTheme="minorHAnsi"/>
                <w:b/>
                <w:sz w:val="24"/>
                <w:szCs w:val="24"/>
              </w:rPr>
            </w:pPr>
          </w:p>
        </w:tc>
        <w:tc>
          <w:tcPr>
            <w:tcW w:w="1328" w:type="dxa"/>
          </w:tcPr>
          <w:p w:rsidR="001E2921" w:rsidRDefault="0057766B" w:rsidP="00D72BB5">
            <w:pPr>
              <w:pStyle w:val="normal0"/>
              <w:spacing w:line="360" w:lineRule="auto"/>
              <w:jc w:val="both"/>
            </w:pPr>
            <w:r>
              <w:t>High</w:t>
            </w:r>
          </w:p>
        </w:tc>
        <w:tc>
          <w:tcPr>
            <w:tcW w:w="5821" w:type="dxa"/>
          </w:tcPr>
          <w:p w:rsidR="001E2921" w:rsidRDefault="0057766B" w:rsidP="00D72BB5">
            <w:pPr>
              <w:pStyle w:val="normal0"/>
              <w:spacing w:line="360" w:lineRule="auto"/>
              <w:jc w:val="both"/>
            </w:pPr>
            <w:r>
              <w:t xml:space="preserve">This is very high in the insurance sector. In present day when technology diffusion is almost at its best, the threat of substitute product is very huge. A pointer to this is the money wiped off the share values of health companies when Amazon announced its intention to delved in the healthcare industry. </w:t>
            </w:r>
          </w:p>
        </w:tc>
      </w:tr>
      <w:tr w:rsidR="001E2921" w:rsidTr="001E2921">
        <w:tc>
          <w:tcPr>
            <w:tcW w:w="2093" w:type="dxa"/>
          </w:tcPr>
          <w:p w:rsidR="001E2921" w:rsidRDefault="001E2921" w:rsidP="00D72BB5">
            <w:pPr>
              <w:pStyle w:val="normal0"/>
              <w:spacing w:line="360" w:lineRule="auto"/>
              <w:jc w:val="both"/>
              <w:rPr>
                <w:rFonts w:asciiTheme="minorHAnsi" w:hAnsiTheme="minorHAnsi"/>
                <w:b/>
                <w:sz w:val="24"/>
                <w:szCs w:val="24"/>
              </w:rPr>
            </w:pPr>
            <w:r>
              <w:rPr>
                <w:rFonts w:asciiTheme="minorHAnsi" w:hAnsiTheme="minorHAnsi"/>
                <w:b/>
                <w:sz w:val="24"/>
                <w:szCs w:val="24"/>
              </w:rPr>
              <w:t>Rivalry</w:t>
            </w:r>
          </w:p>
          <w:p w:rsidR="001E2921" w:rsidRPr="007A7AD6" w:rsidRDefault="001E2921" w:rsidP="00D72BB5">
            <w:pPr>
              <w:pStyle w:val="normal0"/>
              <w:spacing w:line="360" w:lineRule="auto"/>
              <w:jc w:val="both"/>
              <w:rPr>
                <w:rFonts w:asciiTheme="minorHAnsi" w:hAnsiTheme="minorHAnsi"/>
                <w:b/>
                <w:sz w:val="24"/>
                <w:szCs w:val="24"/>
              </w:rPr>
            </w:pPr>
          </w:p>
        </w:tc>
        <w:tc>
          <w:tcPr>
            <w:tcW w:w="1328" w:type="dxa"/>
          </w:tcPr>
          <w:p w:rsidR="001E2921" w:rsidRDefault="001F395E" w:rsidP="00D72BB5">
            <w:pPr>
              <w:pStyle w:val="normal0"/>
              <w:spacing w:line="360" w:lineRule="auto"/>
              <w:jc w:val="both"/>
            </w:pPr>
            <w:r>
              <w:t>Average - High</w:t>
            </w:r>
          </w:p>
        </w:tc>
        <w:tc>
          <w:tcPr>
            <w:tcW w:w="5821" w:type="dxa"/>
          </w:tcPr>
          <w:p w:rsidR="001E2921" w:rsidRDefault="001F395E" w:rsidP="00856A95">
            <w:pPr>
              <w:pStyle w:val="normal0"/>
              <w:spacing w:line="360" w:lineRule="auto"/>
              <w:jc w:val="both"/>
            </w:pPr>
            <w:r>
              <w:t xml:space="preserve">While it is generally believed that existing companies </w:t>
            </w:r>
            <w:r w:rsidR="00856A95">
              <w:t xml:space="preserve">are protected by a good number of barriers for new companies because of the government regulations, technological advancement is something that could erode those limitations without necessarily breaking them. More importantly, a lot of </w:t>
            </w:r>
            <w:r w:rsidR="00856A95">
              <w:lastRenderedPageBreak/>
              <w:t xml:space="preserve">strategists have argued that big tech companies are delving towards healthcare with several products (both hardwares and softwares) built to test the waters. </w:t>
            </w:r>
            <w:r>
              <w:t xml:space="preserve"> </w:t>
            </w:r>
          </w:p>
        </w:tc>
      </w:tr>
    </w:tbl>
    <w:p w:rsidR="00856A95" w:rsidRDefault="00856A95" w:rsidP="00856A95">
      <w:pPr>
        <w:pStyle w:val="normal0"/>
        <w:spacing w:line="360" w:lineRule="auto"/>
        <w:jc w:val="both"/>
      </w:pPr>
      <w:r w:rsidRPr="00300836">
        <w:rPr>
          <w:b/>
        </w:rPr>
        <w:lastRenderedPageBreak/>
        <w:t>SOURCE:</w:t>
      </w:r>
      <w:r>
        <w:t xml:space="preserve"> Own analysis</w:t>
      </w:r>
      <w:r w:rsidR="009E2F85">
        <w:t>.</w:t>
      </w:r>
    </w:p>
    <w:p w:rsidR="009E2F85" w:rsidRDefault="009E2F85" w:rsidP="00856A95">
      <w:pPr>
        <w:pStyle w:val="normal0"/>
        <w:spacing w:line="360" w:lineRule="auto"/>
        <w:jc w:val="both"/>
      </w:pPr>
    </w:p>
    <w:p w:rsidR="00856A95" w:rsidRDefault="00856A95" w:rsidP="00856A95">
      <w:pPr>
        <w:pStyle w:val="Heading3"/>
      </w:pPr>
      <w:bookmarkStart w:id="56" w:name="_Toc534667877"/>
      <w:bookmarkStart w:id="57" w:name="_Toc534681856"/>
      <w:r>
        <w:t xml:space="preserve">2.3.2 AETNA’S </w:t>
      </w:r>
      <w:r w:rsidR="003928FD">
        <w:t>STRATEGIC CHOICES</w:t>
      </w:r>
      <w:r>
        <w:t xml:space="preserve"> AND </w:t>
      </w:r>
      <w:r w:rsidR="00190A4E">
        <w:t>PRACTICAL IMPLEMENTATION</w:t>
      </w:r>
      <w:bookmarkEnd w:id="56"/>
      <w:bookmarkEnd w:id="57"/>
    </w:p>
    <w:p w:rsidR="0043740E" w:rsidRDefault="0043740E" w:rsidP="00856A95">
      <w:pPr>
        <w:pStyle w:val="normal0"/>
        <w:spacing w:line="360" w:lineRule="auto"/>
        <w:jc w:val="both"/>
      </w:pPr>
      <w:r>
        <w:t>Having understood the contemporary issues relating to Aetna; internal, macro and micro-external factors, it is only right to look at the potential course</w:t>
      </w:r>
      <w:r w:rsidR="0029746F">
        <w:t>s</w:t>
      </w:r>
      <w:r>
        <w:t xml:space="preserve"> the company would take and how HR strategy could help. </w:t>
      </w:r>
      <w:r w:rsidR="002A7CF0">
        <w:t>But because</w:t>
      </w:r>
      <w:r w:rsidR="0029746F">
        <w:t xml:space="preserve"> this serves as recommendations based on the findings from the previous analysis, this will be detailed in the recommendation section. </w:t>
      </w:r>
    </w:p>
    <w:p w:rsidR="00674393" w:rsidRDefault="00674393">
      <w:pPr>
        <w:pStyle w:val="normal0"/>
        <w:spacing w:line="360" w:lineRule="auto"/>
        <w:jc w:val="both"/>
      </w:pPr>
    </w:p>
    <w:p w:rsidR="004D0F17" w:rsidRDefault="00DC2896">
      <w:pPr>
        <w:pStyle w:val="Heading1"/>
        <w:spacing w:line="360" w:lineRule="auto"/>
        <w:jc w:val="both"/>
      </w:pPr>
      <w:bookmarkStart w:id="58" w:name="_wi9va8jfqabu" w:colFirst="0" w:colLast="0"/>
      <w:bookmarkStart w:id="59" w:name="_Toc534626213"/>
      <w:bookmarkStart w:id="60" w:name="_Toc534667878"/>
      <w:bookmarkStart w:id="61" w:name="_Toc534681857"/>
      <w:bookmarkEnd w:id="58"/>
      <w:r>
        <w:t>SECTION THREE: RECOMMENDATION</w:t>
      </w:r>
      <w:bookmarkEnd w:id="59"/>
      <w:bookmarkEnd w:id="60"/>
      <w:bookmarkEnd w:id="61"/>
    </w:p>
    <w:p w:rsidR="009B4D2D" w:rsidRDefault="009B4D2D">
      <w:pPr>
        <w:pStyle w:val="normal0"/>
        <w:spacing w:line="360" w:lineRule="auto"/>
        <w:jc w:val="both"/>
      </w:pPr>
      <w:r>
        <w:t xml:space="preserve">In a recent study of over 1,000 companies covering 12 countries including the United States, diversity – most especially, in gender and ethnicity – was found to be positively correlated with profitability (Earnings Before Interest and Tax - EBIT) as well </w:t>
      </w:r>
      <w:r w:rsidR="00C5340D">
        <w:t xml:space="preserve">as long-term economic profits </w:t>
      </w:r>
      <w:sdt>
        <w:sdtPr>
          <w:id w:val="23433554"/>
          <w:citation/>
        </w:sdtPr>
        <w:sdtContent>
          <w:fldSimple w:instr=" CITATION Hun18 \l 2057 ">
            <w:r w:rsidR="00C5340D">
              <w:rPr>
                <w:noProof/>
              </w:rPr>
              <w:t>(Hunt et al., 2018)</w:t>
            </w:r>
          </w:fldSimple>
        </w:sdtContent>
      </w:sdt>
      <w:r w:rsidR="00301935">
        <w:t xml:space="preserve">. While a more nuanced analysis </w:t>
      </w:r>
      <w:r w:rsidR="00C5340D">
        <w:t xml:space="preserve">of diversity as it relates to Aetna </w:t>
      </w:r>
      <w:r w:rsidR="00301935">
        <w:t>can be found in section two</w:t>
      </w:r>
      <w:r w:rsidR="00C5340D">
        <w:t xml:space="preserve"> above, this report, which is based on empirical research, made some vital </w:t>
      </w:r>
      <w:r w:rsidR="00DE27EB">
        <w:t>submissions below thus:</w:t>
      </w:r>
    </w:p>
    <w:p w:rsidR="00301935" w:rsidRDefault="00301935" w:rsidP="00301935">
      <w:pPr>
        <w:pStyle w:val="normal0"/>
        <w:numPr>
          <w:ilvl w:val="0"/>
          <w:numId w:val="9"/>
        </w:numPr>
        <w:spacing w:line="360" w:lineRule="auto"/>
        <w:jc w:val="both"/>
      </w:pPr>
      <w:r>
        <w:t>There is a statistically significant relationship between</w:t>
      </w:r>
      <w:r w:rsidR="00F7451C">
        <w:t xml:space="preserve"> a more diverse leadership team</w:t>
      </w:r>
      <w:r>
        <w:t xml:space="preserve"> and profitability</w:t>
      </w:r>
      <w:r w:rsidR="00F7451C">
        <w:t>. Though correlation does not equal to causation, it nevertheless highlights the importance of diversity and inclusion.</w:t>
      </w:r>
      <w:r>
        <w:t xml:space="preserve"> </w:t>
      </w:r>
    </w:p>
    <w:p w:rsidR="00DE27EB" w:rsidRDefault="00551EA1" w:rsidP="00301935">
      <w:pPr>
        <w:pStyle w:val="normal0"/>
        <w:numPr>
          <w:ilvl w:val="0"/>
          <w:numId w:val="9"/>
        </w:numPr>
        <w:spacing w:line="360" w:lineRule="auto"/>
        <w:jc w:val="both"/>
      </w:pPr>
      <w:r>
        <w:t>Gender diversity</w:t>
      </w:r>
      <w:r w:rsidR="00DE27EB">
        <w:t>: That top quartile companies in terms of gender diversity in their executive teams are 27% more likely to have better value creat</w:t>
      </w:r>
      <w:r w:rsidR="00534AF1">
        <w:t>ion and profitability.</w:t>
      </w:r>
    </w:p>
    <w:p w:rsidR="00301935" w:rsidRDefault="00551EA1" w:rsidP="00301935">
      <w:pPr>
        <w:pStyle w:val="normal0"/>
        <w:numPr>
          <w:ilvl w:val="0"/>
          <w:numId w:val="9"/>
        </w:numPr>
        <w:spacing w:line="360" w:lineRule="auto"/>
        <w:jc w:val="both"/>
      </w:pPr>
      <w:r>
        <w:t>Ethnicity/ racial diversity</w:t>
      </w:r>
      <w:r w:rsidR="00301935">
        <w:t xml:space="preserve">: </w:t>
      </w:r>
      <w:r w:rsidR="00DE27EB">
        <w:t>Companies in the top quartile in terms of ethnic and racial diversity in their executive teams are 33% more likely to have industry-leading profitability</w:t>
      </w:r>
      <w:r w:rsidR="008236F1">
        <w:t xml:space="preserve"> while those with the same percentage in their board of director </w:t>
      </w:r>
      <w:r w:rsidR="00067CF1">
        <w:t>are 43% more likely to have profits</w:t>
      </w:r>
      <w:r w:rsidR="00DE27EB">
        <w:t xml:space="preserve">. </w:t>
      </w:r>
    </w:p>
    <w:p w:rsidR="00DE27EB" w:rsidRDefault="00551EA1" w:rsidP="00301935">
      <w:pPr>
        <w:pStyle w:val="normal0"/>
        <w:numPr>
          <w:ilvl w:val="0"/>
          <w:numId w:val="9"/>
        </w:numPr>
        <w:spacing w:line="360" w:lineRule="auto"/>
        <w:jc w:val="both"/>
      </w:pPr>
      <w:r>
        <w:t xml:space="preserve">Cost of not doing gender and ethnicity diversity: </w:t>
      </w:r>
      <w:r w:rsidR="00DE27EB">
        <w:t>Companies in t</w:t>
      </w:r>
      <w:r>
        <w:t>he bottom quartile are also more</w:t>
      </w:r>
      <w:r w:rsidR="00DE27EB">
        <w:t xml:space="preserve"> likely to lag behind with at least 29% in EBIT profitability</w:t>
      </w:r>
      <w:r>
        <w:t xml:space="preserve"> drop</w:t>
      </w:r>
      <w:r w:rsidR="00FA5C2B">
        <w:t xml:space="preserve">. </w:t>
      </w:r>
      <w:r w:rsidR="00DE27EB">
        <w:t xml:space="preserve"> </w:t>
      </w:r>
    </w:p>
    <w:p w:rsidR="00FA5C2B" w:rsidRDefault="00444220" w:rsidP="00FA5C2B">
      <w:pPr>
        <w:pStyle w:val="normal0"/>
        <w:spacing w:line="360" w:lineRule="auto"/>
        <w:jc w:val="both"/>
      </w:pPr>
      <w:r>
        <w:lastRenderedPageBreak/>
        <w:br/>
      </w:r>
      <w:r w:rsidR="00FA5C2B">
        <w:t>Over the years, the impetus for diversity and inclusion (DI) has</w:t>
      </w:r>
      <w:r w:rsidR="005C324F">
        <w:t xml:space="preserve"> moved from a vehicle</w:t>
      </w:r>
      <w:r w:rsidR="00FA5C2B">
        <w:t xml:space="preserve"> for social justice to</w:t>
      </w:r>
      <w:r w:rsidR="005C324F">
        <w:t xml:space="preserve"> fulfilling legal requirements and now a tool for compet</w:t>
      </w:r>
      <w:r w:rsidR="00551EA1">
        <w:t xml:space="preserve">itive advantage </w:t>
      </w:r>
      <w:r w:rsidR="00551EA1">
        <w:rPr>
          <w:noProof/>
        </w:rPr>
        <w:t>(</w:t>
      </w:r>
      <w:r>
        <w:rPr>
          <w:noProof/>
        </w:rPr>
        <w:t>Backes-Gellner &amp; Veen, 2013; Barta et al., 2012; Boxall &amp; Purcell, 2011; Contractor et al., 2003; Hunt et al., 2018; Sharma, 2016</w:t>
      </w:r>
      <w:r w:rsidR="00551EA1">
        <w:rPr>
          <w:noProof/>
        </w:rPr>
        <w:t>)</w:t>
      </w:r>
      <w:r w:rsidR="005C324F">
        <w:t xml:space="preserve">. Considering the growing needs of the ever dynamic customer bases and its changing landscape, it is only sane that companies like Aetna stay at the fore-front. That the demographics of Aetna’s Total Addressable Market (TAM), the America people, are changing is </w:t>
      </w:r>
      <w:r w:rsidR="00DA7FA3">
        <w:t xml:space="preserve">well </w:t>
      </w:r>
      <w:r w:rsidR="00F272A4">
        <w:t>documented</w:t>
      </w:r>
      <w:r w:rsidR="005C324F">
        <w:t xml:space="preserve">. By 2045, the US Census Bureau projected that the major ethnic group, non-Hispanic white, would be in the minority </w:t>
      </w:r>
      <w:r w:rsidR="00F272A4">
        <w:t xml:space="preserve">and the present minorities would be in the majority </w:t>
      </w:r>
      <w:sdt>
        <w:sdtPr>
          <w:id w:val="23433445"/>
          <w:citation/>
        </w:sdtPr>
        <w:sdtContent>
          <w:fldSimple w:instr=" CITATION USC12 \l 2057 ">
            <w:r w:rsidR="005C324F">
              <w:rPr>
                <w:noProof/>
              </w:rPr>
              <w:t>(US Census Bureau Board, 2012)</w:t>
            </w:r>
          </w:fldSimple>
        </w:sdtContent>
      </w:sdt>
      <w:r w:rsidR="005C324F">
        <w:t>. The implication is that enough emphasis has to be placed on</w:t>
      </w:r>
      <w:r w:rsidR="00F272A4">
        <w:t xml:space="preserve"> catering for this diverse base to be relevant in the</w:t>
      </w:r>
      <w:r w:rsidR="00534AF1">
        <w:t xml:space="preserve"> not-so-long</w:t>
      </w:r>
      <w:r w:rsidR="00F272A4">
        <w:t xml:space="preserve"> future. </w:t>
      </w:r>
      <w:r w:rsidR="00DA7FA3">
        <w:t>This and others, which we</w:t>
      </w:r>
      <w:r>
        <w:t>re learnt by strategically analysing Aetna, its market and industry</w:t>
      </w:r>
      <w:r w:rsidR="00DA7FA3">
        <w:t>,</w:t>
      </w:r>
      <w:r>
        <w:t xml:space="preserve"> are detailed below thus:</w:t>
      </w:r>
    </w:p>
    <w:p w:rsidR="00444220" w:rsidRDefault="00444220" w:rsidP="00FA5C2B">
      <w:pPr>
        <w:pStyle w:val="normal0"/>
        <w:spacing w:line="360" w:lineRule="auto"/>
        <w:jc w:val="both"/>
      </w:pPr>
    </w:p>
    <w:p w:rsidR="00444220" w:rsidRPr="00773751" w:rsidRDefault="00444220" w:rsidP="00444220">
      <w:pPr>
        <w:pStyle w:val="normal0"/>
        <w:spacing w:after="0" w:line="360" w:lineRule="auto"/>
        <w:jc w:val="both"/>
        <w:rPr>
          <w:rFonts w:asciiTheme="minorHAnsi" w:hAnsiTheme="minorHAnsi"/>
          <w:b/>
        </w:rPr>
      </w:pPr>
      <w:r>
        <w:rPr>
          <w:rFonts w:asciiTheme="minorHAnsi" w:hAnsiTheme="minorHAnsi"/>
          <w:b/>
        </w:rPr>
        <w:t>Lessons from Strategic Analysis and How Diversity and Inclusion (D&amp;I) could Help.</w:t>
      </w:r>
    </w:p>
    <w:p w:rsidR="00444220" w:rsidRDefault="002254AF" w:rsidP="002254AF">
      <w:pPr>
        <w:pStyle w:val="normal0"/>
        <w:numPr>
          <w:ilvl w:val="0"/>
          <w:numId w:val="8"/>
        </w:numPr>
        <w:spacing w:after="0" w:line="360" w:lineRule="auto"/>
        <w:ind w:left="426"/>
        <w:jc w:val="both"/>
      </w:pPr>
      <w:r>
        <w:t>As said above, t</w:t>
      </w:r>
      <w:r w:rsidR="00444220">
        <w:t>he changing demographics of the United States of America (USA) should be a major import for diversification plans, market penetration and product development. That the minority group would soon eclipse the majority ethnic grou</w:t>
      </w:r>
      <w:r w:rsidR="00DA7FA3">
        <w:t>p and becomes ‘minority majority’ while the present majority, non-Hispanic whites, would become</w:t>
      </w:r>
      <w:r w:rsidR="00444220">
        <w:t xml:space="preserve"> </w:t>
      </w:r>
      <w:r w:rsidR="00DA7FA3">
        <w:t>‘</w:t>
      </w:r>
      <w:r w:rsidR="00444220">
        <w:t>majority minority</w:t>
      </w:r>
      <w:r w:rsidR="00DA7FA3">
        <w:t>’</w:t>
      </w:r>
      <w:r w:rsidR="00444220">
        <w:t xml:space="preserve"> means strategy should change. While building companies’ strategies, one of the strategic tools that are highly adopted to decide companies’ next move is the Ansoff Growth Matrix which is depicted in the table below thus:</w:t>
      </w:r>
    </w:p>
    <w:p w:rsidR="002254AF" w:rsidRDefault="002254AF" w:rsidP="002254AF">
      <w:pPr>
        <w:pStyle w:val="normal0"/>
        <w:spacing w:line="360" w:lineRule="auto"/>
        <w:jc w:val="both"/>
      </w:pPr>
    </w:p>
    <w:p w:rsidR="00444220" w:rsidRPr="00335623" w:rsidRDefault="00444220" w:rsidP="00444220">
      <w:pPr>
        <w:pStyle w:val="Caption"/>
        <w:ind w:left="360"/>
        <w:rPr>
          <w:sz w:val="24"/>
          <w:szCs w:val="24"/>
        </w:rPr>
      </w:pPr>
      <w:bookmarkStart w:id="62" w:name="_Toc534681873"/>
      <w:r w:rsidRPr="00335623">
        <w:rPr>
          <w:sz w:val="24"/>
          <w:szCs w:val="24"/>
        </w:rPr>
        <w:t xml:space="preserve">Table </w:t>
      </w:r>
      <w:r w:rsidRPr="00335623">
        <w:rPr>
          <w:sz w:val="24"/>
          <w:szCs w:val="24"/>
        </w:rPr>
        <w:fldChar w:fldCharType="begin"/>
      </w:r>
      <w:r w:rsidRPr="00335623">
        <w:rPr>
          <w:sz w:val="24"/>
          <w:szCs w:val="24"/>
        </w:rPr>
        <w:instrText xml:space="preserve"> SEQ Table \* ARABIC </w:instrText>
      </w:r>
      <w:r w:rsidRPr="00335623">
        <w:rPr>
          <w:sz w:val="24"/>
          <w:szCs w:val="24"/>
        </w:rPr>
        <w:fldChar w:fldCharType="separate"/>
      </w:r>
      <w:r>
        <w:rPr>
          <w:noProof/>
          <w:sz w:val="24"/>
          <w:szCs w:val="24"/>
        </w:rPr>
        <w:t>9</w:t>
      </w:r>
      <w:r w:rsidRPr="00335623">
        <w:rPr>
          <w:sz w:val="24"/>
          <w:szCs w:val="24"/>
        </w:rPr>
        <w:fldChar w:fldCharType="end"/>
      </w:r>
      <w:r w:rsidRPr="00335623">
        <w:rPr>
          <w:sz w:val="24"/>
          <w:szCs w:val="24"/>
        </w:rPr>
        <w:t>: Ansoff Growth Matrix</w:t>
      </w:r>
      <w:bookmarkEnd w:id="62"/>
    </w:p>
    <w:tbl>
      <w:tblPr>
        <w:tblStyle w:val="TableGrid"/>
        <w:tblW w:w="0" w:type="auto"/>
        <w:tblLook w:val="04A0"/>
      </w:tblPr>
      <w:tblGrid>
        <w:gridCol w:w="2310"/>
        <w:gridCol w:w="1909"/>
        <w:gridCol w:w="2552"/>
        <w:gridCol w:w="2471"/>
      </w:tblGrid>
      <w:tr w:rsidR="00444220" w:rsidRPr="00015AAA" w:rsidTr="00D72BB5">
        <w:tc>
          <w:tcPr>
            <w:tcW w:w="9242" w:type="dxa"/>
            <w:gridSpan w:val="4"/>
            <w:tcBorders>
              <w:top w:val="nil"/>
              <w:left w:val="nil"/>
              <w:bottom w:val="nil"/>
              <w:right w:val="single" w:sz="4" w:space="0" w:color="000000" w:themeColor="text1"/>
            </w:tcBorders>
            <w:vAlign w:val="center"/>
          </w:tcPr>
          <w:p w:rsidR="00444220" w:rsidRPr="00DA7FA3" w:rsidRDefault="00444220" w:rsidP="00D72BB5">
            <w:pPr>
              <w:pStyle w:val="normal0"/>
              <w:spacing w:line="360" w:lineRule="auto"/>
              <w:jc w:val="center"/>
              <w:rPr>
                <w:rFonts w:asciiTheme="minorHAnsi" w:hAnsiTheme="minorHAnsi"/>
                <w:b/>
                <w:sz w:val="28"/>
                <w:szCs w:val="28"/>
              </w:rPr>
            </w:pPr>
            <w:r w:rsidRPr="00DA7FA3">
              <w:rPr>
                <w:rFonts w:asciiTheme="minorHAnsi" w:hAnsiTheme="minorHAnsi"/>
                <w:b/>
                <w:sz w:val="28"/>
                <w:szCs w:val="28"/>
              </w:rPr>
              <w:t xml:space="preserve">                                                         PRODUCTS</w:t>
            </w:r>
          </w:p>
        </w:tc>
      </w:tr>
      <w:tr w:rsidR="00444220" w:rsidTr="00D72BB5">
        <w:tc>
          <w:tcPr>
            <w:tcW w:w="2310" w:type="dxa"/>
            <w:vMerge w:val="restart"/>
            <w:tcBorders>
              <w:top w:val="nil"/>
              <w:left w:val="nil"/>
              <w:bottom w:val="nil"/>
              <w:right w:val="single" w:sz="4" w:space="0" w:color="000000" w:themeColor="text1"/>
            </w:tcBorders>
            <w:vAlign w:val="center"/>
          </w:tcPr>
          <w:p w:rsidR="00444220" w:rsidRPr="00DA7FA3" w:rsidRDefault="00444220" w:rsidP="00D72BB5">
            <w:pPr>
              <w:pStyle w:val="normal0"/>
              <w:spacing w:line="360" w:lineRule="auto"/>
              <w:jc w:val="center"/>
              <w:rPr>
                <w:rFonts w:asciiTheme="minorHAnsi" w:hAnsiTheme="minorHAnsi"/>
                <w:b/>
                <w:sz w:val="28"/>
                <w:szCs w:val="28"/>
              </w:rPr>
            </w:pPr>
            <w:r w:rsidRPr="00DA7FA3">
              <w:rPr>
                <w:rFonts w:asciiTheme="minorHAnsi" w:hAnsiTheme="minorHAnsi"/>
                <w:b/>
                <w:sz w:val="28"/>
                <w:szCs w:val="28"/>
              </w:rPr>
              <w:t>MARKETS</w:t>
            </w:r>
          </w:p>
        </w:tc>
        <w:tc>
          <w:tcPr>
            <w:tcW w:w="1909" w:type="dxa"/>
            <w:tcBorders>
              <w:top w:val="single" w:sz="4" w:space="0" w:color="auto"/>
              <w:left w:val="single" w:sz="4" w:space="0" w:color="000000" w:themeColor="text1"/>
            </w:tcBorders>
          </w:tcPr>
          <w:p w:rsidR="00444220" w:rsidRPr="00015AAA" w:rsidRDefault="00444220" w:rsidP="00D72BB5">
            <w:pPr>
              <w:pStyle w:val="normal0"/>
              <w:spacing w:line="360" w:lineRule="auto"/>
              <w:jc w:val="both"/>
              <w:rPr>
                <w:b/>
              </w:rPr>
            </w:pPr>
          </w:p>
        </w:tc>
        <w:tc>
          <w:tcPr>
            <w:tcW w:w="2552" w:type="dxa"/>
            <w:tcBorders>
              <w:top w:val="single" w:sz="4" w:space="0" w:color="auto"/>
            </w:tcBorders>
          </w:tcPr>
          <w:p w:rsidR="00444220" w:rsidRPr="00DA7FA3" w:rsidRDefault="00444220" w:rsidP="00D72BB5">
            <w:pPr>
              <w:pStyle w:val="normal0"/>
              <w:spacing w:line="360" w:lineRule="auto"/>
              <w:jc w:val="both"/>
              <w:rPr>
                <w:rFonts w:asciiTheme="minorHAnsi" w:hAnsiTheme="minorHAnsi"/>
                <w:b/>
                <w:sz w:val="26"/>
                <w:szCs w:val="26"/>
              </w:rPr>
            </w:pPr>
            <w:r w:rsidRPr="00DA7FA3">
              <w:rPr>
                <w:rFonts w:asciiTheme="minorHAnsi" w:hAnsiTheme="minorHAnsi"/>
                <w:b/>
                <w:sz w:val="26"/>
                <w:szCs w:val="26"/>
              </w:rPr>
              <w:t xml:space="preserve">Existing Product </w:t>
            </w:r>
          </w:p>
        </w:tc>
        <w:tc>
          <w:tcPr>
            <w:tcW w:w="2471" w:type="dxa"/>
            <w:tcBorders>
              <w:top w:val="single" w:sz="4" w:space="0" w:color="auto"/>
            </w:tcBorders>
          </w:tcPr>
          <w:p w:rsidR="00444220" w:rsidRPr="00DA7FA3" w:rsidRDefault="00444220" w:rsidP="00D72BB5">
            <w:pPr>
              <w:pStyle w:val="normal0"/>
              <w:spacing w:line="360" w:lineRule="auto"/>
              <w:jc w:val="both"/>
              <w:rPr>
                <w:rFonts w:asciiTheme="minorHAnsi" w:hAnsiTheme="minorHAnsi"/>
                <w:b/>
                <w:sz w:val="26"/>
                <w:szCs w:val="26"/>
              </w:rPr>
            </w:pPr>
            <w:r w:rsidRPr="00DA7FA3">
              <w:rPr>
                <w:rFonts w:asciiTheme="minorHAnsi" w:hAnsiTheme="minorHAnsi"/>
                <w:b/>
                <w:sz w:val="26"/>
                <w:szCs w:val="26"/>
              </w:rPr>
              <w:t>New Product</w:t>
            </w:r>
          </w:p>
        </w:tc>
      </w:tr>
      <w:tr w:rsidR="00444220" w:rsidTr="00D72BB5">
        <w:tc>
          <w:tcPr>
            <w:tcW w:w="2310" w:type="dxa"/>
            <w:vMerge/>
            <w:tcBorders>
              <w:top w:val="nil"/>
              <w:left w:val="nil"/>
              <w:bottom w:val="nil"/>
              <w:right w:val="single" w:sz="4" w:space="0" w:color="000000" w:themeColor="text1"/>
            </w:tcBorders>
          </w:tcPr>
          <w:p w:rsidR="00444220" w:rsidRDefault="00444220" w:rsidP="00D72BB5">
            <w:pPr>
              <w:pStyle w:val="normal0"/>
              <w:spacing w:line="360" w:lineRule="auto"/>
              <w:jc w:val="both"/>
            </w:pPr>
          </w:p>
        </w:tc>
        <w:tc>
          <w:tcPr>
            <w:tcW w:w="1909" w:type="dxa"/>
            <w:tcBorders>
              <w:left w:val="single" w:sz="4" w:space="0" w:color="000000" w:themeColor="text1"/>
            </w:tcBorders>
            <w:vAlign w:val="center"/>
          </w:tcPr>
          <w:p w:rsidR="00444220" w:rsidRPr="00DA7FA3" w:rsidRDefault="00444220" w:rsidP="00D72BB5">
            <w:pPr>
              <w:pStyle w:val="normal0"/>
              <w:spacing w:line="360" w:lineRule="auto"/>
              <w:jc w:val="center"/>
              <w:rPr>
                <w:rFonts w:asciiTheme="minorHAnsi" w:hAnsiTheme="minorHAnsi"/>
                <w:b/>
                <w:sz w:val="26"/>
                <w:szCs w:val="26"/>
              </w:rPr>
            </w:pPr>
            <w:r w:rsidRPr="00DA7FA3">
              <w:rPr>
                <w:rFonts w:asciiTheme="minorHAnsi" w:hAnsiTheme="minorHAnsi"/>
                <w:b/>
                <w:sz w:val="26"/>
                <w:szCs w:val="26"/>
              </w:rPr>
              <w:t>Existing Market</w:t>
            </w:r>
          </w:p>
        </w:tc>
        <w:tc>
          <w:tcPr>
            <w:tcW w:w="2552" w:type="dxa"/>
          </w:tcPr>
          <w:p w:rsidR="00E13305" w:rsidRDefault="00E13305" w:rsidP="00D72BB5">
            <w:pPr>
              <w:pStyle w:val="normal0"/>
              <w:spacing w:line="360" w:lineRule="auto"/>
              <w:jc w:val="both"/>
              <w:rPr>
                <w:b/>
              </w:rPr>
            </w:pPr>
          </w:p>
          <w:p w:rsidR="00444220" w:rsidRPr="00DA7FA3" w:rsidRDefault="00444220" w:rsidP="00D72BB5">
            <w:pPr>
              <w:pStyle w:val="normal0"/>
              <w:spacing w:line="360" w:lineRule="auto"/>
              <w:jc w:val="both"/>
              <w:rPr>
                <w:b/>
              </w:rPr>
            </w:pPr>
            <w:r w:rsidRPr="00DA7FA3">
              <w:rPr>
                <w:b/>
              </w:rPr>
              <w:t>Market Penetration</w:t>
            </w:r>
          </w:p>
          <w:p w:rsidR="00444220" w:rsidRDefault="00444220" w:rsidP="00D72BB5">
            <w:pPr>
              <w:pStyle w:val="normal0"/>
              <w:spacing w:line="360" w:lineRule="auto"/>
              <w:jc w:val="both"/>
            </w:pPr>
            <w:r>
              <w:t>Increase sales to the existing market.</w:t>
            </w:r>
          </w:p>
          <w:p w:rsidR="00444220" w:rsidRDefault="00444220" w:rsidP="00D72BB5">
            <w:pPr>
              <w:pStyle w:val="normal0"/>
              <w:spacing w:line="360" w:lineRule="auto"/>
              <w:jc w:val="both"/>
            </w:pPr>
            <w:r>
              <w:t>Penetrate more deeply into the existing market.</w:t>
            </w:r>
          </w:p>
        </w:tc>
        <w:tc>
          <w:tcPr>
            <w:tcW w:w="2471" w:type="dxa"/>
          </w:tcPr>
          <w:p w:rsidR="00E13305" w:rsidRDefault="00E13305" w:rsidP="00D72BB5">
            <w:pPr>
              <w:pStyle w:val="normal0"/>
              <w:spacing w:line="360" w:lineRule="auto"/>
              <w:jc w:val="both"/>
              <w:rPr>
                <w:b/>
              </w:rPr>
            </w:pPr>
          </w:p>
          <w:p w:rsidR="00444220" w:rsidRPr="00DA7FA3" w:rsidRDefault="00444220" w:rsidP="00D72BB5">
            <w:pPr>
              <w:pStyle w:val="normal0"/>
              <w:spacing w:line="360" w:lineRule="auto"/>
              <w:jc w:val="both"/>
              <w:rPr>
                <w:b/>
              </w:rPr>
            </w:pPr>
            <w:r w:rsidRPr="00DA7FA3">
              <w:rPr>
                <w:b/>
              </w:rPr>
              <w:t>Product Development</w:t>
            </w:r>
          </w:p>
          <w:p w:rsidR="00444220" w:rsidRDefault="00444220" w:rsidP="00D72BB5">
            <w:pPr>
              <w:pStyle w:val="normal0"/>
              <w:spacing w:line="360" w:lineRule="auto"/>
              <w:jc w:val="both"/>
            </w:pPr>
            <w:r>
              <w:t>New product developed for existing markets.</w:t>
            </w:r>
          </w:p>
        </w:tc>
      </w:tr>
      <w:tr w:rsidR="00444220" w:rsidTr="00D72BB5">
        <w:tc>
          <w:tcPr>
            <w:tcW w:w="2310" w:type="dxa"/>
            <w:vMerge/>
            <w:tcBorders>
              <w:top w:val="nil"/>
              <w:left w:val="nil"/>
              <w:bottom w:val="nil"/>
              <w:right w:val="single" w:sz="4" w:space="0" w:color="000000" w:themeColor="text1"/>
            </w:tcBorders>
          </w:tcPr>
          <w:p w:rsidR="00444220" w:rsidRDefault="00444220" w:rsidP="00D72BB5">
            <w:pPr>
              <w:pStyle w:val="normal0"/>
              <w:spacing w:line="360" w:lineRule="auto"/>
              <w:jc w:val="both"/>
            </w:pPr>
          </w:p>
        </w:tc>
        <w:tc>
          <w:tcPr>
            <w:tcW w:w="1909" w:type="dxa"/>
            <w:tcBorders>
              <w:left w:val="single" w:sz="4" w:space="0" w:color="000000" w:themeColor="text1"/>
            </w:tcBorders>
            <w:vAlign w:val="center"/>
          </w:tcPr>
          <w:p w:rsidR="00444220" w:rsidRPr="00DA7FA3" w:rsidRDefault="00444220" w:rsidP="00D72BB5">
            <w:pPr>
              <w:pStyle w:val="normal0"/>
              <w:spacing w:line="360" w:lineRule="auto"/>
              <w:jc w:val="center"/>
              <w:rPr>
                <w:rFonts w:asciiTheme="minorHAnsi" w:hAnsiTheme="minorHAnsi"/>
                <w:b/>
                <w:sz w:val="26"/>
                <w:szCs w:val="26"/>
              </w:rPr>
            </w:pPr>
            <w:r w:rsidRPr="00DA7FA3">
              <w:rPr>
                <w:rFonts w:asciiTheme="minorHAnsi" w:hAnsiTheme="minorHAnsi"/>
                <w:b/>
                <w:sz w:val="26"/>
                <w:szCs w:val="26"/>
              </w:rPr>
              <w:t>New Market</w:t>
            </w:r>
          </w:p>
        </w:tc>
        <w:tc>
          <w:tcPr>
            <w:tcW w:w="2552" w:type="dxa"/>
          </w:tcPr>
          <w:p w:rsidR="00E13305" w:rsidRDefault="00E13305" w:rsidP="00D72BB5">
            <w:pPr>
              <w:pStyle w:val="normal0"/>
              <w:spacing w:line="360" w:lineRule="auto"/>
              <w:jc w:val="both"/>
              <w:rPr>
                <w:b/>
              </w:rPr>
            </w:pPr>
          </w:p>
          <w:p w:rsidR="00E13305" w:rsidRDefault="00E13305" w:rsidP="00D72BB5">
            <w:pPr>
              <w:pStyle w:val="normal0"/>
              <w:spacing w:line="360" w:lineRule="auto"/>
              <w:jc w:val="both"/>
              <w:rPr>
                <w:b/>
              </w:rPr>
            </w:pPr>
          </w:p>
          <w:p w:rsidR="00444220" w:rsidRPr="00DA7FA3" w:rsidRDefault="00444220" w:rsidP="00D72BB5">
            <w:pPr>
              <w:pStyle w:val="normal0"/>
              <w:spacing w:line="360" w:lineRule="auto"/>
              <w:jc w:val="both"/>
              <w:rPr>
                <w:b/>
              </w:rPr>
            </w:pPr>
            <w:r w:rsidRPr="00DA7FA3">
              <w:rPr>
                <w:b/>
              </w:rPr>
              <w:lastRenderedPageBreak/>
              <w:t>Market Development</w:t>
            </w:r>
          </w:p>
          <w:p w:rsidR="00444220" w:rsidRDefault="00444220" w:rsidP="00D72BB5">
            <w:pPr>
              <w:pStyle w:val="normal0"/>
              <w:spacing w:line="360" w:lineRule="auto"/>
              <w:jc w:val="both"/>
            </w:pPr>
            <w:r>
              <w:t>Existing products sold to new markets</w:t>
            </w:r>
          </w:p>
          <w:p w:rsidR="00444220" w:rsidRDefault="00444220" w:rsidP="00D72BB5">
            <w:pPr>
              <w:pStyle w:val="normal0"/>
              <w:spacing w:line="360" w:lineRule="auto"/>
              <w:jc w:val="both"/>
            </w:pPr>
          </w:p>
        </w:tc>
        <w:tc>
          <w:tcPr>
            <w:tcW w:w="2471" w:type="dxa"/>
          </w:tcPr>
          <w:p w:rsidR="00E13305" w:rsidRDefault="00E13305" w:rsidP="00D72BB5">
            <w:pPr>
              <w:pStyle w:val="normal0"/>
              <w:spacing w:line="360" w:lineRule="auto"/>
              <w:jc w:val="both"/>
              <w:rPr>
                <w:b/>
              </w:rPr>
            </w:pPr>
          </w:p>
          <w:p w:rsidR="00E13305" w:rsidRDefault="00E13305" w:rsidP="00D72BB5">
            <w:pPr>
              <w:pStyle w:val="normal0"/>
              <w:spacing w:line="360" w:lineRule="auto"/>
              <w:jc w:val="both"/>
              <w:rPr>
                <w:b/>
              </w:rPr>
            </w:pPr>
          </w:p>
          <w:p w:rsidR="00444220" w:rsidRPr="00DA7FA3" w:rsidRDefault="00444220" w:rsidP="00D72BB5">
            <w:pPr>
              <w:pStyle w:val="normal0"/>
              <w:spacing w:line="360" w:lineRule="auto"/>
              <w:jc w:val="both"/>
              <w:rPr>
                <w:b/>
              </w:rPr>
            </w:pPr>
            <w:r w:rsidRPr="00DA7FA3">
              <w:rPr>
                <w:b/>
              </w:rPr>
              <w:lastRenderedPageBreak/>
              <w:t>Diversification</w:t>
            </w:r>
          </w:p>
          <w:p w:rsidR="00444220" w:rsidRDefault="00444220" w:rsidP="00D72BB5">
            <w:pPr>
              <w:pStyle w:val="normal0"/>
              <w:spacing w:line="360" w:lineRule="auto"/>
              <w:jc w:val="both"/>
            </w:pPr>
            <w:r>
              <w:t>New products sold in new markets.</w:t>
            </w:r>
          </w:p>
        </w:tc>
      </w:tr>
    </w:tbl>
    <w:p w:rsidR="00444220" w:rsidRDefault="00444220" w:rsidP="00444220">
      <w:pPr>
        <w:pStyle w:val="normal0"/>
        <w:spacing w:line="360" w:lineRule="auto"/>
        <w:ind w:left="720"/>
        <w:jc w:val="both"/>
      </w:pPr>
    </w:p>
    <w:p w:rsidR="00444220" w:rsidRDefault="00444220" w:rsidP="00444220">
      <w:pPr>
        <w:pStyle w:val="normal0"/>
        <w:spacing w:line="360" w:lineRule="auto"/>
        <w:ind w:left="360"/>
      </w:pPr>
    </w:p>
    <w:p w:rsidR="00444220" w:rsidRDefault="00444220" w:rsidP="00444220">
      <w:pPr>
        <w:pStyle w:val="normal0"/>
        <w:spacing w:line="360" w:lineRule="auto"/>
        <w:jc w:val="both"/>
      </w:pPr>
      <w:r>
        <w:t xml:space="preserve">With new markets being formed and a potential new product (diversification, what we call a  new product in a new market), it is only safe to suggest that Aetna should not only continue with her diversity policy but should entrench it more in such a way it will help the company to understand those (new) markets. </w:t>
      </w:r>
    </w:p>
    <w:p w:rsidR="00444220" w:rsidRDefault="00E13305" w:rsidP="00E13305">
      <w:pPr>
        <w:pStyle w:val="normal0"/>
        <w:numPr>
          <w:ilvl w:val="0"/>
          <w:numId w:val="8"/>
        </w:numPr>
        <w:spacing w:after="0" w:line="360" w:lineRule="auto"/>
        <w:jc w:val="both"/>
      </w:pPr>
      <w:r>
        <w:t>More so, while analysing the company’s products, it was noted that</w:t>
      </w:r>
      <w:r w:rsidR="00B3129B">
        <w:t xml:space="preserve"> Aetna has a good share in the high growth market, premium market built for non-Hispanic whites with good socio-economic situations, since time immemorial. Because of the changing demographics again, it is absolutely important that Aetna diversify into new markets and build new products which will cater for this present-day minority who will become majority by 2045. This is absolutely important as not doing this might make the company fade into oblivion faster than imagined. While</w:t>
      </w:r>
      <w:r>
        <w:t xml:space="preserve"> using BCG’s matrix</w:t>
      </w:r>
      <w:r w:rsidR="00B3129B">
        <w:t xml:space="preserve"> (an image of this can be found in Appendix 3), this kind of product is called ‘star’ and will most probably move into a ‘cash cow’ by 2045.</w:t>
      </w:r>
      <w:r w:rsidR="00943017">
        <w:t xml:space="preserve"> Diversity and inclusion should be very handy in understanding the needs of this growing population.</w:t>
      </w:r>
      <w:r>
        <w:t xml:space="preserve"> </w:t>
      </w:r>
    </w:p>
    <w:p w:rsidR="00943017" w:rsidRDefault="00943017" w:rsidP="00943017">
      <w:pPr>
        <w:pStyle w:val="normal0"/>
        <w:spacing w:after="0" w:line="360" w:lineRule="auto"/>
        <w:jc w:val="both"/>
      </w:pPr>
    </w:p>
    <w:p w:rsidR="002254AF" w:rsidRDefault="002254AF" w:rsidP="00E13305">
      <w:pPr>
        <w:pStyle w:val="normal0"/>
        <w:numPr>
          <w:ilvl w:val="0"/>
          <w:numId w:val="8"/>
        </w:numPr>
        <w:spacing w:after="0" w:line="360" w:lineRule="auto"/>
        <w:jc w:val="both"/>
      </w:pPr>
      <w:r>
        <w:t xml:space="preserve">Health Insurance Market is volatile and highly susceptible to disruption: In January, 2018, Quartz reported that Amazon’s announcement into health care industry erased over $30 billion from the biggest health care companies in the United States </w:t>
      </w:r>
      <w:sdt>
        <w:sdtPr>
          <w:id w:val="25605442"/>
          <w:citation/>
        </w:sdtPr>
        <w:sdtContent>
          <w:fldSimple w:instr=" CITATION Pre18 \l 2057 ">
            <w:r>
              <w:rPr>
                <w:noProof/>
              </w:rPr>
              <w:t>(Preeti, 2018)</w:t>
            </w:r>
          </w:fldSimple>
        </w:sdtContent>
      </w:sdt>
      <w:r>
        <w:t xml:space="preserve"> just two hours after the announcement. This is depicted in the figure below thus:</w:t>
      </w:r>
    </w:p>
    <w:p w:rsidR="002254AF" w:rsidRDefault="002254AF" w:rsidP="002254AF">
      <w:pPr>
        <w:pStyle w:val="normal0"/>
        <w:spacing w:after="0" w:line="360" w:lineRule="auto"/>
        <w:jc w:val="both"/>
      </w:pPr>
    </w:p>
    <w:p w:rsidR="002254AF" w:rsidRPr="007E11A9" w:rsidRDefault="002254AF" w:rsidP="002254AF">
      <w:pPr>
        <w:pStyle w:val="Caption"/>
        <w:rPr>
          <w:sz w:val="22"/>
          <w:szCs w:val="22"/>
        </w:rPr>
      </w:pPr>
      <w:bookmarkStart w:id="63" w:name="_Toc534681874"/>
      <w:r>
        <w:rPr>
          <w:sz w:val="22"/>
          <w:szCs w:val="22"/>
        </w:rPr>
        <w:t>Table</w:t>
      </w:r>
      <w:r w:rsidRPr="007E11A9">
        <w:rPr>
          <w:sz w:val="22"/>
          <w:szCs w:val="22"/>
        </w:rPr>
        <w:t xml:space="preserve"> </w:t>
      </w:r>
      <w:r>
        <w:rPr>
          <w:sz w:val="22"/>
          <w:szCs w:val="22"/>
        </w:rPr>
        <w:fldChar w:fldCharType="begin"/>
      </w:r>
      <w:r>
        <w:rPr>
          <w:sz w:val="22"/>
          <w:szCs w:val="22"/>
        </w:rPr>
        <w:instrText xml:space="preserve"> SEQ Table \* ARABIC </w:instrText>
      </w:r>
      <w:r>
        <w:rPr>
          <w:sz w:val="22"/>
          <w:szCs w:val="22"/>
        </w:rPr>
        <w:fldChar w:fldCharType="separate"/>
      </w:r>
      <w:r>
        <w:rPr>
          <w:noProof/>
          <w:sz w:val="22"/>
          <w:szCs w:val="22"/>
        </w:rPr>
        <w:t>8</w:t>
      </w:r>
      <w:r>
        <w:rPr>
          <w:sz w:val="22"/>
          <w:szCs w:val="22"/>
        </w:rPr>
        <w:fldChar w:fldCharType="end"/>
      </w:r>
      <w:r w:rsidRPr="007E11A9">
        <w:rPr>
          <w:sz w:val="22"/>
          <w:szCs w:val="22"/>
        </w:rPr>
        <w:t>: US Healthcare Company Shares of January 30, 2018</w:t>
      </w:r>
      <w:bookmarkEnd w:id="63"/>
    </w:p>
    <w:p w:rsidR="002254AF" w:rsidRDefault="002254AF" w:rsidP="002254AF">
      <w:pPr>
        <w:pStyle w:val="normal0"/>
        <w:spacing w:after="0" w:line="360" w:lineRule="auto"/>
        <w:jc w:val="both"/>
      </w:pPr>
      <w:r>
        <w:rPr>
          <w:noProof/>
        </w:rPr>
        <w:lastRenderedPageBreak/>
        <w:drawing>
          <wp:inline distT="0" distB="0" distL="0" distR="0">
            <wp:extent cx="5730875" cy="3348990"/>
            <wp:effectExtent l="19050" t="0" r="3175" b="0"/>
            <wp:docPr id="1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srcRect/>
                    <a:stretch>
                      <a:fillRect/>
                    </a:stretch>
                  </pic:blipFill>
                  <pic:spPr bwMode="auto">
                    <a:xfrm>
                      <a:off x="0" y="0"/>
                      <a:ext cx="5730875" cy="3348990"/>
                    </a:xfrm>
                    <a:prstGeom prst="rect">
                      <a:avLst/>
                    </a:prstGeom>
                    <a:noFill/>
                    <a:ln w="9525">
                      <a:noFill/>
                      <a:miter lim="800000"/>
                      <a:headEnd/>
                      <a:tailEnd/>
                    </a:ln>
                  </pic:spPr>
                </pic:pic>
              </a:graphicData>
            </a:graphic>
          </wp:inline>
        </w:drawing>
      </w:r>
    </w:p>
    <w:p w:rsidR="002254AF" w:rsidRDefault="002254AF" w:rsidP="002254AF">
      <w:pPr>
        <w:pStyle w:val="normal0"/>
        <w:spacing w:after="0" w:line="360" w:lineRule="auto"/>
        <w:jc w:val="both"/>
      </w:pPr>
      <w:r w:rsidRPr="007E11A9">
        <w:rPr>
          <w:b/>
        </w:rPr>
        <w:t>SOURCE:</w:t>
      </w:r>
      <w:r>
        <w:t xml:space="preserve"> </w:t>
      </w:r>
      <w:r>
        <w:rPr>
          <w:noProof/>
        </w:rPr>
        <w:t>Preeti</w:t>
      </w:r>
      <w:r>
        <w:t xml:space="preserve"> </w:t>
      </w:r>
      <w:sdt>
        <w:sdtPr>
          <w:id w:val="25605444"/>
          <w:citation/>
        </w:sdtPr>
        <w:sdtContent>
          <w:fldSimple w:instr=" CITATION Pre18 \n  \l 2057  ">
            <w:r>
              <w:rPr>
                <w:noProof/>
              </w:rPr>
              <w:t>(2018)</w:t>
            </w:r>
          </w:fldSimple>
        </w:sdtContent>
      </w:sdt>
      <w:r>
        <w:t xml:space="preserve">  </w:t>
      </w:r>
    </w:p>
    <w:p w:rsidR="002254AF" w:rsidRDefault="002254AF" w:rsidP="002254AF">
      <w:pPr>
        <w:pStyle w:val="normal0"/>
        <w:spacing w:after="0" w:line="360" w:lineRule="auto"/>
        <w:jc w:val="both"/>
      </w:pPr>
    </w:p>
    <w:p w:rsidR="00444220" w:rsidRDefault="002254AF" w:rsidP="00D72BB5">
      <w:pPr>
        <w:pStyle w:val="normal0"/>
        <w:spacing w:after="0" w:line="360" w:lineRule="auto"/>
        <w:ind w:left="426"/>
        <w:jc w:val="both"/>
      </w:pPr>
      <w:r>
        <w:t>Aetna who also posted her earnings few hours before this announcement had its share dropped by over 2%.</w:t>
      </w:r>
      <w:r w:rsidR="00D72BB5">
        <w:t xml:space="preserve"> More so, </w:t>
      </w:r>
      <w:r w:rsidR="00444220">
        <w:t xml:space="preserve">America’s healthcare is believed to be one of the most complexes </w:t>
      </w:r>
      <w:sdt>
        <w:sdtPr>
          <w:id w:val="25605445"/>
          <w:citation/>
        </w:sdtPr>
        <w:sdtContent>
          <w:fldSimple w:instr=" CITATION Del131 \l 2057 ">
            <w:r w:rsidR="00444220">
              <w:rPr>
                <w:noProof/>
              </w:rPr>
              <w:t>(Delloite, 2013)</w:t>
            </w:r>
          </w:fldSimple>
        </w:sdtContent>
      </w:sdt>
      <w:r w:rsidR="00444220">
        <w:t>, expensive and least productive in the world. As such successive governments are towing with policies to change it.</w:t>
      </w:r>
      <w:r w:rsidR="00D72BB5">
        <w:t xml:space="preserve"> This is why it is good to diversify and have good brand image in the mind of the users. Diversity and inclusion policies as explained in two (2) above can help here too.</w:t>
      </w:r>
      <w:r w:rsidR="00444220">
        <w:t xml:space="preserve">  </w:t>
      </w:r>
    </w:p>
    <w:p w:rsidR="00D72BB5" w:rsidRDefault="00D72BB5" w:rsidP="00D72BB5">
      <w:pPr>
        <w:pStyle w:val="normal0"/>
        <w:spacing w:after="0" w:line="360" w:lineRule="auto"/>
        <w:jc w:val="both"/>
      </w:pPr>
    </w:p>
    <w:p w:rsidR="005E2FD6" w:rsidRDefault="00717B50" w:rsidP="005E2FD6">
      <w:pPr>
        <w:pStyle w:val="normal0"/>
        <w:spacing w:line="360" w:lineRule="auto"/>
        <w:jc w:val="both"/>
      </w:pPr>
      <w:r>
        <w:t xml:space="preserve">Having justified the reason why diversity should be continued, </w:t>
      </w:r>
      <w:r w:rsidR="00BD7A76">
        <w:t>would Aetna</w:t>
      </w:r>
      <w:r w:rsidR="005F0ADA">
        <w:t xml:space="preserve"> be good when a </w:t>
      </w:r>
      <w:r w:rsidR="005259C4">
        <w:t>high</w:t>
      </w:r>
      <w:r w:rsidR="005F0ADA">
        <w:t xml:space="preserve"> number of women and other ethnically d</w:t>
      </w:r>
      <w:r w:rsidR="00BD7A76">
        <w:t>iverse people join the</w:t>
      </w:r>
      <w:r w:rsidR="005F0ADA">
        <w:t xml:space="preserve"> company and, as such, make it more diverse?</w:t>
      </w:r>
      <w:r>
        <w:t xml:space="preserve"> </w:t>
      </w:r>
      <w:r w:rsidR="00D43B0D">
        <w:t xml:space="preserve">I’ll say no. Like Milliken </w:t>
      </w:r>
      <w:r w:rsidR="009A4C88">
        <w:t>and</w:t>
      </w:r>
      <w:r w:rsidR="00D43B0D">
        <w:t xml:space="preserve"> Martins (1994</w:t>
      </w:r>
      <w:r w:rsidR="005259C4">
        <w:t>,</w:t>
      </w:r>
      <w:r w:rsidR="00D43B0D">
        <w:t xml:space="preserve"> cited in Ogaga-Oghene &amp; Ehimare 2011 pg. 94)</w:t>
      </w:r>
      <w:r w:rsidR="00BD7A76">
        <w:t xml:space="preserve"> rightly posited, diversity is a double-edged sword with contrasting implication</w:t>
      </w:r>
      <w:r w:rsidR="005E2FD6">
        <w:t>s</w:t>
      </w:r>
      <w:r w:rsidR="00BD7A76">
        <w:t xml:space="preserve">. While it a powerful tool to see to competitive consolidation at Aetna, not managing diversity very well would leave even Aetna worse off. </w:t>
      </w:r>
      <w:r w:rsidR="005E2FD6">
        <w:t>So how can we manage diversity in such a way that it will create an avenue to win the war for talent, improve the quality of decision making, improve innovation and customer insights, increase employee satisfaction, and increase employee global image among others. This provides the basis for answering the ‘how’ question</w:t>
      </w:r>
      <w:r w:rsidR="0063635B">
        <w:t xml:space="preserve"> having moved away from the ‘why’</w:t>
      </w:r>
      <w:r w:rsidR="005C5B87">
        <w:t xml:space="preserve"> question</w:t>
      </w:r>
      <w:r w:rsidR="005E2FD6">
        <w:t xml:space="preserve">.    </w:t>
      </w:r>
    </w:p>
    <w:p w:rsidR="00F9170B" w:rsidRDefault="00A013B8" w:rsidP="00BD7A76">
      <w:pPr>
        <w:pStyle w:val="normal0"/>
        <w:spacing w:line="360" w:lineRule="auto"/>
        <w:jc w:val="both"/>
      </w:pPr>
      <w:r>
        <w:t xml:space="preserve">There are many suggestions as to the D&amp;I policies that can be implemented. I, however, strongly believe that D&amp;I policies need to be unique to each establishment and as such would need to look at the company’s intricacies to craft a workable improvement on the present one. More importantly, I </w:t>
      </w:r>
      <w:r>
        <w:lastRenderedPageBreak/>
        <w:t>found these four guidelines very pivotal to building a better D&amp;I strategy and as such would greatly recommend it.</w:t>
      </w:r>
    </w:p>
    <w:p w:rsidR="00F9170B" w:rsidRPr="00F9170B" w:rsidRDefault="00F9170B" w:rsidP="00F9170B">
      <w:pPr>
        <w:pStyle w:val="Caption"/>
        <w:rPr>
          <w:sz w:val="24"/>
          <w:szCs w:val="24"/>
        </w:rPr>
      </w:pPr>
      <w:bookmarkStart w:id="64" w:name="_Toc534681865"/>
      <w:r w:rsidRPr="00F9170B">
        <w:rPr>
          <w:sz w:val="24"/>
          <w:szCs w:val="24"/>
        </w:rPr>
        <w:t xml:space="preserve">Figure </w:t>
      </w:r>
      <w:r w:rsidRPr="00F9170B">
        <w:rPr>
          <w:sz w:val="24"/>
          <w:szCs w:val="24"/>
        </w:rPr>
        <w:fldChar w:fldCharType="begin"/>
      </w:r>
      <w:r w:rsidRPr="00F9170B">
        <w:rPr>
          <w:sz w:val="24"/>
          <w:szCs w:val="24"/>
        </w:rPr>
        <w:instrText xml:space="preserve"> SEQ Figure \* ARABIC </w:instrText>
      </w:r>
      <w:r w:rsidRPr="00F9170B">
        <w:rPr>
          <w:sz w:val="24"/>
          <w:szCs w:val="24"/>
        </w:rPr>
        <w:fldChar w:fldCharType="separate"/>
      </w:r>
      <w:r w:rsidRPr="00F9170B">
        <w:rPr>
          <w:noProof/>
          <w:sz w:val="24"/>
          <w:szCs w:val="24"/>
        </w:rPr>
        <w:t>1</w:t>
      </w:r>
      <w:r w:rsidRPr="00F9170B">
        <w:rPr>
          <w:sz w:val="24"/>
          <w:szCs w:val="24"/>
        </w:rPr>
        <w:fldChar w:fldCharType="end"/>
      </w:r>
      <w:r w:rsidRPr="00F9170B">
        <w:rPr>
          <w:sz w:val="24"/>
          <w:szCs w:val="24"/>
        </w:rPr>
        <w:t>: Imperative for Building D&amp;I Strategy</w:t>
      </w:r>
      <w:bookmarkEnd w:id="64"/>
    </w:p>
    <w:p w:rsidR="00A013B8" w:rsidRDefault="00A013B8" w:rsidP="00BD7A76">
      <w:pPr>
        <w:pStyle w:val="normal0"/>
        <w:spacing w:line="360" w:lineRule="auto"/>
        <w:jc w:val="both"/>
      </w:pPr>
      <w:r>
        <w:rPr>
          <w:noProof/>
        </w:rPr>
        <w:drawing>
          <wp:inline distT="0" distB="0" distL="0" distR="0">
            <wp:extent cx="5486400" cy="3200400"/>
            <wp:effectExtent l="19050" t="0" r="19050" b="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2" r:lo="rId13" r:qs="rId14" r:cs="rId15"/>
              </a:graphicData>
            </a:graphic>
          </wp:inline>
        </w:drawing>
      </w:r>
      <w:r>
        <w:t xml:space="preserve">.  </w:t>
      </w:r>
    </w:p>
    <w:p w:rsidR="00A013B8" w:rsidRDefault="003770D9" w:rsidP="00BD7A76">
      <w:pPr>
        <w:pStyle w:val="normal0"/>
        <w:spacing w:line="360" w:lineRule="auto"/>
        <w:jc w:val="both"/>
      </w:pPr>
      <w:r w:rsidRPr="003C1E0E">
        <w:rPr>
          <w:b/>
        </w:rPr>
        <w:t>SOURCE:</w:t>
      </w:r>
      <w:r w:rsidR="004656A9" w:rsidRPr="004656A9">
        <w:rPr>
          <w:noProof/>
        </w:rPr>
        <w:t xml:space="preserve"> </w:t>
      </w:r>
      <w:r w:rsidR="004656A9">
        <w:rPr>
          <w:noProof/>
        </w:rPr>
        <w:t>Hunt et al.</w:t>
      </w:r>
      <w:r>
        <w:t xml:space="preserve"> </w:t>
      </w:r>
      <w:r w:rsidR="00453193">
        <w:t>(2018)</w:t>
      </w:r>
    </w:p>
    <w:p w:rsidR="00D72BB5" w:rsidRDefault="00D72BB5" w:rsidP="00BD7A76">
      <w:pPr>
        <w:pStyle w:val="normal0"/>
        <w:spacing w:line="360" w:lineRule="auto"/>
        <w:jc w:val="both"/>
      </w:pPr>
    </w:p>
    <w:p w:rsidR="00982B6F" w:rsidRDefault="00982B6F" w:rsidP="00BD7A76">
      <w:pPr>
        <w:pStyle w:val="normal0"/>
        <w:spacing w:line="360" w:lineRule="auto"/>
        <w:jc w:val="both"/>
      </w:pPr>
      <w:r>
        <w:t xml:space="preserve">Besides letting the above provide a basis for your D&amp;I strategy, I will strongly recommend playing a two-pronged approach to your diversity management. These are the internal diversity management and external diversity management with the intention of increasing the image of the company as one which is truly diversified. </w:t>
      </w:r>
    </w:p>
    <w:p w:rsidR="00982B6F" w:rsidRPr="00982B6F" w:rsidRDefault="00982B6F" w:rsidP="00982B6F">
      <w:pPr>
        <w:pStyle w:val="normal0"/>
        <w:spacing w:after="0" w:line="360" w:lineRule="auto"/>
        <w:jc w:val="both"/>
        <w:rPr>
          <w:rFonts w:asciiTheme="minorHAnsi" w:hAnsiTheme="minorHAnsi"/>
          <w:b/>
        </w:rPr>
      </w:pPr>
      <w:r w:rsidRPr="00982B6F">
        <w:rPr>
          <w:rFonts w:asciiTheme="minorHAnsi" w:hAnsiTheme="minorHAnsi"/>
          <w:b/>
        </w:rPr>
        <w:t>The Internal Diversity Management</w:t>
      </w:r>
    </w:p>
    <w:p w:rsidR="00982B6F" w:rsidRDefault="00982B6F" w:rsidP="00982B6F">
      <w:pPr>
        <w:pStyle w:val="normal0"/>
        <w:spacing w:after="0" w:line="360" w:lineRule="auto"/>
        <w:jc w:val="both"/>
      </w:pPr>
      <w:r>
        <w:t xml:space="preserve">Some of the action </w:t>
      </w:r>
      <w:r w:rsidR="005259C4">
        <w:t>plans that could be adopted</w:t>
      </w:r>
      <w:r>
        <w:t xml:space="preserve"> include:</w:t>
      </w:r>
    </w:p>
    <w:p w:rsidR="0029746F" w:rsidRDefault="00982B6F" w:rsidP="00982B6F">
      <w:pPr>
        <w:pStyle w:val="normal0"/>
        <w:numPr>
          <w:ilvl w:val="0"/>
          <w:numId w:val="21"/>
        </w:numPr>
        <w:spacing w:after="0" w:line="360" w:lineRule="auto"/>
        <w:jc w:val="both"/>
      </w:pPr>
      <w:r>
        <w:t>Constantly show the beauty of diversity among the employees</w:t>
      </w:r>
      <w:r w:rsidR="008817AB">
        <w:t xml:space="preserve">. </w:t>
      </w:r>
      <w:r w:rsidR="00097C73">
        <w:t>This might include diversity campaigns, programs, jingles and fun games among others. This would bring about harmony.</w:t>
      </w:r>
    </w:p>
    <w:p w:rsidR="00097C73" w:rsidRDefault="00097C73" w:rsidP="00982B6F">
      <w:pPr>
        <w:pStyle w:val="normal0"/>
        <w:numPr>
          <w:ilvl w:val="0"/>
          <w:numId w:val="21"/>
        </w:numPr>
        <w:spacing w:after="0" w:line="360" w:lineRule="auto"/>
        <w:jc w:val="both"/>
      </w:pPr>
      <w:r>
        <w:t>Constantly review all members of staff’s opinion on diversity and diversity initiatives and ask them how this could be improved. Make them loved and be open to recommendations.</w:t>
      </w:r>
    </w:p>
    <w:p w:rsidR="00097C73" w:rsidRDefault="00097C73" w:rsidP="00982B6F">
      <w:pPr>
        <w:pStyle w:val="normal0"/>
        <w:numPr>
          <w:ilvl w:val="0"/>
          <w:numId w:val="21"/>
        </w:numPr>
        <w:spacing w:after="0" w:line="360" w:lineRule="auto"/>
        <w:jc w:val="both"/>
      </w:pPr>
      <w:r>
        <w:t>Provide equal opportunity for all staff irrespective of their differences. Let promotions be open and let the criteria for promotions be known to all staff beforehand.</w:t>
      </w:r>
    </w:p>
    <w:p w:rsidR="00097C73" w:rsidRDefault="00097C73" w:rsidP="00982B6F">
      <w:pPr>
        <w:pStyle w:val="normal0"/>
        <w:numPr>
          <w:ilvl w:val="0"/>
          <w:numId w:val="21"/>
        </w:numPr>
        <w:spacing w:after="0" w:line="360" w:lineRule="auto"/>
        <w:jc w:val="both"/>
      </w:pPr>
      <w:r>
        <w:t>Keep a tab on the diversity initiatives and statistics.</w:t>
      </w:r>
    </w:p>
    <w:p w:rsidR="00097C73" w:rsidRDefault="00097C73" w:rsidP="00982B6F">
      <w:pPr>
        <w:pStyle w:val="normal0"/>
        <w:numPr>
          <w:ilvl w:val="0"/>
          <w:numId w:val="21"/>
        </w:numPr>
        <w:spacing w:after="0" w:line="360" w:lineRule="auto"/>
        <w:jc w:val="both"/>
      </w:pPr>
      <w:r>
        <w:t>Celebrate uniqueness in all diversity dimensions – gender, age and ethnicity among others.</w:t>
      </w:r>
    </w:p>
    <w:p w:rsidR="00097C73" w:rsidRDefault="00097C73" w:rsidP="00982B6F">
      <w:pPr>
        <w:pStyle w:val="normal0"/>
        <w:numPr>
          <w:ilvl w:val="0"/>
          <w:numId w:val="21"/>
        </w:numPr>
        <w:spacing w:after="0" w:line="360" w:lineRule="auto"/>
        <w:jc w:val="both"/>
      </w:pPr>
      <w:r>
        <w:lastRenderedPageBreak/>
        <w:t xml:space="preserve">Allow for mentoring and growth.  </w:t>
      </w:r>
    </w:p>
    <w:p w:rsidR="00097C73" w:rsidRDefault="00097C73" w:rsidP="00097C73">
      <w:pPr>
        <w:pStyle w:val="normal0"/>
        <w:spacing w:after="0" w:line="360" w:lineRule="auto"/>
        <w:jc w:val="both"/>
      </w:pPr>
    </w:p>
    <w:p w:rsidR="00097C73" w:rsidRPr="00982B6F" w:rsidRDefault="00097C73" w:rsidP="00097C73">
      <w:pPr>
        <w:pStyle w:val="normal0"/>
        <w:spacing w:after="0" w:line="360" w:lineRule="auto"/>
        <w:jc w:val="both"/>
        <w:rPr>
          <w:rFonts w:asciiTheme="minorHAnsi" w:hAnsiTheme="minorHAnsi"/>
          <w:b/>
        </w:rPr>
      </w:pPr>
      <w:r w:rsidRPr="00982B6F">
        <w:rPr>
          <w:rFonts w:asciiTheme="minorHAnsi" w:hAnsiTheme="minorHAnsi"/>
          <w:b/>
        </w:rPr>
        <w:t xml:space="preserve">The </w:t>
      </w:r>
      <w:r>
        <w:rPr>
          <w:rFonts w:asciiTheme="minorHAnsi" w:hAnsiTheme="minorHAnsi"/>
          <w:b/>
        </w:rPr>
        <w:t>External</w:t>
      </w:r>
      <w:r w:rsidRPr="00982B6F">
        <w:rPr>
          <w:rFonts w:asciiTheme="minorHAnsi" w:hAnsiTheme="minorHAnsi"/>
          <w:b/>
        </w:rPr>
        <w:t xml:space="preserve"> Diversity Management</w:t>
      </w:r>
    </w:p>
    <w:p w:rsidR="00097C73" w:rsidRDefault="00097C73" w:rsidP="00097C73">
      <w:pPr>
        <w:pStyle w:val="normal0"/>
        <w:spacing w:after="0" w:line="360" w:lineRule="auto"/>
        <w:jc w:val="both"/>
      </w:pPr>
      <w:r>
        <w:t>Some of the action plan I would recommend here is</w:t>
      </w:r>
    </w:p>
    <w:p w:rsidR="00097C73" w:rsidRDefault="00097C73" w:rsidP="00097C73">
      <w:pPr>
        <w:pStyle w:val="normal0"/>
        <w:numPr>
          <w:ilvl w:val="0"/>
          <w:numId w:val="22"/>
        </w:numPr>
        <w:spacing w:after="0" w:line="360" w:lineRule="auto"/>
        <w:jc w:val="both"/>
      </w:pPr>
      <w:r>
        <w:t>Mention diversity in all job advertisement and make everyone feel welcome.</w:t>
      </w:r>
    </w:p>
    <w:p w:rsidR="00097C73" w:rsidRDefault="003E4C25" w:rsidP="00097C73">
      <w:pPr>
        <w:pStyle w:val="normal0"/>
        <w:numPr>
          <w:ilvl w:val="0"/>
          <w:numId w:val="22"/>
        </w:numPr>
        <w:spacing w:after="0" w:line="360" w:lineRule="auto"/>
        <w:jc w:val="both"/>
      </w:pPr>
      <w:r>
        <w:t xml:space="preserve">Show diversity to the business environs and become actively involved in diversity networks especially in the local market. This would create a good diversity image (which will constitute a good brand image among minorities in the long run).  </w:t>
      </w:r>
    </w:p>
    <w:p w:rsidR="004D0F17" w:rsidRDefault="00DC2896">
      <w:pPr>
        <w:pStyle w:val="Heading1"/>
        <w:spacing w:line="360" w:lineRule="auto"/>
        <w:jc w:val="both"/>
      </w:pPr>
      <w:bookmarkStart w:id="65" w:name="_Toc534626214"/>
      <w:bookmarkStart w:id="66" w:name="_Toc534667879"/>
      <w:bookmarkStart w:id="67" w:name="_Toc534681858"/>
      <w:r>
        <w:t>SECTION FOUR: SUMMARY AND CONCLUSION</w:t>
      </w:r>
      <w:bookmarkEnd w:id="65"/>
      <w:bookmarkEnd w:id="66"/>
      <w:bookmarkEnd w:id="67"/>
    </w:p>
    <w:p w:rsidR="00E459D6" w:rsidRDefault="003C1E0E" w:rsidP="003C1E0E">
      <w:pPr>
        <w:pStyle w:val="normal0"/>
        <w:spacing w:line="360" w:lineRule="auto"/>
        <w:jc w:val="both"/>
      </w:pPr>
      <w:r>
        <w:t>Having reviewed the cost-benefit analysis of diversity policies of Aetna and understood the industry, it is my firm believe that diversity is good for the company and should be continued. With empirical s</w:t>
      </w:r>
      <w:r w:rsidR="00E459D6">
        <w:t>tudies particu</w:t>
      </w:r>
      <w:r w:rsidR="005259C4">
        <w:t xml:space="preserve">larly showing greater impact of </w:t>
      </w:r>
      <w:r w:rsidR="00E459D6">
        <w:t>ethnic or racial</w:t>
      </w:r>
      <w:r>
        <w:t xml:space="preserve"> diversity in</w:t>
      </w:r>
      <w:r w:rsidR="00E459D6">
        <w:t xml:space="preserve"> the United States, I would recommend that this should be sticked to.</w:t>
      </w:r>
      <w:r>
        <w:t xml:space="preserve"> </w:t>
      </w:r>
    </w:p>
    <w:p w:rsidR="003C1E0E" w:rsidRDefault="003C1E0E" w:rsidP="003C1E0E">
      <w:pPr>
        <w:pStyle w:val="normal0"/>
        <w:spacing w:line="360" w:lineRule="auto"/>
        <w:jc w:val="both"/>
      </w:pPr>
      <w:r>
        <w:t xml:space="preserve">Crafting an effective diversity and inclusion (D&amp;I) strategy is no small effort; it requires dedicated and sincere efforts. But what is more tasking is following through the drafted guidelines. </w:t>
      </w: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p w:rsidR="005259C4" w:rsidRDefault="005259C4" w:rsidP="003C1E0E">
      <w:pPr>
        <w:pStyle w:val="normal0"/>
        <w:spacing w:line="360" w:lineRule="auto"/>
        <w:jc w:val="both"/>
      </w:pPr>
    </w:p>
    <w:sdt>
      <w:sdtPr>
        <w:id w:val="23433988"/>
        <w:docPartObj>
          <w:docPartGallery w:val="Bibliographies"/>
          <w:docPartUnique/>
        </w:docPartObj>
      </w:sdtPr>
      <w:sdtEndPr>
        <w:rPr>
          <w:rFonts w:ascii="Calibri" w:eastAsia="Calibri" w:hAnsi="Calibri" w:cs="Calibri"/>
          <w:b w:val="0"/>
          <w:color w:val="auto"/>
          <w:sz w:val="22"/>
          <w:szCs w:val="22"/>
        </w:rPr>
      </w:sdtEndPr>
      <w:sdtContent>
        <w:bookmarkStart w:id="68" w:name="_Toc534681859" w:displacedByCustomXml="prev"/>
        <w:p w:rsidR="00351788" w:rsidRDefault="00351788">
          <w:pPr>
            <w:pStyle w:val="Heading1"/>
          </w:pPr>
          <w:r>
            <w:t>5.0 REFERENCES</w:t>
          </w:r>
          <w:bookmarkEnd w:id="68"/>
        </w:p>
        <w:sdt>
          <w:sdtPr>
            <w:id w:val="111145805"/>
            <w:bibliography/>
          </w:sdtPr>
          <w:sdtContent>
            <w:p w:rsidR="00351788" w:rsidRDefault="00351788" w:rsidP="00351788">
              <w:pPr>
                <w:pStyle w:val="Bibliography"/>
                <w:rPr>
                  <w:noProof/>
                </w:rPr>
              </w:pPr>
              <w:r>
                <w:fldChar w:fldCharType="begin"/>
              </w:r>
              <w:r>
                <w:instrText xml:space="preserve"> BIBLIOGRAPHY </w:instrText>
              </w:r>
              <w:r>
                <w:fldChar w:fldCharType="separate"/>
              </w:r>
              <w:r>
                <w:rPr>
                  <w:noProof/>
                </w:rPr>
                <w:t xml:space="preserve">Acheson, K. &amp; Maule, C., 2004. Convention on cultural diversity. </w:t>
              </w:r>
              <w:r>
                <w:rPr>
                  <w:i/>
                  <w:iCs/>
                  <w:noProof/>
                </w:rPr>
                <w:t>Journal of Cultural Economics</w:t>
              </w:r>
              <w:r>
                <w:rPr>
                  <w:noProof/>
                </w:rPr>
                <w:t>, 28(4), pp.243 - 256.</w:t>
              </w:r>
            </w:p>
            <w:p w:rsidR="00351788" w:rsidRDefault="00351788" w:rsidP="00351788">
              <w:pPr>
                <w:pStyle w:val="Bibliography"/>
                <w:rPr>
                  <w:noProof/>
                </w:rPr>
              </w:pPr>
              <w:r>
                <w:rPr>
                  <w:noProof/>
                </w:rPr>
                <w:t xml:space="preserve">Aetna Inc., 2018a. </w:t>
              </w:r>
              <w:r>
                <w:rPr>
                  <w:i/>
                  <w:iCs/>
                  <w:noProof/>
                </w:rPr>
                <w:t>Aetna Workplace Diversity</w:t>
              </w:r>
              <w:r>
                <w:rPr>
                  <w:noProof/>
                </w:rPr>
                <w:t xml:space="preserve">. [Online] Available at: </w:t>
              </w:r>
              <w:hyperlink r:id="rId16" w:history="1">
                <w:r>
                  <w:rPr>
                    <w:rStyle w:val="Hyperlink"/>
                    <w:noProof/>
                  </w:rPr>
                  <w:t>https://www.aetna.com/about-us/diversity-inclusion/workplace-diversity.html</w:t>
                </w:r>
              </w:hyperlink>
              <w:r>
                <w:rPr>
                  <w:noProof/>
                </w:rPr>
                <w:t xml:space="preserve"> [Accessed 05 November 2018].</w:t>
              </w:r>
            </w:p>
            <w:p w:rsidR="00351788" w:rsidRDefault="00351788" w:rsidP="00351788">
              <w:pPr>
                <w:pStyle w:val="Bibliography"/>
                <w:rPr>
                  <w:noProof/>
                </w:rPr>
              </w:pPr>
              <w:r>
                <w:rPr>
                  <w:noProof/>
                </w:rPr>
                <w:t xml:space="preserve">Aetna Inc., 2018b. </w:t>
              </w:r>
              <w:r>
                <w:rPr>
                  <w:i/>
                  <w:iCs/>
                  <w:noProof/>
                </w:rPr>
                <w:t>Aetna History</w:t>
              </w:r>
              <w:r>
                <w:rPr>
                  <w:noProof/>
                </w:rPr>
                <w:t xml:space="preserve">. [Online] Available at: </w:t>
              </w:r>
              <w:hyperlink r:id="rId17" w:history="1">
                <w:r>
                  <w:rPr>
                    <w:rStyle w:val="Hyperlink"/>
                    <w:noProof/>
                  </w:rPr>
                  <w:t>https://www.aetna.com/about-us/aetna-history.html</w:t>
                </w:r>
              </w:hyperlink>
              <w:r>
                <w:rPr>
                  <w:noProof/>
                </w:rPr>
                <w:t xml:space="preserve"> [Accessed 05 November 2018].</w:t>
              </w:r>
            </w:p>
            <w:p w:rsidR="00351788" w:rsidRDefault="00351788" w:rsidP="00351788">
              <w:pPr>
                <w:pStyle w:val="Bibliography"/>
                <w:rPr>
                  <w:noProof/>
                </w:rPr>
              </w:pPr>
              <w:r>
                <w:rPr>
                  <w:noProof/>
                </w:rPr>
                <w:t xml:space="preserve">Aetna Inc., 2018b. </w:t>
              </w:r>
              <w:r>
                <w:rPr>
                  <w:i/>
                  <w:iCs/>
                  <w:noProof/>
                </w:rPr>
                <w:t>Aetna Q4 2017 earnings press release</w:t>
              </w:r>
              <w:r>
                <w:rPr>
                  <w:noProof/>
                </w:rPr>
                <w:t xml:space="preserve">. [Online] Aetna Inc. Available at: </w:t>
              </w:r>
              <w:hyperlink r:id="rId18" w:history="1">
                <w:r>
                  <w:rPr>
                    <w:rStyle w:val="Hyperlink"/>
                    <w:noProof/>
                  </w:rPr>
                  <w:t>http://www.aetna.com/investors-aetna/assets/documents/4Q17-earnings-call/4q17earningspressrelease.pdf</w:t>
                </w:r>
              </w:hyperlink>
              <w:r>
                <w:rPr>
                  <w:noProof/>
                </w:rPr>
                <w:t xml:space="preserve"> [Accessed 15 December 2018].</w:t>
              </w:r>
            </w:p>
            <w:p w:rsidR="00351788" w:rsidRDefault="00351788" w:rsidP="00351788">
              <w:pPr>
                <w:pStyle w:val="Bibliography"/>
                <w:rPr>
                  <w:noProof/>
                </w:rPr>
              </w:pPr>
              <w:r>
                <w:rPr>
                  <w:noProof/>
                </w:rPr>
                <w:t xml:space="preserve">Aetna Inc, 2018c. </w:t>
              </w:r>
              <w:r>
                <w:rPr>
                  <w:i/>
                  <w:iCs/>
                  <w:noProof/>
                </w:rPr>
                <w:t>Aetna Supplier Diversity</w:t>
              </w:r>
              <w:r>
                <w:rPr>
                  <w:noProof/>
                </w:rPr>
                <w:t xml:space="preserve">. [Online] Available at: </w:t>
              </w:r>
              <w:hyperlink r:id="rId19" w:history="1">
                <w:r>
                  <w:rPr>
                    <w:rStyle w:val="Hyperlink"/>
                    <w:noProof/>
                  </w:rPr>
                  <w:t>https://www.aetna.com/about-us/diversity-inclusion/supplier-diversity.html</w:t>
                </w:r>
              </w:hyperlink>
              <w:r>
                <w:rPr>
                  <w:noProof/>
                </w:rPr>
                <w:t xml:space="preserve"> [Accessed 28 December 2018].</w:t>
              </w:r>
            </w:p>
            <w:p w:rsidR="00351788" w:rsidRDefault="00351788" w:rsidP="00351788">
              <w:pPr>
                <w:pStyle w:val="Bibliography"/>
                <w:rPr>
                  <w:noProof/>
                </w:rPr>
              </w:pPr>
              <w:r>
                <w:rPr>
                  <w:noProof/>
                </w:rPr>
                <w:t xml:space="preserve">Aetna News, 2018. </w:t>
              </w:r>
              <w:r>
                <w:rPr>
                  <w:i/>
                  <w:iCs/>
                  <w:noProof/>
                </w:rPr>
                <w:t>U.S. Department of Justice will allow CVS Health acquisition of Aetna to proceed</w:t>
              </w:r>
              <w:r>
                <w:rPr>
                  <w:noProof/>
                </w:rPr>
                <w:t xml:space="preserve">. [Online] Available at: </w:t>
              </w:r>
              <w:hyperlink r:id="rId20" w:history="1">
                <w:r>
                  <w:rPr>
                    <w:rStyle w:val="Hyperlink"/>
                    <w:noProof/>
                  </w:rPr>
                  <w:t>https://news.aetna.com/2018/10/u-s-department-of-justice-will-allow-cvs-health-acquisition-of-aetna-to-proceed/</w:t>
                </w:r>
              </w:hyperlink>
              <w:r>
                <w:rPr>
                  <w:noProof/>
                </w:rPr>
                <w:t xml:space="preserve"> [Accessed 25 November 2018].</w:t>
              </w:r>
            </w:p>
            <w:p w:rsidR="00351788" w:rsidRDefault="00351788" w:rsidP="00351788">
              <w:pPr>
                <w:pStyle w:val="Bibliography"/>
                <w:rPr>
                  <w:noProof/>
                </w:rPr>
              </w:pPr>
              <w:r>
                <w:rPr>
                  <w:noProof/>
                </w:rPr>
                <w:t xml:space="preserve">AHA News, 2013. </w:t>
              </w:r>
              <w:r>
                <w:rPr>
                  <w:i/>
                  <w:iCs/>
                  <w:noProof/>
                </w:rPr>
                <w:t>'Bridges Spotlight'</w:t>
              </w:r>
              <w:r>
                <w:rPr>
                  <w:noProof/>
                </w:rPr>
                <w:t xml:space="preserve">. [Online] Available at: </w:t>
              </w:r>
              <w:hyperlink r:id="rId21" w:history="1">
                <w:r>
                  <w:rPr>
                    <w:rStyle w:val="Hyperlink"/>
                    <w:noProof/>
                  </w:rPr>
                  <w:t>https://search-ebscohost-com.ezproxy.uwtsd.ac.uk/login.aspx?direct=true&amp;db=bth&amp;AN=10850236&amp;site=bsi-live</w:t>
                </w:r>
              </w:hyperlink>
              <w:r>
                <w:rPr>
                  <w:noProof/>
                </w:rPr>
                <w:t xml:space="preserve"> [Accessed 7 November 2018].</w:t>
              </w:r>
            </w:p>
            <w:p w:rsidR="00351788" w:rsidRDefault="00351788" w:rsidP="00351788">
              <w:pPr>
                <w:pStyle w:val="Bibliography"/>
                <w:rPr>
                  <w:noProof/>
                </w:rPr>
              </w:pPr>
              <w:r>
                <w:rPr>
                  <w:noProof/>
                </w:rPr>
                <w:t xml:space="preserve">Alesina, A., Harnoss, J. &amp; Rapoport, H., 2016. Birthplace diversity and economic prosperity. </w:t>
              </w:r>
              <w:r>
                <w:rPr>
                  <w:i/>
                  <w:iCs/>
                  <w:noProof/>
                </w:rPr>
                <w:t>Journal of Economic Growth</w:t>
              </w:r>
              <w:r>
                <w:rPr>
                  <w:noProof/>
                </w:rPr>
                <w:t>, 21(2), pp.101 - 138.</w:t>
              </w:r>
            </w:p>
            <w:p w:rsidR="00351788" w:rsidRDefault="00351788" w:rsidP="00351788">
              <w:pPr>
                <w:pStyle w:val="Bibliography"/>
                <w:rPr>
                  <w:noProof/>
                </w:rPr>
              </w:pPr>
              <w:r>
                <w:rPr>
                  <w:noProof/>
                </w:rPr>
                <w:t xml:space="preserve">Ali, M., Carol T, K. &amp; Metz, I., 2011. The gender diversity – performance relationship in services and manufacturing organizations. </w:t>
              </w:r>
              <w:r>
                <w:rPr>
                  <w:i/>
                  <w:iCs/>
                  <w:noProof/>
                </w:rPr>
                <w:t>International Journal of Human Resource Management</w:t>
              </w:r>
              <w:r>
                <w:rPr>
                  <w:noProof/>
                </w:rPr>
                <w:t>, 22(7), pp.1464 – 1485.</w:t>
              </w:r>
            </w:p>
            <w:p w:rsidR="00351788" w:rsidRDefault="00351788" w:rsidP="00351788">
              <w:pPr>
                <w:pStyle w:val="Bibliography"/>
                <w:rPr>
                  <w:noProof/>
                </w:rPr>
              </w:pPr>
              <w:r>
                <w:rPr>
                  <w:noProof/>
                </w:rPr>
                <w:t xml:space="preserve">Arch, G.W., Carol, M.M. &amp; Ogle, A., 2009. </w:t>
              </w:r>
              <w:r>
                <w:rPr>
                  <w:i/>
                  <w:iCs/>
                  <w:noProof/>
                </w:rPr>
                <w:t>Perspectives on cross-cultural, ethnographic, brand image, storytelling, unconscious needs, and hospitality guest research</w:t>
              </w:r>
              <w:r>
                <w:rPr>
                  <w:noProof/>
                </w:rPr>
                <w:t>. 1st ed. Bingley: Emerald.</w:t>
              </w:r>
            </w:p>
            <w:p w:rsidR="00351788" w:rsidRDefault="00351788" w:rsidP="00351788">
              <w:pPr>
                <w:pStyle w:val="Bibliography"/>
                <w:rPr>
                  <w:noProof/>
                </w:rPr>
              </w:pPr>
              <w:r>
                <w:rPr>
                  <w:noProof/>
                </w:rPr>
                <w:t xml:space="preserve">Backes-Gellner, U. &amp; Veen, S., 2013. Positive effects of ageing and age diversity in innovative companies - large-scale empirical evidence on company productivity. </w:t>
              </w:r>
              <w:r>
                <w:rPr>
                  <w:i/>
                  <w:iCs/>
                  <w:noProof/>
                </w:rPr>
                <w:t>Human Resource Management Journal</w:t>
              </w:r>
              <w:r>
                <w:rPr>
                  <w:noProof/>
                </w:rPr>
                <w:t>, 23(3), p.279.</w:t>
              </w:r>
            </w:p>
            <w:p w:rsidR="00351788" w:rsidRDefault="00351788" w:rsidP="00351788">
              <w:pPr>
                <w:pStyle w:val="Bibliography"/>
                <w:rPr>
                  <w:noProof/>
                </w:rPr>
              </w:pPr>
              <w:r>
                <w:rPr>
                  <w:noProof/>
                </w:rPr>
                <w:t xml:space="preserve">Barta, T., Kleiner, M. &amp; Neumann, T., 2012. </w:t>
              </w:r>
              <w:r>
                <w:rPr>
                  <w:i/>
                  <w:iCs/>
                  <w:noProof/>
                </w:rPr>
                <w:t>Is there a payoff from top-team diversity?</w:t>
              </w:r>
              <w:r>
                <w:rPr>
                  <w:noProof/>
                </w:rPr>
                <w:t xml:space="preserve"> [Online] McKinsey Quarterly Available at: </w:t>
              </w:r>
              <w:hyperlink r:id="rId22" w:history="1">
                <w:r>
                  <w:rPr>
                    <w:rStyle w:val="Hyperlink"/>
                    <w:noProof/>
                  </w:rPr>
                  <w:t>https://www.mckinsey.com/business-functions/organization/our-insights/is-there-a-payoff-from-top-team-diversity</w:t>
                </w:r>
              </w:hyperlink>
              <w:r>
                <w:rPr>
                  <w:noProof/>
                </w:rPr>
                <w:t xml:space="preserve"> [Accessed 2 December 2018].</w:t>
              </w:r>
            </w:p>
            <w:p w:rsidR="00351788" w:rsidRDefault="00351788" w:rsidP="00351788">
              <w:pPr>
                <w:pStyle w:val="Bibliography"/>
                <w:rPr>
                  <w:noProof/>
                </w:rPr>
              </w:pPr>
              <w:r>
                <w:rPr>
                  <w:noProof/>
                </w:rPr>
                <w:t xml:space="preserve">Benhamou, F. &amp; Peltier, S., 2007. How should cultural diversity be measured? An application using the French publishing industry. </w:t>
              </w:r>
              <w:r>
                <w:rPr>
                  <w:i/>
                  <w:iCs/>
                  <w:noProof/>
                </w:rPr>
                <w:t xml:space="preserve">Journal of Cultural Economics; New </w:t>
              </w:r>
              <w:r>
                <w:rPr>
                  <w:noProof/>
                </w:rPr>
                <w:t>, 31(2), pp.85 - 107.</w:t>
              </w:r>
            </w:p>
            <w:p w:rsidR="00351788" w:rsidRDefault="00351788" w:rsidP="00351788">
              <w:pPr>
                <w:pStyle w:val="Bibliography"/>
                <w:rPr>
                  <w:noProof/>
                </w:rPr>
              </w:pPr>
              <w:r>
                <w:rPr>
                  <w:noProof/>
                </w:rPr>
                <w:t xml:space="preserve">Boxall, P. &amp; Purcell, J., 2011. </w:t>
              </w:r>
              <w:r>
                <w:rPr>
                  <w:i/>
                  <w:iCs/>
                  <w:noProof/>
                </w:rPr>
                <w:t>Strategy and Human Resource Management</w:t>
              </w:r>
              <w:r>
                <w:rPr>
                  <w:noProof/>
                </w:rPr>
                <w:t>. 3rd ed. Basingstoke: Palgrave.</w:t>
              </w:r>
            </w:p>
            <w:p w:rsidR="00351788" w:rsidRDefault="00351788" w:rsidP="00351788">
              <w:pPr>
                <w:pStyle w:val="Bibliography"/>
                <w:rPr>
                  <w:noProof/>
                </w:rPr>
              </w:pPr>
              <w:r>
                <w:rPr>
                  <w:noProof/>
                </w:rPr>
                <w:t xml:space="preserve">Contractor, F.J., Kundu, S.K. &amp; Hsu, C., 2003. A three-stage theory of international expansion: the link between multinationality and performance in the service sector. </w:t>
              </w:r>
              <w:r>
                <w:rPr>
                  <w:i/>
                  <w:iCs/>
                  <w:noProof/>
                </w:rPr>
                <w:t>Journal of International Business Studies</w:t>
              </w:r>
              <w:r>
                <w:rPr>
                  <w:noProof/>
                </w:rPr>
                <w:t>, 34(3), pp.5-18.</w:t>
              </w:r>
            </w:p>
            <w:p w:rsidR="00351788" w:rsidRDefault="00351788" w:rsidP="00351788">
              <w:pPr>
                <w:pStyle w:val="Bibliography"/>
                <w:rPr>
                  <w:noProof/>
                </w:rPr>
              </w:pPr>
              <w:r>
                <w:rPr>
                  <w:noProof/>
                </w:rPr>
                <w:lastRenderedPageBreak/>
                <w:t xml:space="preserve">Cowen, T., 2002. </w:t>
              </w:r>
              <w:r>
                <w:rPr>
                  <w:i/>
                  <w:iCs/>
                  <w:noProof/>
                </w:rPr>
                <w:t>Creative destruction. How globalization is changing the world’s culture.</w:t>
              </w:r>
              <w:r>
                <w:rPr>
                  <w:noProof/>
                </w:rPr>
                <w:t>. Princeton: Princeton University Press.</w:t>
              </w:r>
            </w:p>
            <w:p w:rsidR="00351788" w:rsidRDefault="00351788" w:rsidP="00351788">
              <w:pPr>
                <w:pStyle w:val="Bibliography"/>
                <w:rPr>
                  <w:noProof/>
                </w:rPr>
              </w:pPr>
              <w:r>
                <w:rPr>
                  <w:noProof/>
                </w:rPr>
                <w:t xml:space="preserve">Delloite Australia, 2013. </w:t>
              </w:r>
              <w:r>
                <w:rPr>
                  <w:i/>
                  <w:iCs/>
                  <w:noProof/>
                </w:rPr>
                <w:t>A new recipe to improve business performance</w:t>
              </w:r>
              <w:r>
                <w:rPr>
                  <w:noProof/>
                </w:rPr>
                <w:t xml:space="preserve">. [Online] Delloite Available at: </w:t>
              </w:r>
              <w:hyperlink r:id="rId23" w:history="1">
                <w:r>
                  <w:rPr>
                    <w:rStyle w:val="Hyperlink"/>
                    <w:noProof/>
                  </w:rPr>
                  <w:t>https://www2.deloitte.com/content/dam/Deloitte/au/Documents/human-capital/deloitte-au-hc-diversity-inclusion-soup-0513.pdf</w:t>
                </w:r>
              </w:hyperlink>
              <w:r>
                <w:rPr>
                  <w:noProof/>
                </w:rPr>
                <w:t xml:space="preserve"> [Accessed 12 November 2018].</w:t>
              </w:r>
            </w:p>
            <w:p w:rsidR="00351788" w:rsidRDefault="00351788" w:rsidP="00351788">
              <w:pPr>
                <w:pStyle w:val="Bibliography"/>
                <w:rPr>
                  <w:noProof/>
                </w:rPr>
              </w:pPr>
              <w:r>
                <w:rPr>
                  <w:noProof/>
                </w:rPr>
                <w:t xml:space="preserve">Delloite, 2013. </w:t>
              </w:r>
              <w:r>
                <w:rPr>
                  <w:i/>
                  <w:iCs/>
                  <w:noProof/>
                </w:rPr>
                <w:t>Health Insurance Market Overview</w:t>
              </w:r>
              <w:r>
                <w:rPr>
                  <w:noProof/>
                </w:rPr>
                <w:t xml:space="preserve">. [Online] Delloite Company Available at: </w:t>
              </w:r>
              <w:hyperlink r:id="rId24" w:history="1">
                <w:r>
                  <w:rPr>
                    <w:rStyle w:val="Hyperlink"/>
                    <w:noProof/>
                  </w:rPr>
                  <w:t>https://www.cdc.gov/publichealthgateway/Program/transformation/docs/health-insurance-overview.pdf</w:t>
                </w:r>
              </w:hyperlink>
              <w:r>
                <w:rPr>
                  <w:noProof/>
                </w:rPr>
                <w:t xml:space="preserve"> [Accessed 26 November 2018].</w:t>
              </w:r>
            </w:p>
            <w:p w:rsidR="00351788" w:rsidRDefault="00351788" w:rsidP="00351788">
              <w:pPr>
                <w:pStyle w:val="Bibliography"/>
                <w:rPr>
                  <w:noProof/>
                </w:rPr>
              </w:pPr>
              <w:r>
                <w:rPr>
                  <w:noProof/>
                </w:rPr>
                <w:t xml:space="preserve">Emi, K., 2014. </w:t>
              </w:r>
              <w:r>
                <w:rPr>
                  <w:i/>
                  <w:iCs/>
                  <w:noProof/>
                </w:rPr>
                <w:t>Apple vs. Samsung: Battle of the innovation strategies</w:t>
              </w:r>
              <w:r>
                <w:rPr>
                  <w:noProof/>
                </w:rPr>
                <w:t xml:space="preserve">. [Online] Available at: </w:t>
              </w:r>
              <w:hyperlink r:id="rId25" w:history="1">
                <w:r>
                  <w:rPr>
                    <w:rStyle w:val="Hyperlink"/>
                    <w:noProof/>
                  </w:rPr>
                  <w:t>http://www.washingtonpost.com/blogs/innovations/post/apple-vs-samsung-battle-of-the-innovation-strategies/2012/11/12/f24d4ae2-2cdc-11e2-89d4-040c9330702a_blog.html</w:t>
                </w:r>
              </w:hyperlink>
              <w:r>
                <w:rPr>
                  <w:noProof/>
                </w:rPr>
                <w:t xml:space="preserve"> [Accessed 23 September 2014].</w:t>
              </w:r>
            </w:p>
            <w:p w:rsidR="00351788" w:rsidRDefault="00351788" w:rsidP="00351788">
              <w:pPr>
                <w:pStyle w:val="Bibliography"/>
                <w:rPr>
                  <w:noProof/>
                </w:rPr>
              </w:pPr>
              <w:r>
                <w:rPr>
                  <w:noProof/>
                </w:rPr>
                <w:t xml:space="preserve">Farnham, D., 2010. </w:t>
              </w:r>
              <w:r>
                <w:rPr>
                  <w:i/>
                  <w:iCs/>
                  <w:noProof/>
                </w:rPr>
                <w:t>Human Resource Management in Context: Strategy, insights and solutions</w:t>
              </w:r>
              <w:r>
                <w:rPr>
                  <w:noProof/>
                </w:rPr>
                <w:t>. London: CIPD.</w:t>
              </w:r>
            </w:p>
            <w:p w:rsidR="00351788" w:rsidRDefault="00351788" w:rsidP="00351788">
              <w:pPr>
                <w:pStyle w:val="Bibliography"/>
                <w:rPr>
                  <w:noProof/>
                </w:rPr>
              </w:pPr>
              <w:r>
                <w:rPr>
                  <w:noProof/>
                </w:rPr>
                <w:t xml:space="preserve">Forbes, 2014. </w:t>
              </w:r>
              <w:r>
                <w:rPr>
                  <w:i/>
                  <w:iCs/>
                  <w:noProof/>
                </w:rPr>
                <w:t>America's Biggest Health Insurance Providers</w:t>
              </w:r>
              <w:r>
                <w:rPr>
                  <w:noProof/>
                </w:rPr>
                <w:t xml:space="preserve">. [Online] Available at: </w:t>
              </w:r>
              <w:hyperlink r:id="rId26" w:anchor="2f4a75d151e5" w:history="1">
                <w:r>
                  <w:rPr>
                    <w:rStyle w:val="Hyperlink"/>
                    <w:noProof/>
                  </w:rPr>
                  <w:t>https://www.forbes.com/pictures/fefi45ejdih/2-anthem/#2f4a75d151e5</w:t>
                </w:r>
              </w:hyperlink>
              <w:r>
                <w:rPr>
                  <w:noProof/>
                </w:rPr>
                <w:t xml:space="preserve"> [Accessed 12 December 2018].</w:t>
              </w:r>
            </w:p>
            <w:p w:rsidR="00351788" w:rsidRDefault="00351788" w:rsidP="00351788">
              <w:pPr>
                <w:pStyle w:val="Bibliography"/>
                <w:rPr>
                  <w:noProof/>
                </w:rPr>
              </w:pPr>
              <w:r>
                <w:rPr>
                  <w:noProof/>
                </w:rPr>
                <w:t xml:space="preserve">Fred, R.D., 2013. </w:t>
              </w:r>
              <w:r>
                <w:rPr>
                  <w:i/>
                  <w:iCs/>
                  <w:noProof/>
                </w:rPr>
                <w:t>Strategic management concepts: a competitive advantage approach</w:t>
              </w:r>
              <w:r>
                <w:rPr>
                  <w:noProof/>
                </w:rPr>
                <w:t>. 14th ed. Boston: Pearson.</w:t>
              </w:r>
            </w:p>
            <w:p w:rsidR="00351788" w:rsidRDefault="00351788" w:rsidP="00351788">
              <w:pPr>
                <w:pStyle w:val="Bibliography"/>
                <w:rPr>
                  <w:noProof/>
                </w:rPr>
              </w:pPr>
              <w:r>
                <w:rPr>
                  <w:noProof/>
                </w:rPr>
                <w:t xml:space="preserve">Gerry, J., Kevan, S. &amp; Richard, W., 2008. </w:t>
              </w:r>
              <w:r>
                <w:rPr>
                  <w:i/>
                  <w:iCs/>
                  <w:noProof/>
                </w:rPr>
                <w:t>Corporate Strategy</w:t>
              </w:r>
              <w:r>
                <w:rPr>
                  <w:noProof/>
                </w:rPr>
                <w:t>. 8th ed. Edinburg: Pearson Education Limited.</w:t>
              </w:r>
            </w:p>
            <w:p w:rsidR="00351788" w:rsidRDefault="00351788" w:rsidP="00351788">
              <w:pPr>
                <w:pStyle w:val="Bibliography"/>
                <w:rPr>
                  <w:noProof/>
                </w:rPr>
              </w:pPr>
              <w:r>
                <w:rPr>
                  <w:noProof/>
                </w:rPr>
                <w:t xml:space="preserve">Hogg, M.A. &amp; Reid, S.A., 2006. Social Identity, Self-Categorization, and theCommunication of Group Norms. </w:t>
              </w:r>
              <w:r>
                <w:rPr>
                  <w:i/>
                  <w:iCs/>
                  <w:noProof/>
                </w:rPr>
                <w:t>Communication Theory</w:t>
              </w:r>
              <w:r>
                <w:rPr>
                  <w:noProof/>
                </w:rPr>
                <w:t>, 16, pp.7 - 30.</w:t>
              </w:r>
            </w:p>
            <w:p w:rsidR="00351788" w:rsidRDefault="00351788" w:rsidP="00351788">
              <w:pPr>
                <w:pStyle w:val="Bibliography"/>
                <w:rPr>
                  <w:noProof/>
                </w:rPr>
              </w:pPr>
              <w:r>
                <w:rPr>
                  <w:noProof/>
                </w:rPr>
                <w:t xml:space="preserve">Hunt, V., Prince, S., Dixon-Fyle, S. &amp; Yee, L., 2018. </w:t>
              </w:r>
              <w:r>
                <w:rPr>
                  <w:i/>
                  <w:iCs/>
                  <w:noProof/>
                </w:rPr>
                <w:t>Delivering Through Diversity</w:t>
              </w:r>
              <w:r>
                <w:rPr>
                  <w:noProof/>
                </w:rPr>
                <w:t xml:space="preserve">. [Online] McKinsey &amp; Company Available at: </w:t>
              </w:r>
              <w:hyperlink r:id="rId27" w:history="1">
                <w:r>
                  <w:rPr>
                    <w:rStyle w:val="Hyperlink"/>
                    <w:noProof/>
                  </w:rPr>
                  <w:t>https://www.mckinsey.com/~/media/mckinsey/business%20functions/organization/our%20insights/delivering%20through%20diversity/delivering-through-diversity_full-report.ashx</w:t>
                </w:r>
              </w:hyperlink>
              <w:r>
                <w:rPr>
                  <w:noProof/>
                </w:rPr>
                <w:t xml:space="preserve"> [Accessed 2 January 2019].</w:t>
              </w:r>
            </w:p>
            <w:p w:rsidR="00351788" w:rsidRDefault="00351788" w:rsidP="00351788">
              <w:pPr>
                <w:pStyle w:val="Bibliography"/>
                <w:rPr>
                  <w:noProof/>
                </w:rPr>
              </w:pPr>
              <w:r>
                <w:rPr>
                  <w:noProof/>
                </w:rPr>
                <w:t xml:space="preserve">IBISWorld, 2018. </w:t>
              </w:r>
              <w:r>
                <w:rPr>
                  <w:i/>
                  <w:iCs/>
                  <w:noProof/>
                </w:rPr>
                <w:t>Health &amp; Medical Insurance Industry in the US</w:t>
              </w:r>
              <w:r>
                <w:rPr>
                  <w:noProof/>
                </w:rPr>
                <w:t xml:space="preserve">. [Online] Available at: </w:t>
              </w:r>
              <w:hyperlink r:id="rId28" w:history="1">
                <w:r>
                  <w:rPr>
                    <w:rStyle w:val="Hyperlink"/>
                    <w:noProof/>
                  </w:rPr>
                  <w:t>https://www.ibisworld.com/industry-trends/market-research-reports/finance-insurance/carriers-related-activities/health-medical-insurance.html</w:t>
                </w:r>
              </w:hyperlink>
              <w:r>
                <w:rPr>
                  <w:noProof/>
                </w:rPr>
                <w:t xml:space="preserve"> [Accessed 12 December 2018].</w:t>
              </w:r>
            </w:p>
            <w:p w:rsidR="00351788" w:rsidRDefault="00351788" w:rsidP="00351788">
              <w:pPr>
                <w:pStyle w:val="Bibliography"/>
                <w:rPr>
                  <w:noProof/>
                </w:rPr>
              </w:pPr>
              <w:r>
                <w:rPr>
                  <w:noProof/>
                </w:rPr>
                <w:t xml:space="preserve">Joshi, A. &amp; Jackson, S.E., 2006. Cross-level Effects of Workplace Diversity on Sales Performance and Pay. </w:t>
              </w:r>
              <w:r>
                <w:rPr>
                  <w:i/>
                  <w:iCs/>
                  <w:noProof/>
                </w:rPr>
                <w:t>The Academy of Management Journal</w:t>
              </w:r>
              <w:r>
                <w:rPr>
                  <w:noProof/>
                </w:rPr>
                <w:t>, 493, pp.459 - 481.</w:t>
              </w:r>
            </w:p>
            <w:p w:rsidR="00351788" w:rsidRDefault="00351788" w:rsidP="00351788">
              <w:pPr>
                <w:pStyle w:val="Bibliography"/>
                <w:rPr>
                  <w:noProof/>
                </w:rPr>
              </w:pPr>
              <w:r>
                <w:rPr>
                  <w:noProof/>
                </w:rPr>
                <w:t xml:space="preserve">Li, J., Chu, C.W.L., Lam, K.C.K. &amp; Liao, S., 2011. Age diversity and firm performance in an emerging economy: Implications for cross-cultural human resource management. </w:t>
              </w:r>
              <w:r>
                <w:rPr>
                  <w:i/>
                  <w:iCs/>
                  <w:noProof/>
                </w:rPr>
                <w:t>Human resource management</w:t>
              </w:r>
              <w:r>
                <w:rPr>
                  <w:noProof/>
                </w:rPr>
                <w:t>, 50(2), p.247.</w:t>
              </w:r>
            </w:p>
            <w:p w:rsidR="00351788" w:rsidRDefault="00351788" w:rsidP="00351788">
              <w:pPr>
                <w:pStyle w:val="Bibliography"/>
                <w:rPr>
                  <w:noProof/>
                </w:rPr>
              </w:pPr>
              <w:r>
                <w:rPr>
                  <w:noProof/>
                </w:rPr>
                <w:t xml:space="preserve">Lockwood, N.R., 2005. Workplace Diversity: Leveraging the Power of Difference for Competitive Advantage. </w:t>
              </w:r>
              <w:r>
                <w:rPr>
                  <w:i/>
                  <w:iCs/>
                  <w:noProof/>
                </w:rPr>
                <w:t>HRMagazine</w:t>
              </w:r>
              <w:r>
                <w:rPr>
                  <w:noProof/>
                </w:rPr>
                <w:t>, 50(6), pp.A1 - A10.</w:t>
              </w:r>
            </w:p>
            <w:p w:rsidR="00351788" w:rsidRDefault="00351788" w:rsidP="00351788">
              <w:pPr>
                <w:pStyle w:val="Bibliography"/>
                <w:rPr>
                  <w:noProof/>
                </w:rPr>
              </w:pPr>
              <w:r>
                <w:rPr>
                  <w:noProof/>
                </w:rPr>
                <w:t xml:space="preserve">Mark, W., 2008. Diversity: the research and the lack of progress. </w:t>
              </w:r>
              <w:r>
                <w:rPr>
                  <w:i/>
                  <w:iCs/>
                  <w:noProof/>
                </w:rPr>
                <w:t>New Library World</w:t>
              </w:r>
              <w:r>
                <w:rPr>
                  <w:noProof/>
                </w:rPr>
                <w:t>, 109(3/ 4), pp.130 - 149.</w:t>
              </w:r>
            </w:p>
            <w:p w:rsidR="00351788" w:rsidRDefault="00351788" w:rsidP="00351788">
              <w:pPr>
                <w:pStyle w:val="Bibliography"/>
                <w:rPr>
                  <w:noProof/>
                </w:rPr>
              </w:pPr>
              <w:r>
                <w:rPr>
                  <w:noProof/>
                </w:rPr>
                <w:lastRenderedPageBreak/>
                <w:t xml:space="preserve">Mateescu, V.M., 2015. Perspective on Diversity Management at Workplace: The European SMEs Case. </w:t>
              </w:r>
              <w:r>
                <w:rPr>
                  <w:i/>
                  <w:iCs/>
                  <w:noProof/>
                </w:rPr>
                <w:t>On - line Journal Modelling the New Europe</w:t>
              </w:r>
              <w:r>
                <w:rPr>
                  <w:noProof/>
                </w:rPr>
                <w:t>, (16), pp.80 - 92.</w:t>
              </w:r>
            </w:p>
            <w:p w:rsidR="00351788" w:rsidRDefault="00351788" w:rsidP="00351788">
              <w:pPr>
                <w:pStyle w:val="Bibliography"/>
                <w:rPr>
                  <w:noProof/>
                </w:rPr>
              </w:pPr>
              <w:r>
                <w:rPr>
                  <w:noProof/>
                </w:rPr>
                <w:t xml:space="preserve">Okoro, E.A. &amp; Washington, M.C., 2012. Workforce Diversity And Organizational Communication: Analysis Of Human Capital Performance And Productivity. </w:t>
              </w:r>
              <w:r>
                <w:rPr>
                  <w:i/>
                  <w:iCs/>
                  <w:noProof/>
                </w:rPr>
                <w:t>Journal of Diversity Management (Online)</w:t>
              </w:r>
              <w:r>
                <w:rPr>
                  <w:noProof/>
                </w:rPr>
                <w:t>, 7(1), pp.57 - 69.</w:t>
              </w:r>
            </w:p>
            <w:p w:rsidR="00351788" w:rsidRDefault="00351788" w:rsidP="00351788">
              <w:pPr>
                <w:pStyle w:val="Bibliography"/>
                <w:rPr>
                  <w:noProof/>
                </w:rPr>
              </w:pPr>
              <w:r>
                <w:rPr>
                  <w:noProof/>
                </w:rPr>
                <w:t xml:space="preserve">Patrick, H.A. &amp; Kumar, V.R., 2012. </w:t>
              </w:r>
              <w:r>
                <w:rPr>
                  <w:i/>
                  <w:iCs/>
                  <w:noProof/>
                </w:rPr>
                <w:t>Managing Workplace Diversity: Issues and Challenges’, SAGE Open</w:t>
              </w:r>
              <w:r>
                <w:rPr>
                  <w:noProof/>
                </w:rPr>
                <w:t xml:space="preserve">. [Online] Sage pub Available at: </w:t>
              </w:r>
              <w:hyperlink r:id="rId29" w:history="1">
                <w:r>
                  <w:rPr>
                    <w:rStyle w:val="Hyperlink"/>
                    <w:noProof/>
                  </w:rPr>
                  <w:t>https://journals.sagepub.com/doi/abs/10.1177/2158244012444615</w:t>
                </w:r>
              </w:hyperlink>
              <w:r>
                <w:rPr>
                  <w:noProof/>
                </w:rPr>
                <w:t xml:space="preserve"> [Accessed 27 December 2018].</w:t>
              </w:r>
            </w:p>
            <w:p w:rsidR="00351788" w:rsidRDefault="00351788" w:rsidP="00351788">
              <w:pPr>
                <w:pStyle w:val="Bibliography"/>
                <w:rPr>
                  <w:noProof/>
                </w:rPr>
              </w:pPr>
              <w:r>
                <w:rPr>
                  <w:noProof/>
                </w:rPr>
                <w:t xml:space="preserve">People Management, 2017. </w:t>
              </w:r>
              <w:r>
                <w:rPr>
                  <w:i/>
                  <w:iCs/>
                  <w:noProof/>
                </w:rPr>
                <w:t>Diversity drives better decisions</w:t>
              </w:r>
              <w:r>
                <w:rPr>
                  <w:noProof/>
                </w:rPr>
                <w:t xml:space="preserve">. [Online] PM Editorial Available at: </w:t>
              </w:r>
              <w:hyperlink r:id="rId30" w:history="1">
                <w:r>
                  <w:rPr>
                    <w:rStyle w:val="Hyperlink"/>
                    <w:noProof/>
                  </w:rPr>
                  <w:t>https://www.peoplemanagement.co.uk/experts/research/diversity-drives-better-decisions</w:t>
                </w:r>
              </w:hyperlink>
              <w:r>
                <w:rPr>
                  <w:noProof/>
                </w:rPr>
                <w:t xml:space="preserve"> [Accessed 19 November 2018].</w:t>
              </w:r>
            </w:p>
            <w:p w:rsidR="00351788" w:rsidRDefault="00351788" w:rsidP="00351788">
              <w:pPr>
                <w:pStyle w:val="Bibliography"/>
                <w:rPr>
                  <w:noProof/>
                </w:rPr>
              </w:pPr>
              <w:r>
                <w:rPr>
                  <w:noProof/>
                </w:rPr>
                <w:t xml:space="preserve">Preeti, V., 2018. </w:t>
              </w:r>
              <w:r>
                <w:rPr>
                  <w:i/>
                  <w:iCs/>
                  <w:noProof/>
                </w:rPr>
                <w:t>In just two hours, Amazon erased $30 billion in market value for healthcare’s biggest companies</w:t>
              </w:r>
              <w:r>
                <w:rPr>
                  <w:noProof/>
                </w:rPr>
                <w:t xml:space="preserve">. [Online] Available at: </w:t>
              </w:r>
              <w:hyperlink r:id="rId31" w:history="1">
                <w:r>
                  <w:rPr>
                    <w:rStyle w:val="Hyperlink"/>
                    <w:noProof/>
                  </w:rPr>
                  <w:t>https://qz.com/1192731/amazons-push-into-healthcare-just-cost-the-industry-30-billion-in-market-cap/</w:t>
                </w:r>
              </w:hyperlink>
              <w:r>
                <w:rPr>
                  <w:noProof/>
                </w:rPr>
                <w:t xml:space="preserve"> [Accessed 4 December 2018].</w:t>
              </w:r>
            </w:p>
            <w:p w:rsidR="00351788" w:rsidRDefault="00351788" w:rsidP="00351788">
              <w:pPr>
                <w:pStyle w:val="Bibliography"/>
                <w:rPr>
                  <w:noProof/>
                </w:rPr>
              </w:pPr>
              <w:r>
                <w:rPr>
                  <w:noProof/>
                </w:rPr>
                <w:t xml:space="preserve">Przetacka, Z., 2009. Age diversity - managing age in organizations. </w:t>
              </w:r>
              <w:r>
                <w:rPr>
                  <w:i/>
                  <w:iCs/>
                  <w:noProof/>
                </w:rPr>
                <w:t>Kobieta i Biznes</w:t>
              </w:r>
              <w:r>
                <w:rPr>
                  <w:noProof/>
                </w:rPr>
                <w:t>, 1(4), pp.47 - 52.</w:t>
              </w:r>
            </w:p>
            <w:p w:rsidR="00351788" w:rsidRDefault="00351788" w:rsidP="00351788">
              <w:pPr>
                <w:pStyle w:val="Bibliography"/>
                <w:rPr>
                  <w:noProof/>
                </w:rPr>
              </w:pPr>
              <w:r>
                <w:rPr>
                  <w:noProof/>
                </w:rPr>
                <w:t xml:space="preserve">Rabl, T. &amp; Triana, M.D.C., 2014. Organizational Value for Age Diversity and Potential Applicants' Organizational Attraction: Individual Attitudes Matter. </w:t>
              </w:r>
              <w:r>
                <w:rPr>
                  <w:i/>
                  <w:iCs/>
                  <w:noProof/>
                </w:rPr>
                <w:t>Journal of Business Ethics</w:t>
              </w:r>
              <w:r>
                <w:rPr>
                  <w:noProof/>
                </w:rPr>
                <w:t>, 121(3), pp.403 - 417.</w:t>
              </w:r>
            </w:p>
            <w:p w:rsidR="00351788" w:rsidRDefault="00351788" w:rsidP="00351788">
              <w:pPr>
                <w:pStyle w:val="Bibliography"/>
                <w:rPr>
                  <w:noProof/>
                </w:rPr>
              </w:pPr>
              <w:r>
                <w:rPr>
                  <w:noProof/>
                </w:rPr>
                <w:t xml:space="preserve">Reynolds, A. &amp; Lewis, D., 2017. </w:t>
              </w:r>
              <w:r>
                <w:rPr>
                  <w:i/>
                  <w:iCs/>
                  <w:noProof/>
                </w:rPr>
                <w:t>Teams Solve Problems Faster When They’re More Cognitively Diverse</w:t>
              </w:r>
              <w:r>
                <w:rPr>
                  <w:noProof/>
                </w:rPr>
                <w:t xml:space="preserve">. [Online] Harvard Business Review Available at: </w:t>
              </w:r>
              <w:hyperlink r:id="rId32" w:history="1">
                <w:r>
                  <w:rPr>
                    <w:rStyle w:val="Hyperlink"/>
                    <w:noProof/>
                  </w:rPr>
                  <w:t>https://hbr.org/2017/03/teams-solve-problems-faster-when-theyre-more-cognitively-diverse</w:t>
                </w:r>
              </w:hyperlink>
              <w:r>
                <w:rPr>
                  <w:noProof/>
                </w:rPr>
                <w:t xml:space="preserve"> [Accessed 2 December 2018].</w:t>
              </w:r>
            </w:p>
            <w:p w:rsidR="00351788" w:rsidRDefault="00351788" w:rsidP="00351788">
              <w:pPr>
                <w:pStyle w:val="Bibliography"/>
                <w:rPr>
                  <w:noProof/>
                </w:rPr>
              </w:pPr>
              <w:r>
                <w:rPr>
                  <w:noProof/>
                </w:rPr>
                <w:t xml:space="preserve">Rose, M.W. &amp; Palma-Rivas, N., 1998. Current status and future trends of diversity initiatives in the workplace: Diversity experts' perspective. </w:t>
              </w:r>
              <w:r>
                <w:rPr>
                  <w:i/>
                  <w:iCs/>
                  <w:noProof/>
                </w:rPr>
                <w:t>Human Resource Development Quarterly</w:t>
              </w:r>
              <w:r>
                <w:rPr>
                  <w:noProof/>
                </w:rPr>
                <w:t>, 9(3), pp.235 - 253.</w:t>
              </w:r>
            </w:p>
            <w:p w:rsidR="00351788" w:rsidRDefault="00351788" w:rsidP="00351788">
              <w:pPr>
                <w:pStyle w:val="Bibliography"/>
                <w:rPr>
                  <w:noProof/>
                </w:rPr>
              </w:pPr>
              <w:r>
                <w:rPr>
                  <w:noProof/>
                </w:rPr>
                <w:t xml:space="preserve">Sharma, U., 2016. Managing Diversity and Cultural Differences at Workplace. </w:t>
              </w:r>
              <w:r>
                <w:rPr>
                  <w:i/>
                  <w:iCs/>
                  <w:noProof/>
                </w:rPr>
                <w:t>IPE Journal of Management</w:t>
              </w:r>
              <w:r>
                <w:rPr>
                  <w:noProof/>
                </w:rPr>
                <w:t>, 6(2), pp.63 - 79.</w:t>
              </w:r>
            </w:p>
            <w:p w:rsidR="00351788" w:rsidRDefault="00351788" w:rsidP="00351788">
              <w:pPr>
                <w:pStyle w:val="Bibliography"/>
                <w:rPr>
                  <w:noProof/>
                </w:rPr>
              </w:pPr>
              <w:r>
                <w:rPr>
                  <w:noProof/>
                </w:rPr>
                <w:t xml:space="preserve">SHRM, 2016. </w:t>
              </w:r>
              <w:r>
                <w:rPr>
                  <w:i/>
                  <w:iCs/>
                  <w:noProof/>
                </w:rPr>
                <w:t>Introduction of Diversity</w:t>
              </w:r>
              <w:r>
                <w:rPr>
                  <w:noProof/>
                </w:rPr>
                <w:t xml:space="preserve">. [Online] Available at: </w:t>
              </w:r>
              <w:hyperlink r:id="rId33" w:history="1">
                <w:r>
                  <w:rPr>
                    <w:rStyle w:val="Hyperlink"/>
                    <w:noProof/>
                  </w:rPr>
                  <w:t>https://www.shrm.org/resourcesandtools/tools-and-samples/toolkits/pages/introdiversity.aspx</w:t>
                </w:r>
              </w:hyperlink>
              <w:r>
                <w:rPr>
                  <w:noProof/>
                </w:rPr>
                <w:t xml:space="preserve"> [Accessed 07 November 2018].</w:t>
              </w:r>
            </w:p>
            <w:p w:rsidR="00351788" w:rsidRDefault="00351788" w:rsidP="00351788">
              <w:pPr>
                <w:pStyle w:val="Bibliography"/>
                <w:rPr>
                  <w:noProof/>
                </w:rPr>
              </w:pPr>
              <w:r>
                <w:rPr>
                  <w:noProof/>
                </w:rPr>
                <w:t xml:space="preserve">SHRM, 2017. </w:t>
              </w:r>
              <w:r>
                <w:rPr>
                  <w:i/>
                  <w:iCs/>
                  <w:noProof/>
                </w:rPr>
                <w:t>SHRM's Definition of Diversity</w:t>
              </w:r>
              <w:r>
                <w:rPr>
                  <w:noProof/>
                </w:rPr>
                <w:t xml:space="preserve">. [Online] Society for Human Resources Management Available at: </w:t>
              </w:r>
              <w:hyperlink r:id="rId34" w:history="1">
                <w:r>
                  <w:rPr>
                    <w:rStyle w:val="Hyperlink"/>
                    <w:noProof/>
                  </w:rPr>
                  <w:t>https://community.shrm.org/HigherLogic/System/DownloadDocumentFile.ashx?DocumentFileKey=260d230d-1c63-4ded-8405-eb25fbfde830</w:t>
                </w:r>
              </w:hyperlink>
              <w:r>
                <w:rPr>
                  <w:noProof/>
                </w:rPr>
                <w:t xml:space="preserve"> [Accessed 06 November 2018].</w:t>
              </w:r>
            </w:p>
            <w:p w:rsidR="00351788" w:rsidRDefault="00351788" w:rsidP="00351788">
              <w:pPr>
                <w:pStyle w:val="Bibliography"/>
                <w:rPr>
                  <w:noProof/>
                </w:rPr>
              </w:pPr>
              <w:r>
                <w:rPr>
                  <w:noProof/>
                </w:rPr>
                <w:t xml:space="preserve">Soni, V., 2000. A twenty-first century reception for diversity in the public sector: A case study. </w:t>
              </w:r>
              <w:r>
                <w:rPr>
                  <w:i/>
                  <w:iCs/>
                  <w:noProof/>
                </w:rPr>
                <w:t>Public administration review</w:t>
              </w:r>
              <w:r>
                <w:rPr>
                  <w:noProof/>
                </w:rPr>
                <w:t>, 60(5), pp.395 - 408.</w:t>
              </w:r>
            </w:p>
            <w:p w:rsidR="00351788" w:rsidRDefault="00351788" w:rsidP="00351788">
              <w:pPr>
                <w:pStyle w:val="Bibliography"/>
                <w:rPr>
                  <w:noProof/>
                </w:rPr>
              </w:pPr>
              <w:r>
                <w:rPr>
                  <w:noProof/>
                </w:rPr>
                <w:t xml:space="preserve">Stancey, R.D., 2007. Strategic Management and Organizational Dynamics. </w:t>
              </w:r>
              <w:r>
                <w:rPr>
                  <w:i/>
                  <w:iCs/>
                  <w:noProof/>
                </w:rPr>
                <w:t>International Journal of Strategy and Organizational Dynamics</w:t>
              </w:r>
              <w:r>
                <w:rPr>
                  <w:noProof/>
                </w:rPr>
                <w:t>, 5(8), pp.23-27.</w:t>
              </w:r>
            </w:p>
            <w:p w:rsidR="00351788" w:rsidRDefault="00351788" w:rsidP="00351788">
              <w:pPr>
                <w:pStyle w:val="Bibliography"/>
                <w:rPr>
                  <w:noProof/>
                </w:rPr>
              </w:pPr>
              <w:r>
                <w:rPr>
                  <w:noProof/>
                </w:rPr>
                <w:t xml:space="preserve">Tanikawa, T., Kim, S. &amp; Jung, Y., 2017. Top management team diversity and firm performance: exploring a function of age. </w:t>
              </w:r>
              <w:r>
                <w:rPr>
                  <w:i/>
                  <w:iCs/>
                  <w:noProof/>
                </w:rPr>
                <w:t>Team Performance Management</w:t>
              </w:r>
              <w:r>
                <w:rPr>
                  <w:noProof/>
                </w:rPr>
                <w:t>, 23(3), pp.156 - 170.</w:t>
              </w:r>
            </w:p>
            <w:p w:rsidR="00351788" w:rsidRDefault="00351788" w:rsidP="00351788">
              <w:pPr>
                <w:pStyle w:val="Bibliography"/>
                <w:rPr>
                  <w:noProof/>
                </w:rPr>
              </w:pPr>
              <w:r>
                <w:rPr>
                  <w:noProof/>
                </w:rPr>
                <w:lastRenderedPageBreak/>
                <w:t xml:space="preserve">Turner, J.C., 1985. Social categorization and the self-concept: A social cognitive theory of group behavior. </w:t>
              </w:r>
              <w:r>
                <w:rPr>
                  <w:i/>
                  <w:iCs/>
                  <w:noProof/>
                </w:rPr>
                <w:t>Advances in Group Processes</w:t>
              </w:r>
              <w:r>
                <w:rPr>
                  <w:noProof/>
                </w:rPr>
                <w:t>, 2, pp.77 - 122.</w:t>
              </w:r>
            </w:p>
            <w:p w:rsidR="00351788" w:rsidRDefault="00351788" w:rsidP="00351788">
              <w:pPr>
                <w:pStyle w:val="Bibliography"/>
                <w:rPr>
                  <w:noProof/>
                </w:rPr>
              </w:pPr>
              <w:r>
                <w:rPr>
                  <w:noProof/>
                </w:rPr>
                <w:t xml:space="preserve">US Census Bureau Board, 2012. </w:t>
              </w:r>
              <w:r>
                <w:rPr>
                  <w:i/>
                  <w:iCs/>
                  <w:noProof/>
                </w:rPr>
                <w:t>U.S. Census Bureau Projections Show a Slower Growing, Older, More Diverse Nation a Half Century from Now</w:t>
              </w:r>
              <w:r>
                <w:rPr>
                  <w:noProof/>
                </w:rPr>
                <w:t xml:space="preserve">. [Online] Available at: </w:t>
              </w:r>
              <w:hyperlink r:id="rId35" w:history="1">
                <w:r>
                  <w:rPr>
                    <w:rStyle w:val="Hyperlink"/>
                    <w:noProof/>
                  </w:rPr>
                  <w:t>https://www.census.gov/newsroom/releases/archives/population/cb12-243.html</w:t>
                </w:r>
              </w:hyperlink>
              <w:r>
                <w:rPr>
                  <w:noProof/>
                </w:rPr>
                <w:t xml:space="preserve"> [Accessed 12 November 2018].</w:t>
              </w:r>
            </w:p>
            <w:p w:rsidR="00351788" w:rsidRDefault="00351788" w:rsidP="00351788">
              <w:pPr>
                <w:pStyle w:val="Bibliography"/>
                <w:rPr>
                  <w:noProof/>
                </w:rPr>
              </w:pPr>
              <w:r>
                <w:rPr>
                  <w:noProof/>
                </w:rPr>
                <w:t xml:space="preserve">WEF, 2018. </w:t>
              </w:r>
              <w:r>
                <w:rPr>
                  <w:i/>
                  <w:iCs/>
                  <w:noProof/>
                </w:rPr>
                <w:t>World Economic Forum Website</w:t>
              </w:r>
              <w:r>
                <w:rPr>
                  <w:noProof/>
                </w:rPr>
                <w:t xml:space="preserve">. [Online] Available at: </w:t>
              </w:r>
              <w:hyperlink r:id="rId36" w:history="1">
                <w:r>
                  <w:rPr>
                    <w:rStyle w:val="Hyperlink"/>
                    <w:noProof/>
                  </w:rPr>
                  <w:t>http://www3.weforum.org/docs/WEF_GGGR_2018.pdf</w:t>
                </w:r>
              </w:hyperlink>
              <w:r>
                <w:rPr>
                  <w:noProof/>
                </w:rPr>
                <w:t xml:space="preserve"> [Accessed 19 November 2018].</w:t>
              </w:r>
            </w:p>
            <w:p w:rsidR="00351788" w:rsidRDefault="00351788" w:rsidP="00351788">
              <w:r>
                <w:fldChar w:fldCharType="end"/>
              </w:r>
            </w:p>
          </w:sdtContent>
        </w:sdt>
      </w:sdtContent>
    </w:sdt>
    <w:p w:rsidR="004D0F17" w:rsidRDefault="004D0F17">
      <w:pPr>
        <w:pStyle w:val="normal0"/>
      </w:pPr>
    </w:p>
    <w:p w:rsidR="004D0F17" w:rsidRDefault="004D0F17">
      <w:pPr>
        <w:pStyle w:val="normal0"/>
      </w:pPr>
    </w:p>
    <w:p w:rsidR="004D0F17" w:rsidRDefault="00DC2896">
      <w:pPr>
        <w:pStyle w:val="Heading1"/>
        <w:spacing w:line="360" w:lineRule="auto"/>
        <w:jc w:val="both"/>
      </w:pPr>
      <w:bookmarkStart w:id="69" w:name="_Toc534626216"/>
      <w:bookmarkStart w:id="70" w:name="_Toc534667881"/>
      <w:bookmarkStart w:id="71" w:name="_Toc534681860"/>
      <w:r>
        <w:t>6.0 BIBLIOGRAPHY</w:t>
      </w:r>
      <w:bookmarkEnd w:id="69"/>
      <w:bookmarkEnd w:id="70"/>
      <w:bookmarkEnd w:id="71"/>
    </w:p>
    <w:p w:rsidR="005C0379" w:rsidRDefault="005C0379" w:rsidP="00791B2C">
      <w:pPr>
        <w:pStyle w:val="normal0"/>
        <w:spacing w:line="360" w:lineRule="auto"/>
        <w:jc w:val="both"/>
        <w:rPr>
          <w:sz w:val="24"/>
          <w:szCs w:val="24"/>
        </w:rPr>
      </w:pPr>
    </w:p>
    <w:p w:rsidR="00791B2C" w:rsidRPr="00791B2C" w:rsidRDefault="00791B2C" w:rsidP="00791B2C">
      <w:pPr>
        <w:pStyle w:val="normal0"/>
        <w:spacing w:line="360" w:lineRule="auto"/>
        <w:jc w:val="both"/>
        <w:rPr>
          <w:sz w:val="24"/>
          <w:szCs w:val="24"/>
        </w:rPr>
      </w:pPr>
      <w:r w:rsidRPr="00791B2C">
        <w:rPr>
          <w:sz w:val="24"/>
          <w:szCs w:val="24"/>
        </w:rPr>
        <w:t>Farnham, D., (2010) Human Resource Management in Context: Strategy, insights and solutions, London: CIPD.</w:t>
      </w:r>
    </w:p>
    <w:p w:rsidR="00791B2C" w:rsidRPr="00791B2C" w:rsidRDefault="00791B2C" w:rsidP="00791B2C">
      <w:pPr>
        <w:pStyle w:val="normal0"/>
        <w:spacing w:line="360" w:lineRule="auto"/>
        <w:jc w:val="both"/>
        <w:rPr>
          <w:sz w:val="24"/>
          <w:szCs w:val="24"/>
        </w:rPr>
      </w:pPr>
      <w:r w:rsidRPr="00791B2C">
        <w:rPr>
          <w:sz w:val="24"/>
          <w:szCs w:val="24"/>
        </w:rPr>
        <w:t>Taylor, S., (2011) Human Resource Management: Contemporary Trends and Future Agendas, London: CIPD</w:t>
      </w:r>
    </w:p>
    <w:p w:rsidR="004D0F17" w:rsidRDefault="004D0F17" w:rsidP="00791B2C">
      <w:pPr>
        <w:pStyle w:val="normal0"/>
        <w:spacing w:line="360" w:lineRule="auto"/>
        <w:jc w:val="both"/>
      </w:pPr>
    </w:p>
    <w:p w:rsidR="004D0F17" w:rsidRDefault="004D0F17">
      <w:pPr>
        <w:pStyle w:val="normal0"/>
      </w:pPr>
    </w:p>
    <w:p w:rsidR="004D0F17" w:rsidRDefault="004D0F17">
      <w:pPr>
        <w:pStyle w:val="normal0"/>
      </w:pPr>
    </w:p>
    <w:p w:rsidR="004D0F17" w:rsidRDefault="004D0F17">
      <w:pPr>
        <w:pStyle w:val="normal0"/>
      </w:pPr>
    </w:p>
    <w:p w:rsidR="004D0F17" w:rsidRDefault="004D0F17">
      <w:pPr>
        <w:pStyle w:val="normal0"/>
      </w:pPr>
    </w:p>
    <w:p w:rsidR="004D0F17" w:rsidRDefault="004D0F17">
      <w:pPr>
        <w:pStyle w:val="normal0"/>
      </w:pPr>
    </w:p>
    <w:p w:rsidR="004D0F17" w:rsidRDefault="004D0F17">
      <w:pPr>
        <w:pStyle w:val="normal0"/>
      </w:pPr>
    </w:p>
    <w:p w:rsidR="004D0F17" w:rsidRDefault="004D0F17">
      <w:pPr>
        <w:pStyle w:val="normal0"/>
      </w:pPr>
    </w:p>
    <w:p w:rsidR="004D0F17" w:rsidRDefault="004D0F17">
      <w:pPr>
        <w:pStyle w:val="normal0"/>
      </w:pPr>
    </w:p>
    <w:p w:rsidR="005C0379" w:rsidRDefault="005C0379">
      <w:pPr>
        <w:pStyle w:val="normal0"/>
      </w:pPr>
    </w:p>
    <w:p w:rsidR="005C0379" w:rsidRDefault="005C0379">
      <w:pPr>
        <w:pStyle w:val="normal0"/>
      </w:pPr>
    </w:p>
    <w:p w:rsidR="005C0379" w:rsidRDefault="005C0379">
      <w:pPr>
        <w:pStyle w:val="normal0"/>
      </w:pPr>
    </w:p>
    <w:p w:rsidR="004D0F17" w:rsidRDefault="00DC2896">
      <w:pPr>
        <w:pStyle w:val="Heading1"/>
        <w:spacing w:line="360" w:lineRule="auto"/>
        <w:jc w:val="both"/>
      </w:pPr>
      <w:bookmarkStart w:id="72" w:name="_Toc534626217"/>
      <w:bookmarkStart w:id="73" w:name="_Toc534667882"/>
      <w:bookmarkStart w:id="74" w:name="_Toc534681861"/>
      <w:r>
        <w:lastRenderedPageBreak/>
        <w:t xml:space="preserve">7.0 </w:t>
      </w:r>
      <w:r w:rsidR="00B3129B">
        <w:t>APPENDIX</w:t>
      </w:r>
      <w:bookmarkEnd w:id="72"/>
      <w:bookmarkEnd w:id="73"/>
      <w:bookmarkEnd w:id="74"/>
    </w:p>
    <w:p w:rsidR="004D0F17" w:rsidRDefault="00DC2896">
      <w:pPr>
        <w:pStyle w:val="Heading2"/>
        <w:spacing w:line="360" w:lineRule="auto"/>
        <w:jc w:val="both"/>
      </w:pPr>
      <w:bookmarkStart w:id="75" w:name="_Toc534626218"/>
      <w:bookmarkStart w:id="76" w:name="_Toc534667883"/>
      <w:bookmarkStart w:id="77" w:name="_Toc534681862"/>
      <w:r>
        <w:t xml:space="preserve">6.1 </w:t>
      </w:r>
      <w:r w:rsidR="006267BF">
        <w:t>CENSUS BUREAU BOARD BREAKDOWN OF US</w:t>
      </w:r>
      <w:r>
        <w:t xml:space="preserve"> POPULATION PROJECTION</w:t>
      </w:r>
      <w:bookmarkEnd w:id="76"/>
      <w:bookmarkEnd w:id="77"/>
      <w:r>
        <w:t xml:space="preserve"> </w:t>
      </w:r>
      <w:bookmarkEnd w:id="75"/>
    </w:p>
    <w:p w:rsidR="004D0F17" w:rsidRDefault="00351788">
      <w:pPr>
        <w:pStyle w:val="normal0"/>
      </w:pPr>
      <w:r>
        <w:rPr>
          <w:noProof/>
        </w:rPr>
        <w:drawing>
          <wp:inline distT="0" distB="0" distL="0" distR="0">
            <wp:extent cx="5730875" cy="4582795"/>
            <wp:effectExtent l="19050" t="0" r="3175" b="0"/>
            <wp:docPr id="16"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37"/>
                    <a:srcRect/>
                    <a:stretch>
                      <a:fillRect/>
                    </a:stretch>
                  </pic:blipFill>
                  <pic:spPr bwMode="auto">
                    <a:xfrm>
                      <a:off x="0" y="0"/>
                      <a:ext cx="5730875" cy="4582795"/>
                    </a:xfrm>
                    <a:prstGeom prst="rect">
                      <a:avLst/>
                    </a:prstGeom>
                    <a:noFill/>
                    <a:ln w="9525">
                      <a:noFill/>
                      <a:miter lim="800000"/>
                      <a:headEnd/>
                      <a:tailEnd/>
                    </a:ln>
                  </pic:spPr>
                </pic:pic>
              </a:graphicData>
            </a:graphic>
          </wp:inline>
        </w:drawing>
      </w:r>
    </w:p>
    <w:p w:rsidR="004D0F17" w:rsidRDefault="004D0F17">
      <w:pPr>
        <w:pStyle w:val="normal0"/>
      </w:pPr>
    </w:p>
    <w:p w:rsidR="004D0F17" w:rsidRDefault="004D0F17">
      <w:pPr>
        <w:pStyle w:val="normal0"/>
      </w:pPr>
    </w:p>
    <w:p w:rsidR="004D0F17" w:rsidRDefault="00DC2896">
      <w:pPr>
        <w:pStyle w:val="Heading2"/>
      </w:pPr>
      <w:bookmarkStart w:id="78" w:name="_Toc534626220"/>
      <w:bookmarkStart w:id="79" w:name="_Toc534667884"/>
      <w:bookmarkStart w:id="80" w:name="_Toc534681863"/>
      <w:r>
        <w:lastRenderedPageBreak/>
        <w:t xml:space="preserve">6.2 </w:t>
      </w:r>
      <w:r w:rsidR="003249C6">
        <w:t>GLOBAL GENDER GAP REPORT SCREENSHOT</w:t>
      </w:r>
      <w:bookmarkEnd w:id="78"/>
      <w:bookmarkEnd w:id="79"/>
      <w:r w:rsidR="00351788">
        <w:t>S</w:t>
      </w:r>
      <w:bookmarkEnd w:id="80"/>
    </w:p>
    <w:p w:rsidR="004D0F17" w:rsidRDefault="00005785">
      <w:pPr>
        <w:pStyle w:val="normal0"/>
      </w:pPr>
      <w:r>
        <w:rPr>
          <w:noProof/>
        </w:rPr>
        <w:drawing>
          <wp:inline distT="0" distB="0" distL="0" distR="0">
            <wp:extent cx="5724525" cy="4457700"/>
            <wp:effectExtent l="19050" t="0" r="9525" b="0"/>
            <wp:docPr id="5"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38"/>
                    <a:srcRect/>
                    <a:stretch>
                      <a:fillRect/>
                    </a:stretch>
                  </pic:blipFill>
                  <pic:spPr bwMode="auto">
                    <a:xfrm>
                      <a:off x="0" y="0"/>
                      <a:ext cx="5724525" cy="4457700"/>
                    </a:xfrm>
                    <a:prstGeom prst="rect">
                      <a:avLst/>
                    </a:prstGeom>
                    <a:noFill/>
                    <a:ln w="9525">
                      <a:noFill/>
                      <a:miter lim="800000"/>
                      <a:headEnd/>
                      <a:tailEnd/>
                    </a:ln>
                  </pic:spPr>
                </pic:pic>
              </a:graphicData>
            </a:graphic>
          </wp:inline>
        </w:drawing>
      </w:r>
    </w:p>
    <w:p w:rsidR="004D0F17" w:rsidRDefault="003249C6">
      <w:pPr>
        <w:pStyle w:val="normal0"/>
      </w:pPr>
      <w:r>
        <w:rPr>
          <w:noProof/>
        </w:rPr>
        <w:drawing>
          <wp:inline distT="0" distB="0" distL="0" distR="0">
            <wp:extent cx="5734050" cy="3962400"/>
            <wp:effectExtent l="19050" t="0" r="0" b="0"/>
            <wp:docPr id="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9"/>
                    <a:srcRect/>
                    <a:stretch>
                      <a:fillRect/>
                    </a:stretch>
                  </pic:blipFill>
                  <pic:spPr bwMode="auto">
                    <a:xfrm>
                      <a:off x="0" y="0"/>
                      <a:ext cx="5734050" cy="3962400"/>
                    </a:xfrm>
                    <a:prstGeom prst="rect">
                      <a:avLst/>
                    </a:prstGeom>
                    <a:noFill/>
                    <a:ln w="9525">
                      <a:noFill/>
                      <a:miter lim="800000"/>
                      <a:headEnd/>
                      <a:tailEnd/>
                    </a:ln>
                  </pic:spPr>
                </pic:pic>
              </a:graphicData>
            </a:graphic>
          </wp:inline>
        </w:drawing>
      </w:r>
    </w:p>
    <w:p w:rsidR="00351788" w:rsidRDefault="00351788">
      <w:pPr>
        <w:pStyle w:val="normal0"/>
      </w:pPr>
      <w:r w:rsidRPr="00351788">
        <w:rPr>
          <w:b/>
        </w:rPr>
        <w:lastRenderedPageBreak/>
        <w:t>SOURCE:</w:t>
      </w:r>
      <w:r>
        <w:t xml:space="preserve"> WEF </w:t>
      </w:r>
      <w:sdt>
        <w:sdtPr>
          <w:id w:val="23433989"/>
          <w:citation/>
        </w:sdtPr>
        <w:sdtContent>
          <w:fldSimple w:instr=" CITATION WEF18 \n  \l 2057  ">
            <w:r>
              <w:rPr>
                <w:noProof/>
              </w:rPr>
              <w:t>(The Global Gender Report 2018, 2018)</w:t>
            </w:r>
          </w:fldSimple>
        </w:sdtContent>
      </w:sdt>
    </w:p>
    <w:p w:rsidR="00351788" w:rsidRDefault="00351788">
      <w:pPr>
        <w:pStyle w:val="normal0"/>
      </w:pPr>
    </w:p>
    <w:p w:rsidR="00B3129B" w:rsidRDefault="00B3129B" w:rsidP="00B3129B">
      <w:pPr>
        <w:pStyle w:val="Heading2"/>
        <w:spacing w:line="360" w:lineRule="auto"/>
        <w:jc w:val="both"/>
      </w:pPr>
      <w:bookmarkStart w:id="81" w:name="_Toc534667885"/>
      <w:bookmarkStart w:id="82" w:name="_Toc534681864"/>
      <w:r>
        <w:t>6.3 BCG MATRIX</w:t>
      </w:r>
      <w:bookmarkEnd w:id="81"/>
      <w:bookmarkEnd w:id="82"/>
    </w:p>
    <w:p w:rsidR="00B3129B" w:rsidRDefault="00B3129B">
      <w:pPr>
        <w:pStyle w:val="normal0"/>
      </w:pPr>
      <w:r>
        <w:rPr>
          <w:noProof/>
        </w:rPr>
        <w:drawing>
          <wp:inline distT="0" distB="0" distL="0" distR="0">
            <wp:extent cx="5711825" cy="5711825"/>
            <wp:effectExtent l="19050" t="0" r="3175" b="0"/>
            <wp:docPr id="15" name="Picture 4" descr="https://img.business.com/o/aHR0cHM6Ly93d3cuYnVzaW5lc3NuZXdzZGFpbHkuY29tL2ltYWdlcy9pLzAwMC8wMDcvOTkwL2kwMi9iY2ctbWF0cml4LmpwZz8xNDIyOTg4NjY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https://img.business.com/o/aHR0cHM6Ly93d3cuYnVzaW5lc3NuZXdzZGFpbHkuY29tL2ltYWdlcy9pLzAwMC8wMDcvOTkwL2kwMi9iY2ctbWF0cml4LmpwZz8xNDIyOTg4NjYy"/>
                    <pic:cNvPicPr>
                      <a:picLocks noChangeAspect="1" noChangeArrowheads="1"/>
                    </pic:cNvPicPr>
                  </pic:nvPicPr>
                  <pic:blipFill>
                    <a:blip r:embed="rId40"/>
                    <a:srcRect/>
                    <a:stretch>
                      <a:fillRect/>
                    </a:stretch>
                  </pic:blipFill>
                  <pic:spPr bwMode="auto">
                    <a:xfrm>
                      <a:off x="0" y="0"/>
                      <a:ext cx="5711825" cy="5711825"/>
                    </a:xfrm>
                    <a:prstGeom prst="rect">
                      <a:avLst/>
                    </a:prstGeom>
                    <a:noFill/>
                    <a:ln w="9525">
                      <a:noFill/>
                      <a:miter lim="800000"/>
                      <a:headEnd/>
                      <a:tailEnd/>
                    </a:ln>
                  </pic:spPr>
                </pic:pic>
              </a:graphicData>
            </a:graphic>
          </wp:inline>
        </w:drawing>
      </w:r>
    </w:p>
    <w:p w:rsidR="005C0379" w:rsidRDefault="005C0379">
      <w:pPr>
        <w:pStyle w:val="normal0"/>
      </w:pPr>
      <w:bookmarkStart w:id="83" w:name="_4i7ojhp" w:colFirst="0" w:colLast="0"/>
      <w:bookmarkStart w:id="84" w:name="_7v2spyqn2dcq" w:colFirst="0" w:colLast="0"/>
      <w:bookmarkStart w:id="85" w:name="_n870hntn5px7" w:colFirst="0" w:colLast="0"/>
      <w:bookmarkStart w:id="86" w:name="_1gaicd3llriq" w:colFirst="0" w:colLast="0"/>
      <w:bookmarkStart w:id="87" w:name="_vah5zfwo219w" w:colFirst="0" w:colLast="0"/>
      <w:bookmarkStart w:id="88" w:name="_loo6hjz9oxvp" w:colFirst="0" w:colLast="0"/>
      <w:bookmarkEnd w:id="83"/>
      <w:bookmarkEnd w:id="84"/>
      <w:bookmarkEnd w:id="85"/>
      <w:bookmarkEnd w:id="86"/>
      <w:bookmarkEnd w:id="87"/>
      <w:bookmarkEnd w:id="88"/>
    </w:p>
    <w:sectPr w:rsidR="005C0379" w:rsidSect="00347B78">
      <w:footerReference w:type="default" r:id="rId41"/>
      <w:pgSz w:w="11906" w:h="16838"/>
      <w:pgMar w:top="1276" w:right="1440" w:bottom="1440" w:left="1440" w:header="708" w:footer="708" w:gutter="0"/>
      <w:pgNumType w:start="1"/>
      <w:cols w:space="72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0">
    <w:p w:rsidR="008A63A9" w:rsidRDefault="008A63A9" w:rsidP="004D0F17">
      <w:pPr>
        <w:spacing w:after="0" w:line="240" w:lineRule="auto"/>
      </w:pPr>
      <w:r>
        <w:separator/>
      </w:r>
    </w:p>
  </w:endnote>
  <w:endnote w:type="continuationSeparator" w:id="1">
    <w:p w:rsidR="008A63A9" w:rsidRDefault="008A63A9" w:rsidP="004D0F17">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Noto Sans Symbols">
    <w:altName w:val="Times New Roman"/>
    <w:charset w:val="00"/>
    <w:family w:val="auto"/>
    <w:pitch w:val="default"/>
    <w:sig w:usb0="00000000" w:usb1="00000000" w:usb2="00000000" w:usb3="00000000" w:csb0="00000000"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1788" w:rsidRDefault="00351788">
    <w:pPr>
      <w:pStyle w:val="normal0"/>
      <w:pBdr>
        <w:top w:val="nil"/>
        <w:left w:val="nil"/>
        <w:bottom w:val="nil"/>
        <w:right w:val="nil"/>
        <w:between w:val="nil"/>
      </w:pBdr>
      <w:tabs>
        <w:tab w:val="center" w:pos="4513"/>
        <w:tab w:val="right" w:pos="9026"/>
      </w:tabs>
      <w:spacing w:after="0" w:line="240" w:lineRule="auto"/>
      <w:rPr>
        <w:color w:val="000000"/>
      </w:rPr>
    </w:pPr>
    <w:r>
      <w:rPr>
        <w:noProof/>
        <w:color w:val="000000"/>
      </w:rPr>
      <w:drawing>
        <wp:inline distT="0" distB="0" distL="0" distR="0">
          <wp:extent cx="593364" cy="208383"/>
          <wp:effectExtent l="0" t="0" r="0" b="0"/>
          <wp:docPr id="3"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
                  <a:srcRect/>
                  <a:stretch>
                    <a:fillRect/>
                  </a:stretch>
                </pic:blipFill>
                <pic:spPr>
                  <a:xfrm>
                    <a:off x="0" y="0"/>
                    <a:ext cx="593364" cy="208383"/>
                  </a:xfrm>
                  <a:prstGeom prst="rect">
                    <a:avLst/>
                  </a:prstGeom>
                  <a:ln/>
                </pic:spPr>
              </pic:pic>
            </a:graphicData>
          </a:graphic>
        </wp:inline>
      </w:drawing>
    </w:r>
    <w:r>
      <w:rPr>
        <w:color w:val="000000"/>
      </w:rPr>
      <w:t xml:space="preserve">          The need for a continuously diversified workforce at Aetna Health</w:t>
    </w:r>
    <w:r>
      <w:rPr>
        <w:color w:val="000000"/>
      </w:rPr>
      <w:tab/>
      <w:t xml:space="preserve">Page </w:t>
    </w:r>
    <w:r>
      <w:rPr>
        <w:b/>
        <w:color w:val="000000"/>
      </w:rPr>
      <w:fldChar w:fldCharType="begin"/>
    </w:r>
    <w:r>
      <w:rPr>
        <w:b/>
        <w:color w:val="000000"/>
      </w:rPr>
      <w:instrText>PAGE</w:instrText>
    </w:r>
    <w:r>
      <w:rPr>
        <w:b/>
        <w:color w:val="000000"/>
      </w:rPr>
      <w:fldChar w:fldCharType="separate"/>
    </w:r>
    <w:r w:rsidR="009A4C88">
      <w:rPr>
        <w:b/>
        <w:noProof/>
        <w:color w:val="000000"/>
      </w:rPr>
      <w:t>5</w:t>
    </w:r>
    <w:r>
      <w:rPr>
        <w:b/>
        <w:color w:val="000000"/>
      </w:rPr>
      <w:fldChar w:fldCharType="end"/>
    </w:r>
    <w:r>
      <w:rPr>
        <w:color w:val="000000"/>
      </w:rPr>
      <w:t xml:space="preserve"> of </w:t>
    </w:r>
    <w:r>
      <w:rPr>
        <w:b/>
        <w:color w:val="000000"/>
      </w:rPr>
      <w:fldChar w:fldCharType="begin"/>
    </w:r>
    <w:r>
      <w:rPr>
        <w:b/>
        <w:color w:val="000000"/>
      </w:rPr>
      <w:instrText>NUMPAGES</w:instrText>
    </w:r>
    <w:r>
      <w:rPr>
        <w:b/>
        <w:color w:val="000000"/>
      </w:rPr>
      <w:fldChar w:fldCharType="separate"/>
    </w:r>
    <w:r w:rsidR="009A4C88">
      <w:rPr>
        <w:b/>
        <w:noProof/>
        <w:color w:val="000000"/>
      </w:rPr>
      <w:t>32</w:t>
    </w:r>
    <w:r>
      <w:rPr>
        <w:b/>
        <w:color w:val="000000"/>
      </w:rPr>
      <w:fldChar w:fldCharType="end"/>
    </w:r>
  </w:p>
  <w:p w:rsidR="00351788" w:rsidRDefault="00351788">
    <w:pPr>
      <w:pStyle w:val="normal0"/>
      <w:widowControl w:val="0"/>
      <w:pBdr>
        <w:top w:val="nil"/>
        <w:left w:val="nil"/>
        <w:bottom w:val="nil"/>
        <w:right w:val="nil"/>
        <w:between w:val="nil"/>
      </w:pBdr>
      <w:spacing w:after="0" w:line="276" w:lineRule="auto"/>
      <w:rPr>
        <w:color w:val="000000"/>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0">
    <w:p w:rsidR="008A63A9" w:rsidRDefault="008A63A9" w:rsidP="004D0F17">
      <w:pPr>
        <w:spacing w:after="0" w:line="240" w:lineRule="auto"/>
      </w:pPr>
      <w:r>
        <w:separator/>
      </w:r>
    </w:p>
  </w:footnote>
  <w:footnote w:type="continuationSeparator" w:id="1">
    <w:p w:rsidR="008A63A9" w:rsidRDefault="008A63A9" w:rsidP="004D0F17">
      <w:pPr>
        <w:spacing w:after="0" w:line="240" w:lineRule="auto"/>
      </w:pPr>
      <w:r>
        <w:continuationSeparator/>
      </w:r>
    </w:p>
  </w:footnote>
  <w:footnote w:id="2">
    <w:p w:rsidR="00351788" w:rsidRDefault="00351788">
      <w:pPr>
        <w:pStyle w:val="FootnoteText"/>
      </w:pPr>
      <w:r>
        <w:rPr>
          <w:rStyle w:val="FootnoteReference"/>
        </w:rPr>
        <w:footnoteRef/>
      </w:r>
      <w:r>
        <w:t xml:space="preserve"> Please, see statistics of workplace diversity in one of the previous sections.</w:t>
      </w:r>
    </w:p>
  </w:footnote>
  <w:footnote w:id="3">
    <w:p w:rsidR="00351788" w:rsidRDefault="00351788">
      <w:pPr>
        <w:pStyle w:val="FootnoteText"/>
      </w:pPr>
      <w:r>
        <w:rPr>
          <w:rStyle w:val="FootnoteReference"/>
        </w:rPr>
        <w:footnoteRef/>
      </w:r>
      <w:r>
        <w:t xml:space="preserve"> Please, see assignment documentation</w:t>
      </w:r>
    </w:p>
  </w:footnote>
  <w:footnote w:id="4">
    <w:p w:rsidR="00351788" w:rsidRDefault="00351788">
      <w:pPr>
        <w:pStyle w:val="FootnoteText"/>
      </w:pPr>
      <w:r>
        <w:rPr>
          <w:rStyle w:val="FootnoteReference"/>
        </w:rPr>
        <w:footnoteRef/>
      </w:r>
      <w:r>
        <w:t xml:space="preserve"> Please projections released by the US Census Bureau board in the appendix.</w:t>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65C1525"/>
    <w:multiLevelType w:val="hybridMultilevel"/>
    <w:tmpl w:val="1272DF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0673261C"/>
    <w:multiLevelType w:val="hybridMultilevel"/>
    <w:tmpl w:val="71960DE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10030547"/>
    <w:multiLevelType w:val="multilevel"/>
    <w:tmpl w:val="8CFAFD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nsid w:val="16D21C76"/>
    <w:multiLevelType w:val="multilevel"/>
    <w:tmpl w:val="3A262F0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nsid w:val="258F1017"/>
    <w:multiLevelType w:val="hybridMultilevel"/>
    <w:tmpl w:val="304058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6B47721"/>
    <w:multiLevelType w:val="hybridMultilevel"/>
    <w:tmpl w:val="E5B2802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444F432B"/>
    <w:multiLevelType w:val="hybridMultilevel"/>
    <w:tmpl w:val="D2221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87A3000"/>
    <w:multiLevelType w:val="hybridMultilevel"/>
    <w:tmpl w:val="743A4D7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nsid w:val="495D2EB6"/>
    <w:multiLevelType w:val="hybridMultilevel"/>
    <w:tmpl w:val="5B5A1F7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4B582F4D"/>
    <w:multiLevelType w:val="hybridMultilevel"/>
    <w:tmpl w:val="ADFAFA2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nsid w:val="4DF31663"/>
    <w:multiLevelType w:val="multilevel"/>
    <w:tmpl w:val="35AEAF98"/>
    <w:lvl w:ilvl="0">
      <w:start w:val="1"/>
      <w:numFmt w:val="bullet"/>
      <w:lvlText w:val="●"/>
      <w:lvlJc w:val="left"/>
      <w:pPr>
        <w:ind w:left="720" w:hanging="360"/>
      </w:pPr>
      <w:rPr>
        <w:rFonts w:ascii="Noto Sans Symbols" w:eastAsia="Noto Sans Symbols" w:hAnsi="Noto Sans Symbols" w:cs="Noto Sans Symbols"/>
        <w:sz w:val="20"/>
        <w:szCs w:val="20"/>
      </w:rPr>
    </w:lvl>
    <w:lvl w:ilvl="1">
      <w:start w:val="1"/>
      <w:numFmt w:val="bullet"/>
      <w:lvlText w:val="●"/>
      <w:lvlJc w:val="left"/>
      <w:pPr>
        <w:ind w:left="1440" w:hanging="360"/>
      </w:pPr>
      <w:rPr>
        <w:rFonts w:ascii="Noto Sans Symbols" w:eastAsia="Noto Sans Symbols" w:hAnsi="Noto Sans Symbols" w:cs="Noto Sans Symbols"/>
        <w:sz w:val="20"/>
        <w:szCs w:val="20"/>
      </w:rPr>
    </w:lvl>
    <w:lvl w:ilvl="2">
      <w:start w:val="1"/>
      <w:numFmt w:val="bullet"/>
      <w:lvlText w:val="●"/>
      <w:lvlJc w:val="left"/>
      <w:pPr>
        <w:ind w:left="2160" w:hanging="360"/>
      </w:pPr>
      <w:rPr>
        <w:rFonts w:ascii="Noto Sans Symbols" w:eastAsia="Noto Sans Symbols" w:hAnsi="Noto Sans Symbols" w:cs="Noto Sans Symbols"/>
        <w:sz w:val="20"/>
        <w:szCs w:val="20"/>
      </w:rPr>
    </w:lvl>
    <w:lvl w:ilvl="3">
      <w:start w:val="1"/>
      <w:numFmt w:val="bullet"/>
      <w:lvlText w:val="●"/>
      <w:lvlJc w:val="left"/>
      <w:pPr>
        <w:ind w:left="2880" w:hanging="360"/>
      </w:pPr>
      <w:rPr>
        <w:rFonts w:ascii="Noto Sans Symbols" w:eastAsia="Noto Sans Symbols" w:hAnsi="Noto Sans Symbols" w:cs="Noto Sans Symbols"/>
        <w:sz w:val="20"/>
        <w:szCs w:val="20"/>
      </w:rPr>
    </w:lvl>
    <w:lvl w:ilvl="4">
      <w:start w:val="1"/>
      <w:numFmt w:val="bullet"/>
      <w:lvlText w:val="●"/>
      <w:lvlJc w:val="left"/>
      <w:pPr>
        <w:ind w:left="3600" w:hanging="360"/>
      </w:pPr>
      <w:rPr>
        <w:rFonts w:ascii="Noto Sans Symbols" w:eastAsia="Noto Sans Symbols" w:hAnsi="Noto Sans Symbols" w:cs="Noto Sans Symbols"/>
        <w:sz w:val="20"/>
        <w:szCs w:val="20"/>
      </w:rPr>
    </w:lvl>
    <w:lvl w:ilvl="5">
      <w:start w:val="1"/>
      <w:numFmt w:val="bullet"/>
      <w:lvlText w:val="●"/>
      <w:lvlJc w:val="left"/>
      <w:pPr>
        <w:ind w:left="4320" w:hanging="360"/>
      </w:pPr>
      <w:rPr>
        <w:rFonts w:ascii="Noto Sans Symbols" w:eastAsia="Noto Sans Symbols" w:hAnsi="Noto Sans Symbols" w:cs="Noto Sans Symbols"/>
        <w:sz w:val="20"/>
        <w:szCs w:val="20"/>
      </w:rPr>
    </w:lvl>
    <w:lvl w:ilvl="6">
      <w:start w:val="1"/>
      <w:numFmt w:val="bullet"/>
      <w:lvlText w:val="●"/>
      <w:lvlJc w:val="left"/>
      <w:pPr>
        <w:ind w:left="5040" w:hanging="360"/>
      </w:pPr>
      <w:rPr>
        <w:rFonts w:ascii="Noto Sans Symbols" w:eastAsia="Noto Sans Symbols" w:hAnsi="Noto Sans Symbols" w:cs="Noto Sans Symbols"/>
        <w:sz w:val="20"/>
        <w:szCs w:val="20"/>
      </w:rPr>
    </w:lvl>
    <w:lvl w:ilvl="7">
      <w:start w:val="1"/>
      <w:numFmt w:val="bullet"/>
      <w:lvlText w:val="●"/>
      <w:lvlJc w:val="left"/>
      <w:pPr>
        <w:ind w:left="5760" w:hanging="360"/>
      </w:pPr>
      <w:rPr>
        <w:rFonts w:ascii="Noto Sans Symbols" w:eastAsia="Noto Sans Symbols" w:hAnsi="Noto Sans Symbols" w:cs="Noto Sans Symbols"/>
        <w:sz w:val="20"/>
        <w:szCs w:val="20"/>
      </w:rPr>
    </w:lvl>
    <w:lvl w:ilvl="8">
      <w:start w:val="1"/>
      <w:numFmt w:val="bullet"/>
      <w:lvlText w:val="●"/>
      <w:lvlJc w:val="left"/>
      <w:pPr>
        <w:ind w:left="6480" w:hanging="360"/>
      </w:pPr>
      <w:rPr>
        <w:rFonts w:ascii="Noto Sans Symbols" w:eastAsia="Noto Sans Symbols" w:hAnsi="Noto Sans Symbols" w:cs="Noto Sans Symbols"/>
        <w:sz w:val="20"/>
        <w:szCs w:val="20"/>
      </w:rPr>
    </w:lvl>
  </w:abstractNum>
  <w:abstractNum w:abstractNumId="11">
    <w:nsid w:val="57051B23"/>
    <w:multiLevelType w:val="hybridMultilevel"/>
    <w:tmpl w:val="C8F60F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598C19AF"/>
    <w:multiLevelType w:val="hybridMultilevel"/>
    <w:tmpl w:val="D22212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nsid w:val="59AD79E2"/>
    <w:multiLevelType w:val="hybridMultilevel"/>
    <w:tmpl w:val="719E298E"/>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5F784191"/>
    <w:multiLevelType w:val="multilevel"/>
    <w:tmpl w:val="125234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nsid w:val="634E6683"/>
    <w:multiLevelType w:val="multilevel"/>
    <w:tmpl w:val="157A43D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nsid w:val="67200B0C"/>
    <w:multiLevelType w:val="multilevel"/>
    <w:tmpl w:val="DCC4C91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nsid w:val="6BD046A6"/>
    <w:multiLevelType w:val="hybridMultilevel"/>
    <w:tmpl w:val="285259F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6BF42BE7"/>
    <w:multiLevelType w:val="hybridMultilevel"/>
    <w:tmpl w:val="842E6D5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nsid w:val="6F4E6574"/>
    <w:multiLevelType w:val="multilevel"/>
    <w:tmpl w:val="D8548A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nsid w:val="7DA206BC"/>
    <w:multiLevelType w:val="hybridMultilevel"/>
    <w:tmpl w:val="466281A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7FA825E4"/>
    <w:multiLevelType w:val="hybridMultilevel"/>
    <w:tmpl w:val="B3D2361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3"/>
  </w:num>
  <w:num w:numId="3">
    <w:abstractNumId w:val="10"/>
  </w:num>
  <w:num w:numId="4">
    <w:abstractNumId w:val="15"/>
  </w:num>
  <w:num w:numId="5">
    <w:abstractNumId w:val="16"/>
  </w:num>
  <w:num w:numId="6">
    <w:abstractNumId w:val="19"/>
  </w:num>
  <w:num w:numId="7">
    <w:abstractNumId w:val="14"/>
  </w:num>
  <w:num w:numId="8">
    <w:abstractNumId w:val="18"/>
  </w:num>
  <w:num w:numId="9">
    <w:abstractNumId w:val="13"/>
  </w:num>
  <w:num w:numId="10">
    <w:abstractNumId w:val="21"/>
  </w:num>
  <w:num w:numId="11">
    <w:abstractNumId w:val="17"/>
  </w:num>
  <w:num w:numId="12">
    <w:abstractNumId w:val="12"/>
  </w:num>
  <w:num w:numId="13">
    <w:abstractNumId w:val="6"/>
  </w:num>
  <w:num w:numId="14">
    <w:abstractNumId w:val="11"/>
  </w:num>
  <w:num w:numId="15">
    <w:abstractNumId w:val="9"/>
  </w:num>
  <w:num w:numId="16">
    <w:abstractNumId w:val="1"/>
  </w:num>
  <w:num w:numId="17">
    <w:abstractNumId w:val="4"/>
  </w:num>
  <w:num w:numId="18">
    <w:abstractNumId w:val="20"/>
  </w:num>
  <w:num w:numId="19">
    <w:abstractNumId w:val="7"/>
  </w:num>
  <w:num w:numId="20">
    <w:abstractNumId w:val="8"/>
  </w:num>
  <w:num w:numId="21">
    <w:abstractNumId w:val="0"/>
  </w:num>
  <w:num w:numId="22">
    <w:abstractNumId w:val="5"/>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defaultTabStop w:val="720"/>
  <w:characterSpacingControl w:val="doNotCompress"/>
  <w:footnotePr>
    <w:footnote w:id="0"/>
    <w:footnote w:id="1"/>
  </w:footnotePr>
  <w:endnotePr>
    <w:endnote w:id="0"/>
    <w:endnote w:id="1"/>
  </w:endnotePr>
  <w:compat/>
  <w:rsids>
    <w:rsidRoot w:val="004D0F17"/>
    <w:rsid w:val="00005785"/>
    <w:rsid w:val="00010394"/>
    <w:rsid w:val="00010740"/>
    <w:rsid w:val="00015AAA"/>
    <w:rsid w:val="00032D93"/>
    <w:rsid w:val="0005075E"/>
    <w:rsid w:val="00053401"/>
    <w:rsid w:val="00067CF1"/>
    <w:rsid w:val="00076DCA"/>
    <w:rsid w:val="00094C69"/>
    <w:rsid w:val="00097C73"/>
    <w:rsid w:val="000A59BC"/>
    <w:rsid w:val="001131CB"/>
    <w:rsid w:val="001302C2"/>
    <w:rsid w:val="00137949"/>
    <w:rsid w:val="00163CDC"/>
    <w:rsid w:val="00187D61"/>
    <w:rsid w:val="00190A4E"/>
    <w:rsid w:val="001B22BA"/>
    <w:rsid w:val="001C1FA4"/>
    <w:rsid w:val="001D0885"/>
    <w:rsid w:val="001E2921"/>
    <w:rsid w:val="001F395E"/>
    <w:rsid w:val="001F7E40"/>
    <w:rsid w:val="002254AF"/>
    <w:rsid w:val="002419D8"/>
    <w:rsid w:val="00256ACF"/>
    <w:rsid w:val="00263760"/>
    <w:rsid w:val="00272BB4"/>
    <w:rsid w:val="002779AD"/>
    <w:rsid w:val="00292C74"/>
    <w:rsid w:val="0029746F"/>
    <w:rsid w:val="002A1344"/>
    <w:rsid w:val="002A7CF0"/>
    <w:rsid w:val="002C11D2"/>
    <w:rsid w:val="002D638B"/>
    <w:rsid w:val="002E6941"/>
    <w:rsid w:val="00300836"/>
    <w:rsid w:val="00301935"/>
    <w:rsid w:val="00303100"/>
    <w:rsid w:val="00310B5D"/>
    <w:rsid w:val="003249C6"/>
    <w:rsid w:val="00335623"/>
    <w:rsid w:val="00347B78"/>
    <w:rsid w:val="00351788"/>
    <w:rsid w:val="00354064"/>
    <w:rsid w:val="003770D9"/>
    <w:rsid w:val="00386EA7"/>
    <w:rsid w:val="003928FD"/>
    <w:rsid w:val="003A4EA1"/>
    <w:rsid w:val="003A76DA"/>
    <w:rsid w:val="003C1E0E"/>
    <w:rsid w:val="003C31C2"/>
    <w:rsid w:val="003D1B6A"/>
    <w:rsid w:val="003D585B"/>
    <w:rsid w:val="003E4C25"/>
    <w:rsid w:val="00423A9C"/>
    <w:rsid w:val="004319E6"/>
    <w:rsid w:val="0043740E"/>
    <w:rsid w:val="00443C88"/>
    <w:rsid w:val="00444220"/>
    <w:rsid w:val="00453193"/>
    <w:rsid w:val="00464D2F"/>
    <w:rsid w:val="004656A9"/>
    <w:rsid w:val="004743FB"/>
    <w:rsid w:val="004B56BB"/>
    <w:rsid w:val="004C7219"/>
    <w:rsid w:val="004D0F17"/>
    <w:rsid w:val="00505EB1"/>
    <w:rsid w:val="00506990"/>
    <w:rsid w:val="005143CE"/>
    <w:rsid w:val="00520105"/>
    <w:rsid w:val="005259C4"/>
    <w:rsid w:val="0053068D"/>
    <w:rsid w:val="00534AF1"/>
    <w:rsid w:val="00536CAA"/>
    <w:rsid w:val="00544DA3"/>
    <w:rsid w:val="00546939"/>
    <w:rsid w:val="00551EA1"/>
    <w:rsid w:val="00552E31"/>
    <w:rsid w:val="005631DE"/>
    <w:rsid w:val="00570AEA"/>
    <w:rsid w:val="005730D0"/>
    <w:rsid w:val="0057766B"/>
    <w:rsid w:val="00586252"/>
    <w:rsid w:val="005C0379"/>
    <w:rsid w:val="005C324F"/>
    <w:rsid w:val="005C3C54"/>
    <w:rsid w:val="005C5B87"/>
    <w:rsid w:val="005E2FD6"/>
    <w:rsid w:val="005F0ADA"/>
    <w:rsid w:val="005F0CDF"/>
    <w:rsid w:val="005F3D4F"/>
    <w:rsid w:val="0060341B"/>
    <w:rsid w:val="006267BF"/>
    <w:rsid w:val="00627FEA"/>
    <w:rsid w:val="006348FA"/>
    <w:rsid w:val="0063635B"/>
    <w:rsid w:val="00644E98"/>
    <w:rsid w:val="00647FA9"/>
    <w:rsid w:val="00654024"/>
    <w:rsid w:val="00674393"/>
    <w:rsid w:val="00676626"/>
    <w:rsid w:val="00684F50"/>
    <w:rsid w:val="006F06F3"/>
    <w:rsid w:val="00703E25"/>
    <w:rsid w:val="007150BC"/>
    <w:rsid w:val="00717B50"/>
    <w:rsid w:val="007212AC"/>
    <w:rsid w:val="00740B7D"/>
    <w:rsid w:val="00753647"/>
    <w:rsid w:val="007669B4"/>
    <w:rsid w:val="00773751"/>
    <w:rsid w:val="007824C2"/>
    <w:rsid w:val="007831F2"/>
    <w:rsid w:val="00791B2C"/>
    <w:rsid w:val="00793BA6"/>
    <w:rsid w:val="007A7AD6"/>
    <w:rsid w:val="007C6294"/>
    <w:rsid w:val="007E11A9"/>
    <w:rsid w:val="007E41E0"/>
    <w:rsid w:val="008236F1"/>
    <w:rsid w:val="0083324A"/>
    <w:rsid w:val="00833928"/>
    <w:rsid w:val="0083406A"/>
    <w:rsid w:val="00843FB8"/>
    <w:rsid w:val="00856A95"/>
    <w:rsid w:val="00875682"/>
    <w:rsid w:val="008817AB"/>
    <w:rsid w:val="0088209D"/>
    <w:rsid w:val="00882E56"/>
    <w:rsid w:val="0089083C"/>
    <w:rsid w:val="008A63A9"/>
    <w:rsid w:val="008F680A"/>
    <w:rsid w:val="0090091C"/>
    <w:rsid w:val="0091750D"/>
    <w:rsid w:val="00925FE2"/>
    <w:rsid w:val="00935AFF"/>
    <w:rsid w:val="00943017"/>
    <w:rsid w:val="009450AD"/>
    <w:rsid w:val="009524B7"/>
    <w:rsid w:val="00975883"/>
    <w:rsid w:val="009815C1"/>
    <w:rsid w:val="00982B6F"/>
    <w:rsid w:val="009A4570"/>
    <w:rsid w:val="009A4C88"/>
    <w:rsid w:val="009A5617"/>
    <w:rsid w:val="009A5B2D"/>
    <w:rsid w:val="009A659F"/>
    <w:rsid w:val="009B4D2D"/>
    <w:rsid w:val="009B5AC4"/>
    <w:rsid w:val="009C3859"/>
    <w:rsid w:val="009E2F85"/>
    <w:rsid w:val="009E3A0F"/>
    <w:rsid w:val="00A013B8"/>
    <w:rsid w:val="00A01733"/>
    <w:rsid w:val="00A33433"/>
    <w:rsid w:val="00A33FC9"/>
    <w:rsid w:val="00A56A7A"/>
    <w:rsid w:val="00A62F78"/>
    <w:rsid w:val="00A65724"/>
    <w:rsid w:val="00A82D91"/>
    <w:rsid w:val="00A86EFC"/>
    <w:rsid w:val="00AA07A6"/>
    <w:rsid w:val="00AA1B26"/>
    <w:rsid w:val="00AB0E0A"/>
    <w:rsid w:val="00AC7B5D"/>
    <w:rsid w:val="00AD3CE0"/>
    <w:rsid w:val="00AE2148"/>
    <w:rsid w:val="00B004CC"/>
    <w:rsid w:val="00B121DE"/>
    <w:rsid w:val="00B24CA4"/>
    <w:rsid w:val="00B25919"/>
    <w:rsid w:val="00B3129B"/>
    <w:rsid w:val="00B46DE9"/>
    <w:rsid w:val="00B57C4C"/>
    <w:rsid w:val="00B66EF6"/>
    <w:rsid w:val="00B70438"/>
    <w:rsid w:val="00B722D4"/>
    <w:rsid w:val="00B813E5"/>
    <w:rsid w:val="00BA3A2E"/>
    <w:rsid w:val="00BC0C55"/>
    <w:rsid w:val="00BD5273"/>
    <w:rsid w:val="00BD7A76"/>
    <w:rsid w:val="00BE1D9E"/>
    <w:rsid w:val="00BE6FB3"/>
    <w:rsid w:val="00BF213F"/>
    <w:rsid w:val="00BF637C"/>
    <w:rsid w:val="00C06553"/>
    <w:rsid w:val="00C47A9D"/>
    <w:rsid w:val="00C5340D"/>
    <w:rsid w:val="00C54976"/>
    <w:rsid w:val="00C87218"/>
    <w:rsid w:val="00CB697B"/>
    <w:rsid w:val="00CC64FA"/>
    <w:rsid w:val="00CC7773"/>
    <w:rsid w:val="00CE23A7"/>
    <w:rsid w:val="00CF2C04"/>
    <w:rsid w:val="00CF3F34"/>
    <w:rsid w:val="00D036C1"/>
    <w:rsid w:val="00D038AE"/>
    <w:rsid w:val="00D07647"/>
    <w:rsid w:val="00D1315E"/>
    <w:rsid w:val="00D37C00"/>
    <w:rsid w:val="00D43B0D"/>
    <w:rsid w:val="00D52779"/>
    <w:rsid w:val="00D72BB5"/>
    <w:rsid w:val="00D769EF"/>
    <w:rsid w:val="00D778C3"/>
    <w:rsid w:val="00DA573C"/>
    <w:rsid w:val="00DA7FA3"/>
    <w:rsid w:val="00DC2896"/>
    <w:rsid w:val="00DE27EB"/>
    <w:rsid w:val="00E13305"/>
    <w:rsid w:val="00E41E51"/>
    <w:rsid w:val="00E459D6"/>
    <w:rsid w:val="00E653E0"/>
    <w:rsid w:val="00E80A1F"/>
    <w:rsid w:val="00E85B2E"/>
    <w:rsid w:val="00EB2827"/>
    <w:rsid w:val="00EB2F5D"/>
    <w:rsid w:val="00EB651A"/>
    <w:rsid w:val="00EC097A"/>
    <w:rsid w:val="00EE05D5"/>
    <w:rsid w:val="00EF6782"/>
    <w:rsid w:val="00F044CA"/>
    <w:rsid w:val="00F272A4"/>
    <w:rsid w:val="00F441E7"/>
    <w:rsid w:val="00F6453F"/>
    <w:rsid w:val="00F64898"/>
    <w:rsid w:val="00F6788D"/>
    <w:rsid w:val="00F71506"/>
    <w:rsid w:val="00F7451C"/>
    <w:rsid w:val="00F9170B"/>
    <w:rsid w:val="00F9484C"/>
    <w:rsid w:val="00FA5C2B"/>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Calibri" w:eastAsia="Calibri" w:hAnsi="Calibri" w:cs="Calibri"/>
        <w:sz w:val="22"/>
        <w:szCs w:val="22"/>
        <w:lang w:val="en-GB" w:eastAsia="en-GB"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1C1FA4"/>
  </w:style>
  <w:style w:type="paragraph" w:styleId="Heading1">
    <w:name w:val="heading 1"/>
    <w:basedOn w:val="normal0"/>
    <w:next w:val="normal0"/>
    <w:link w:val="Heading1Char"/>
    <w:uiPriority w:val="9"/>
    <w:qFormat/>
    <w:rsid w:val="004D0F17"/>
    <w:pPr>
      <w:keepNext/>
      <w:keepLines/>
      <w:pBdr>
        <w:bottom w:val="single" w:sz="12" w:space="1" w:color="000000"/>
      </w:pBdr>
      <w:spacing w:before="480" w:after="0"/>
      <w:outlineLvl w:val="0"/>
    </w:pPr>
    <w:rPr>
      <w:rFonts w:ascii="Cambria" w:eastAsia="Cambria" w:hAnsi="Cambria" w:cs="Cambria"/>
      <w:b/>
      <w:color w:val="2E75B5"/>
      <w:sz w:val="32"/>
      <w:szCs w:val="32"/>
    </w:rPr>
  </w:style>
  <w:style w:type="paragraph" w:styleId="Heading2">
    <w:name w:val="heading 2"/>
    <w:basedOn w:val="normal0"/>
    <w:next w:val="normal0"/>
    <w:link w:val="Heading2Char"/>
    <w:rsid w:val="004D0F17"/>
    <w:pPr>
      <w:keepNext/>
      <w:keepLines/>
      <w:spacing w:before="200" w:after="0"/>
      <w:outlineLvl w:val="1"/>
    </w:pPr>
    <w:rPr>
      <w:rFonts w:ascii="Cambria" w:eastAsia="Cambria" w:hAnsi="Cambria" w:cs="Cambria"/>
      <w:b/>
      <w:color w:val="2F5496"/>
      <w:sz w:val="26"/>
      <w:szCs w:val="26"/>
    </w:rPr>
  </w:style>
  <w:style w:type="paragraph" w:styleId="Heading3">
    <w:name w:val="heading 3"/>
    <w:basedOn w:val="normal0"/>
    <w:next w:val="normal0"/>
    <w:rsid w:val="004D0F17"/>
    <w:pPr>
      <w:keepNext/>
      <w:keepLines/>
      <w:spacing w:before="200" w:after="0"/>
      <w:outlineLvl w:val="2"/>
    </w:pPr>
    <w:rPr>
      <w:rFonts w:ascii="Cambria" w:eastAsia="Cambria" w:hAnsi="Cambria" w:cs="Cambria"/>
      <w:b/>
      <w:color w:val="2E75B5"/>
    </w:rPr>
  </w:style>
  <w:style w:type="paragraph" w:styleId="Heading4">
    <w:name w:val="heading 4"/>
    <w:basedOn w:val="normal0"/>
    <w:next w:val="normal0"/>
    <w:rsid w:val="004D0F17"/>
    <w:pPr>
      <w:keepNext/>
      <w:keepLines/>
      <w:spacing w:before="200" w:after="0"/>
      <w:outlineLvl w:val="3"/>
    </w:pPr>
    <w:rPr>
      <w:b/>
      <w:color w:val="5B9BD5"/>
    </w:rPr>
  </w:style>
  <w:style w:type="paragraph" w:styleId="Heading5">
    <w:name w:val="heading 5"/>
    <w:basedOn w:val="normal0"/>
    <w:next w:val="normal0"/>
    <w:rsid w:val="004D0F17"/>
    <w:pPr>
      <w:keepNext/>
      <w:keepLines/>
      <w:spacing w:before="220" w:after="40"/>
      <w:outlineLvl w:val="4"/>
    </w:pPr>
    <w:rPr>
      <w:b/>
    </w:rPr>
  </w:style>
  <w:style w:type="paragraph" w:styleId="Heading6">
    <w:name w:val="heading 6"/>
    <w:basedOn w:val="normal0"/>
    <w:next w:val="normal0"/>
    <w:rsid w:val="004D0F1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0">
    <w:name w:val="normal"/>
    <w:link w:val="normalChar"/>
    <w:rsid w:val="004D0F17"/>
  </w:style>
  <w:style w:type="paragraph" w:styleId="Title">
    <w:name w:val="Title"/>
    <w:basedOn w:val="normal0"/>
    <w:next w:val="normal0"/>
    <w:rsid w:val="004D0F17"/>
    <w:pPr>
      <w:keepNext/>
      <w:keepLines/>
      <w:spacing w:before="480" w:after="120"/>
    </w:pPr>
    <w:rPr>
      <w:b/>
      <w:sz w:val="72"/>
      <w:szCs w:val="72"/>
    </w:rPr>
  </w:style>
  <w:style w:type="paragraph" w:styleId="Subtitle">
    <w:name w:val="Subtitle"/>
    <w:basedOn w:val="normal0"/>
    <w:next w:val="normal0"/>
    <w:rsid w:val="004D0F17"/>
    <w:pPr>
      <w:keepNext/>
      <w:keepLines/>
      <w:spacing w:before="360" w:after="80"/>
    </w:pPr>
    <w:rPr>
      <w:rFonts w:ascii="Georgia" w:eastAsia="Georgia" w:hAnsi="Georgia" w:cs="Georgia"/>
      <w:i/>
      <w:color w:val="666666"/>
      <w:sz w:val="48"/>
      <w:szCs w:val="48"/>
    </w:rPr>
  </w:style>
  <w:style w:type="table" w:customStyle="1" w:styleId="6">
    <w:name w:val="6"/>
    <w:basedOn w:val="TableNormal"/>
    <w:rsid w:val="004D0F17"/>
    <w:tblPr>
      <w:tblStyleRowBandSize w:val="1"/>
      <w:tblStyleColBandSize w:val="1"/>
      <w:tblInd w:w="0" w:type="dxa"/>
      <w:tblCellMar>
        <w:top w:w="0" w:type="dxa"/>
        <w:left w:w="120" w:type="dxa"/>
        <w:bottom w:w="0" w:type="dxa"/>
        <w:right w:w="120" w:type="dxa"/>
      </w:tblCellMar>
    </w:tblPr>
  </w:style>
  <w:style w:type="table" w:customStyle="1" w:styleId="5">
    <w:name w:val="5"/>
    <w:basedOn w:val="TableNormal"/>
    <w:rsid w:val="004D0F17"/>
    <w:tblPr>
      <w:tblStyleRowBandSize w:val="1"/>
      <w:tblStyleColBandSize w:val="1"/>
      <w:tblInd w:w="0" w:type="dxa"/>
      <w:tblCellMar>
        <w:top w:w="0" w:type="dxa"/>
        <w:left w:w="120" w:type="dxa"/>
        <w:bottom w:w="0" w:type="dxa"/>
        <w:right w:w="120" w:type="dxa"/>
      </w:tblCellMar>
    </w:tblPr>
  </w:style>
  <w:style w:type="table" w:customStyle="1" w:styleId="4">
    <w:name w:val="4"/>
    <w:basedOn w:val="TableNormal"/>
    <w:rsid w:val="004D0F17"/>
    <w:pPr>
      <w:spacing w:after="0" w:line="240" w:lineRule="auto"/>
    </w:pPr>
    <w:tblPr>
      <w:tblStyleRowBandSize w:val="1"/>
      <w:tblStyleColBandSize w:val="1"/>
      <w:tblInd w:w="0" w:type="dxa"/>
      <w:tblCellMar>
        <w:top w:w="0" w:type="dxa"/>
        <w:left w:w="108" w:type="dxa"/>
        <w:bottom w:w="0" w:type="dxa"/>
        <w:right w:w="108" w:type="dxa"/>
      </w:tblCellMar>
    </w:tblPr>
  </w:style>
  <w:style w:type="table" w:customStyle="1" w:styleId="3">
    <w:name w:val="3"/>
    <w:basedOn w:val="TableNormal"/>
    <w:rsid w:val="004D0F17"/>
    <w:tblPr>
      <w:tblStyleRowBandSize w:val="1"/>
      <w:tblStyleColBandSize w:val="1"/>
      <w:tblInd w:w="0" w:type="dxa"/>
      <w:tblCellMar>
        <w:top w:w="0" w:type="dxa"/>
        <w:left w:w="115" w:type="dxa"/>
        <w:bottom w:w="0" w:type="dxa"/>
        <w:right w:w="115" w:type="dxa"/>
      </w:tblCellMar>
    </w:tblPr>
  </w:style>
  <w:style w:type="table" w:customStyle="1" w:styleId="2">
    <w:name w:val="2"/>
    <w:basedOn w:val="TableNormal"/>
    <w:rsid w:val="004D0F17"/>
    <w:tblPr>
      <w:tblStyleRowBandSize w:val="1"/>
      <w:tblStyleColBandSize w:val="1"/>
      <w:tblInd w:w="0" w:type="dxa"/>
      <w:tblCellMar>
        <w:top w:w="100" w:type="dxa"/>
        <w:left w:w="100" w:type="dxa"/>
        <w:bottom w:w="100" w:type="dxa"/>
        <w:right w:w="100" w:type="dxa"/>
      </w:tblCellMar>
    </w:tblPr>
  </w:style>
  <w:style w:type="table" w:customStyle="1" w:styleId="1">
    <w:name w:val="1"/>
    <w:basedOn w:val="TableNormal"/>
    <w:rsid w:val="004D0F17"/>
    <w:tblPr>
      <w:tblStyleRowBandSize w:val="1"/>
      <w:tblStyleColBandSize w:val="1"/>
      <w:tblInd w:w="0" w:type="dxa"/>
      <w:tblCellMar>
        <w:top w:w="100" w:type="dxa"/>
        <w:left w:w="100" w:type="dxa"/>
        <w:bottom w:w="100" w:type="dxa"/>
        <w:right w:w="100" w:type="dxa"/>
      </w:tblCellMar>
    </w:tblPr>
  </w:style>
  <w:style w:type="paragraph" w:styleId="BalloonText">
    <w:name w:val="Balloon Text"/>
    <w:basedOn w:val="Normal"/>
    <w:link w:val="BalloonTextChar"/>
    <w:uiPriority w:val="99"/>
    <w:semiHidden/>
    <w:unhideWhenUsed/>
    <w:rsid w:val="00627FEA"/>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27FEA"/>
    <w:rPr>
      <w:rFonts w:ascii="Tahoma" w:hAnsi="Tahoma" w:cs="Tahoma"/>
      <w:sz w:val="16"/>
      <w:szCs w:val="16"/>
    </w:rPr>
  </w:style>
  <w:style w:type="paragraph" w:styleId="TOC1">
    <w:name w:val="toc 1"/>
    <w:basedOn w:val="Normal"/>
    <w:next w:val="Normal"/>
    <w:autoRedefine/>
    <w:uiPriority w:val="39"/>
    <w:unhideWhenUsed/>
    <w:rsid w:val="00644E98"/>
    <w:pPr>
      <w:tabs>
        <w:tab w:val="right" w:pos="9016"/>
      </w:tabs>
      <w:spacing w:after="100" w:line="360" w:lineRule="auto"/>
      <w:jc w:val="both"/>
    </w:pPr>
  </w:style>
  <w:style w:type="paragraph" w:styleId="TOC2">
    <w:name w:val="toc 2"/>
    <w:basedOn w:val="Normal"/>
    <w:next w:val="Normal"/>
    <w:autoRedefine/>
    <w:uiPriority w:val="39"/>
    <w:unhideWhenUsed/>
    <w:rsid w:val="00627FEA"/>
    <w:pPr>
      <w:spacing w:after="100"/>
      <w:ind w:left="220"/>
    </w:pPr>
  </w:style>
  <w:style w:type="character" w:styleId="Hyperlink">
    <w:name w:val="Hyperlink"/>
    <w:basedOn w:val="DefaultParagraphFont"/>
    <w:uiPriority w:val="99"/>
    <w:unhideWhenUsed/>
    <w:rsid w:val="00627FEA"/>
    <w:rPr>
      <w:color w:val="0000FF" w:themeColor="hyperlink"/>
      <w:u w:val="single"/>
    </w:rPr>
  </w:style>
  <w:style w:type="character" w:styleId="Emphasis">
    <w:name w:val="Emphasis"/>
    <w:basedOn w:val="DefaultParagraphFont"/>
    <w:uiPriority w:val="20"/>
    <w:qFormat/>
    <w:rsid w:val="001C1FA4"/>
    <w:rPr>
      <w:i/>
      <w:iCs/>
    </w:rPr>
  </w:style>
  <w:style w:type="table" w:styleId="MediumGrid2-Accent1">
    <w:name w:val="Medium Grid 2 Accent 1"/>
    <w:basedOn w:val="TableNormal"/>
    <w:uiPriority w:val="68"/>
    <w:rsid w:val="00094C69"/>
    <w:pPr>
      <w:spacing w:after="0" w:line="240" w:lineRule="auto"/>
    </w:pPr>
    <w:rPr>
      <w:rFonts w:asciiTheme="majorHAnsi" w:eastAsiaTheme="majorEastAsia" w:hAnsiTheme="majorHAnsi" w:cstheme="majorBidi"/>
      <w:color w:val="000000" w:themeColor="text1"/>
    </w:rPr>
    <w:tblPr>
      <w:tblStyleRowBandSize w:val="1"/>
      <w:tblStyleColBandSize w:val="1"/>
      <w:tblInd w:w="0" w:type="dxa"/>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CellMar>
        <w:top w:w="0" w:type="dxa"/>
        <w:left w:w="108" w:type="dxa"/>
        <w:bottom w:w="0" w:type="dxa"/>
        <w:right w:w="108" w:type="dxa"/>
      </w:tblCellMar>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paragraph" w:customStyle="1" w:styleId="Style2">
    <w:name w:val="Style2"/>
    <w:basedOn w:val="Heading2"/>
    <w:link w:val="Style2Char"/>
    <w:qFormat/>
    <w:rsid w:val="001C1FA4"/>
    <w:rPr>
      <w:sz w:val="24"/>
    </w:rPr>
  </w:style>
  <w:style w:type="paragraph" w:styleId="FootnoteText">
    <w:name w:val="footnote text"/>
    <w:basedOn w:val="Normal"/>
    <w:link w:val="FootnoteTextChar"/>
    <w:uiPriority w:val="99"/>
    <w:semiHidden/>
    <w:unhideWhenUsed/>
    <w:rsid w:val="00005785"/>
    <w:pPr>
      <w:spacing w:after="0" w:line="240" w:lineRule="auto"/>
    </w:pPr>
    <w:rPr>
      <w:sz w:val="20"/>
      <w:szCs w:val="20"/>
    </w:rPr>
  </w:style>
  <w:style w:type="character" w:customStyle="1" w:styleId="normalChar">
    <w:name w:val="normal Char"/>
    <w:basedOn w:val="DefaultParagraphFont"/>
    <w:link w:val="normal0"/>
    <w:rsid w:val="008F680A"/>
  </w:style>
  <w:style w:type="character" w:customStyle="1" w:styleId="Heading2Char">
    <w:name w:val="Heading 2 Char"/>
    <w:basedOn w:val="normalChar"/>
    <w:link w:val="Heading2"/>
    <w:rsid w:val="008F680A"/>
    <w:rPr>
      <w:rFonts w:ascii="Cambria" w:eastAsia="Cambria" w:hAnsi="Cambria" w:cs="Cambria"/>
      <w:b/>
      <w:color w:val="2F5496"/>
      <w:sz w:val="26"/>
      <w:szCs w:val="26"/>
    </w:rPr>
  </w:style>
  <w:style w:type="character" w:customStyle="1" w:styleId="Style2Char">
    <w:name w:val="Style2 Char"/>
    <w:basedOn w:val="Heading2Char"/>
    <w:link w:val="Style2"/>
    <w:rsid w:val="001C1FA4"/>
    <w:rPr>
      <w:sz w:val="24"/>
    </w:rPr>
  </w:style>
  <w:style w:type="character" w:customStyle="1" w:styleId="FootnoteTextChar">
    <w:name w:val="Footnote Text Char"/>
    <w:basedOn w:val="DefaultParagraphFont"/>
    <w:link w:val="FootnoteText"/>
    <w:uiPriority w:val="99"/>
    <w:semiHidden/>
    <w:rsid w:val="00005785"/>
    <w:rPr>
      <w:sz w:val="20"/>
      <w:szCs w:val="20"/>
    </w:rPr>
  </w:style>
  <w:style w:type="character" w:styleId="FootnoteReference">
    <w:name w:val="footnote reference"/>
    <w:basedOn w:val="DefaultParagraphFont"/>
    <w:uiPriority w:val="99"/>
    <w:semiHidden/>
    <w:unhideWhenUsed/>
    <w:rsid w:val="00005785"/>
    <w:rPr>
      <w:vertAlign w:val="superscript"/>
    </w:rPr>
  </w:style>
  <w:style w:type="paragraph" w:styleId="NormalWeb">
    <w:name w:val="Normal (Web)"/>
    <w:basedOn w:val="Normal"/>
    <w:uiPriority w:val="99"/>
    <w:semiHidden/>
    <w:unhideWhenUsed/>
    <w:rsid w:val="00354064"/>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hit">
    <w:name w:val="hit"/>
    <w:basedOn w:val="DefaultParagraphFont"/>
    <w:rsid w:val="00354064"/>
  </w:style>
  <w:style w:type="paragraph" w:customStyle="1" w:styleId="last">
    <w:name w:val="last"/>
    <w:basedOn w:val="Normal"/>
    <w:rsid w:val="00EE05D5"/>
    <w:pPr>
      <w:spacing w:before="100" w:beforeAutospacing="1" w:after="100" w:afterAutospacing="1" w:line="240" w:lineRule="auto"/>
    </w:pPr>
    <w:rPr>
      <w:rFonts w:ascii="Times New Roman" w:eastAsia="Times New Roman" w:hAnsi="Times New Roman" w:cs="Times New Roman"/>
      <w:sz w:val="24"/>
      <w:szCs w:val="24"/>
    </w:rPr>
  </w:style>
  <w:style w:type="paragraph" w:customStyle="1" w:styleId="inline">
    <w:name w:val="inline"/>
    <w:basedOn w:val="Normal"/>
    <w:rsid w:val="00EE05D5"/>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title2">
    <w:name w:val="title2"/>
    <w:basedOn w:val="DefaultParagraphFont"/>
    <w:rsid w:val="00654024"/>
  </w:style>
  <w:style w:type="paragraph" w:styleId="Caption">
    <w:name w:val="caption"/>
    <w:basedOn w:val="Normal"/>
    <w:next w:val="Normal"/>
    <w:uiPriority w:val="35"/>
    <w:unhideWhenUsed/>
    <w:qFormat/>
    <w:rsid w:val="001C1FA4"/>
    <w:pPr>
      <w:spacing w:after="200" w:line="240" w:lineRule="auto"/>
    </w:pPr>
    <w:rPr>
      <w:b/>
      <w:bCs/>
      <w:color w:val="4F81BD" w:themeColor="accent1"/>
      <w:sz w:val="18"/>
      <w:szCs w:val="18"/>
    </w:rPr>
  </w:style>
  <w:style w:type="paragraph" w:styleId="TOC3">
    <w:name w:val="toc 3"/>
    <w:basedOn w:val="Normal"/>
    <w:next w:val="Normal"/>
    <w:autoRedefine/>
    <w:uiPriority w:val="39"/>
    <w:unhideWhenUsed/>
    <w:rsid w:val="001C1FA4"/>
    <w:pPr>
      <w:spacing w:after="100"/>
      <w:ind w:left="440"/>
    </w:pPr>
  </w:style>
  <w:style w:type="table" w:styleId="TableGrid">
    <w:name w:val="Table Grid"/>
    <w:basedOn w:val="TableNormal"/>
    <w:uiPriority w:val="59"/>
    <w:rsid w:val="00843FB8"/>
    <w:pPr>
      <w:spacing w:after="0" w:line="240" w:lineRule="auto"/>
    </w:p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table" w:customStyle="1" w:styleId="MediumShading1-Accent11">
    <w:name w:val="Medium Shading 1 - Accent 11"/>
    <w:basedOn w:val="TableNormal"/>
    <w:uiPriority w:val="63"/>
    <w:rsid w:val="00292C74"/>
    <w:pPr>
      <w:spacing w:after="0" w:line="240" w:lineRule="auto"/>
    </w:pPr>
    <w:tblPr>
      <w:tblStyleRowBandSize w:val="1"/>
      <w:tblStyleColBandSize w:val="1"/>
      <w:tblInd w:w="0" w:type="dxa"/>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CellMar>
        <w:top w:w="0" w:type="dxa"/>
        <w:left w:w="108" w:type="dxa"/>
        <w:bottom w:w="0" w:type="dxa"/>
        <w:right w:w="108" w:type="dxa"/>
      </w:tblCellMar>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paragraph" w:styleId="TableofFigures">
    <w:name w:val="table of figures"/>
    <w:basedOn w:val="Normal"/>
    <w:next w:val="Normal"/>
    <w:uiPriority w:val="99"/>
    <w:unhideWhenUsed/>
    <w:rsid w:val="00453193"/>
    <w:pPr>
      <w:spacing w:after="0"/>
    </w:pPr>
  </w:style>
  <w:style w:type="character" w:customStyle="1" w:styleId="Heading1Char">
    <w:name w:val="Heading 1 Char"/>
    <w:basedOn w:val="DefaultParagraphFont"/>
    <w:link w:val="Heading1"/>
    <w:uiPriority w:val="9"/>
    <w:rsid w:val="00351788"/>
    <w:rPr>
      <w:rFonts w:ascii="Cambria" w:eastAsia="Cambria" w:hAnsi="Cambria" w:cs="Cambria"/>
      <w:b/>
      <w:color w:val="2E75B5"/>
      <w:sz w:val="32"/>
      <w:szCs w:val="32"/>
    </w:rPr>
  </w:style>
  <w:style w:type="paragraph" w:styleId="Bibliography">
    <w:name w:val="Bibliography"/>
    <w:basedOn w:val="Normal"/>
    <w:next w:val="Normal"/>
    <w:uiPriority w:val="37"/>
    <w:unhideWhenUsed/>
    <w:rsid w:val="00351788"/>
  </w:style>
</w:styles>
</file>

<file path=word/webSettings.xml><?xml version="1.0" encoding="utf-8"?>
<w:webSettings xmlns:r="http://schemas.openxmlformats.org/officeDocument/2006/relationships" xmlns:w="http://schemas.openxmlformats.org/wordprocessingml/2006/main">
  <w:divs>
    <w:div w:id="610211558">
      <w:bodyDiv w:val="1"/>
      <w:marLeft w:val="0"/>
      <w:marRight w:val="0"/>
      <w:marTop w:val="0"/>
      <w:marBottom w:val="0"/>
      <w:divBdr>
        <w:top w:val="none" w:sz="0" w:space="0" w:color="auto"/>
        <w:left w:val="none" w:sz="0" w:space="0" w:color="auto"/>
        <w:bottom w:val="none" w:sz="0" w:space="0" w:color="auto"/>
        <w:right w:val="none" w:sz="0" w:space="0" w:color="auto"/>
      </w:divBdr>
    </w:div>
    <w:div w:id="750079071">
      <w:bodyDiv w:val="1"/>
      <w:marLeft w:val="0"/>
      <w:marRight w:val="0"/>
      <w:marTop w:val="0"/>
      <w:marBottom w:val="0"/>
      <w:divBdr>
        <w:top w:val="none" w:sz="0" w:space="0" w:color="auto"/>
        <w:left w:val="none" w:sz="0" w:space="0" w:color="auto"/>
        <w:bottom w:val="none" w:sz="0" w:space="0" w:color="auto"/>
        <w:right w:val="none" w:sz="0" w:space="0" w:color="auto"/>
      </w:divBdr>
    </w:div>
    <w:div w:id="951863073">
      <w:bodyDiv w:val="1"/>
      <w:marLeft w:val="0"/>
      <w:marRight w:val="0"/>
      <w:marTop w:val="0"/>
      <w:marBottom w:val="0"/>
      <w:divBdr>
        <w:top w:val="none" w:sz="0" w:space="0" w:color="auto"/>
        <w:left w:val="none" w:sz="0" w:space="0" w:color="auto"/>
        <w:bottom w:val="none" w:sz="0" w:space="0" w:color="auto"/>
        <w:right w:val="none" w:sz="0" w:space="0" w:color="auto"/>
      </w:divBdr>
    </w:div>
    <w:div w:id="1228691058">
      <w:bodyDiv w:val="1"/>
      <w:marLeft w:val="0"/>
      <w:marRight w:val="0"/>
      <w:marTop w:val="0"/>
      <w:marBottom w:val="0"/>
      <w:divBdr>
        <w:top w:val="none" w:sz="0" w:space="0" w:color="auto"/>
        <w:left w:val="none" w:sz="0" w:space="0" w:color="auto"/>
        <w:bottom w:val="none" w:sz="0" w:space="0" w:color="auto"/>
        <w:right w:val="none" w:sz="0" w:space="0" w:color="auto"/>
      </w:divBdr>
    </w:div>
    <w:div w:id="1592397191">
      <w:bodyDiv w:val="1"/>
      <w:marLeft w:val="0"/>
      <w:marRight w:val="0"/>
      <w:marTop w:val="0"/>
      <w:marBottom w:val="0"/>
      <w:divBdr>
        <w:top w:val="none" w:sz="0" w:space="0" w:color="auto"/>
        <w:left w:val="none" w:sz="0" w:space="0" w:color="auto"/>
        <w:bottom w:val="none" w:sz="0" w:space="0" w:color="auto"/>
        <w:right w:val="none" w:sz="0" w:space="0" w:color="auto"/>
      </w:divBdr>
    </w:div>
    <w:div w:id="2075159314">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diagramLayout" Target="diagrams/layout1.xml"/><Relationship Id="rId18" Type="http://schemas.openxmlformats.org/officeDocument/2006/relationships/hyperlink" Target="http://www.aetna.com/investors-aetna/assets/documents/4Q17-earnings-call/4q17earningspressrelease.pdf" TargetMode="External"/><Relationship Id="rId26" Type="http://schemas.openxmlformats.org/officeDocument/2006/relationships/hyperlink" Target="https://www.forbes.com/pictures/fefi45ejdih/2-anthem/" TargetMode="External"/><Relationship Id="rId39" Type="http://schemas.openxmlformats.org/officeDocument/2006/relationships/image" Target="media/image7.png"/><Relationship Id="rId3" Type="http://schemas.openxmlformats.org/officeDocument/2006/relationships/styles" Target="styles.xml"/><Relationship Id="rId21" Type="http://schemas.openxmlformats.org/officeDocument/2006/relationships/hyperlink" Target="https://search-ebscohost-com.ezproxy.uwtsd.ac.uk/login.aspx?direct=true&amp;db=bth&amp;AN=10850236&amp;site=bsi-live" TargetMode="External"/><Relationship Id="rId34" Type="http://schemas.openxmlformats.org/officeDocument/2006/relationships/hyperlink" Target="https://community.shrm.org/HigherLogic/System/DownloadDocumentFile.ashx?DocumentFileKey=260d230d-1c63-4ded-8405-eb25fbfde830" TargetMode="External"/><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diagramData" Target="diagrams/data1.xml"/><Relationship Id="rId17" Type="http://schemas.openxmlformats.org/officeDocument/2006/relationships/hyperlink" Target="https://www.aetna.com/about-us/aetna-history.html" TargetMode="External"/><Relationship Id="rId25" Type="http://schemas.openxmlformats.org/officeDocument/2006/relationships/hyperlink" Target="http://www.washingtonpost.com/blogs/innovations/post/apple-vs-samsung-battle-of-the-innovation-strategies/2012/11/12/f24d4ae2-2cdc-11e2-89d4-040c9330702a_blog.html" TargetMode="External"/><Relationship Id="rId33" Type="http://schemas.openxmlformats.org/officeDocument/2006/relationships/hyperlink" Target="https://www.shrm.org/resourcesandtools/tools-and-samples/toolkits/pages/introdiversity.aspx" TargetMode="External"/><Relationship Id="rId38" Type="http://schemas.openxmlformats.org/officeDocument/2006/relationships/image" Target="media/image6.png"/><Relationship Id="rId2" Type="http://schemas.openxmlformats.org/officeDocument/2006/relationships/numbering" Target="numbering.xml"/><Relationship Id="rId16" Type="http://schemas.openxmlformats.org/officeDocument/2006/relationships/hyperlink" Target="https://www.aetna.com/about-us/diversity-inclusion/workplace-diversity.html" TargetMode="External"/><Relationship Id="rId20" Type="http://schemas.openxmlformats.org/officeDocument/2006/relationships/hyperlink" Target="https://news.aetna.com/2018/10/u-s-department-of-justice-will-allow-cvs-health-acquisition-of-aetna-to-proceed/" TargetMode="External"/><Relationship Id="rId29" Type="http://schemas.openxmlformats.org/officeDocument/2006/relationships/hyperlink" Target="https://journals.sagepub.com/doi/abs/10.1177/2158244012444615" TargetMode="External"/><Relationship Id="rId41"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cdc.gov/publichealthgateway/Program/transformation/docs/health-insurance-overview.pdf" TargetMode="External"/><Relationship Id="rId32" Type="http://schemas.openxmlformats.org/officeDocument/2006/relationships/hyperlink" Target="https://hbr.org/2017/03/teams-solve-problems-faster-when-theyre-more-cognitively-diverse" TargetMode="External"/><Relationship Id="rId37" Type="http://schemas.openxmlformats.org/officeDocument/2006/relationships/image" Target="media/image5.png"/><Relationship Id="rId40" Type="http://schemas.openxmlformats.org/officeDocument/2006/relationships/image" Target="media/image8.jpeg"/><Relationship Id="rId5" Type="http://schemas.openxmlformats.org/officeDocument/2006/relationships/webSettings" Target="webSettings.xml"/><Relationship Id="rId15" Type="http://schemas.openxmlformats.org/officeDocument/2006/relationships/diagramColors" Target="diagrams/colors1.xml"/><Relationship Id="rId23" Type="http://schemas.openxmlformats.org/officeDocument/2006/relationships/hyperlink" Target="https://www2.deloitte.com/content/dam/Deloitte/au/Documents/human-capital/deloitte-au-hc-diversity-inclusion-soup-0513.pdf" TargetMode="External"/><Relationship Id="rId28" Type="http://schemas.openxmlformats.org/officeDocument/2006/relationships/hyperlink" Target="https://www.ibisworld.com/industry-trends/market-research-reports/finance-insurance/carriers-related-activities/health-medical-insurance.html" TargetMode="External"/><Relationship Id="rId36" Type="http://schemas.openxmlformats.org/officeDocument/2006/relationships/hyperlink" Target="http://www3.weforum.org/docs/WEF_GGGR_2018.pdf" TargetMode="External"/><Relationship Id="rId10" Type="http://schemas.openxmlformats.org/officeDocument/2006/relationships/image" Target="media/image3.png"/><Relationship Id="rId19" Type="http://schemas.openxmlformats.org/officeDocument/2006/relationships/hyperlink" Target="https://www.aetna.com/about-us/diversity-inclusion/supplier-diversity.html" TargetMode="External"/><Relationship Id="rId31" Type="http://schemas.openxmlformats.org/officeDocument/2006/relationships/hyperlink" Target="https://qz.com/1192731/amazons-push-into-healthcare-just-cost-the-industry-30-billion-in-market-cap/"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diagramQuickStyle" Target="diagrams/quickStyle1.xml"/><Relationship Id="rId22" Type="http://schemas.openxmlformats.org/officeDocument/2006/relationships/hyperlink" Target="https://www.mckinsey.com/business-functions/organization/our-insights/is-there-a-payoff-from-top-team-diversity" TargetMode="External"/><Relationship Id="rId27" Type="http://schemas.openxmlformats.org/officeDocument/2006/relationships/hyperlink" Target="https://www.mckinsey.com/~/media/mckinsey/business%20functions/organization/our%20insights/delivering%20through%20diversity/delivering-through-diversity_full-report.ashx" TargetMode="External"/><Relationship Id="rId30" Type="http://schemas.openxmlformats.org/officeDocument/2006/relationships/hyperlink" Target="https://www.peoplemanagement.co.uk/experts/research/diversity-drives-better-decisions" TargetMode="External"/><Relationship Id="rId35" Type="http://schemas.openxmlformats.org/officeDocument/2006/relationships/hyperlink" Target="https://www.census.gov/newsroom/releases/archives/population/cb12-243.html" TargetMode="External"/><Relationship Id="rId43" Type="http://schemas.openxmlformats.org/officeDocument/2006/relationships/theme" Target="theme/theme1.xml"/></Relationships>
</file>

<file path=word/_rels/footer1.xml.rels><?xml version="1.0" encoding="UTF-8" standalone="yes"?>
<Relationships xmlns="http://schemas.openxmlformats.org/package/2006/relationships"><Relationship Id="rId1" Type="http://schemas.openxmlformats.org/officeDocument/2006/relationships/image" Target="media/image9.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AD137931-5015-44AE-990B-164FE014739A}" type="doc">
      <dgm:prSet loTypeId="urn:microsoft.com/office/officeart/2005/8/layout/vList6" loCatId="list" qsTypeId="urn:microsoft.com/office/officeart/2005/8/quickstyle/simple1" qsCatId="simple" csTypeId="urn:microsoft.com/office/officeart/2005/8/colors/accent1_2" csCatId="accent1" phldr="1"/>
      <dgm:spPr/>
      <dgm:t>
        <a:bodyPr/>
        <a:lstStyle/>
        <a:p>
          <a:endParaRPr lang="en-GB"/>
        </a:p>
      </dgm:t>
    </dgm:pt>
    <dgm:pt modelId="{7E15F745-D039-41B8-BB31-07C5C6328FDB}">
      <dgm:prSet phldrT="[Text]"/>
      <dgm:spPr/>
      <dgm:t>
        <a:bodyPr/>
        <a:lstStyle/>
        <a:p>
          <a:r>
            <a:rPr lang="en-GB"/>
            <a:t>Commit and cascade</a:t>
          </a:r>
        </a:p>
      </dgm:t>
    </dgm:pt>
    <dgm:pt modelId="{C7C4AAF4-233D-4A06-B621-724A89FFC1CA}" type="parTrans" cxnId="{3493F349-1E89-48A0-81ED-2279C1BEA8BB}">
      <dgm:prSet/>
      <dgm:spPr/>
      <dgm:t>
        <a:bodyPr/>
        <a:lstStyle/>
        <a:p>
          <a:endParaRPr lang="en-GB"/>
        </a:p>
      </dgm:t>
    </dgm:pt>
    <dgm:pt modelId="{21CB3A8C-5C6B-40BD-9C14-344AEBB164F0}" type="sibTrans" cxnId="{3493F349-1E89-48A0-81ED-2279C1BEA8BB}">
      <dgm:prSet/>
      <dgm:spPr/>
      <dgm:t>
        <a:bodyPr/>
        <a:lstStyle/>
        <a:p>
          <a:endParaRPr lang="en-GB"/>
        </a:p>
      </dgm:t>
    </dgm:pt>
    <dgm:pt modelId="{0D461EF6-F25C-4DC0-80EE-945BC85DCD8A}">
      <dgm:prSet phldrT="[Text]"/>
      <dgm:spPr/>
      <dgm:t>
        <a:bodyPr/>
        <a:lstStyle/>
        <a:p>
          <a:r>
            <a:rPr lang="en-GB"/>
            <a:t>Compeling CEO vision</a:t>
          </a:r>
        </a:p>
      </dgm:t>
    </dgm:pt>
    <dgm:pt modelId="{77A5273C-0867-43E5-80A0-EE3FA4F09042}" type="parTrans" cxnId="{5BEAF262-420F-4569-B90D-69480B97C049}">
      <dgm:prSet/>
      <dgm:spPr/>
      <dgm:t>
        <a:bodyPr/>
        <a:lstStyle/>
        <a:p>
          <a:endParaRPr lang="en-GB"/>
        </a:p>
      </dgm:t>
    </dgm:pt>
    <dgm:pt modelId="{1B1EDCB3-B3DE-49BD-995D-75089A45F66B}" type="sibTrans" cxnId="{5BEAF262-420F-4569-B90D-69480B97C049}">
      <dgm:prSet/>
      <dgm:spPr/>
      <dgm:t>
        <a:bodyPr/>
        <a:lstStyle/>
        <a:p>
          <a:endParaRPr lang="en-GB"/>
        </a:p>
      </dgm:t>
    </dgm:pt>
    <dgm:pt modelId="{2CF3774F-1828-4932-9D07-883D458812E9}">
      <dgm:prSet phldrT="[Text]"/>
      <dgm:spPr/>
      <dgm:t>
        <a:bodyPr/>
        <a:lstStyle/>
        <a:p>
          <a:r>
            <a:rPr lang="en-GB"/>
            <a:t>Management accountability</a:t>
          </a:r>
        </a:p>
      </dgm:t>
    </dgm:pt>
    <dgm:pt modelId="{546F417F-DB1C-473D-9D49-32A02A764CDF}" type="parTrans" cxnId="{4A042F61-86B6-4636-9E9C-9486EB3FE9B6}">
      <dgm:prSet/>
      <dgm:spPr/>
      <dgm:t>
        <a:bodyPr/>
        <a:lstStyle/>
        <a:p>
          <a:endParaRPr lang="en-GB"/>
        </a:p>
      </dgm:t>
    </dgm:pt>
    <dgm:pt modelId="{D4990243-2ACF-4F9E-9388-1273BC3656D7}" type="sibTrans" cxnId="{4A042F61-86B6-4636-9E9C-9486EB3FE9B6}">
      <dgm:prSet/>
      <dgm:spPr/>
      <dgm:t>
        <a:bodyPr/>
        <a:lstStyle/>
        <a:p>
          <a:endParaRPr lang="en-GB"/>
        </a:p>
      </dgm:t>
    </dgm:pt>
    <dgm:pt modelId="{9E69FC4B-3489-426E-92B6-F72B405F2401}">
      <dgm:prSet phldrT="[Text]"/>
      <dgm:spPr/>
      <dgm:t>
        <a:bodyPr/>
        <a:lstStyle/>
        <a:p>
          <a:r>
            <a:rPr lang="en-GB"/>
            <a:t>Link D&amp;I to growth strategy</a:t>
          </a:r>
        </a:p>
      </dgm:t>
    </dgm:pt>
    <dgm:pt modelId="{0E1E036F-5D70-4497-9E3B-418366E53C67}" type="parTrans" cxnId="{3720F226-8939-4618-9CD5-897363A69A32}">
      <dgm:prSet/>
      <dgm:spPr/>
      <dgm:t>
        <a:bodyPr/>
        <a:lstStyle/>
        <a:p>
          <a:endParaRPr lang="en-GB"/>
        </a:p>
      </dgm:t>
    </dgm:pt>
    <dgm:pt modelId="{D678B3D3-9A56-4C11-B88A-126D2AB3165D}" type="sibTrans" cxnId="{3720F226-8939-4618-9CD5-897363A69A32}">
      <dgm:prSet/>
      <dgm:spPr/>
      <dgm:t>
        <a:bodyPr/>
        <a:lstStyle/>
        <a:p>
          <a:endParaRPr lang="en-GB"/>
        </a:p>
      </dgm:t>
    </dgm:pt>
    <dgm:pt modelId="{28D316C7-DB05-4026-85B0-CD205B57E6B5}">
      <dgm:prSet phldrT="[Text]"/>
      <dgm:spPr/>
      <dgm:t>
        <a:bodyPr/>
        <a:lstStyle/>
        <a:p>
          <a:r>
            <a:rPr lang="en-GB"/>
            <a:t>Prioritize intiatives</a:t>
          </a:r>
        </a:p>
      </dgm:t>
    </dgm:pt>
    <dgm:pt modelId="{8099CD28-153E-44B5-BD23-CAFCF2BA2DAA}" type="parTrans" cxnId="{D0F1E720-3B15-41DB-90D8-226AA711E630}">
      <dgm:prSet/>
      <dgm:spPr/>
      <dgm:t>
        <a:bodyPr/>
        <a:lstStyle/>
        <a:p>
          <a:endParaRPr lang="en-GB"/>
        </a:p>
      </dgm:t>
    </dgm:pt>
    <dgm:pt modelId="{434F4C83-BB9C-4AD2-9C5A-03186D01EBFA}" type="sibTrans" cxnId="{D0F1E720-3B15-41DB-90D8-226AA711E630}">
      <dgm:prSet/>
      <dgm:spPr/>
      <dgm:t>
        <a:bodyPr/>
        <a:lstStyle/>
        <a:p>
          <a:endParaRPr lang="en-GB"/>
        </a:p>
      </dgm:t>
    </dgm:pt>
    <dgm:pt modelId="{AE3C9400-9C96-4953-B705-A2C67294B602}">
      <dgm:prSet phldrT="[Text]"/>
      <dgm:spPr/>
      <dgm:t>
        <a:bodyPr/>
        <a:lstStyle/>
        <a:p>
          <a:r>
            <a:rPr lang="en-GB"/>
            <a:t>Inclusive culture</a:t>
          </a:r>
        </a:p>
      </dgm:t>
    </dgm:pt>
    <dgm:pt modelId="{B1F39A63-DB38-4AB0-93EE-CB39757B60ED}" type="parTrans" cxnId="{C4967C06-FCE2-445B-ACA6-8521D7864E92}">
      <dgm:prSet/>
      <dgm:spPr/>
      <dgm:t>
        <a:bodyPr/>
        <a:lstStyle/>
        <a:p>
          <a:endParaRPr lang="en-GB"/>
        </a:p>
      </dgm:t>
    </dgm:pt>
    <dgm:pt modelId="{07320BDD-B1BF-4923-A639-D57869C4022B}" type="sibTrans" cxnId="{C4967C06-FCE2-445B-ACA6-8521D7864E92}">
      <dgm:prSet/>
      <dgm:spPr/>
      <dgm:t>
        <a:bodyPr/>
        <a:lstStyle/>
        <a:p>
          <a:endParaRPr lang="en-GB"/>
        </a:p>
      </dgm:t>
    </dgm:pt>
    <dgm:pt modelId="{037538DB-3ACA-4219-8E9F-09BCD3247497}">
      <dgm:prSet phldrT="[Text]"/>
      <dgm:spPr/>
      <dgm:t>
        <a:bodyPr/>
        <a:lstStyle/>
        <a:p>
          <a:r>
            <a:rPr lang="en-GB"/>
            <a:t>Craft initiative portfolio</a:t>
          </a:r>
        </a:p>
      </dgm:t>
    </dgm:pt>
    <dgm:pt modelId="{08E72A47-23E3-4DD0-81D9-0F05434F4C29}" type="parTrans" cxnId="{9A42BA61-D4FF-42E0-B936-BE50B59849CE}">
      <dgm:prSet/>
      <dgm:spPr/>
      <dgm:t>
        <a:bodyPr/>
        <a:lstStyle/>
        <a:p>
          <a:endParaRPr lang="en-GB"/>
        </a:p>
      </dgm:t>
    </dgm:pt>
    <dgm:pt modelId="{F42859FC-89C1-47F7-B8AE-3FA4C0408FCF}" type="sibTrans" cxnId="{9A42BA61-D4FF-42E0-B936-BE50B59849CE}">
      <dgm:prSet/>
      <dgm:spPr/>
      <dgm:t>
        <a:bodyPr/>
        <a:lstStyle/>
        <a:p>
          <a:endParaRPr lang="en-GB"/>
        </a:p>
      </dgm:t>
    </dgm:pt>
    <dgm:pt modelId="{38A8B905-AD54-4B12-9482-E566A6F3CCC7}">
      <dgm:prSet phldrT="[Text]"/>
      <dgm:spPr/>
      <dgm:t>
        <a:bodyPr/>
        <a:lstStyle/>
        <a:p>
          <a:r>
            <a:rPr lang="en-GB"/>
            <a:t>Tailor for impact</a:t>
          </a:r>
        </a:p>
      </dgm:t>
    </dgm:pt>
    <dgm:pt modelId="{0E02DE0F-2A26-4B34-8E17-FBE0D1E6A580}" type="parTrans" cxnId="{D308B365-ADD7-4289-BBDC-9D6D675CEE07}">
      <dgm:prSet/>
      <dgm:spPr/>
      <dgm:t>
        <a:bodyPr/>
        <a:lstStyle/>
        <a:p>
          <a:endParaRPr lang="en-GB"/>
        </a:p>
      </dgm:t>
    </dgm:pt>
    <dgm:pt modelId="{56E67B05-8C8B-48FB-844E-1F6D191D1625}" type="sibTrans" cxnId="{D308B365-ADD7-4289-BBDC-9D6D675CEE07}">
      <dgm:prSet/>
      <dgm:spPr/>
      <dgm:t>
        <a:bodyPr/>
        <a:lstStyle/>
        <a:p>
          <a:endParaRPr lang="en-GB"/>
        </a:p>
      </dgm:t>
    </dgm:pt>
    <dgm:pt modelId="{D28FEB3F-E770-4C28-82B4-BF21C4A97303}">
      <dgm:prSet phldrT="[Text]"/>
      <dgm:spPr/>
      <dgm:t>
        <a:bodyPr/>
        <a:lstStyle/>
        <a:p>
          <a:r>
            <a:rPr lang="en-GB"/>
            <a:t>Value drivers</a:t>
          </a:r>
        </a:p>
      </dgm:t>
    </dgm:pt>
    <dgm:pt modelId="{D4C95C68-BB66-4410-BEFE-E6B9ECD1E821}" type="parTrans" cxnId="{EA535D1B-9230-4A4C-8FF0-34077320F5B9}">
      <dgm:prSet/>
      <dgm:spPr/>
      <dgm:t>
        <a:bodyPr/>
        <a:lstStyle/>
        <a:p>
          <a:endParaRPr lang="en-GB"/>
        </a:p>
      </dgm:t>
    </dgm:pt>
    <dgm:pt modelId="{25C635D1-0245-445E-8715-48F092A0BAD7}" type="sibTrans" cxnId="{EA535D1B-9230-4A4C-8FF0-34077320F5B9}">
      <dgm:prSet/>
      <dgm:spPr/>
      <dgm:t>
        <a:bodyPr/>
        <a:lstStyle/>
        <a:p>
          <a:endParaRPr lang="en-GB"/>
        </a:p>
      </dgm:t>
    </dgm:pt>
    <dgm:pt modelId="{99A79472-E08B-4C99-A442-511F6F278240}">
      <dgm:prSet phldrT="[Text]"/>
      <dgm:spPr/>
      <dgm:t>
        <a:bodyPr/>
        <a:lstStyle/>
        <a:p>
          <a:r>
            <a:rPr lang="en-GB"/>
            <a:t>Diversity mix</a:t>
          </a:r>
        </a:p>
      </dgm:t>
    </dgm:pt>
    <dgm:pt modelId="{C1A613DF-4E54-43C5-A615-24CDAA0D3B27}" type="parTrans" cxnId="{05ACB11B-8BDD-41D1-B785-2FE9664627D4}">
      <dgm:prSet/>
      <dgm:spPr/>
      <dgm:t>
        <a:bodyPr/>
        <a:lstStyle/>
        <a:p>
          <a:endParaRPr lang="en-GB"/>
        </a:p>
      </dgm:t>
    </dgm:pt>
    <dgm:pt modelId="{816B78E2-6E0E-4E9D-99BC-51DF910A4AF8}" type="sibTrans" cxnId="{05ACB11B-8BDD-41D1-B785-2FE9664627D4}">
      <dgm:prSet/>
      <dgm:spPr/>
      <dgm:t>
        <a:bodyPr/>
        <a:lstStyle/>
        <a:p>
          <a:endParaRPr lang="en-GB"/>
        </a:p>
      </dgm:t>
    </dgm:pt>
    <dgm:pt modelId="{0388EEA5-46E9-4140-80ED-EA936FFAF021}">
      <dgm:prSet phldrT="[Text]"/>
      <dgm:spPr/>
      <dgm:t>
        <a:bodyPr/>
        <a:lstStyle/>
        <a:p>
          <a:r>
            <a:rPr lang="en-GB"/>
            <a:t>Data and analytics</a:t>
          </a:r>
        </a:p>
      </dgm:t>
    </dgm:pt>
    <dgm:pt modelId="{ECB7CF17-210B-498C-BE9D-909BFE4B7F78}" type="parTrans" cxnId="{97B0CB7C-D105-4C05-8CB0-1DD919A6E435}">
      <dgm:prSet/>
      <dgm:spPr/>
      <dgm:t>
        <a:bodyPr/>
        <a:lstStyle/>
        <a:p>
          <a:endParaRPr lang="en-GB"/>
        </a:p>
      </dgm:t>
    </dgm:pt>
    <dgm:pt modelId="{20A882D1-450F-4882-8BF0-14C35CA4066B}" type="sibTrans" cxnId="{97B0CB7C-D105-4C05-8CB0-1DD919A6E435}">
      <dgm:prSet/>
      <dgm:spPr/>
      <dgm:t>
        <a:bodyPr/>
        <a:lstStyle/>
        <a:p>
          <a:endParaRPr lang="en-GB"/>
        </a:p>
      </dgm:t>
    </dgm:pt>
    <dgm:pt modelId="{893D6416-907B-4DFA-8A75-071594DAF9B0}">
      <dgm:prSet phldrT="[Text]"/>
      <dgm:spPr/>
      <dgm:t>
        <a:bodyPr/>
        <a:lstStyle/>
        <a:p>
          <a:r>
            <a:rPr lang="en-GB"/>
            <a:t>Metrics and tracking</a:t>
          </a:r>
        </a:p>
      </dgm:t>
    </dgm:pt>
    <dgm:pt modelId="{49A81659-8C80-4E68-93A3-BCD9B52A468B}" type="parTrans" cxnId="{F8008997-E984-4834-9284-449DC1B1350C}">
      <dgm:prSet/>
      <dgm:spPr/>
      <dgm:t>
        <a:bodyPr/>
        <a:lstStyle/>
        <a:p>
          <a:endParaRPr lang="en-GB"/>
        </a:p>
      </dgm:t>
    </dgm:pt>
    <dgm:pt modelId="{1FBC2154-A6EF-4706-925C-3C07E1061034}" type="sibTrans" cxnId="{F8008997-E984-4834-9284-449DC1B1350C}">
      <dgm:prSet/>
      <dgm:spPr/>
      <dgm:t>
        <a:bodyPr/>
        <a:lstStyle/>
        <a:p>
          <a:endParaRPr lang="en-GB"/>
        </a:p>
      </dgm:t>
    </dgm:pt>
    <dgm:pt modelId="{FA22DD07-7EBF-4088-A759-A36A7FE45494}">
      <dgm:prSet phldrT="[Text]"/>
      <dgm:spPr/>
      <dgm:t>
        <a:bodyPr/>
        <a:lstStyle/>
        <a:p>
          <a:r>
            <a:rPr lang="en-GB"/>
            <a:t>Local adaptation</a:t>
          </a:r>
        </a:p>
      </dgm:t>
    </dgm:pt>
    <dgm:pt modelId="{196270F8-B10F-4BCC-98CA-6CC62DA2F59C}" type="parTrans" cxnId="{0C0E9E27-AACC-4104-8490-619CC0A18FDD}">
      <dgm:prSet/>
      <dgm:spPr/>
      <dgm:t>
        <a:bodyPr/>
        <a:lstStyle/>
        <a:p>
          <a:endParaRPr lang="en-GB"/>
        </a:p>
      </dgm:t>
    </dgm:pt>
    <dgm:pt modelId="{1B89AECB-4D52-463D-8E3E-6663496AF3FD}" type="sibTrans" cxnId="{0C0E9E27-AACC-4104-8490-619CC0A18FDD}">
      <dgm:prSet/>
      <dgm:spPr/>
      <dgm:t>
        <a:bodyPr/>
        <a:lstStyle/>
        <a:p>
          <a:endParaRPr lang="en-GB"/>
        </a:p>
      </dgm:t>
    </dgm:pt>
    <dgm:pt modelId="{FE7193C2-4949-4C99-B471-71136071E5BF}">
      <dgm:prSet phldrT="[Text]"/>
      <dgm:spPr/>
      <dgm:t>
        <a:bodyPr/>
        <a:lstStyle/>
        <a:p>
          <a:r>
            <a:rPr lang="en-GB"/>
            <a:t>Cross-industry/ sector collaboration</a:t>
          </a:r>
        </a:p>
      </dgm:t>
    </dgm:pt>
    <dgm:pt modelId="{07C00FFD-475D-4670-AD18-233D825884E8}" type="parTrans" cxnId="{6AFDC3E0-DEF4-4B68-AF22-5C6AB2E89445}">
      <dgm:prSet/>
      <dgm:spPr/>
      <dgm:t>
        <a:bodyPr/>
        <a:lstStyle/>
        <a:p>
          <a:endParaRPr lang="en-GB"/>
        </a:p>
      </dgm:t>
    </dgm:pt>
    <dgm:pt modelId="{DDFFAE39-3F45-44F6-822E-433B1ADB6A67}" type="sibTrans" cxnId="{6AFDC3E0-DEF4-4B68-AF22-5C6AB2E89445}">
      <dgm:prSet/>
      <dgm:spPr/>
      <dgm:t>
        <a:bodyPr/>
        <a:lstStyle/>
        <a:p>
          <a:endParaRPr lang="en-GB"/>
        </a:p>
      </dgm:t>
    </dgm:pt>
    <dgm:pt modelId="{BFA88162-7052-43D4-AB22-17902D39B6A4}" type="pres">
      <dgm:prSet presAssocID="{AD137931-5015-44AE-990B-164FE014739A}" presName="Name0" presStyleCnt="0">
        <dgm:presLayoutVars>
          <dgm:dir/>
          <dgm:animLvl val="lvl"/>
          <dgm:resizeHandles/>
        </dgm:presLayoutVars>
      </dgm:prSet>
      <dgm:spPr/>
    </dgm:pt>
    <dgm:pt modelId="{5E1653F5-9681-43B8-9048-79A467CE1A2D}" type="pres">
      <dgm:prSet presAssocID="{7E15F745-D039-41B8-BB31-07C5C6328FDB}" presName="linNode" presStyleCnt="0"/>
      <dgm:spPr/>
    </dgm:pt>
    <dgm:pt modelId="{BA9DC99B-7FB6-4DA2-A338-B6B772DE89C6}" type="pres">
      <dgm:prSet presAssocID="{7E15F745-D039-41B8-BB31-07C5C6328FDB}" presName="parentShp" presStyleLbl="node1" presStyleIdx="0" presStyleCnt="4">
        <dgm:presLayoutVars>
          <dgm:bulletEnabled val="1"/>
        </dgm:presLayoutVars>
      </dgm:prSet>
      <dgm:spPr/>
      <dgm:t>
        <a:bodyPr/>
        <a:lstStyle/>
        <a:p>
          <a:endParaRPr lang="en-GB"/>
        </a:p>
      </dgm:t>
    </dgm:pt>
    <dgm:pt modelId="{B3235A43-C607-47BF-AF08-8F077E765B80}" type="pres">
      <dgm:prSet presAssocID="{7E15F745-D039-41B8-BB31-07C5C6328FDB}" presName="childShp" presStyleLbl="bgAccFollowNode1" presStyleIdx="0" presStyleCnt="4">
        <dgm:presLayoutVars>
          <dgm:bulletEnabled val="1"/>
        </dgm:presLayoutVars>
      </dgm:prSet>
      <dgm:spPr/>
      <dgm:t>
        <a:bodyPr/>
        <a:lstStyle/>
        <a:p>
          <a:endParaRPr lang="en-GB"/>
        </a:p>
      </dgm:t>
    </dgm:pt>
    <dgm:pt modelId="{23FFF677-B75E-483B-AFD2-DE4935D5191B}" type="pres">
      <dgm:prSet presAssocID="{21CB3A8C-5C6B-40BD-9C14-344AEBB164F0}" presName="spacing" presStyleCnt="0"/>
      <dgm:spPr/>
    </dgm:pt>
    <dgm:pt modelId="{0A9C4110-5172-444A-B642-B61C4BDEF4AF}" type="pres">
      <dgm:prSet presAssocID="{9E69FC4B-3489-426E-92B6-F72B405F2401}" presName="linNode" presStyleCnt="0"/>
      <dgm:spPr/>
    </dgm:pt>
    <dgm:pt modelId="{E080044B-4D1D-4678-9A0E-15C1EBEC75D2}" type="pres">
      <dgm:prSet presAssocID="{9E69FC4B-3489-426E-92B6-F72B405F2401}" presName="parentShp" presStyleLbl="node1" presStyleIdx="1" presStyleCnt="4">
        <dgm:presLayoutVars>
          <dgm:bulletEnabled val="1"/>
        </dgm:presLayoutVars>
      </dgm:prSet>
      <dgm:spPr/>
      <dgm:t>
        <a:bodyPr/>
        <a:lstStyle/>
        <a:p>
          <a:endParaRPr lang="en-GB"/>
        </a:p>
      </dgm:t>
    </dgm:pt>
    <dgm:pt modelId="{6B20A43A-5A2C-4488-AD97-A5A761FF6E8C}" type="pres">
      <dgm:prSet presAssocID="{9E69FC4B-3489-426E-92B6-F72B405F2401}" presName="childShp" presStyleLbl="bgAccFollowNode1" presStyleIdx="1" presStyleCnt="4">
        <dgm:presLayoutVars>
          <dgm:bulletEnabled val="1"/>
        </dgm:presLayoutVars>
      </dgm:prSet>
      <dgm:spPr/>
    </dgm:pt>
    <dgm:pt modelId="{F4AAEF8B-0473-47E4-8CBA-905BAB7835DB}" type="pres">
      <dgm:prSet presAssocID="{D678B3D3-9A56-4C11-B88A-126D2AB3165D}" presName="spacing" presStyleCnt="0"/>
      <dgm:spPr/>
    </dgm:pt>
    <dgm:pt modelId="{EACA9FA1-4ED5-43D0-9330-81150DB910F4}" type="pres">
      <dgm:prSet presAssocID="{037538DB-3ACA-4219-8E9F-09BCD3247497}" presName="linNode" presStyleCnt="0"/>
      <dgm:spPr/>
    </dgm:pt>
    <dgm:pt modelId="{5181E73B-EC4D-4777-AFEE-F1F98E895ADB}" type="pres">
      <dgm:prSet presAssocID="{037538DB-3ACA-4219-8E9F-09BCD3247497}" presName="parentShp" presStyleLbl="node1" presStyleIdx="2" presStyleCnt="4">
        <dgm:presLayoutVars>
          <dgm:bulletEnabled val="1"/>
        </dgm:presLayoutVars>
      </dgm:prSet>
      <dgm:spPr/>
    </dgm:pt>
    <dgm:pt modelId="{0110E0EA-0BE8-4F7E-AA96-1E76E0B48241}" type="pres">
      <dgm:prSet presAssocID="{037538DB-3ACA-4219-8E9F-09BCD3247497}" presName="childShp" presStyleLbl="bgAccFollowNode1" presStyleIdx="2" presStyleCnt="4">
        <dgm:presLayoutVars>
          <dgm:bulletEnabled val="1"/>
        </dgm:presLayoutVars>
      </dgm:prSet>
      <dgm:spPr/>
      <dgm:t>
        <a:bodyPr/>
        <a:lstStyle/>
        <a:p>
          <a:endParaRPr lang="en-GB"/>
        </a:p>
      </dgm:t>
    </dgm:pt>
    <dgm:pt modelId="{76BFA64E-7F62-4F25-AC30-71B23C63C26B}" type="pres">
      <dgm:prSet presAssocID="{F42859FC-89C1-47F7-B8AE-3FA4C0408FCF}" presName="spacing" presStyleCnt="0"/>
      <dgm:spPr/>
    </dgm:pt>
    <dgm:pt modelId="{630F89FA-6629-4C03-86DE-948BD7915141}" type="pres">
      <dgm:prSet presAssocID="{38A8B905-AD54-4B12-9482-E566A6F3CCC7}" presName="linNode" presStyleCnt="0"/>
      <dgm:spPr/>
    </dgm:pt>
    <dgm:pt modelId="{92AD6969-176C-4F19-AEDE-174D5FE5BD85}" type="pres">
      <dgm:prSet presAssocID="{38A8B905-AD54-4B12-9482-E566A6F3CCC7}" presName="parentShp" presStyleLbl="node1" presStyleIdx="3" presStyleCnt="4">
        <dgm:presLayoutVars>
          <dgm:bulletEnabled val="1"/>
        </dgm:presLayoutVars>
      </dgm:prSet>
      <dgm:spPr/>
    </dgm:pt>
    <dgm:pt modelId="{61CE831A-61FF-4143-A8D6-B8945823B9BD}" type="pres">
      <dgm:prSet presAssocID="{38A8B905-AD54-4B12-9482-E566A6F3CCC7}" presName="childShp" presStyleLbl="bgAccFollowNode1" presStyleIdx="3" presStyleCnt="4">
        <dgm:presLayoutVars>
          <dgm:bulletEnabled val="1"/>
        </dgm:presLayoutVars>
      </dgm:prSet>
      <dgm:spPr/>
    </dgm:pt>
  </dgm:ptLst>
  <dgm:cxnLst>
    <dgm:cxn modelId="{3DF13B71-46EB-42FA-A717-DB6D15CC38E5}" type="presOf" srcId="{2CF3774F-1828-4932-9D07-883D458812E9}" destId="{B3235A43-C607-47BF-AF08-8F077E765B80}" srcOrd="0" destOrd="1" presId="urn:microsoft.com/office/officeart/2005/8/layout/vList6"/>
    <dgm:cxn modelId="{6AFDC3E0-DEF4-4B68-AF22-5C6AB2E89445}" srcId="{38A8B905-AD54-4B12-9482-E566A6F3CCC7}" destId="{FE7193C2-4949-4C99-B471-71136071E5BF}" srcOrd="1" destOrd="0" parTransId="{07C00FFD-475D-4670-AD18-233D825884E8}" sibTransId="{DDFFAE39-3F45-44F6-822E-433B1ADB6A67}"/>
    <dgm:cxn modelId="{3493F349-1E89-48A0-81ED-2279C1BEA8BB}" srcId="{AD137931-5015-44AE-990B-164FE014739A}" destId="{7E15F745-D039-41B8-BB31-07C5C6328FDB}" srcOrd="0" destOrd="0" parTransId="{C7C4AAF4-233D-4A06-B621-724A89FFC1CA}" sibTransId="{21CB3A8C-5C6B-40BD-9C14-344AEBB164F0}"/>
    <dgm:cxn modelId="{5BEAF262-420F-4569-B90D-69480B97C049}" srcId="{7E15F745-D039-41B8-BB31-07C5C6328FDB}" destId="{0D461EF6-F25C-4DC0-80EE-945BC85DCD8A}" srcOrd="0" destOrd="0" parTransId="{77A5273C-0867-43E5-80A0-EE3FA4F09042}" sibTransId="{1B1EDCB3-B3DE-49BD-995D-75089A45F66B}"/>
    <dgm:cxn modelId="{F8008997-E984-4834-9284-449DC1B1350C}" srcId="{037538DB-3ACA-4219-8E9F-09BCD3247497}" destId="{893D6416-907B-4DFA-8A75-071594DAF9B0}" srcOrd="2" destOrd="0" parTransId="{49A81659-8C80-4E68-93A3-BCD9B52A468B}" sibTransId="{1FBC2154-A6EF-4706-925C-3C07E1061034}"/>
    <dgm:cxn modelId="{D0F1E720-3B15-41DB-90D8-226AA711E630}" srcId="{037538DB-3ACA-4219-8E9F-09BCD3247497}" destId="{28D316C7-DB05-4026-85B0-CD205B57E6B5}" srcOrd="0" destOrd="0" parTransId="{8099CD28-153E-44B5-BD23-CAFCF2BA2DAA}" sibTransId="{434F4C83-BB9C-4AD2-9C5A-03186D01EBFA}"/>
    <dgm:cxn modelId="{E66FC6EE-B137-44E2-A7C8-F6C1B6F1E1DC}" type="presOf" srcId="{9E69FC4B-3489-426E-92B6-F72B405F2401}" destId="{E080044B-4D1D-4678-9A0E-15C1EBEC75D2}" srcOrd="0" destOrd="0" presId="urn:microsoft.com/office/officeart/2005/8/layout/vList6"/>
    <dgm:cxn modelId="{B5DE7FD9-5E1C-4647-980A-E74F43043DF6}" type="presOf" srcId="{28D316C7-DB05-4026-85B0-CD205B57E6B5}" destId="{0110E0EA-0BE8-4F7E-AA96-1E76E0B48241}" srcOrd="0" destOrd="0" presId="urn:microsoft.com/office/officeart/2005/8/layout/vList6"/>
    <dgm:cxn modelId="{0C0E9E27-AACC-4104-8490-619CC0A18FDD}" srcId="{38A8B905-AD54-4B12-9482-E566A6F3CCC7}" destId="{FA22DD07-7EBF-4088-A759-A36A7FE45494}" srcOrd="0" destOrd="0" parTransId="{196270F8-B10F-4BCC-98CA-6CC62DA2F59C}" sibTransId="{1B89AECB-4D52-463D-8E3E-6663496AF3FD}"/>
    <dgm:cxn modelId="{3720F226-8939-4618-9CD5-897363A69A32}" srcId="{AD137931-5015-44AE-990B-164FE014739A}" destId="{9E69FC4B-3489-426E-92B6-F72B405F2401}" srcOrd="1" destOrd="0" parTransId="{0E1E036F-5D70-4497-9E3B-418366E53C67}" sibTransId="{D678B3D3-9A56-4C11-B88A-126D2AB3165D}"/>
    <dgm:cxn modelId="{2C55B4E8-23DD-4848-9300-2E0641F03545}" type="presOf" srcId="{893D6416-907B-4DFA-8A75-071594DAF9B0}" destId="{0110E0EA-0BE8-4F7E-AA96-1E76E0B48241}" srcOrd="0" destOrd="2" presId="urn:microsoft.com/office/officeart/2005/8/layout/vList6"/>
    <dgm:cxn modelId="{CD997A3F-9C87-48C5-B8E8-1C220FF2B84C}" type="presOf" srcId="{AE3C9400-9C96-4953-B705-A2C67294B602}" destId="{0110E0EA-0BE8-4F7E-AA96-1E76E0B48241}" srcOrd="0" destOrd="1" presId="urn:microsoft.com/office/officeart/2005/8/layout/vList6"/>
    <dgm:cxn modelId="{8E692702-3EE5-488D-8396-9747DB0296BE}" type="presOf" srcId="{037538DB-3ACA-4219-8E9F-09BCD3247497}" destId="{5181E73B-EC4D-4777-AFEE-F1F98E895ADB}" srcOrd="0" destOrd="0" presId="urn:microsoft.com/office/officeart/2005/8/layout/vList6"/>
    <dgm:cxn modelId="{C4967C06-FCE2-445B-ACA6-8521D7864E92}" srcId="{037538DB-3ACA-4219-8E9F-09BCD3247497}" destId="{AE3C9400-9C96-4953-B705-A2C67294B602}" srcOrd="1" destOrd="0" parTransId="{B1F39A63-DB38-4AB0-93EE-CB39757B60ED}" sibTransId="{07320BDD-B1BF-4923-A639-D57869C4022B}"/>
    <dgm:cxn modelId="{224AD461-24FE-49B0-96E1-F02DC427EA02}" type="presOf" srcId="{FE7193C2-4949-4C99-B471-71136071E5BF}" destId="{61CE831A-61FF-4143-A8D6-B8945823B9BD}" srcOrd="0" destOrd="1" presId="urn:microsoft.com/office/officeart/2005/8/layout/vList6"/>
    <dgm:cxn modelId="{36C75B8D-98C0-41A2-AA55-15FAA08B3B87}" type="presOf" srcId="{0D461EF6-F25C-4DC0-80EE-945BC85DCD8A}" destId="{B3235A43-C607-47BF-AF08-8F077E765B80}" srcOrd="0" destOrd="0" presId="urn:microsoft.com/office/officeart/2005/8/layout/vList6"/>
    <dgm:cxn modelId="{EA535D1B-9230-4A4C-8FF0-34077320F5B9}" srcId="{9E69FC4B-3489-426E-92B6-F72B405F2401}" destId="{D28FEB3F-E770-4C28-82B4-BF21C4A97303}" srcOrd="0" destOrd="0" parTransId="{D4C95C68-BB66-4410-BEFE-E6B9ECD1E821}" sibTransId="{25C635D1-0245-445E-8715-48F092A0BAD7}"/>
    <dgm:cxn modelId="{9A42BA61-D4FF-42E0-B936-BE50B59849CE}" srcId="{AD137931-5015-44AE-990B-164FE014739A}" destId="{037538DB-3ACA-4219-8E9F-09BCD3247497}" srcOrd="2" destOrd="0" parTransId="{08E72A47-23E3-4DD0-81D9-0F05434F4C29}" sibTransId="{F42859FC-89C1-47F7-B8AE-3FA4C0408FCF}"/>
    <dgm:cxn modelId="{05ACB11B-8BDD-41D1-B785-2FE9664627D4}" srcId="{9E69FC4B-3489-426E-92B6-F72B405F2401}" destId="{99A79472-E08B-4C99-A442-511F6F278240}" srcOrd="1" destOrd="0" parTransId="{C1A613DF-4E54-43C5-A615-24CDAA0D3B27}" sibTransId="{816B78E2-6E0E-4E9D-99BC-51DF910A4AF8}"/>
    <dgm:cxn modelId="{4A042F61-86B6-4636-9E9C-9486EB3FE9B6}" srcId="{7E15F745-D039-41B8-BB31-07C5C6328FDB}" destId="{2CF3774F-1828-4932-9D07-883D458812E9}" srcOrd="1" destOrd="0" parTransId="{546F417F-DB1C-473D-9D49-32A02A764CDF}" sibTransId="{D4990243-2ACF-4F9E-9388-1273BC3656D7}"/>
    <dgm:cxn modelId="{7FB0712C-5F2C-44C0-BC08-77FAD807AE92}" type="presOf" srcId="{0388EEA5-46E9-4140-80ED-EA936FFAF021}" destId="{6B20A43A-5A2C-4488-AD97-A5A761FF6E8C}" srcOrd="0" destOrd="2" presId="urn:microsoft.com/office/officeart/2005/8/layout/vList6"/>
    <dgm:cxn modelId="{1DC5F741-E483-450D-A8F8-1471E6561146}" type="presOf" srcId="{99A79472-E08B-4C99-A442-511F6F278240}" destId="{6B20A43A-5A2C-4488-AD97-A5A761FF6E8C}" srcOrd="0" destOrd="1" presId="urn:microsoft.com/office/officeart/2005/8/layout/vList6"/>
    <dgm:cxn modelId="{0E787CA4-6841-4A25-A571-7BB0F8720B0B}" type="presOf" srcId="{FA22DD07-7EBF-4088-A759-A36A7FE45494}" destId="{61CE831A-61FF-4143-A8D6-B8945823B9BD}" srcOrd="0" destOrd="0" presId="urn:microsoft.com/office/officeart/2005/8/layout/vList6"/>
    <dgm:cxn modelId="{97B0CB7C-D105-4C05-8CB0-1DD919A6E435}" srcId="{9E69FC4B-3489-426E-92B6-F72B405F2401}" destId="{0388EEA5-46E9-4140-80ED-EA936FFAF021}" srcOrd="2" destOrd="0" parTransId="{ECB7CF17-210B-498C-BE9D-909BFE4B7F78}" sibTransId="{20A882D1-450F-4882-8BF0-14C35CA4066B}"/>
    <dgm:cxn modelId="{F5634E31-CB48-43E4-8888-5BCE90E6C533}" type="presOf" srcId="{7E15F745-D039-41B8-BB31-07C5C6328FDB}" destId="{BA9DC99B-7FB6-4DA2-A338-B6B772DE89C6}" srcOrd="0" destOrd="0" presId="urn:microsoft.com/office/officeart/2005/8/layout/vList6"/>
    <dgm:cxn modelId="{D308B365-ADD7-4289-BBDC-9D6D675CEE07}" srcId="{AD137931-5015-44AE-990B-164FE014739A}" destId="{38A8B905-AD54-4B12-9482-E566A6F3CCC7}" srcOrd="3" destOrd="0" parTransId="{0E02DE0F-2A26-4B34-8E17-FBE0D1E6A580}" sibTransId="{56E67B05-8C8B-48FB-844E-1F6D191D1625}"/>
    <dgm:cxn modelId="{11AC5183-C550-4A89-8DEF-749F61039A17}" type="presOf" srcId="{38A8B905-AD54-4B12-9482-E566A6F3CCC7}" destId="{92AD6969-176C-4F19-AEDE-174D5FE5BD85}" srcOrd="0" destOrd="0" presId="urn:microsoft.com/office/officeart/2005/8/layout/vList6"/>
    <dgm:cxn modelId="{BB4C829B-ECC0-4651-9FA9-AB554A30B75D}" type="presOf" srcId="{AD137931-5015-44AE-990B-164FE014739A}" destId="{BFA88162-7052-43D4-AB22-17902D39B6A4}" srcOrd="0" destOrd="0" presId="urn:microsoft.com/office/officeart/2005/8/layout/vList6"/>
    <dgm:cxn modelId="{2006111F-0C8B-4951-9A7B-0FD2A23A6AF6}" type="presOf" srcId="{D28FEB3F-E770-4C28-82B4-BF21C4A97303}" destId="{6B20A43A-5A2C-4488-AD97-A5A761FF6E8C}" srcOrd="0" destOrd="0" presId="urn:microsoft.com/office/officeart/2005/8/layout/vList6"/>
    <dgm:cxn modelId="{5941FECC-6A85-410A-9CA0-9AB887C5C188}" type="presParOf" srcId="{BFA88162-7052-43D4-AB22-17902D39B6A4}" destId="{5E1653F5-9681-43B8-9048-79A467CE1A2D}" srcOrd="0" destOrd="0" presId="urn:microsoft.com/office/officeart/2005/8/layout/vList6"/>
    <dgm:cxn modelId="{2F099D98-54D0-49FF-9E09-97405BD7507B}" type="presParOf" srcId="{5E1653F5-9681-43B8-9048-79A467CE1A2D}" destId="{BA9DC99B-7FB6-4DA2-A338-B6B772DE89C6}" srcOrd="0" destOrd="0" presId="urn:microsoft.com/office/officeart/2005/8/layout/vList6"/>
    <dgm:cxn modelId="{F39B0E56-E8E5-41BD-8B83-5489CC40AE1A}" type="presParOf" srcId="{5E1653F5-9681-43B8-9048-79A467CE1A2D}" destId="{B3235A43-C607-47BF-AF08-8F077E765B80}" srcOrd="1" destOrd="0" presId="urn:microsoft.com/office/officeart/2005/8/layout/vList6"/>
    <dgm:cxn modelId="{DF90038E-05EF-4424-BE4F-EB88D70D01A9}" type="presParOf" srcId="{BFA88162-7052-43D4-AB22-17902D39B6A4}" destId="{23FFF677-B75E-483B-AFD2-DE4935D5191B}" srcOrd="1" destOrd="0" presId="urn:microsoft.com/office/officeart/2005/8/layout/vList6"/>
    <dgm:cxn modelId="{8CA0182F-CBA2-4BE9-82A0-E2D069ACF64E}" type="presParOf" srcId="{BFA88162-7052-43D4-AB22-17902D39B6A4}" destId="{0A9C4110-5172-444A-B642-B61C4BDEF4AF}" srcOrd="2" destOrd="0" presId="urn:microsoft.com/office/officeart/2005/8/layout/vList6"/>
    <dgm:cxn modelId="{E116D5BC-C06F-42DA-95A3-C562E16D9FDD}" type="presParOf" srcId="{0A9C4110-5172-444A-B642-B61C4BDEF4AF}" destId="{E080044B-4D1D-4678-9A0E-15C1EBEC75D2}" srcOrd="0" destOrd="0" presId="urn:microsoft.com/office/officeart/2005/8/layout/vList6"/>
    <dgm:cxn modelId="{FFD3ECBA-9399-466D-B4F7-54FC9F5D5B3E}" type="presParOf" srcId="{0A9C4110-5172-444A-B642-B61C4BDEF4AF}" destId="{6B20A43A-5A2C-4488-AD97-A5A761FF6E8C}" srcOrd="1" destOrd="0" presId="urn:microsoft.com/office/officeart/2005/8/layout/vList6"/>
    <dgm:cxn modelId="{D9944C2D-0947-45FB-B773-37A6DC1D4062}" type="presParOf" srcId="{BFA88162-7052-43D4-AB22-17902D39B6A4}" destId="{F4AAEF8B-0473-47E4-8CBA-905BAB7835DB}" srcOrd="3" destOrd="0" presId="urn:microsoft.com/office/officeart/2005/8/layout/vList6"/>
    <dgm:cxn modelId="{80A3C3B4-8AC1-4AA7-BE2F-7076520EC12C}" type="presParOf" srcId="{BFA88162-7052-43D4-AB22-17902D39B6A4}" destId="{EACA9FA1-4ED5-43D0-9330-81150DB910F4}" srcOrd="4" destOrd="0" presId="urn:microsoft.com/office/officeart/2005/8/layout/vList6"/>
    <dgm:cxn modelId="{6DADA4F6-3E08-4C6A-BC9B-E597162FEFC1}" type="presParOf" srcId="{EACA9FA1-4ED5-43D0-9330-81150DB910F4}" destId="{5181E73B-EC4D-4777-AFEE-F1F98E895ADB}" srcOrd="0" destOrd="0" presId="urn:microsoft.com/office/officeart/2005/8/layout/vList6"/>
    <dgm:cxn modelId="{7ED7A422-DE60-4EF4-AD38-05C6B1521266}" type="presParOf" srcId="{EACA9FA1-4ED5-43D0-9330-81150DB910F4}" destId="{0110E0EA-0BE8-4F7E-AA96-1E76E0B48241}" srcOrd="1" destOrd="0" presId="urn:microsoft.com/office/officeart/2005/8/layout/vList6"/>
    <dgm:cxn modelId="{CD864B96-0770-45E0-A3C5-BD609F33A788}" type="presParOf" srcId="{BFA88162-7052-43D4-AB22-17902D39B6A4}" destId="{76BFA64E-7F62-4F25-AC30-71B23C63C26B}" srcOrd="5" destOrd="0" presId="urn:microsoft.com/office/officeart/2005/8/layout/vList6"/>
    <dgm:cxn modelId="{D78E694C-AADF-43AC-A64C-58FE0533E567}" type="presParOf" srcId="{BFA88162-7052-43D4-AB22-17902D39B6A4}" destId="{630F89FA-6629-4C03-86DE-948BD7915141}" srcOrd="6" destOrd="0" presId="urn:microsoft.com/office/officeart/2005/8/layout/vList6"/>
    <dgm:cxn modelId="{50705D53-C679-46A0-8743-6C664234F815}" type="presParOf" srcId="{630F89FA-6629-4C03-86DE-948BD7915141}" destId="{92AD6969-176C-4F19-AEDE-174D5FE5BD85}" srcOrd="0" destOrd="0" presId="urn:microsoft.com/office/officeart/2005/8/layout/vList6"/>
    <dgm:cxn modelId="{49791479-AB30-49AE-8F38-A2590CA59518}" type="presParOf" srcId="{630F89FA-6629-4C03-86DE-948BD7915141}" destId="{61CE831A-61FF-4143-A8D6-B8945823B9BD}" srcOrd="1" destOrd="0" presId="urn:microsoft.com/office/officeart/2005/8/layout/vList6"/>
  </dgm:cxnLst>
  <dgm:bg/>
  <dgm:whole/>
</dgm:dataModel>
</file>

<file path=word/diagrams/layout1.xml><?xml version="1.0" encoding="utf-8"?>
<dgm:layoutDef xmlns:dgm="http://schemas.openxmlformats.org/drawingml/2006/diagram" xmlns:a="http://schemas.openxmlformats.org/drawingml/2006/main" uniqueId="urn:microsoft.com/office/officeart/2005/8/layout/vList6">
  <dgm:title val=""/>
  <dgm:desc val=""/>
  <dgm:catLst>
    <dgm:cat type="process" pri="22000"/>
    <dgm:cat type="list" pri="17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Lst>
      <dgm:cxnLst>
        <dgm:cxn modelId="4" srcId="0" destId="1" srcOrd="0" destOrd="0"/>
        <dgm:cxn modelId="5" srcId="0" destId="2" srcOrd="1" destOrd="0"/>
        <dgm:cxn modelId="13" srcId="1" destId="11" srcOrd="0" destOrd="0"/>
        <dgm:cxn modelId="14" srcId="1" destId="12" srcOrd="0" destOrd="0"/>
        <dgm:cxn modelId="23" srcId="2" destId="21" srcOrd="0" destOrd="0"/>
        <dgm:cxn modelId="24" srcId="2" destId="22" srcOrd="0"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Name0">
    <dgm:varLst>
      <dgm:dir/>
      <dgm:animLvl val="lvl"/>
      <dgm:resizeHandles/>
    </dgm:varLst>
    <dgm:alg type="lin">
      <dgm:param type="linDir" val="fromT"/>
    </dgm:alg>
    <dgm:shape xmlns:r="http://schemas.openxmlformats.org/officeDocument/2006/relationships" r:blip="">
      <dgm:adjLst/>
    </dgm:shape>
    <dgm:presOf/>
    <dgm:constrLst>
      <dgm:constr type="w" for="ch" forName="linNode" refType="w"/>
      <dgm:constr type="h" for="ch" forName="linNode" refType="h"/>
      <dgm:constr type="h" for="ch" forName="spacing" refType="h" refFor="ch" refForName="linNode" fact="0.1"/>
      <dgm:constr type="primFontSz" for="des" forName="parentShp" op="equ" val="65"/>
      <dgm:constr type="primFontSz" for="des" forName="childShp" op="equ" val="65"/>
    </dgm:constrLst>
    <dgm:ruleLst/>
    <dgm:forEach name="Name1" axis="ch" ptType="node">
      <dgm:layoutNode name="linNode">
        <dgm:choose name="Name2">
          <dgm:if name="Name3" func="var" arg="dir" op="equ" val="norm">
            <dgm:alg type="lin">
              <dgm:param type="linDir" val="fromL"/>
            </dgm:alg>
          </dgm:if>
          <dgm:else name="Name4">
            <dgm:alg type="lin">
              <dgm:param type="linDir" val="fromR"/>
            </dgm:alg>
          </dgm:else>
        </dgm:choose>
        <dgm:shape xmlns:r="http://schemas.openxmlformats.org/officeDocument/2006/relationships" r:blip="">
          <dgm:adjLst/>
        </dgm:shape>
        <dgm:presOf/>
        <dgm:choose name="Name5">
          <dgm:if name="Name6" func="var" arg="dir" op="equ" val="norm">
            <dgm:constrLst>
              <dgm:constr type="w" for="ch" forName="parentShp" refType="w" fact="0.4"/>
              <dgm:constr type="h" for="ch" forName="parentShp" refType="h"/>
              <dgm:constr type="w" for="ch" forName="childShp" refType="w" fact="0.6"/>
              <dgm:constr type="h" for="ch" forName="childShp" refType="h" refFor="ch" refForName="parentShp"/>
            </dgm:constrLst>
          </dgm:if>
          <dgm:else name="Name7">
            <dgm:constrLst>
              <dgm:constr type="w" for="ch" forName="parentShp" refType="w" fact="0.4"/>
              <dgm:constr type="h" for="ch" forName="parentShp" refType="h"/>
              <dgm:constr type="w" for="ch" forName="childShp" refType="w" fact="0.6"/>
              <dgm:constr type="h" for="ch" forName="childShp" refType="h" refFor="ch" refForName="parentShp"/>
            </dgm:constrLst>
          </dgm:else>
        </dgm:choose>
        <dgm:ruleLst/>
        <dgm:layoutNode name="parentShp" styleLbl="node1">
          <dgm:varLst>
            <dgm:bulletEnabled val="1"/>
          </dgm:varLst>
          <dgm:alg type="tx"/>
          <dgm:shape xmlns:r="http://schemas.openxmlformats.org/officeDocument/2006/relationships" type="roundRect" r:blip="">
            <dgm:adjLst/>
          </dgm:shape>
          <dgm:presOf axis="self" ptType="node"/>
          <dgm:constrLst>
            <dgm:constr type="tMarg" refType="primFontSz" fact="0.15"/>
            <dgm:constr type="bMarg" refType="primFontSz" fact="0.15"/>
            <dgm:constr type="lMarg" refType="primFontSz" fact="0.3"/>
            <dgm:constr type="rMarg" refType="primFontSz" fact="0.3"/>
          </dgm:constrLst>
          <dgm:ruleLst>
            <dgm:rule type="primFontSz" val="5" fact="NaN" max="NaN"/>
          </dgm:ruleLst>
        </dgm:layoutNode>
        <dgm:layoutNode name="childShp" styleLbl="bgAccFollowNode1">
          <dgm:varLst>
            <dgm:bulletEnabled val="1"/>
          </dgm:varLst>
          <dgm:alg type="tx">
            <dgm:param type="stBulletLvl" val="1"/>
          </dgm:alg>
          <dgm:choose name="Name8">
            <dgm:if name="Name9" func="var" arg="dir" op="equ" val="norm">
              <dgm:shape xmlns:r="http://schemas.openxmlformats.org/officeDocument/2006/relationships" type="rightArrow" r:blip="" zOrderOff="-2">
                <dgm:adjLst>
                  <dgm:adj idx="1" val="0.75"/>
                </dgm:adjLst>
              </dgm:shape>
            </dgm:if>
            <dgm:else name="Name10">
              <dgm:shape xmlns:r="http://schemas.openxmlformats.org/officeDocument/2006/relationships" rot="180" type="rightArrow" r:blip="" zOrderOff="-2">
                <dgm:adjLst>
                  <dgm:adj idx="1" val="0.75"/>
                </dgm:adjLst>
              </dgm:shape>
            </dgm:else>
          </dgm:choose>
          <dgm:presOf axis="des" ptType="node"/>
          <dgm:constrLst>
            <dgm:constr type="secFontSz" refType="primFontSz"/>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dgm:forEach name="Name11" axis="followSib" ptType="sibTrans" cnt="1">
        <dgm:layoutNode name="spacing">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b:Source>
    <b:Tag>Aet8b</b:Tag>
    <b:SourceType>InternetSite</b:SourceType>
    <b:Guid>{A64705FA-5AC2-4485-A192-67F0C8AA3D60}</b:Guid>
    <b:LCID>0</b:LCID>
    <b:Author>
      <b:Author>
        <b:Corporate>Aetna Inc.</b:Corporate>
      </b:Author>
    </b:Author>
    <b:Title>Aetna History</b:Title>
    <b:Year>2018b</b:Year>
    <b:YearAccessed>2018</b:YearAccessed>
    <b:MonthAccessed>November</b:MonthAccessed>
    <b:DayAccessed>05</b:DayAccessed>
    <b:URL>https://www.aetna.com/about-us/aetna-history.html</b:URL>
    <b:RefOrder>6</b:RefOrder>
  </b:Source>
  <b:Source>
    <b:Tag>Aet18</b:Tag>
    <b:SourceType>InternetSite</b:SourceType>
    <b:Guid>{0321FBBF-E160-4F95-A25A-E1DCD6672F14}</b:Guid>
    <b:LCID>0</b:LCID>
    <b:Author>
      <b:Author>
        <b:Corporate>Aetna Inc.</b:Corporate>
      </b:Author>
    </b:Author>
    <b:Title>Aetna Workplace Diversity</b:Title>
    <b:Year>2018a</b:Year>
    <b:YearAccessed>2018</b:YearAccessed>
    <b:MonthAccessed>11</b:MonthAccessed>
    <b:DayAccessed>05</b:DayAccessed>
    <b:URL>https://www.aetna.com/about-us/diversity-inclusion/workplace-diversity.html</b:URL>
    <b:RefOrder>5</b:RefOrder>
  </b:Source>
  <b:Source>
    <b:Tag>SHR16</b:Tag>
    <b:SourceType>InternetSite</b:SourceType>
    <b:Guid>{D9E80212-49B6-409C-A945-68995601C9DE}</b:Guid>
    <b:LCID>0</b:LCID>
    <b:Author>
      <b:Author>
        <b:Corporate>SHRM</b:Corporate>
      </b:Author>
    </b:Author>
    <b:Title>Introduction of Diversity</b:Title>
    <b:Year>2016</b:Year>
    <b:YearAccessed>2018</b:YearAccessed>
    <b:MonthAccessed>November</b:MonthAccessed>
    <b:DayAccessed>07</b:DayAccessed>
    <b:URL>https://www.shrm.org/resourcesandtools/tools-and-samples/toolkits/pages/introdiversity.aspx</b:URL>
    <b:RefOrder>25</b:RefOrder>
  </b:Source>
  <b:Source>
    <b:Tag>SHR17</b:Tag>
    <b:SourceType>DocumentFromInternetSite</b:SourceType>
    <b:Guid>{95BED71A-E8CD-4935-9FE9-31DA5E70BA44}</b:Guid>
    <b:LCID>0</b:LCID>
    <b:Author>
      <b:Author>
        <b:Corporate>SHRM</b:Corporate>
      </b:Author>
    </b:Author>
    <b:Title>SHRM's Definition of Diversity</b:Title>
    <b:Year>2017</b:Year>
    <b:YearAccessed>2018</b:YearAccessed>
    <b:MonthAccessed>November</b:MonthAccessed>
    <b:DayAccessed>06</b:DayAccessed>
    <b:URL>https://community.shrm.org/HigherLogic/System/DownloadDocumentFile.ashx?DocumentFileKey=260d230d-1c63-4ded-8405-eb25fbfde830</b:URL>
    <b:InternetSiteTitle>A Society for Human Resources Management Community Web site</b:InternetSiteTitle>
    <b:ProductionCompany>Society for Human Resources Management</b:ProductionCompany>
    <b:RefOrder>4</b:RefOrder>
  </b:Source>
  <b:Source>
    <b:Tag>USC12</b:Tag>
    <b:SourceType>InternetSite</b:SourceType>
    <b:Guid>{7731A387-5245-48EA-BB30-9BB565CE9514}</b:Guid>
    <b:LCID>0</b:LCID>
    <b:Author>
      <b:Author>
        <b:Corporate>US Census Bureau Board</b:Corporate>
      </b:Author>
    </b:Author>
    <b:Title>U.S. Census Bureau Projections Show a Slower Growing, Older, More Diverse Nation a Half Century from Now</b:Title>
    <b:Year>2012</b:Year>
    <b:YearAccessed>2018</b:YearAccessed>
    <b:MonthAccessed>November</b:MonthAccessed>
    <b:DayAccessed>12</b:DayAccessed>
    <b:URL>https://www.census.gov/newsroom/releases/archives/population/cb12-243.html</b:URL>
    <b:RefOrder>1</b:RefOrder>
  </b:Source>
  <b:Source>
    <b:Tag>Ali17</b:Tag>
    <b:SourceType>DocumentFromInternetSite</b:SourceType>
    <b:Guid>{21DD20C1-6628-445C-A6A3-560E3E148BDE}</b:Guid>
    <b:LCID>0</b:LCID>
    <b:Author>
      <b:Author>
        <b:NameList>
          <b:Person>
            <b:Last>Reynolds</b:Last>
            <b:First>Alison</b:First>
          </b:Person>
          <b:Person>
            <b:Last>Lewis</b:Last>
            <b:First>David</b:First>
          </b:Person>
        </b:NameList>
      </b:Author>
    </b:Author>
    <b:Title>Teams Solve Problems Faster When They’re More Cognitively Diverse</b:Title>
    <b:Year>2017</b:Year>
    <b:YearAccessed>2018</b:YearAccessed>
    <b:MonthAccessed>December</b:MonthAccessed>
    <b:DayAccessed>2</b:DayAccessed>
    <b:URL>https://hbr.org/2017/03/teams-solve-problems-faster-when-theyre-more-cognitively-diverse</b:URL>
    <b:InternetSiteTitle>Harvard Business Review Web site </b:InternetSiteTitle>
    <b:ProductionCompany>Harvard Business Review</b:ProductionCompany>
    <b:RefOrder>26</b:RefOrder>
  </b:Source>
  <b:Source>
    <b:Tag>Del13</b:Tag>
    <b:SourceType>DocumentFromInternetSite</b:SourceType>
    <b:Guid>{A9F068AC-B31C-4F98-97AA-BCCA2146C19E}</b:Guid>
    <b:LCID>0</b:LCID>
    <b:Author>
      <b:Author>
        <b:Corporate>Delloite Australia</b:Corporate>
      </b:Author>
    </b:Author>
    <b:Title>A new recipe to improve business performance</b:Title>
    <b:InternetSiteTitle>Delloite Web site</b:InternetSiteTitle>
    <b:ProductionCompany>Delloite</b:ProductionCompany>
    <b:Year>2013</b:Year>
    <b:YearAccessed>2018</b:YearAccessed>
    <b:MonthAccessed>November</b:MonthAccessed>
    <b:DayAccessed>12</b:DayAccessed>
    <b:URL>https://www2.deloitte.com/content/dam/Deloitte/au/Documents/human-capital/deloitte-au-hc-diversity-inclusion-soup-0513.pdf</b:URL>
    <b:RefOrder>27</b:RefOrder>
  </b:Source>
  <b:Source>
    <b:Tag>Peo</b:Tag>
    <b:SourceType>DocumentFromInternetSite</b:SourceType>
    <b:Guid>{1917B49E-4D76-4D17-BA0B-08F73AC7F91C}</b:Guid>
    <b:LCID>0</b:LCID>
    <b:Author>
      <b:Author>
        <b:Corporate>People Management</b:Corporate>
      </b:Author>
    </b:Author>
    <b:Title>Diversity drives better decisions</b:Title>
    <b:URL>https://www.peoplemanagement.co.uk/experts/research/diversity-drives-better-decisions</b:URL>
    <b:InternetSiteTitle>People Management Web site</b:InternetSiteTitle>
    <b:ProductionCompany>PM Editorial</b:ProductionCompany>
    <b:Year>2017</b:Year>
    <b:YearAccessed>2018</b:YearAccessed>
    <b:MonthAccessed>November</b:MonthAccessed>
    <b:DayAccessed>19</b:DayAccessed>
    <b:RefOrder>12</b:RefOrder>
  </b:Source>
  <b:Source>
    <b:Tag>Bar12</b:Tag>
    <b:SourceType>DocumentFromInternetSite</b:SourceType>
    <b:Guid>{6577ABFF-E905-4ED5-8323-9686B09B5BA6}</b:Guid>
    <b:LCID>0</b:LCID>
    <b:Author>
      <b:Author>
        <b:NameList>
          <b:Person>
            <b:Last>Barta</b:Last>
            <b:First>Thomas</b:First>
          </b:Person>
          <b:Person>
            <b:Last>Kleiner</b:Last>
            <b:First>Markus</b:First>
          </b:Person>
          <b:Person>
            <b:Last>Neumann</b:Last>
            <b:First>Tilo</b:First>
          </b:Person>
        </b:NameList>
      </b:Author>
    </b:Author>
    <b:Title>Is there a payoff from top-team diversity?</b:Title>
    <b:InternetSiteTitle>McKinsey Web site</b:InternetSiteTitle>
    <b:ProductionCompany>McKinsey Quarterly</b:ProductionCompany>
    <b:Year>2012</b:Year>
    <b:YearAccessed>2018</b:YearAccessed>
    <b:MonthAccessed>December </b:MonthAccessed>
    <b:DayAccessed>2</b:DayAccessed>
    <b:URL>https://www.mckinsey.com/business-functions/organization/our-insights/is-there-a-payoff-from-top-team-diversity</b:URL>
    <b:PeriodicalTitle>McKinsey Quarterly</b:PeriodicalTitle>
    <b:Month>April</b:Month>
    <b:RefOrder>13</b:RefOrder>
  </b:Source>
  <b:Source>
    <b:Tag>Aet8b1</b:Tag>
    <b:SourceType>DocumentFromInternetSite</b:SourceType>
    <b:Guid>{AD36195D-54CF-4AA7-9F04-F75DCCA06B0F}</b:Guid>
    <b:LCID>0</b:LCID>
    <b:Author>
      <b:Author>
        <b:Corporate>Aetna Inc.</b:Corporate>
      </b:Author>
    </b:Author>
    <b:Title>Aetna Q4 2017 earnings press release</b:Title>
    <b:InternetSiteTitle>Aetna Q4 2017 earnings press release</b:InternetSiteTitle>
    <b:ProductionCompany>Aetna Inc.</b:ProductionCompany>
    <b:Year>2018b</b:Year>
    <b:YearAccessed>2018</b:YearAccessed>
    <b:MonthAccessed>December</b:MonthAccessed>
    <b:DayAccessed>15</b:DayAccessed>
    <b:URL>http://www.aetna.com/investors-aetna/assets/documents/4Q17-earnings-call/4q17earningspressrelease.pdf</b:URL>
    <b:RefOrder>28</b:RefOrder>
  </b:Source>
  <b:Source>
    <b:Tag>For14</b:Tag>
    <b:SourceType>InternetSite</b:SourceType>
    <b:Guid>{4FDC64CE-0F5A-4855-8E78-56D3F9C6FE98}</b:Guid>
    <b:LCID>0</b:LCID>
    <b:Author>
      <b:Author>
        <b:Corporate>Forbes</b:Corporate>
      </b:Author>
    </b:Author>
    <b:Title>America's Biggest Health Insurance Providers</b:Title>
    <b:InternetSiteTitle>Forbes website</b:InternetSiteTitle>
    <b:ProductionCompany>Forbes</b:ProductionCompany>
    <b:Year>2014</b:Year>
    <b:YearAccessed>2018</b:YearAccessed>
    <b:MonthAccessed>December</b:MonthAccessed>
    <b:DayAccessed>12</b:DayAccessed>
    <b:URL>https://www.forbes.com/pictures/fefi45ejdih/2-anthem/#2f4a75d151e5</b:URL>
    <b:RefOrder>16</b:RefOrder>
  </b:Source>
  <b:Source>
    <b:Tag>IBI18</b:Tag>
    <b:SourceType>InternetSite</b:SourceType>
    <b:Guid>{92EA2B5F-382D-473C-A1C6-8A36C474F1E3}</b:Guid>
    <b:LCID>0</b:LCID>
    <b:Author>
      <b:Author>
        <b:Corporate>IBISWorld</b:Corporate>
      </b:Author>
    </b:Author>
    <b:Title>Health &amp; Medical Insurance Industry in the US</b:Title>
    <b:Year>2018</b:Year>
    <b:YearAccessed>2018</b:YearAccessed>
    <b:MonthAccessed>December</b:MonthAccessed>
    <b:DayAccessed>12</b:DayAccessed>
    <b:URL>https://www.ibisworld.com/industry-trends/market-research-reports/finance-insurance/carriers-related-activities/health-medical-insurance.html</b:URL>
    <b:RefOrder>15</b:RefOrder>
  </b:Source>
  <b:Source>
    <b:Tag>Pre18</b:Tag>
    <b:SourceType>InternetSite</b:SourceType>
    <b:Guid>{7DC2A797-AACF-4443-B84C-0AE00EE12330}</b:Guid>
    <b:LCID>0</b:LCID>
    <b:Author>
      <b:Author>
        <b:NameList>
          <b:Person>
            <b:Last>Preeti</b:Last>
            <b:First>Varathan</b:First>
          </b:Person>
        </b:NameList>
      </b:Author>
    </b:Author>
    <b:Title>In just two hours, Amazon erased $30 billion in market value for healthcare’s biggest companies</b:Title>
    <b:Year>2018</b:Year>
    <b:YearAccessed>2018</b:YearAccessed>
    <b:MonthAccessed>December</b:MonthAccessed>
    <b:DayAccessed>4</b:DayAccessed>
    <b:URL>https://qz.com/1192731/amazons-push-into-healthcare-just-cost-the-industry-30-billion-in-market-cap/</b:URL>
    <b:RefOrder>23</b:RefOrder>
  </b:Source>
  <b:Source>
    <b:Tag>Del131</b:Tag>
    <b:SourceType>DocumentFromInternetSite</b:SourceType>
    <b:Guid>{6064DAF6-3EFC-46BE-BF96-9FF57B2C5060}</b:Guid>
    <b:LCID>0</b:LCID>
    <b:Author>
      <b:Author>
        <b:Corporate>Delloite</b:Corporate>
      </b:Author>
    </b:Author>
    <b:Title>Health Insurance Market Overview</b:Title>
    <b:Year>2013</b:Year>
    <b:YearAccessed>2018</b:YearAccessed>
    <b:MonthAccessed>November</b:MonthAccessed>
    <b:DayAccessed>26</b:DayAccessed>
    <b:URL>https://www.cdc.gov/publichealthgateway/Program/transformation/docs/health-insurance-overview.pdf</b:URL>
    <b:InternetSiteTitle>A Center for Disease Control and Preventon (CDC) Web site</b:InternetSiteTitle>
    <b:ProductionCompany>Delloite Company</b:ProductionCompany>
    <b:RefOrder>24</b:RefOrder>
  </b:Source>
  <b:Source>
    <b:Tag>Ali11</b:Tag>
    <b:SourceType>JournalArticle</b:SourceType>
    <b:Guid>{F25CE081-DCDC-4E9C-B95C-0CFB5C70EE53}</b:Guid>
    <b:LCID>0</b:LCID>
    <b:Author>
      <b:Author>
        <b:NameList>
          <b:Person>
            <b:Last>Ali</b:Last>
            <b:First>Muhammed</b:First>
          </b:Person>
          <b:Person>
            <b:Last>Carol T</b:Last>
            <b:First>Kulik</b:First>
          </b:Person>
          <b:Person>
            <b:Last>Metz</b:Last>
            <b:First>Isabel</b:First>
          </b:Person>
        </b:NameList>
      </b:Author>
    </b:Author>
    <b:Title>The gender diversity – performance relationship in services and manufacturing organizations</b:Title>
    <b:Year>2011</b:Year>
    <b:JournalName>International Journal of Human Resource Management</b:JournalName>
    <b:Pages>1464 – 1485</b:Pages>
    <b:Volume>22</b:Volume>
    <b:Issue>7</b:Issue>
    <b:RefOrder>29</b:RefOrder>
  </b:Source>
  <b:Source>
    <b:Tag>AHA13</b:Tag>
    <b:SourceType>InternetSite</b:SourceType>
    <b:Guid>{F3A4FC06-034A-4426-A6AF-B6E62C41150C}</b:Guid>
    <b:LCID>0</b:LCID>
    <b:Author>
      <b:Author>
        <b:Corporate>AHA News</b:Corporate>
      </b:Author>
    </b:Author>
    <b:Title>'Bridges Spotlight'</b:Title>
    <b:Year>2013</b:Year>
    <b:YearAccessed>2018</b:YearAccessed>
    <b:MonthAccessed>November</b:MonthAccessed>
    <b:DayAccessed>7</b:DayAccessed>
    <b:URL>https://search-ebscohost-com.ezproxy.uwtsd.ac.uk/login.aspx?direct=true&amp;db=bth&amp;AN=10850236&amp;site=bsi-live</b:URL>
    <b:RefOrder>30</b:RefOrder>
  </b:Source>
  <b:Source>
    <b:Tag>Loc05</b:Tag>
    <b:SourceType>JournalArticle</b:SourceType>
    <b:Guid>{1EFB1D9A-840E-44AC-91AF-191F3BC964DC}</b:Guid>
    <b:LCID>0</b:LCID>
    <b:Author>
      <b:Author>
        <b:NameList>
          <b:Person>
            <b:Last>Lockwood</b:Last>
            <b:First>N</b:First>
            <b:Middle>R</b:Middle>
          </b:Person>
        </b:NameList>
      </b:Author>
    </b:Author>
    <b:Title>Workplace Diversity: Leveraging the Power of Difference for Competitive Advantage</b:Title>
    <b:Year>2005</b:Year>
    <b:JournalName>HRMagazine</b:JournalName>
    <b:Pages>A1 - A10</b:Pages>
    <b:Volume>50</b:Volume>
    <b:Issue>6</b:Issue>
    <b:RefOrder>31</b:RefOrder>
  </b:Source>
  <b:Source>
    <b:Tag>Ros98</b:Tag>
    <b:SourceType>JournalArticle</b:SourceType>
    <b:Guid>{58544F1F-B2FB-4D3C-9242-9C1427EE81FB}</b:Guid>
    <b:LCID>0</b:LCID>
    <b:Author>
      <b:Author>
        <b:NameList>
          <b:Person>
            <b:Last>Rose</b:Last>
            <b:First>M</b:First>
            <b:Middle>W</b:Middle>
          </b:Person>
          <b:Person>
            <b:Last>Palma-Rivas</b:Last>
            <b:First>N</b:First>
          </b:Person>
        </b:NameList>
      </b:Author>
    </b:Author>
    <b:Title>Current status and future trends of diversity initiatives in the workplace: Diversity experts' perspective</b:Title>
    <b:JournalName> Human Resource Development Quarterly</b:JournalName>
    <b:Year>1998</b:Year>
    <b:Pages>235 - 253</b:Pages>
    <b:Volume>9</b:Volume>
    <b:Issue>3</b:Issue>
    <b:RefOrder>32</b:RefOrder>
  </b:Source>
  <b:Source>
    <b:Tag>Mat15</b:Tag>
    <b:SourceType>JournalArticle</b:SourceType>
    <b:Guid>{FBA89C3F-7C89-4F2B-A1EF-754A3F2FC76B}</b:Guid>
    <b:LCID>0</b:LCID>
    <b:Author>
      <b:Author>
        <b:NameList>
          <b:Person>
            <b:Last>Mateescu</b:Last>
            <b:First>V</b:First>
            <b:Middle>M</b:Middle>
          </b:Person>
        </b:NameList>
      </b:Author>
    </b:Author>
    <b:Title>Perspective on Diversity Management at Workplace: The European SMEs Case</b:Title>
    <b:JournalName>On - line Journal Modelling the New Europe</b:JournalName>
    <b:Year>2015</b:Year>
    <b:Pages>80 - 92</b:Pages>
    <b:Issue>16</b:Issue>
    <b:RefOrder>33</b:RefOrder>
  </b:Source>
  <b:Source>
    <b:Tag>Rab14</b:Tag>
    <b:SourceType>JournalArticle</b:SourceType>
    <b:Guid>{F52A4BFD-7641-4973-B5EA-F0155C12B4B6}</b:Guid>
    <b:LCID>0</b:LCID>
    <b:Author>
      <b:Author>
        <b:NameList>
          <b:Person>
            <b:Last>Rabl</b:Last>
            <b:First>T</b:First>
          </b:Person>
          <b:Person>
            <b:Last>Triana</b:Last>
            <b:First>M</b:First>
            <b:Middle>D C</b:Middle>
          </b:Person>
        </b:NameList>
      </b:Author>
    </b:Author>
    <b:Title>Organizational Value for Age Diversity and Potential Applicants' Organizational Attraction: Individual Attitudes Matter</b:Title>
    <b:JournalName>Journal of Business Ethics</b:JournalName>
    <b:Year>2014</b:Year>
    <b:Pages>403 - 417</b:Pages>
    <b:Volume>121</b:Volume>
    <b:Issue>3</b:Issue>
    <b:RefOrder>34</b:RefOrder>
  </b:Source>
  <b:Source>
    <b:Tag>Tan17</b:Tag>
    <b:SourceType>JournalArticle</b:SourceType>
    <b:Guid>{680895DF-8D3B-41DF-AE1F-99A12D1012F3}</b:Guid>
    <b:LCID>0</b:LCID>
    <b:Author>
      <b:Author>
        <b:NameList>
          <b:Person>
            <b:Last>Tanikawa</b:Last>
            <b:First>T</b:First>
          </b:Person>
          <b:Person>
            <b:Last>Kim</b:Last>
            <b:First>S</b:First>
          </b:Person>
          <b:Person>
            <b:Last>Jung</b:Last>
            <b:First>Y</b:First>
          </b:Person>
        </b:NameList>
      </b:Author>
    </b:Author>
    <b:Title>Top management team diversity and firm performance: exploring a function of age</b:Title>
    <b:JournalName>Team Performance Management</b:JournalName>
    <b:Year>2017</b:Year>
    <b:Pages>156 - 170</b:Pages>
    <b:Volume>23</b:Volume>
    <b:Issue>3</b:Issue>
    <b:RefOrder>35</b:RefOrder>
  </b:Source>
  <b:Source>
    <b:Tag>Sha161</b:Tag>
    <b:SourceType>JournalArticle</b:SourceType>
    <b:Guid>{6B92565B-A277-4DE9-B2A0-83F2D8165EC8}</b:Guid>
    <b:LCID>0</b:LCID>
    <b:Author>
      <b:Author>
        <b:NameList>
          <b:Person>
            <b:Last>Sharma</b:Last>
            <b:First>U</b:First>
          </b:Person>
        </b:NameList>
      </b:Author>
    </b:Author>
    <b:Title>Managing Diversity and Cultural Differences at Workplace.</b:Title>
    <b:JournalName> IPE Journal of Management</b:JournalName>
    <b:Year>2016</b:Year>
    <b:Pages>63 - 79</b:Pages>
    <b:Volume>6</b:Volume>
    <b:Issue>2</b:Issue>
    <b:RefOrder>36</b:RefOrder>
  </b:Source>
  <b:Source>
    <b:Tag>LiJ11</b:Tag>
    <b:SourceType>JournalArticle</b:SourceType>
    <b:Guid>{BC72FC34-35E2-435A-8CDE-DD300780514D}</b:Guid>
    <b:LCID>0</b:LCID>
    <b:Author>
      <b:Author>
        <b:NameList>
          <b:Person>
            <b:Last>Li</b:Last>
            <b:First>J</b:First>
          </b:Person>
          <b:Person>
            <b:Last>Chu</b:Last>
            <b:First>C</b:First>
            <b:Middle>W L</b:Middle>
          </b:Person>
          <b:Person>
            <b:Last>Lam</b:Last>
            <b:First>K</b:First>
            <b:Middle>C K</b:Middle>
          </b:Person>
          <b:Person>
            <b:Last>Liao</b:Last>
            <b:First>S</b:First>
          </b:Person>
        </b:NameList>
      </b:Author>
    </b:Author>
    <b:Title>Age diversity and firm performance in an emerging economy: Implications for cross-cultural human resource management</b:Title>
    <b:JournalName>Human resource management</b:JournalName>
    <b:Year>2011</b:Year>
    <b:Pages>247</b:Pages>
    <b:Volume>50</b:Volume>
    <b:Issue>2</b:Issue>
    <b:RefOrder>37</b:RefOrder>
  </b:Source>
  <b:Source>
    <b:Tag>Bac13</b:Tag>
    <b:SourceType>JournalArticle</b:SourceType>
    <b:Guid>{7760E00D-E1CA-4F45-A3E3-33598AAE45AB}</b:Guid>
    <b:LCID>0</b:LCID>
    <b:Author>
      <b:Author>
        <b:NameList>
          <b:Person>
            <b:Last>Backes-Gellner</b:Last>
            <b:First>U</b:First>
          </b:Person>
          <b:Person>
            <b:Last>Veen</b:Last>
            <b:First>S</b:First>
          </b:Person>
        </b:NameList>
      </b:Author>
    </b:Author>
    <b:Title>Positive effects of ageing and age diversity in innovative companies - large-scale empirical evidence on company productivity</b:Title>
    <b:JournalName>Human Resource Management Journal</b:JournalName>
    <b:Year>2013</b:Year>
    <b:Pages>279</b:Pages>
    <b:Volume>23</b:Volume>
    <b:Issue>3</b:Issue>
    <b:RefOrder>11</b:RefOrder>
  </b:Source>
  <b:Source>
    <b:Tag>Prz09</b:Tag>
    <b:SourceType>JournalArticle</b:SourceType>
    <b:Guid>{5EDA0B0E-180C-4FE0-81E0-5A55DC2DBD83}</b:Guid>
    <b:LCID>0</b:LCID>
    <b:Author>
      <b:Author>
        <b:NameList>
          <b:Person>
            <b:Last>Przetacka</b:Last>
            <b:First>Z</b:First>
          </b:Person>
        </b:NameList>
      </b:Author>
    </b:Author>
    <b:Title>Age diversity - managing age in organizations</b:Title>
    <b:JournalName>Kobieta i Biznes</b:JournalName>
    <b:Year>2009</b:Year>
    <b:Pages>47 - 52</b:Pages>
    <b:Volume>1</b:Volume>
    <b:Issue>4</b:Issue>
    <b:RefOrder>38</b:RefOrder>
  </b:Source>
  <b:Source>
    <b:Tag>Oko12</b:Tag>
    <b:SourceType>JournalArticle</b:SourceType>
    <b:Guid>{EC8A8CE6-EDB9-4DD4-851F-1E4988E3C506}</b:Guid>
    <b:LCID>0</b:LCID>
    <b:Author>
      <b:Author>
        <b:NameList>
          <b:Person>
            <b:Last>Okoro</b:Last>
            <b:First>E</b:First>
            <b:Middle>A</b:Middle>
          </b:Person>
          <b:Person>
            <b:Last>Washington</b:Last>
            <b:First>M</b:First>
            <b:Middle>C</b:Middle>
          </b:Person>
        </b:NameList>
      </b:Author>
    </b:Author>
    <b:Title>Workforce Diversity And Organizational Communication: Analysis Of Human Capital Performance And Productivity</b:Title>
    <b:JournalName>Journal of Diversity Management (Online)</b:JournalName>
    <b:Year>2012</b:Year>
    <b:Pages>57 - 69</b:Pages>
    <b:Volume>7</b:Volume>
    <b:Issue>1</b:Issue>
    <b:RefOrder>39</b:RefOrder>
  </b:Source>
  <b:Source>
    <b:Tag>Son00</b:Tag>
    <b:SourceType>JournalArticle</b:SourceType>
    <b:Guid>{66C7BB57-6E20-44DC-9F90-778BBA11EA90}</b:Guid>
    <b:LCID>0</b:LCID>
    <b:Author>
      <b:Author>
        <b:NameList>
          <b:Person>
            <b:Last>Soni</b:Last>
            <b:First>V</b:First>
          </b:Person>
        </b:NameList>
      </b:Author>
    </b:Author>
    <b:Title>A twenty-first century reception for diversity in the public sector: A case study</b:Title>
    <b:JournalName>Public administration review</b:JournalName>
    <b:Year>2000</b:Year>
    <b:Pages>395 - 408</b:Pages>
    <b:Volume>60</b:Volume>
    <b:Issue>5</b:Issue>
    <b:RefOrder>40</b:RefOrder>
  </b:Source>
  <b:Source>
    <b:Tag>Hun18</b:Tag>
    <b:SourceType>DocumentFromInternetSite</b:SourceType>
    <b:Guid>{B9EB011A-B229-4E63-A43F-3DF69D27C50F}</b:Guid>
    <b:LCID>0</b:LCID>
    <b:Author>
      <b:Author>
        <b:NameList>
          <b:Person>
            <b:Last>Hunt</b:Last>
            <b:First>Vivian</b:First>
          </b:Person>
          <b:Person>
            <b:Last>Prince</b:Last>
            <b:First>Sarah</b:First>
          </b:Person>
          <b:Person>
            <b:Last>Dixon-Fyle</b:Last>
            <b:First>Sundiatu</b:First>
          </b:Person>
          <b:Person>
            <b:Last>Yee</b:Last>
            <b:First>Lareina</b:First>
          </b:Person>
        </b:NameList>
      </b:Author>
    </b:Author>
    <b:Title>Delivering Through Diversity</b:Title>
    <b:InternetSiteTitle>McKinsey Website</b:InternetSiteTitle>
    <b:ProductionCompany>McKinsey &amp; Company</b:ProductionCompany>
    <b:Year>2018</b:Year>
    <b:YearAccessed>2019</b:YearAccessed>
    <b:MonthAccessed>January</b:MonthAccessed>
    <b:DayAccessed>2</b:DayAccessed>
    <b:URL>https://www.mckinsey.com/~/media/mckinsey/business%20functions/organization/our%20insights/delivering%20through%20diversity/delivering-through-diversity_full-report.ashx</b:URL>
    <b:RefOrder>2</b:RefOrder>
  </b:Source>
  <b:Source>
    <b:Tag>Con03</b:Tag>
    <b:SourceType>JournalArticle</b:SourceType>
    <b:Guid>{3860CE53-98AB-4707-811B-E50B7D0BE9F8}</b:Guid>
    <b:LCID>0</b:LCID>
    <b:Author>
      <b:Author>
        <b:NameList>
          <b:Person>
            <b:Last>Contractor</b:Last>
            <b:First>F.J</b:First>
          </b:Person>
          <b:Person>
            <b:Last>Kundu</b:Last>
            <b:First>S.K</b:First>
          </b:Person>
          <b:Person>
            <b:Last>Hsu</b:Last>
            <b:First>C</b:First>
          </b:Person>
        </b:NameList>
      </b:Author>
    </b:Author>
    <b:Title>A three-stage theory of international expansion: the link between multinationality and performance in the service sector</b:Title>
    <b:Year>2003</b:Year>
    <b:JournalName>Journal of International Business Studies</b:JournalName>
    <b:Pages>5-18</b:Pages>
    <b:Volume>34</b:Volume>
    <b:Issue>3</b:Issue>
    <b:RefOrder>19</b:RefOrder>
  </b:Source>
  <b:Source>
    <b:Tag>Arc09</b:Tag>
    <b:SourceType>Book</b:SourceType>
    <b:Guid>{101B8B24-EC75-4141-B15A-2D7AFC3EAE36}</b:Guid>
    <b:LCID>0</b:LCID>
    <b:Author>
      <b:Author>
        <b:NameList>
          <b:Person>
            <b:Last>Arch</b:Last>
            <b:First>G</b:First>
            <b:Middle>Woodside</b:Middle>
          </b:Person>
          <b:Person>
            <b:Last>Carol</b:Last>
            <b:First>M</b:First>
            <b:Middle>Megehee</b:Middle>
          </b:Person>
          <b:Person>
            <b:Last>Ogle</b:Last>
            <b:First>Alfred</b:First>
          </b:Person>
        </b:NameList>
      </b:Author>
    </b:Author>
    <b:Title>Perspectives on cross-cultural, ethnographic, brand image, storytelling, unconscious needs, and hospitality guest research</b:Title>
    <b:Year>2009</b:Year>
    <b:City>Bingley</b:City>
    <b:Publisher>Emerald</b:Publisher>
    <b:Edition>1st</b:Edition>
    <b:RefOrder>20</b:RefOrder>
  </b:Source>
  <b:Source>
    <b:Tag>Emi14</b:Tag>
    <b:SourceType>InternetSite</b:SourceType>
    <b:Guid>{7F275206-1A56-4840-995D-E26505BE0996}</b:Guid>
    <b:LCID>0</b:LCID>
    <b:Author>
      <b:Author>
        <b:NameList>
          <b:Person>
            <b:Last>Emi</b:Last>
            <b:First>Kayole</b:First>
          </b:Person>
        </b:NameList>
      </b:Author>
    </b:Author>
    <b:Title>Apple vs. Samsung: Battle of the innovation strategies</b:Title>
    <b:Year>2014</b:Year>
    <b:YearAccessed>2014</b:YearAccessed>
    <b:MonthAccessed>September</b:MonthAccessed>
    <b:DayAccessed>23</b:DayAccessed>
    <b:URL>http://www.washingtonpost.com/blogs/innovations/post/apple-vs-samsung-battle-of-the-innovation-strategies/2012/11/12/f24d4ae2-2cdc-11e2-89d4-040c9330702a_blog.html</b:URL>
    <b:RefOrder>41</b:RefOrder>
  </b:Source>
  <b:Source>
    <b:Tag>Ger08</b:Tag>
    <b:SourceType>Book</b:SourceType>
    <b:Guid>{9A27B0BB-63BF-4912-9F40-CCC866502B5F}</b:Guid>
    <b:LCID>0</b:LCID>
    <b:Author>
      <b:Author>
        <b:NameList>
          <b:Person>
            <b:Last>Gerry</b:Last>
            <b:First>Johnson</b:First>
          </b:Person>
          <b:Person>
            <b:Last>Kevan</b:Last>
            <b:First>Schole</b:First>
          </b:Person>
          <b:Person>
            <b:Last>Richard</b:Last>
            <b:First>Whittington</b:First>
          </b:Person>
        </b:NameList>
      </b:Author>
    </b:Author>
    <b:Title>Corporate Strategy</b:Title>
    <b:Year>2008</b:Year>
    <b:City>Edinburg</b:City>
    <b:Publisher>Pearson Education Limited</b:Publisher>
    <b:Edition>8th</b:Edition>
    <b:RefOrder>17</b:RefOrder>
  </b:Source>
  <b:Source>
    <b:Tag>Sta07</b:Tag>
    <b:SourceType>JournalArticle</b:SourceType>
    <b:Guid>{AB70FAA8-09BA-45EE-8EEC-2C6E2CB98FE7}</b:Guid>
    <b:LCID>0</b:LCID>
    <b:Author>
      <b:Author>
        <b:NameList>
          <b:Person>
            <b:Last>Stancey</b:Last>
            <b:First>R</b:First>
            <b:Middle>D</b:Middle>
          </b:Person>
        </b:NameList>
      </b:Author>
    </b:Author>
    <b:Title>Strategic Management and Organizational Dynamics</b:Title>
    <b:Year>2007</b:Year>
    <b:JournalName>International Journal of Strategy and Organizational Dynamics</b:JournalName>
    <b:Pages>23-27</b:Pages>
    <b:Volume>5</b:Volume>
    <b:Issue>8</b:Issue>
    <b:RefOrder>21</b:RefOrder>
  </b:Source>
  <b:Source>
    <b:Tag>Aet8c</b:Tag>
    <b:SourceType>InternetSite</b:SourceType>
    <b:Guid>{C30F2D73-BC9F-40DE-A16D-FC3FD4688EC7}</b:Guid>
    <b:LCID>0</b:LCID>
    <b:Author>
      <b:Author>
        <b:Corporate>Aetna Inc</b:Corporate>
      </b:Author>
    </b:Author>
    <b:Title>Aetna Supplier Diversity</b:Title>
    <b:Year>2018c</b:Year>
    <b:YearAccessed>2018</b:YearAccessed>
    <b:MonthAccessed>December</b:MonthAccessed>
    <b:DayAccessed>28</b:DayAccessed>
    <b:URL>https://www.aetna.com/about-us/diversity-inclusion/supplier-diversity.html</b:URL>
    <b:RefOrder>22</b:RefOrder>
  </b:Source>
  <b:Source>
    <b:Tag>Box11</b:Tag>
    <b:SourceType>Book</b:SourceType>
    <b:Guid>{33C3C92E-4E50-498F-8471-AE351F6A077D}</b:Guid>
    <b:LCID>0</b:LCID>
    <b:Author>
      <b:Author>
        <b:NameList>
          <b:Person>
            <b:Last>Boxall</b:Last>
            <b:First>Peter</b:First>
          </b:Person>
          <b:Person>
            <b:Last>Purcell</b:Last>
            <b:First>John</b:First>
          </b:Person>
        </b:NameList>
      </b:Author>
    </b:Author>
    <b:Title>Strategy and Human Resource Management</b:Title>
    <b:Year>2011</b:Year>
    <b:City>Basingstoke</b:City>
    <b:Publisher>Palgrave</b:Publisher>
    <b:Edition>3rd</b:Edition>
    <b:RefOrder>42</b:RefOrder>
  </b:Source>
  <b:Source>
    <b:Tag>Fre131</b:Tag>
    <b:SourceType>Book</b:SourceType>
    <b:Guid>{8F5C1DAD-7684-4962-812D-25A299056D8E}</b:Guid>
    <b:LCID>0</b:LCID>
    <b:Author>
      <b:Author>
        <b:NameList>
          <b:Person>
            <b:Last>Fred</b:Last>
            <b:First>R.</b:First>
            <b:Middle>D</b:Middle>
          </b:Person>
        </b:NameList>
      </b:Author>
    </b:Author>
    <b:Title>Strategic management concepts: a competitive advantage approach</b:Title>
    <b:Year>2013</b:Year>
    <b:City>Boston</b:City>
    <b:Publisher>Pearson</b:Publisher>
    <b:Edition>14th</b:Edition>
    <b:RefOrder>18</b:RefOrder>
  </b:Source>
  <b:Source>
    <b:Tag>Far10</b:Tag>
    <b:SourceType>Book</b:SourceType>
    <b:Guid>{6ABB44B1-BD57-4BBD-8D3B-E889203E31C1}</b:Guid>
    <b:LCID>0</b:LCID>
    <b:Author>
      <b:Author>
        <b:NameList>
          <b:Person>
            <b:Last>Farnham</b:Last>
            <b:First>D</b:First>
          </b:Person>
        </b:NameList>
      </b:Author>
    </b:Author>
    <b:Title>Human Resource Management in Context: Strategy, insights and solutions</b:Title>
    <b:Year>2010</b:Year>
    <b:City>London</b:City>
    <b:Publisher>CIPD</b:Publisher>
    <b:RefOrder>43</b:RefOrder>
  </b:Source>
  <b:Source>
    <b:Tag>Aet181</b:Tag>
    <b:SourceType>InternetSite</b:SourceType>
    <b:Guid>{7C18BAFB-5B80-405E-950E-F9DAB65A1D41}</b:Guid>
    <b:LCID>0</b:LCID>
    <b:Author>
      <b:Author>
        <b:Corporate>Aetna News</b:Corporate>
      </b:Author>
    </b:Author>
    <b:Title>U.S. Department of Justice will allow CVS Health acquisition of Aetna to proceed</b:Title>
    <b:Year>2018</b:Year>
    <b:YearAccessed>2018</b:YearAccessed>
    <b:MonthAccessed>November</b:MonthAccessed>
    <b:DayAccessed>25</b:DayAccessed>
    <b:URL>https://news.aetna.com/2018/10/u-s-department-of-justice-will-allow-cvs-health-acquisition-of-aetna-to-proceed/</b:URL>
    <b:RefOrder>7</b:RefOrder>
  </b:Source>
  <b:Source>
    <b:Tag>Ale16</b:Tag>
    <b:SourceType>JournalArticle</b:SourceType>
    <b:Guid>{70D240CE-E378-4EFF-8239-371D4F4E258C}</b:Guid>
    <b:LCID>0</b:LCID>
    <b:Author>
      <b:Author>
        <b:NameList>
          <b:Person>
            <b:Last>Alesina</b:Last>
            <b:First>Alberto</b:First>
          </b:Person>
          <b:Person>
            <b:Last>Harnoss</b:Last>
            <b:First>Johann</b:First>
          </b:Person>
          <b:Person>
            <b:Last>Rapoport</b:Last>
            <b:First>Hille</b:First>
          </b:Person>
        </b:NameList>
      </b:Author>
    </b:Author>
    <b:Title>Birthplace diversity and economic prosperity </b:Title>
    <b:Year>2016</b:Year>
    <b:JournalName>Journal of Economic Growth</b:JournalName>
    <b:Pages>101 - 138</b:Pages>
    <b:Volume>21</b:Volume>
    <b:Issue>2</b:Issue>
    <b:RefOrder>44</b:RefOrder>
  </b:Source>
  <b:Source>
    <b:Tag>Ben07</b:Tag>
    <b:SourceType>JournalArticle</b:SourceType>
    <b:Guid>{5A098D26-1D7E-4DA8-A1D3-6AB5B423A84B}</b:Guid>
    <b:LCID>0</b:LCID>
    <b:Author>
      <b:Author>
        <b:NameList>
          <b:Person>
            <b:Last>Benhamou</b:Last>
            <b:First>Françoise</b:First>
          </b:Person>
          <b:Person>
            <b:Last>Peltier</b:Last>
            <b:First>Stéphanie</b:First>
          </b:Person>
        </b:NameList>
      </b:Author>
    </b:Author>
    <b:Title>How should cultural diversity be measured? An application using the French publishing industry</b:Title>
    <b:JournalName>Journal of Cultural Economics; New </b:JournalName>
    <b:Year>2007</b:Year>
    <b:Pages>85 - 107</b:Pages>
    <b:Volume>31</b:Volume>
    <b:Issue>2</b:Issue>
    <b:RefOrder>45</b:RefOrder>
  </b:Source>
  <b:Source>
    <b:Tag>Ach04</b:Tag>
    <b:SourceType>JournalArticle</b:SourceType>
    <b:Guid>{732DECF5-8EBF-402F-83C2-C228FB10B90C}</b:Guid>
    <b:LCID>0</b:LCID>
    <b:Author>
      <b:Author>
        <b:NameList>
          <b:Person>
            <b:Last>Acheson</b:Last>
            <b:First>K</b:First>
          </b:Person>
          <b:Person>
            <b:Last>Maule</b:Last>
            <b:First>C</b:First>
          </b:Person>
        </b:NameList>
      </b:Author>
    </b:Author>
    <b:Title>Convention on cultural diversity</b:Title>
    <b:JournalName>Journal of Cultural Economics</b:JournalName>
    <b:Year>2004</b:Year>
    <b:Pages>243 - 256</b:Pages>
    <b:Volume>28</b:Volume>
    <b:Issue>4</b:Issue>
    <b:RefOrder>46</b:RefOrder>
  </b:Source>
  <b:Source>
    <b:Tag>Cow02</b:Tag>
    <b:SourceType>Book</b:SourceType>
    <b:Guid>{FBE48001-1AA3-40FA-A946-39694389651F}</b:Guid>
    <b:LCID>0</b:LCID>
    <b:Author>
      <b:Author>
        <b:NameList>
          <b:Person>
            <b:Last>Cowen</b:Last>
            <b:First>T</b:First>
          </b:Person>
        </b:NameList>
      </b:Author>
    </b:Author>
    <b:Title>Creative destruction. How globalization is changing the world’s culture. </b:Title>
    <b:Year>2002</b:Year>
    <b:City>Princeton</b:City>
    <b:Publisher>Princeton University Press</b:Publisher>
    <b:RefOrder>9</b:RefOrder>
  </b:Source>
  <b:Source>
    <b:Tag>Mar08</b:Tag>
    <b:SourceType>JournalArticle</b:SourceType>
    <b:Guid>{87319590-30E8-4408-8E08-9D4BBC671A17}</b:Guid>
    <b:LCID>0</b:LCID>
    <b:Author>
      <b:Author>
        <b:NameList>
          <b:Person>
            <b:Last>Mark</b:Last>
            <b:First>Winston</b:First>
          </b:Person>
        </b:NameList>
      </b:Author>
    </b:Author>
    <b:Title>Diversity: the research and the lack of progress</b:Title>
    <b:Year>2008</b:Year>
    <b:Pages>130 - 149</b:Pages>
    <b:JournalName>New Library World</b:JournalName>
    <b:Volume>109</b:Volume>
    <b:Issue>3/ 4</b:Issue>
    <b:RefOrder>47</b:RefOrder>
  </b:Source>
  <b:Source>
    <b:Tag>Tur85</b:Tag>
    <b:SourceType>JournalArticle</b:SourceType>
    <b:Guid>{6C9BE4DD-833E-4AE6-B8FF-A625D83FF41E}</b:Guid>
    <b:LCID>0</b:LCID>
    <b:Author>
      <b:Author>
        <b:NameList>
          <b:Person>
            <b:Last>Turner</b:Last>
            <b:First>J</b:First>
            <b:Middle>C</b:Middle>
          </b:Person>
        </b:NameList>
      </b:Author>
    </b:Author>
    <b:Title> Social categorization and the self-concept: A social cognitive theory of group behavior.</b:Title>
    <b:JournalName>Advances in Group Processes</b:JournalName>
    <b:Year>1985</b:Year>
    <b:Pages>77 - 122</b:Pages>
    <b:Volume>2</b:Volume>
    <b:RefOrder>3</b:RefOrder>
  </b:Source>
  <b:Source>
    <b:Tag>Hog06</b:Tag>
    <b:SourceType>JournalArticle</b:SourceType>
    <b:Guid>{4D805B85-3EC6-4F24-8BE7-1688CB0EE075}</b:Guid>
    <b:LCID>0</b:LCID>
    <b:Author>
      <b:Author>
        <b:NameList>
          <b:Person>
            <b:Last>Hogg</b:Last>
            <b:First>Michael</b:First>
            <b:Middle>A</b:Middle>
          </b:Person>
          <b:Person>
            <b:Last>Reid</b:Last>
            <b:First>Scott</b:First>
            <b:Middle>A</b:Middle>
          </b:Person>
        </b:NameList>
      </b:Author>
    </b:Author>
    <b:Title>Social Identity, Self-Categorization, and theCommunication of Group Norms</b:Title>
    <b:JournalName>Communication Theory</b:JournalName>
    <b:Year>2006</b:Year>
    <b:Pages>7 - 30</b:Pages>
    <b:Volume>16</b:Volume>
    <b:RefOrder>8</b:RefOrder>
  </b:Source>
  <b:Source>
    <b:Tag>WEF18</b:Tag>
    <b:SourceType>DocumentFromInternetSite</b:SourceType>
    <b:Guid>{C5B3FBA4-3AF3-4458-8ACF-277F5B2284FB}</b:Guid>
    <b:LCID>0</b:LCID>
    <b:Author>
      <b:Author>
        <b:Corporate>WEF</b:Corporate>
      </b:Author>
    </b:Author>
    <b:Title>World Economic Forum Website</b:Title>
    <b:Year>2018</b:Year>
    <b:YearAccessed>2018</b:YearAccessed>
    <b:MonthAccessed>November</b:MonthAccessed>
    <b:DayAccessed>19</b:DayAccessed>
    <b:URL>http://www3.weforum.org/docs/WEF_GGGR_2018.pdf</b:URL>
    <b:InternetSiteTitle>The Global Gender Report 2018</b:InternetSiteTitle>
    <b:RefOrder>10</b:RefOrder>
  </b:Source>
  <b:Source>
    <b:Tag>Pat12</b:Tag>
    <b:SourceType>DocumentFromInternetSite</b:SourceType>
    <b:Guid>{22E197B7-B3F6-4DA2-9003-048CF815B43F}</b:Guid>
    <b:LCID>0</b:LCID>
    <b:Author>
      <b:Author>
        <b:NameList>
          <b:Person>
            <b:Last>Patrick</b:Last>
            <b:First>H</b:First>
            <b:Middle>A</b:Middle>
          </b:Person>
          <b:Person>
            <b:Last>Kumar</b:Last>
            <b:First>V</b:First>
            <b:Middle>R</b:Middle>
          </b:Person>
        </b:NameList>
      </b:Author>
    </b:Author>
    <b:Title>Managing Workplace Diversity: Issues and Challenges’, SAGE Open</b:Title>
    <b:InternetSiteTitle>SAGE Open</b:InternetSiteTitle>
    <b:ProductionCompany>Sage pub</b:ProductionCompany>
    <b:Year>2012</b:Year>
    <b:YearAccessed>2018</b:YearAccessed>
    <b:MonthAccessed>December</b:MonthAccessed>
    <b:DayAccessed>27</b:DayAccessed>
    <b:URL>https://journals.sagepub.com/doi/abs/10.1177/2158244012444615</b:URL>
    <b:RefOrder>48</b:RefOrder>
  </b:Source>
  <b:Source>
    <b:Tag>Jos06</b:Tag>
    <b:SourceType>JournalArticle</b:SourceType>
    <b:Guid>{AA99CFEF-6A34-43C9-9660-0F6E7B2FA071}</b:Guid>
    <b:LCID>0</b:LCID>
    <b:Author>
      <b:Author>
        <b:NameList>
          <b:Person>
            <b:Last>Joshi</b:Last>
            <b:First>Aparna</b:First>
          </b:Person>
          <b:Person>
            <b:Last>Jackson</b:Last>
            <b:First>Susan</b:First>
            <b:Middle>E</b:Middle>
          </b:Person>
        </b:NameList>
      </b:Author>
    </b:Author>
    <b:Title>Cross-level Effects of Workplace Diversity on Sales Performance and Pay</b:Title>
    <b:Year>2006</b:Year>
    <b:JournalName>The Academy of Management Journal</b:JournalName>
    <b:Pages>459 - 481</b:Pages>
    <b:Volume>493</b:Volume>
    <b:RefOrder>14</b:RefOrder>
  </b:Source>
</b:Sources>
</file>

<file path=customXml/itemProps1.xml><?xml version="1.0" encoding="utf-8"?>
<ds:datastoreItem xmlns:ds="http://schemas.openxmlformats.org/officeDocument/2006/customXml" ds:itemID="{3660ECC5-5412-47A3-BEF5-C9624F02B3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TotalTime>
  <Pages>32</Pages>
  <Words>9238</Words>
  <Characters>52658</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61773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2</cp:revision>
  <dcterms:created xsi:type="dcterms:W3CDTF">2019-01-08T03:40:00Z</dcterms:created>
  <dcterms:modified xsi:type="dcterms:W3CDTF">2019-01-08T03:40:00Z</dcterms:modified>
</cp:coreProperties>
</file>