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56786" w14:textId="77777777" w:rsidR="00FF01B2" w:rsidRPr="00DB74A4" w:rsidRDefault="00CC1BD1" w:rsidP="0033236F">
      <w:pPr>
        <w:spacing w:line="360" w:lineRule="auto"/>
        <w:rPr>
          <w:rFonts w:ascii="Arial" w:eastAsia="Arial" w:hAnsi="Arial" w:cs="Arial"/>
        </w:rPr>
      </w:pPr>
      <w:bookmarkStart w:id="0" w:name="_Hlk174548917"/>
      <w:r w:rsidRPr="2633F10F">
        <w:rPr>
          <w:rFonts w:ascii="Arial" w:eastAsia="Arial" w:hAnsi="Arial" w:cs="Arial"/>
          <w:b/>
          <w:bCs/>
        </w:rPr>
        <w:t>Critically evaluate a range of methodological approaches, research designs and research methods appropriate to gather data from complex work-based settings. Apply due consideration to research ethics and issues of insider research.</w:t>
      </w:r>
    </w:p>
    <w:p w14:paraId="0417C46C" w14:textId="0B796ACB" w:rsidR="0059485A" w:rsidRPr="0059485A" w:rsidRDefault="00CC1BD1" w:rsidP="0033236F">
      <w:pPr>
        <w:spacing w:line="360" w:lineRule="auto"/>
        <w:rPr>
          <w:rFonts w:ascii="Arial" w:eastAsia="Arial" w:hAnsi="Arial" w:cs="Arial"/>
          <w:b/>
          <w:bCs/>
        </w:rPr>
      </w:pPr>
      <w:r w:rsidRPr="2633F10F">
        <w:rPr>
          <w:rFonts w:ascii="Arial" w:eastAsia="Arial" w:hAnsi="Arial" w:cs="Arial"/>
          <w:b/>
          <w:bCs/>
        </w:rPr>
        <w:t>Introduction</w:t>
      </w:r>
    </w:p>
    <w:p w14:paraId="0F49B0E8" w14:textId="77777777" w:rsidR="006E502B"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This paper aims to enhance the understanding of research design, methodology, and ethics in insider research, focusing on teaching practices for trans and transitioning voices. These vocalists face various challenges, including identity, intersectionality, depersonalization, and a reduced sense of accomplishment (Stryker, 2000; Crenshaw, 2013; Verret et al., 2021; Maslach &amp; Leiter, 2004). While previous research has focused on general professional settings, this study contextualizes trans pedagogy within vo</w:t>
      </w:r>
      <w:r w:rsidRPr="2633F10F">
        <w:rPr>
          <w:rFonts w:ascii="Arial" w:eastAsia="Arial" w:hAnsi="Arial" w:cs="Arial"/>
          <w:kern w:val="0"/>
          <w:lang w:eastAsia="en-GB"/>
          <w14:ligatures w14:val="none"/>
        </w:rPr>
        <w:t>cal teaching, particularly for trans and transitioning voices.</w:t>
      </w:r>
    </w:p>
    <w:p w14:paraId="19147612" w14:textId="77777777" w:rsidR="006E502B"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Trans and transitioning voices involve complex, tailored vocal training and therapy to align vocal presentation with gender identity, addressing unique physiological and psychological needs (Davies, Papp &amp; Antoni, 2015).</w:t>
      </w:r>
    </w:p>
    <w:p w14:paraId="41025673" w14:textId="1A25FA5F" w:rsidR="006E502B"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The review aims to </w:t>
      </w:r>
      <w:r w:rsidR="05D6CA8B" w:rsidRPr="2633F10F">
        <w:rPr>
          <w:rFonts w:ascii="Arial" w:eastAsia="Arial" w:hAnsi="Arial" w:cs="Arial"/>
          <w:kern w:val="0"/>
          <w:lang w:eastAsia="en-GB"/>
          <w14:ligatures w14:val="none"/>
        </w:rPr>
        <w:t xml:space="preserve">create a research design that will lead to the development of a </w:t>
      </w:r>
      <w:r w:rsidRPr="2633F10F">
        <w:rPr>
          <w:rFonts w:ascii="Arial" w:eastAsia="Arial" w:hAnsi="Arial" w:cs="Arial"/>
          <w:lang w:eastAsia="en-GB"/>
        </w:rPr>
        <w:t xml:space="preserve">comprehensive framework to support adult transitioning voices in musical theatre, specifically enhancing their belt voice. This framework </w:t>
      </w:r>
      <w:r w:rsidR="4CED203F" w:rsidRPr="2633F10F">
        <w:rPr>
          <w:rFonts w:ascii="Arial" w:eastAsia="Arial" w:hAnsi="Arial" w:cs="Arial"/>
          <w:lang w:eastAsia="en-GB"/>
        </w:rPr>
        <w:t>hopes</w:t>
      </w:r>
      <w:r w:rsidR="00426CAF">
        <w:rPr>
          <w:rFonts w:ascii="Arial" w:eastAsia="Arial" w:hAnsi="Arial" w:cs="Arial"/>
          <w:lang w:eastAsia="en-GB"/>
        </w:rPr>
        <w:t xml:space="preserve"> to</w:t>
      </w:r>
      <w:r w:rsidR="4CED203F" w:rsidRPr="2633F10F">
        <w:rPr>
          <w:rFonts w:ascii="Arial" w:eastAsia="Arial" w:hAnsi="Arial" w:cs="Arial"/>
          <w:lang w:eastAsia="en-GB"/>
        </w:rPr>
        <w:t xml:space="preserve"> </w:t>
      </w:r>
      <w:r w:rsidRPr="2633F10F">
        <w:rPr>
          <w:rFonts w:ascii="Arial" w:eastAsia="Arial" w:hAnsi="Arial" w:cs="Arial"/>
          <w:lang w:eastAsia="en-GB"/>
        </w:rPr>
        <w:t xml:space="preserve">refine belting techniques by examining the interplay between physiological and chemical changes, mindset, and voice production, offering a holistic </w:t>
      </w:r>
      <w:r w:rsidR="009A0689" w:rsidRPr="2633F10F">
        <w:rPr>
          <w:rFonts w:ascii="Arial" w:eastAsia="Arial" w:hAnsi="Arial" w:cs="Arial"/>
          <w:lang w:eastAsia="en-GB"/>
        </w:rPr>
        <w:t>approach.</w:t>
      </w:r>
    </w:p>
    <w:p w14:paraId="593A881D" w14:textId="6D95BDAE" w:rsidR="006E502B"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kern w:val="0"/>
          <w:lang w:eastAsia="en-GB"/>
          <w14:ligatures w14:val="none"/>
        </w:rPr>
        <w:t>Understanding vocal health and techniques in adult transitioning voices is crucial. Titze (2008) highlights physiological changes, Sundberg (2013) discusses chemical alterations, and Kayes (2015) explores the role of mindset in effective voice training.</w:t>
      </w:r>
    </w:p>
    <w:p w14:paraId="368E3F1B" w14:textId="0EC9CB31" w:rsidR="006E502B"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lang w:eastAsia="en-GB"/>
        </w:rPr>
        <w:t xml:space="preserve">This paper is structured as follows: the first section </w:t>
      </w:r>
      <w:r w:rsidR="6CD7091A" w:rsidRPr="2633F10F">
        <w:rPr>
          <w:rFonts w:ascii="Arial" w:eastAsia="Arial" w:hAnsi="Arial" w:cs="Arial"/>
          <w:lang w:eastAsia="en-GB"/>
        </w:rPr>
        <w:t xml:space="preserve">explores Epistemology and Ontology as abstract </w:t>
      </w:r>
      <w:r w:rsidR="17975358" w:rsidRPr="2633F10F">
        <w:rPr>
          <w:rFonts w:ascii="Arial" w:eastAsia="Arial" w:hAnsi="Arial" w:cs="Arial"/>
          <w:lang w:eastAsia="en-GB"/>
        </w:rPr>
        <w:t>concepts</w:t>
      </w:r>
      <w:r w:rsidR="6CD7091A" w:rsidRPr="2633F10F">
        <w:rPr>
          <w:rFonts w:ascii="Arial" w:eastAsia="Arial" w:hAnsi="Arial" w:cs="Arial"/>
          <w:lang w:eastAsia="en-GB"/>
        </w:rPr>
        <w:t xml:space="preserve"> before applying these concepts to the </w:t>
      </w:r>
      <w:r w:rsidRPr="2633F10F">
        <w:rPr>
          <w:rFonts w:ascii="Arial" w:eastAsia="Arial" w:hAnsi="Arial" w:cs="Arial"/>
          <w:lang w:eastAsia="en-GB"/>
        </w:rPr>
        <w:t>critical evaluat</w:t>
      </w:r>
      <w:r w:rsidR="2EC84E99" w:rsidRPr="2633F10F">
        <w:rPr>
          <w:rFonts w:ascii="Arial" w:eastAsia="Arial" w:hAnsi="Arial" w:cs="Arial"/>
          <w:lang w:eastAsia="en-GB"/>
        </w:rPr>
        <w:t>ion of</w:t>
      </w:r>
      <w:r w:rsidRPr="2633F10F">
        <w:rPr>
          <w:rFonts w:ascii="Arial" w:eastAsia="Arial" w:hAnsi="Arial" w:cs="Arial"/>
          <w:lang w:eastAsia="en-GB"/>
        </w:rPr>
        <w:t xml:space="preserve"> qualitative, quantitative, and </w:t>
      </w:r>
      <w:r w:rsidR="009A0689" w:rsidRPr="2633F10F">
        <w:rPr>
          <w:rFonts w:ascii="Arial" w:eastAsia="Arial" w:hAnsi="Arial" w:cs="Arial"/>
          <w:lang w:eastAsia="en-GB"/>
        </w:rPr>
        <w:t>mixed methods</w:t>
      </w:r>
      <w:r w:rsidRPr="2633F10F">
        <w:rPr>
          <w:rFonts w:ascii="Arial" w:eastAsia="Arial" w:hAnsi="Arial" w:cs="Arial"/>
          <w:lang w:eastAsia="en-GB"/>
        </w:rPr>
        <w:t xml:space="preserve"> approaches. The second section explores research designs, including experimental, quasi-experimental, longitudinal, and action research. The third section discusses specific methods like surveys, interviews, and observations. The fourth section addresses research ethics, focusing on informed consent, confidentiality, and ethical approval, connecting with axiology.</w:t>
      </w:r>
    </w:p>
    <w:p w14:paraId="5CB71D39" w14:textId="77777777" w:rsidR="007F26B3" w:rsidRDefault="007F26B3" w:rsidP="0033236F">
      <w:pPr>
        <w:spacing w:before="100" w:beforeAutospacing="1" w:after="100" w:afterAutospacing="1" w:line="360" w:lineRule="auto"/>
        <w:rPr>
          <w:rFonts w:ascii="Arial" w:eastAsia="Arial" w:hAnsi="Arial" w:cs="Arial"/>
          <w:b/>
          <w:bCs/>
          <w:kern w:val="0"/>
          <w:lang w:eastAsia="en-GB"/>
          <w14:ligatures w14:val="none"/>
        </w:rPr>
      </w:pPr>
    </w:p>
    <w:p w14:paraId="063B63B6" w14:textId="249AABA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lastRenderedPageBreak/>
        <w:t xml:space="preserve">Epistemological </w:t>
      </w:r>
      <w:r w:rsidR="37B0569F" w:rsidRPr="2633F10F">
        <w:rPr>
          <w:rFonts w:ascii="Arial" w:eastAsia="Arial" w:hAnsi="Arial" w:cs="Arial"/>
          <w:b/>
          <w:bCs/>
          <w:kern w:val="0"/>
          <w:lang w:eastAsia="en-GB"/>
          <w14:ligatures w14:val="none"/>
        </w:rPr>
        <w:t xml:space="preserve">and Ontological </w:t>
      </w:r>
      <w:r w:rsidRPr="2633F10F">
        <w:rPr>
          <w:rFonts w:ascii="Arial" w:eastAsia="Arial" w:hAnsi="Arial" w:cs="Arial"/>
          <w:b/>
          <w:bCs/>
          <w:kern w:val="0"/>
          <w:lang w:eastAsia="en-GB"/>
          <w14:ligatures w14:val="none"/>
        </w:rPr>
        <w:t>Foundations</w:t>
      </w:r>
    </w:p>
    <w:p w14:paraId="55EB955B" w14:textId="28516089" w:rsidR="07768D26" w:rsidRDefault="00CC1BD1" w:rsidP="0033236F">
      <w:pPr>
        <w:spacing w:beforeAutospacing="1" w:afterAutospacing="1" w:line="360" w:lineRule="auto"/>
        <w:rPr>
          <w:rFonts w:ascii="Arial" w:eastAsia="Arial" w:hAnsi="Arial" w:cs="Arial"/>
          <w:b/>
          <w:bCs/>
          <w:u w:val="single"/>
          <w:lang w:eastAsia="en-GB"/>
        </w:rPr>
      </w:pPr>
      <w:r w:rsidRPr="2633F10F">
        <w:rPr>
          <w:rFonts w:ascii="Arial" w:eastAsia="Arial" w:hAnsi="Arial" w:cs="Arial"/>
          <w:b/>
          <w:bCs/>
          <w:u w:val="single"/>
          <w:lang w:eastAsia="en-GB"/>
        </w:rPr>
        <w:t>Epistemology</w:t>
      </w:r>
    </w:p>
    <w:p w14:paraId="23FED863" w14:textId="77777777" w:rsidR="00E95000" w:rsidRPr="004B7BDC" w:rsidRDefault="00CC1BD1" w:rsidP="0033236F">
      <w:pPr>
        <w:spacing w:after="0" w:line="360" w:lineRule="auto"/>
        <w:rPr>
          <w:rFonts w:ascii="Arial" w:eastAsia="Arial" w:hAnsi="Arial" w:cs="Arial"/>
        </w:rPr>
      </w:pPr>
      <w:r w:rsidRPr="2633F10F">
        <w:rPr>
          <w:rFonts w:ascii="Arial" w:eastAsia="Arial" w:hAnsi="Arial" w:cs="Arial"/>
          <w:kern w:val="0"/>
          <w:lang w:eastAsia="en-GB"/>
          <w14:ligatures w14:val="none"/>
        </w:rPr>
        <w:t xml:space="preserve">Epistemology explores the nature and acquisition of knowledge with an </w:t>
      </w:r>
      <w:r w:rsidRPr="2633F10F">
        <w:rPr>
          <w:rFonts w:ascii="Arial" w:eastAsia="Arial" w:hAnsi="Arial" w:cs="Arial"/>
          <w:kern w:val="0"/>
          <w:lang w:eastAsia="en-GB"/>
          <w14:ligatures w14:val="none"/>
        </w:rPr>
        <w:t xml:space="preserve">interpretivist stance focusing on understanding subjective experiences (Creswell &amp; </w:t>
      </w:r>
      <w:proofErr w:type="spellStart"/>
      <w:r w:rsidRPr="2633F10F">
        <w:rPr>
          <w:rFonts w:ascii="Arial" w:eastAsia="Arial" w:hAnsi="Arial" w:cs="Arial"/>
          <w:kern w:val="0"/>
          <w:lang w:eastAsia="en-GB"/>
          <w14:ligatures w14:val="none"/>
        </w:rPr>
        <w:t>Poth</w:t>
      </w:r>
      <w:proofErr w:type="spellEnd"/>
      <w:r w:rsidRPr="2633F10F">
        <w:rPr>
          <w:rFonts w:ascii="Arial" w:eastAsia="Arial" w:hAnsi="Arial" w:cs="Arial"/>
          <w:kern w:val="0"/>
          <w:lang w:eastAsia="en-GB"/>
          <w14:ligatures w14:val="none"/>
        </w:rPr>
        <w:t>, 2018).</w:t>
      </w:r>
    </w:p>
    <w:p w14:paraId="0B3E00A9" w14:textId="2961C306" w:rsidR="00E95000" w:rsidRPr="004B7BDC" w:rsidRDefault="00CC1BD1" w:rsidP="0033236F">
      <w:pPr>
        <w:spacing w:before="240" w:after="240" w:line="360" w:lineRule="auto"/>
        <w:rPr>
          <w:rFonts w:ascii="Arial" w:eastAsia="Arial" w:hAnsi="Arial" w:cs="Arial"/>
        </w:rPr>
      </w:pPr>
      <w:r w:rsidRPr="2633F10F">
        <w:rPr>
          <w:rFonts w:ascii="Arial" w:eastAsia="Arial" w:hAnsi="Arial" w:cs="Arial"/>
        </w:rPr>
        <w:t xml:space="preserve">The </w:t>
      </w:r>
      <w:r w:rsidRPr="007F26B3">
        <w:rPr>
          <w:rFonts w:ascii="Arial" w:eastAsia="Arial" w:hAnsi="Arial" w:cs="Arial"/>
          <w:bCs/>
        </w:rPr>
        <w:t>interpretivist stance</w:t>
      </w:r>
      <w:r w:rsidRPr="2633F10F">
        <w:rPr>
          <w:rFonts w:ascii="Arial" w:eastAsia="Arial" w:hAnsi="Arial" w:cs="Arial"/>
        </w:rPr>
        <w:t xml:space="preserve"> is a philosophical approach to social research that emphasizes understanding individuals' subjective meanings and experiences. It is rooted in the belief that reality is socially constructed, and therefore, to understand social phenomena, researchers must explore the meanings that individuals or groups assign to their experiences (Schwandt, T. A. (1994))</w:t>
      </w:r>
    </w:p>
    <w:p w14:paraId="41CAF117" w14:textId="5394A230" w:rsidR="00E95000" w:rsidRPr="004B7BDC" w:rsidRDefault="00CC1BD1" w:rsidP="0033236F">
      <w:pPr>
        <w:spacing w:before="100" w:beforeAutospacing="1" w:after="100" w:afterAutospacing="1" w:line="360" w:lineRule="auto"/>
        <w:rPr>
          <w:rFonts w:ascii="Arial" w:eastAsia="Arial" w:hAnsi="Arial" w:cs="Arial"/>
          <w:b/>
          <w:bCs/>
          <w:kern w:val="0"/>
          <w:u w:val="single"/>
          <w:lang w:eastAsia="en-GB"/>
          <w14:ligatures w14:val="none"/>
        </w:rPr>
      </w:pPr>
      <w:r w:rsidRPr="2633F10F">
        <w:rPr>
          <w:rFonts w:ascii="Arial" w:eastAsia="Arial" w:hAnsi="Arial" w:cs="Arial"/>
          <w:b/>
          <w:bCs/>
          <w:u w:val="single"/>
          <w:lang w:eastAsia="en-GB"/>
        </w:rPr>
        <w:t>Ontology</w:t>
      </w:r>
    </w:p>
    <w:p w14:paraId="49ED19F3" w14:textId="1DE5291A" w:rsidR="00E95000"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Ontology examines the nature of reality and knowledge</w:t>
      </w:r>
      <w:r w:rsidR="27EB4A70" w:rsidRPr="2633F10F">
        <w:rPr>
          <w:rFonts w:ascii="Arial" w:eastAsia="Arial" w:hAnsi="Arial" w:cs="Arial"/>
          <w:kern w:val="0"/>
          <w:lang w:eastAsia="en-GB"/>
          <w14:ligatures w14:val="none"/>
        </w:rPr>
        <w:t xml:space="preserve"> (Munn, 2008)</w:t>
      </w:r>
      <w:r w:rsidRPr="2633F10F">
        <w:rPr>
          <w:rFonts w:ascii="Arial" w:eastAsia="Arial" w:hAnsi="Arial" w:cs="Arial"/>
          <w:kern w:val="0"/>
          <w:lang w:eastAsia="en-GB"/>
          <w14:ligatures w14:val="none"/>
        </w:rPr>
        <w:t>. This research adopts an interpretivist ontological perspective, acknowledging the complex, constructed realities of trans and transitioning individuals in vocal pedagogy shaped by personal experiences, social interactions, and cultural contexts (Bryman, 2016). This is especially relevant in understanding the unique vocal journeys of trans and transitioning singers.</w:t>
      </w:r>
    </w:p>
    <w:p w14:paraId="7D2E67E3" w14:textId="0A5D6A13"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The final section explores insider research, considering its advantages and potential biases. The essay concludes with a summary of key points, implications for practice, and suggestions for future research.</w:t>
      </w:r>
    </w:p>
    <w:p w14:paraId="785478C3"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Methodological Approaches</w:t>
      </w:r>
    </w:p>
    <w:p w14:paraId="5BA9D72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Qualitative vs. Quantitative Methods</w:t>
      </w:r>
    </w:p>
    <w:p w14:paraId="1E3C484F" w14:textId="323DA7B0" w:rsidR="00C352BF"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kern w:val="0"/>
          <w:lang w:eastAsia="en-GB"/>
          <w14:ligatures w14:val="none"/>
        </w:rPr>
        <w:t>As Creswell an</w:t>
      </w:r>
      <w:r w:rsidR="5219A6C9" w:rsidRPr="2633F10F">
        <w:rPr>
          <w:rFonts w:ascii="Arial" w:eastAsia="Arial" w:hAnsi="Arial" w:cs="Arial"/>
          <w:kern w:val="0"/>
          <w:lang w:eastAsia="en-GB"/>
          <w14:ligatures w14:val="none"/>
        </w:rPr>
        <w:t>d Creswell</w:t>
      </w:r>
      <w:r w:rsidRPr="2633F10F">
        <w:rPr>
          <w:rFonts w:ascii="Arial" w:eastAsia="Arial" w:hAnsi="Arial" w:cs="Arial"/>
          <w:kern w:val="0"/>
          <w:lang w:eastAsia="en-GB"/>
          <w14:ligatures w14:val="none"/>
        </w:rPr>
        <w:t xml:space="preserve"> (2018) state, </w:t>
      </w:r>
      <w:r w:rsidR="157DC043" w:rsidRPr="2633F10F">
        <w:rPr>
          <w:rFonts w:ascii="Arial" w:eastAsia="Arial" w:hAnsi="Arial" w:cs="Arial"/>
          <w:kern w:val="0"/>
          <w:lang w:eastAsia="en-GB"/>
          <w14:ligatures w14:val="none"/>
        </w:rPr>
        <w:t>q</w:t>
      </w:r>
      <w:r w:rsidR="0059485A" w:rsidRPr="2633F10F">
        <w:rPr>
          <w:rFonts w:ascii="Arial" w:eastAsia="Arial" w:hAnsi="Arial" w:cs="Arial"/>
          <w:kern w:val="0"/>
          <w:lang w:eastAsia="en-GB"/>
          <w14:ligatures w14:val="none"/>
        </w:rPr>
        <w:t>ualitative and quantitative methods are foundational in research, each offering unique advantages and limitations, particularly pertinent in complex work-based settings. Qualitative methods, such as interviews, focus groups, and ethnography</w:t>
      </w:r>
      <w:r w:rsidR="053BBA0E" w:rsidRPr="2633F10F">
        <w:rPr>
          <w:rFonts w:ascii="Arial" w:eastAsia="Arial" w:hAnsi="Arial" w:cs="Arial"/>
          <w:kern w:val="0"/>
          <w:lang w:eastAsia="en-GB"/>
          <w14:ligatures w14:val="none"/>
        </w:rPr>
        <w:t xml:space="preserve"> (Adams &amp; Bochner, 2011)</w:t>
      </w:r>
      <w:r w:rsidR="0059485A" w:rsidRPr="2633F10F">
        <w:rPr>
          <w:rFonts w:ascii="Arial" w:eastAsia="Arial" w:hAnsi="Arial" w:cs="Arial"/>
          <w:kern w:val="0"/>
          <w:lang w:eastAsia="en-GB"/>
          <w14:ligatures w14:val="none"/>
        </w:rPr>
        <w:t xml:space="preserve">, are invaluable for exploring in-depth perspectives and experiences (Denzin &amp; Lincoln, 2011). </w:t>
      </w:r>
      <w:r w:rsidR="0CFF2D64" w:rsidRPr="2633F10F">
        <w:rPr>
          <w:rFonts w:ascii="Arial" w:eastAsia="Arial" w:hAnsi="Arial" w:cs="Arial"/>
          <w:kern w:val="0"/>
          <w:lang w:eastAsia="en-GB"/>
          <w14:ligatures w14:val="none"/>
        </w:rPr>
        <w:t>In this context</w:t>
      </w:r>
      <w:r w:rsidR="55579616" w:rsidRPr="2633F10F">
        <w:rPr>
          <w:rFonts w:ascii="Arial" w:eastAsia="Arial" w:hAnsi="Arial" w:cs="Arial"/>
          <w:kern w:val="0"/>
          <w:lang w:eastAsia="en-GB"/>
          <w14:ligatures w14:val="none"/>
        </w:rPr>
        <w:t xml:space="preserve">, </w:t>
      </w:r>
      <w:r w:rsidR="55579616" w:rsidRPr="2633F10F">
        <w:rPr>
          <w:rFonts w:ascii="Arial" w:eastAsia="Arial" w:hAnsi="Arial" w:cs="Arial"/>
        </w:rPr>
        <w:t xml:space="preserve">Ethnography is a qualitative research method that focuses on the systematic study of people and cultures. It involves the researcher immersing themselves in a community or group to observe, interact, and collect data on their daily life, rituals, and social interactions. The goal is to understand the culture, </w:t>
      </w:r>
      <w:r w:rsidR="55579616" w:rsidRPr="2633F10F">
        <w:rPr>
          <w:rFonts w:ascii="Arial" w:eastAsia="Arial" w:hAnsi="Arial" w:cs="Arial"/>
        </w:rPr>
        <w:lastRenderedPageBreak/>
        <w:t>beliefs, behaviours, and social dynamics of the group from an insider's perspective (Hammersley &amp; Atkinson, 2007)</w:t>
      </w:r>
    </w:p>
    <w:p w14:paraId="6D89AE18" w14:textId="77777777" w:rsidR="003D041A"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They provide rich, detailed </w:t>
      </w:r>
      <w:r w:rsidR="3111A862" w:rsidRPr="2633F10F">
        <w:rPr>
          <w:rFonts w:ascii="Arial" w:eastAsia="Arial" w:hAnsi="Arial" w:cs="Arial"/>
          <w:kern w:val="0"/>
          <w:lang w:eastAsia="en-GB"/>
          <w14:ligatures w14:val="none"/>
        </w:rPr>
        <w:t xml:space="preserve">qualitative </w:t>
      </w:r>
      <w:r w:rsidRPr="2633F10F">
        <w:rPr>
          <w:rFonts w:ascii="Arial" w:eastAsia="Arial" w:hAnsi="Arial" w:cs="Arial"/>
          <w:kern w:val="0"/>
          <w:lang w:eastAsia="en-GB"/>
          <w14:ligatures w14:val="none"/>
        </w:rPr>
        <w:t xml:space="preserve">data that can uncover underlying motivations, attitudes, and </w:t>
      </w:r>
      <w:r w:rsidR="006D5887"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often overlooked by quantitative methods (Patton, 2015). For instance, in vocal teaching practices involving trans and transitioning voices, qualitative methods can reveal students' and instructors' nuanced challenges and emotional experiences. Through in-depth interviews and ethnographic observations, researchers can gain insights into the unique needs of trans vocalists, the pedagogical adjustments required, and the perso</w:t>
      </w:r>
      <w:r w:rsidRPr="2633F10F">
        <w:rPr>
          <w:rFonts w:ascii="Arial" w:eastAsia="Arial" w:hAnsi="Arial" w:cs="Arial"/>
          <w:kern w:val="0"/>
          <w:lang w:eastAsia="en-GB"/>
          <w14:ligatures w14:val="none"/>
        </w:rPr>
        <w:t>nal journeys of transitioning individuals within the learning environment.</w:t>
      </w:r>
    </w:p>
    <w:p w14:paraId="1F61106F" w14:textId="79520C20" w:rsidR="00383385" w:rsidRPr="004B7BDC" w:rsidRDefault="7AA840FB"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kern w:val="0"/>
          <w:lang w:eastAsia="en-GB"/>
          <w14:ligatures w14:val="none"/>
        </w:rPr>
        <w:t>According to Creswell and Creswell (2018</w:t>
      </w:r>
      <w:r w:rsidR="223B3B85" w:rsidRPr="2633F10F">
        <w:rPr>
          <w:rFonts w:ascii="Arial" w:eastAsia="Arial" w:hAnsi="Arial" w:cs="Arial"/>
          <w:kern w:val="0"/>
          <w:lang w:eastAsia="en-GB"/>
          <w14:ligatures w14:val="none"/>
        </w:rPr>
        <w:t xml:space="preserve"> p46-48</w:t>
      </w:r>
      <w:r w:rsidRPr="2633F10F">
        <w:rPr>
          <w:rFonts w:ascii="Arial" w:eastAsia="Arial" w:hAnsi="Arial" w:cs="Arial"/>
          <w:kern w:val="0"/>
          <w:lang w:eastAsia="en-GB"/>
          <w14:ligatures w14:val="none"/>
        </w:rPr>
        <w:t>)</w:t>
      </w:r>
      <w:r w:rsidR="00CC1BD1" w:rsidRPr="2633F10F">
        <w:rPr>
          <w:rFonts w:ascii="Arial" w:eastAsia="Arial" w:hAnsi="Arial" w:cs="Arial"/>
          <w:kern w:val="0"/>
          <w:lang w:eastAsia="en-GB"/>
          <w14:ligatures w14:val="none"/>
        </w:rPr>
        <w:t xml:space="preserve">, qualitative methods are often criticized. Despite this, they are invaluable for providing deep insights into complex phenomena, allowing detailed exploration of participants' perspectives, emotions, and experiences. </w:t>
      </w:r>
    </w:p>
    <w:p w14:paraId="1D7ED6C8" w14:textId="3E5D12AA" w:rsidR="00383385" w:rsidRPr="004B7BDC" w:rsidRDefault="00CC1BD1" w:rsidP="0033236F">
      <w:pPr>
        <w:spacing w:before="100" w:beforeAutospacing="1" w:after="100" w:afterAutospacing="1" w:line="360" w:lineRule="auto"/>
        <w:rPr>
          <w:rFonts w:ascii="Arial" w:eastAsia="Arial" w:hAnsi="Arial" w:cs="Arial"/>
        </w:rPr>
      </w:pPr>
      <w:r w:rsidRPr="2633F10F">
        <w:rPr>
          <w:rFonts w:ascii="Arial" w:eastAsia="Arial" w:hAnsi="Arial" w:cs="Arial"/>
        </w:rPr>
        <w:t>S</w:t>
      </w:r>
      <w:r w:rsidR="536B8BCC" w:rsidRPr="2633F10F">
        <w:rPr>
          <w:rFonts w:ascii="Arial" w:eastAsia="Arial" w:hAnsi="Arial" w:cs="Arial"/>
        </w:rPr>
        <w:t>urveys and experiments</w:t>
      </w:r>
      <w:r w:rsidR="46B0919F" w:rsidRPr="2633F10F">
        <w:rPr>
          <w:rFonts w:ascii="Arial" w:eastAsia="Arial" w:hAnsi="Arial" w:cs="Arial"/>
        </w:rPr>
        <w:t xml:space="preserve"> </w:t>
      </w:r>
      <w:r w:rsidR="536B8BCC" w:rsidRPr="2633F10F">
        <w:rPr>
          <w:rFonts w:ascii="Arial" w:eastAsia="Arial" w:hAnsi="Arial" w:cs="Arial"/>
        </w:rPr>
        <w:t xml:space="preserve">collect numerical data that can be statistically </w:t>
      </w:r>
      <w:r w:rsidR="003D041A" w:rsidRPr="2633F10F">
        <w:rPr>
          <w:rFonts w:ascii="Arial" w:eastAsia="Arial" w:hAnsi="Arial" w:cs="Arial"/>
        </w:rPr>
        <w:t>analysed</w:t>
      </w:r>
      <w:r w:rsidR="536B8BCC" w:rsidRPr="2633F10F">
        <w:rPr>
          <w:rFonts w:ascii="Arial" w:eastAsia="Arial" w:hAnsi="Arial" w:cs="Arial"/>
        </w:rPr>
        <w:t xml:space="preserve"> to identify patterns and relationships (Babbie, 2016). These methods are ideal for testing hypotheses and providing generalizable results. For example, Hendry’s 2001 survey on burnout syndrome among vocal instructors working with trans students provided quantifiable data that identified trends, such as the overuse of demonstration leading to vocal fatigue, especially compared to instructors working with cisgender students. Quantitative analysis can also determine if there are statistically significant differences in stress levels between these groups, offering broader insights into occupational health in vocal pedagogy (Morgan et al., 2014).</w:t>
      </w:r>
    </w:p>
    <w:p w14:paraId="09B58E25" w14:textId="02D58AF9" w:rsidR="00383385" w:rsidRPr="004B7BDC" w:rsidRDefault="00CC1BD1" w:rsidP="0033236F">
      <w:pPr>
        <w:spacing w:before="100" w:beforeAutospacing="1" w:after="100" w:afterAutospacing="1" w:line="360" w:lineRule="auto"/>
        <w:rPr>
          <w:rFonts w:ascii="Arial" w:eastAsia="Arial" w:hAnsi="Arial" w:cs="Arial"/>
          <w:lang w:eastAsia="en-GB"/>
        </w:rPr>
      </w:pPr>
      <w:r w:rsidRPr="2633F10F">
        <w:rPr>
          <w:rFonts w:ascii="Arial" w:eastAsia="Arial" w:hAnsi="Arial" w:cs="Arial"/>
        </w:rPr>
        <w:t>Integrating qualitative and quantitative methodologies through a mixed methods approach provides a comprehensive understanding of study phenomena, combining the strengths of both methods for deeper insights and robust conclusions (Harvard Catalyst, 2024). For example, an initial qualitative phase exploring trans vocalists' experiences can inform a quantitative survey to assess the frequency and impact of challenges on a larger scale, ensuring qualitative depth complements quantitative breadth (Creswell &amp; Pl</w:t>
      </w:r>
      <w:r w:rsidRPr="2633F10F">
        <w:rPr>
          <w:rFonts w:ascii="Arial" w:eastAsia="Arial" w:hAnsi="Arial" w:cs="Arial"/>
        </w:rPr>
        <w:t>ano Clark, 2018). This approach is beneficial in complex settings, offering a holistic view that enhances both breadth and depth. For instance, a study on employee engagement might start with a quantitative survey to capture trends, followed by qualitative interviews to explore underlying factors, as demonstrated by Kular et al.'s 2008 meta-analysis.</w:t>
      </w:r>
      <w:r w:rsidR="5A9C1B3A" w:rsidRPr="2633F10F">
        <w:rPr>
          <w:rFonts w:ascii="Arial" w:eastAsia="Arial" w:hAnsi="Arial" w:cs="Arial"/>
          <w:lang w:eastAsia="en-GB"/>
        </w:rPr>
        <w:t xml:space="preserve"> </w:t>
      </w:r>
    </w:p>
    <w:p w14:paraId="5CADF2AD" w14:textId="1BFE97C9" w:rsidR="00383385" w:rsidRPr="004B7BDC" w:rsidRDefault="00383385" w:rsidP="0033236F">
      <w:pPr>
        <w:spacing w:before="100" w:beforeAutospacing="1" w:after="100" w:afterAutospacing="1" w:line="360" w:lineRule="auto"/>
        <w:rPr>
          <w:rFonts w:ascii="Arial" w:eastAsia="Arial" w:hAnsi="Arial" w:cs="Arial"/>
          <w:lang w:eastAsia="en-GB"/>
        </w:rPr>
      </w:pPr>
    </w:p>
    <w:p w14:paraId="06F2D5E4" w14:textId="302A586B" w:rsidR="00383385" w:rsidRPr="004B7BDC" w:rsidRDefault="00CC1BD1" w:rsidP="0033236F">
      <w:pPr>
        <w:spacing w:before="100" w:beforeAutospacing="1" w:after="100" w:afterAutospacing="1" w:line="360" w:lineRule="auto"/>
        <w:rPr>
          <w:rFonts w:ascii="Arial" w:eastAsia="Arial" w:hAnsi="Arial" w:cs="Arial"/>
          <w:kern w:val="0"/>
          <w14:ligatures w14:val="none"/>
        </w:rPr>
      </w:pPr>
      <w:r w:rsidRPr="2633F10F">
        <w:rPr>
          <w:rFonts w:ascii="Arial" w:eastAsia="Arial" w:hAnsi="Arial" w:cs="Arial"/>
        </w:rPr>
        <w:lastRenderedPageBreak/>
        <w:t xml:space="preserve">While mixed methods research has many strengths, it also presents challenges, such as the complexity involved in designing and analysing studies and the significant resources needed to integrate different data types </w:t>
      </w:r>
      <w:r w:rsidRPr="2633F10F">
        <w:rPr>
          <w:rFonts w:ascii="Arial" w:eastAsia="Arial" w:hAnsi="Arial" w:cs="Arial"/>
        </w:rPr>
        <w:t>(Creswell &amp; Plano Clark, 2017). Researchers must possess expertise in both qualitative and quantitative methodologies and carefully plan the data integration process to yield meaningful results (Creswell &amp; Plano Clark, 2017). Moreover, this approach can be both time-consuming and costly, necessitating substantial investments in resources. In practical, work-based settings, mixed methods are particularly valuable for evaluating interventions and policies by merging measurable outcomes with contextual insight</w:t>
      </w:r>
      <w:r w:rsidRPr="2633F10F">
        <w:rPr>
          <w:rFonts w:ascii="Arial" w:eastAsia="Arial" w:hAnsi="Arial" w:cs="Arial"/>
        </w:rPr>
        <w:t>s. For instance, employee training programs can be assessed using both quantitative data and qualitative feedback to provide a comprehensive evaluation (Flick, 2018)</w:t>
      </w:r>
    </w:p>
    <w:p w14:paraId="2D0431E5" w14:textId="7501636D"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Experimental Research Design</w:t>
      </w:r>
    </w:p>
    <w:p w14:paraId="14FADC29" w14:textId="6AFC4A13"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Experimental research design involves the </w:t>
      </w:r>
      <w:r w:rsidRPr="2633F10F">
        <w:rPr>
          <w:rFonts w:ascii="Arial" w:eastAsia="Arial" w:hAnsi="Arial" w:cs="Arial"/>
          <w:kern w:val="0"/>
          <w:lang w:eastAsia="en-GB"/>
          <w14:ligatures w14:val="none"/>
        </w:rPr>
        <w:t>manipulation of one or more independent variables to determine their effect on a dependent variable, typically within a controlled environment</w:t>
      </w:r>
      <w:r w:rsidR="306B5FB3" w:rsidRPr="2633F10F">
        <w:rPr>
          <w:rFonts w:ascii="Arial" w:eastAsia="Arial" w:hAnsi="Arial" w:cs="Arial"/>
          <w:kern w:val="0"/>
          <w:lang w:eastAsia="en-GB"/>
          <w14:ligatures w14:val="none"/>
        </w:rPr>
        <w:t xml:space="preserve"> (Moring, 2014)</w:t>
      </w:r>
      <w:r w:rsidRPr="2633F10F">
        <w:rPr>
          <w:rFonts w:ascii="Arial" w:eastAsia="Arial" w:hAnsi="Arial" w:cs="Arial"/>
          <w:kern w:val="0"/>
          <w:lang w:eastAsia="en-GB"/>
          <w14:ligatures w14:val="none"/>
        </w:rPr>
        <w:t>. This approach is highly valued for its ability to establish cause-and-effect relationships and is commonly used in both natural and social sciences (Campbell &amp; Stanley, 1963).</w:t>
      </w:r>
    </w:p>
    <w:p w14:paraId="76DCCCA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Advantages of Experimental Research Design</w:t>
      </w:r>
    </w:p>
    <w:p w14:paraId="0FA553D5" w14:textId="7A911E6A"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Experimental research design provides strong evidence of causality due to its controlled conditions and manipulation of variables. This design allows researchers to isolate and test specific hypotheses, ensuring that changes in the dependent variable are directly attributable to the manipulation of the independent variable (</w:t>
      </w:r>
      <w:proofErr w:type="spellStart"/>
      <w:r w:rsidRPr="2633F10F">
        <w:rPr>
          <w:rFonts w:ascii="Arial" w:eastAsia="Arial" w:hAnsi="Arial" w:cs="Arial"/>
          <w:kern w:val="0"/>
          <w:lang w:eastAsia="en-GB"/>
          <w14:ligatures w14:val="none"/>
        </w:rPr>
        <w:t>Shadish</w:t>
      </w:r>
      <w:proofErr w:type="spellEnd"/>
      <w:r w:rsidRPr="2633F10F">
        <w:rPr>
          <w:rFonts w:ascii="Arial" w:eastAsia="Arial" w:hAnsi="Arial" w:cs="Arial"/>
          <w:kern w:val="0"/>
          <w:lang w:eastAsia="en-GB"/>
          <w14:ligatures w14:val="none"/>
        </w:rPr>
        <w:t xml:space="preserve">, Cook, &amp; Campbell, 2002). For example, </w:t>
      </w:r>
      <w:r w:rsidR="25AE3F93" w:rsidRPr="2633F10F">
        <w:rPr>
          <w:rFonts w:ascii="Arial" w:eastAsia="Arial" w:hAnsi="Arial" w:cs="Arial"/>
          <w:kern w:val="0"/>
          <w:lang w:eastAsia="en-GB"/>
          <w14:ligatures w14:val="none"/>
        </w:rPr>
        <w:t>researching the</w:t>
      </w:r>
      <w:r w:rsidRPr="2633F10F">
        <w:rPr>
          <w:rFonts w:ascii="Arial" w:eastAsia="Arial" w:hAnsi="Arial" w:cs="Arial"/>
          <w:kern w:val="0"/>
          <w:lang w:eastAsia="en-GB"/>
          <w14:ligatures w14:val="none"/>
        </w:rPr>
        <w:t xml:space="preserve"> effectiveness of a new vocal training method </w:t>
      </w:r>
      <w:r w:rsidRPr="2633F10F">
        <w:rPr>
          <w:rFonts w:ascii="Arial" w:eastAsia="Arial" w:hAnsi="Arial" w:cs="Arial"/>
          <w:lang w:eastAsia="en-GB"/>
        </w:rPr>
        <w:t>for trans students c</w:t>
      </w:r>
      <w:r w:rsidR="056324E5" w:rsidRPr="2633F10F">
        <w:rPr>
          <w:rFonts w:ascii="Arial" w:eastAsia="Arial" w:hAnsi="Arial" w:cs="Arial"/>
          <w:lang w:eastAsia="en-GB"/>
        </w:rPr>
        <w:t>ould look at the</w:t>
      </w:r>
      <w:r w:rsidR="00A34A0C">
        <w:rPr>
          <w:rFonts w:ascii="Arial" w:eastAsia="Arial" w:hAnsi="Arial" w:cs="Arial"/>
          <w:lang w:eastAsia="en-GB"/>
        </w:rPr>
        <w:t xml:space="preserve"> </w:t>
      </w:r>
      <w:r w:rsidRPr="2633F10F">
        <w:rPr>
          <w:rFonts w:ascii="Arial" w:eastAsia="Arial" w:hAnsi="Arial" w:cs="Arial"/>
          <w:kern w:val="0"/>
          <w:lang w:eastAsia="en-GB"/>
          <w14:ligatures w14:val="none"/>
        </w:rPr>
        <w:t xml:space="preserve">outcomes </w:t>
      </w:r>
      <w:r w:rsidR="59839C47" w:rsidRPr="2633F10F">
        <w:rPr>
          <w:rFonts w:ascii="Arial" w:eastAsia="Arial" w:hAnsi="Arial" w:cs="Arial"/>
          <w:kern w:val="0"/>
          <w:lang w:eastAsia="en-GB"/>
          <w14:ligatures w14:val="none"/>
        </w:rPr>
        <w:t xml:space="preserve">relative to one another </w:t>
      </w:r>
      <w:r w:rsidRPr="2633F10F">
        <w:rPr>
          <w:rFonts w:ascii="Arial" w:eastAsia="Arial" w:hAnsi="Arial" w:cs="Arial"/>
          <w:kern w:val="0"/>
          <w:lang w:eastAsia="en-GB"/>
          <w14:ligatures w14:val="none"/>
        </w:rPr>
        <w:t>and determine the method's efficacy</w:t>
      </w:r>
      <w:r w:rsidR="4455E9F8" w:rsidRPr="2633F10F">
        <w:rPr>
          <w:rFonts w:ascii="Arial" w:eastAsia="Arial" w:hAnsi="Arial" w:cs="Arial"/>
          <w:kern w:val="0"/>
          <w:lang w:eastAsia="en-GB"/>
          <w14:ligatures w14:val="none"/>
        </w:rPr>
        <w:t>, as ex</w:t>
      </w:r>
      <w:r w:rsidR="1B37C456" w:rsidRPr="2633F10F">
        <w:rPr>
          <w:rFonts w:ascii="Arial" w:eastAsia="Arial" w:hAnsi="Arial" w:cs="Arial"/>
          <w:kern w:val="0"/>
          <w:lang w:eastAsia="en-GB"/>
          <w14:ligatures w14:val="none"/>
        </w:rPr>
        <w:t>amined</w:t>
      </w:r>
      <w:r w:rsidR="4455E9F8" w:rsidRPr="2633F10F">
        <w:rPr>
          <w:rFonts w:ascii="Arial" w:eastAsia="Arial" w:hAnsi="Arial" w:cs="Arial"/>
          <w:kern w:val="0"/>
          <w:lang w:eastAsia="en-GB"/>
          <w14:ligatures w14:val="none"/>
        </w:rPr>
        <w:t xml:space="preserve"> by Olszewski et al. in 2019</w:t>
      </w:r>
      <w:r w:rsidRPr="2633F10F">
        <w:rPr>
          <w:rFonts w:ascii="Arial" w:eastAsia="Arial" w:hAnsi="Arial" w:cs="Arial"/>
          <w:kern w:val="0"/>
          <w:lang w:eastAsia="en-GB"/>
          <w14:ligatures w14:val="none"/>
        </w:rPr>
        <w:t xml:space="preserve">. </w:t>
      </w:r>
      <w:r w:rsidR="34764696" w:rsidRPr="2633F10F">
        <w:rPr>
          <w:rFonts w:ascii="Arial" w:eastAsia="Arial" w:hAnsi="Arial" w:cs="Arial"/>
          <w:kern w:val="0"/>
          <w:lang w:eastAsia="en-GB"/>
          <w14:ligatures w14:val="none"/>
        </w:rPr>
        <w:t xml:space="preserve">This is </w:t>
      </w:r>
      <w:proofErr w:type="gramStart"/>
      <w:r w:rsidR="34764696" w:rsidRPr="2633F10F">
        <w:rPr>
          <w:rFonts w:ascii="Arial" w:eastAsia="Arial" w:hAnsi="Arial" w:cs="Arial"/>
          <w:kern w:val="0"/>
          <w:lang w:eastAsia="en-GB"/>
          <w14:ligatures w14:val="none"/>
        </w:rPr>
        <w:t>similar to</w:t>
      </w:r>
      <w:proofErr w:type="gramEnd"/>
      <w:r w:rsidR="34764696" w:rsidRPr="2633F10F">
        <w:rPr>
          <w:rFonts w:ascii="Arial" w:eastAsia="Arial" w:hAnsi="Arial" w:cs="Arial"/>
          <w:kern w:val="0"/>
          <w:lang w:eastAsia="en-GB"/>
          <w14:ligatures w14:val="none"/>
        </w:rPr>
        <w:t xml:space="preserve"> the approach Hendry took in their 2001 survey. </w:t>
      </w:r>
      <w:r w:rsidRPr="2633F10F">
        <w:rPr>
          <w:rFonts w:ascii="Arial" w:eastAsia="Arial" w:hAnsi="Arial" w:cs="Arial"/>
          <w:kern w:val="0"/>
          <w:lang w:eastAsia="en-GB"/>
          <w14:ligatures w14:val="none"/>
        </w:rPr>
        <w:t>The controlled environment minimizes confounding variables, increasing the reliability and validity of the findings. Additionally, experimental designs often use random assignment, which enhances the generalizability of results by reducing selection bias</w:t>
      </w:r>
      <w:r w:rsidR="3D9493C3" w:rsidRPr="2633F10F">
        <w:rPr>
          <w:rFonts w:ascii="Arial" w:eastAsia="Arial" w:hAnsi="Arial" w:cs="Arial"/>
          <w:kern w:val="0"/>
          <w:lang w:eastAsia="en-GB"/>
          <w14:ligatures w14:val="none"/>
        </w:rPr>
        <w:t xml:space="preserve"> (Hendry, 2001)</w:t>
      </w:r>
      <w:r w:rsidRPr="2633F10F">
        <w:rPr>
          <w:rFonts w:ascii="Arial" w:eastAsia="Arial" w:hAnsi="Arial" w:cs="Arial"/>
          <w:kern w:val="0"/>
          <w:lang w:eastAsia="en-GB"/>
          <w14:ligatures w14:val="none"/>
        </w:rPr>
        <w:t>.</w:t>
      </w:r>
    </w:p>
    <w:p w14:paraId="43F2C5ED" w14:textId="77777777" w:rsidR="003D041A" w:rsidRDefault="003D041A" w:rsidP="0033236F">
      <w:pPr>
        <w:spacing w:before="100" w:beforeAutospacing="1" w:after="100" w:afterAutospacing="1" w:line="360" w:lineRule="auto"/>
        <w:rPr>
          <w:rFonts w:ascii="Arial" w:eastAsia="Arial" w:hAnsi="Arial" w:cs="Arial"/>
          <w:kern w:val="0"/>
          <w:lang w:eastAsia="en-GB"/>
          <w14:ligatures w14:val="none"/>
        </w:rPr>
      </w:pPr>
    </w:p>
    <w:p w14:paraId="39EEBB3D" w14:textId="77777777" w:rsidR="003D041A" w:rsidRDefault="003D041A" w:rsidP="0033236F">
      <w:pPr>
        <w:spacing w:before="100" w:beforeAutospacing="1" w:after="100" w:afterAutospacing="1" w:line="360" w:lineRule="auto"/>
        <w:rPr>
          <w:rFonts w:ascii="Arial" w:eastAsia="Arial" w:hAnsi="Arial" w:cs="Arial"/>
          <w:kern w:val="0"/>
          <w:lang w:eastAsia="en-GB"/>
          <w14:ligatures w14:val="none"/>
        </w:rPr>
      </w:pPr>
    </w:p>
    <w:p w14:paraId="548DC867" w14:textId="539FF109"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lastRenderedPageBreak/>
        <w:t>Limitations of Experimental Research Design</w:t>
      </w:r>
    </w:p>
    <w:p w14:paraId="5E4DEFD5"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Despite its strengths, experimental research design has limitations. The controlled conditions may lack ecological validity, as they only sometimes accurately reflect real-world settings. This can make it challenging to generalize findings to broader contexts (</w:t>
      </w:r>
      <w:proofErr w:type="spellStart"/>
      <w:r w:rsidRPr="2633F10F">
        <w:rPr>
          <w:rFonts w:ascii="Arial" w:eastAsia="Arial" w:hAnsi="Arial" w:cs="Arial"/>
          <w:kern w:val="0"/>
          <w:lang w:eastAsia="en-GB"/>
          <w14:ligatures w14:val="none"/>
        </w:rPr>
        <w:t>Shadish</w:t>
      </w:r>
      <w:proofErr w:type="spellEnd"/>
      <w:r w:rsidRPr="2633F10F">
        <w:rPr>
          <w:rFonts w:ascii="Arial" w:eastAsia="Arial" w:hAnsi="Arial" w:cs="Arial"/>
          <w:kern w:val="0"/>
          <w:lang w:eastAsia="en-GB"/>
          <w14:ligatures w14:val="none"/>
        </w:rPr>
        <w:t>, Cook, &amp; Campbell, 2002). For instance, a laboratory-based vocal training experiment may not capture the complexities and dynamics of actual classroom environments. Experimental studies can also be resource-intensive, requiring significant time, funding, and logistical coordination. Ethical considerations may limit the feasibility of manipulating certain variables, especially in sensitive areas like trans and transitioning voices (Campbell &amp; Stanley, 1963).</w:t>
      </w:r>
    </w:p>
    <w:p w14:paraId="6EF6A51A"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Application of Experimental Research Design in Work-Based Settings</w:t>
      </w:r>
    </w:p>
    <w:p w14:paraId="0728D7C6" w14:textId="0D2D8E4F"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Experimental research design is valuable for testing interventions, policies, and practices in work-based settings. For instance, an experiment could evaluate the impact of a new employee training program on productivity and job satisfaction. This approach can provide clear evidence of the program's effectiveness, guiding decision-making and policy implementation. Experimental designs are also helpful for studying organizational </w:t>
      </w:r>
      <w:r w:rsidR="00DB74A4"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and processes. Researchers can identify key factors influencing employee performance and organizational outcomes by systematically manipulating variables such as leadership styles or team dynamics. In the context of vocal teaching, experimental research can assess the effectiveness of different pedagogical techniques for trans students, providing evidence-based recommendations for inclusive and effective teaching practices (</w:t>
      </w:r>
      <w:proofErr w:type="spellStart"/>
      <w:r w:rsidRPr="2633F10F">
        <w:rPr>
          <w:rFonts w:ascii="Arial" w:eastAsia="Arial" w:hAnsi="Arial" w:cs="Arial"/>
          <w:kern w:val="0"/>
          <w:lang w:eastAsia="en-GB"/>
          <w14:ligatures w14:val="none"/>
        </w:rPr>
        <w:t>Shadish</w:t>
      </w:r>
      <w:proofErr w:type="spellEnd"/>
      <w:r w:rsidRPr="2633F10F">
        <w:rPr>
          <w:rFonts w:ascii="Arial" w:eastAsia="Arial" w:hAnsi="Arial" w:cs="Arial"/>
          <w:kern w:val="0"/>
          <w:lang w:eastAsia="en-GB"/>
          <w14:ligatures w14:val="none"/>
        </w:rPr>
        <w:t>, Cook, &amp; Campbell, 2002).</w:t>
      </w:r>
    </w:p>
    <w:p w14:paraId="44EA8E3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Action Research Design</w:t>
      </w:r>
    </w:p>
    <w:p w14:paraId="5C9A9198" w14:textId="1691EC41" w:rsidR="2633F10F" w:rsidRPr="003D041A" w:rsidRDefault="00CC1BD1" w:rsidP="003D041A">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Action research design is a participatory approach that involves a cyclic process of planning, acting, observing, and reflecting. This method aims to solve practical problems while simultaneously contributing to scientific knowledge, making it particularly suitable for work-based settings where practitioners are directly involved in the research process (Kemmis &amp; McTaggart, 2000).</w:t>
      </w:r>
    </w:p>
    <w:p w14:paraId="2282A3A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Advantages of Action Research Design</w:t>
      </w:r>
    </w:p>
    <w:p w14:paraId="0B65EAF7" w14:textId="2CF48D30" w:rsidR="5B2737AA" w:rsidRDefault="00CC1BD1" w:rsidP="0033236F">
      <w:pPr>
        <w:spacing w:beforeAutospacing="1" w:afterAutospacing="1" w:line="360" w:lineRule="auto"/>
        <w:rPr>
          <w:rFonts w:ascii="Arial" w:eastAsia="Arial" w:hAnsi="Arial" w:cs="Arial"/>
        </w:rPr>
      </w:pPr>
      <w:r w:rsidRPr="2633F10F">
        <w:rPr>
          <w:rFonts w:ascii="Arial" w:eastAsia="Arial" w:hAnsi="Arial" w:cs="Arial"/>
        </w:rPr>
        <w:t xml:space="preserve">Action research design offers practical solutions and immediate benefits to participants, with flexibility that allows for continuous improvement and real-time problem-solving (Reason &amp; </w:t>
      </w:r>
      <w:r w:rsidRPr="2633F10F">
        <w:rPr>
          <w:rFonts w:ascii="Arial" w:eastAsia="Arial" w:hAnsi="Arial" w:cs="Arial"/>
        </w:rPr>
        <w:lastRenderedPageBreak/>
        <w:t>Bradbury, 2008). For instance, a vocal training program for trans students can use action research to refine teaching practices based on feedback iteratively (Davies et al., 2015). This method promotes collaboration, ensuring the research addresses real-world issues relevant to stakeholders and empowers participants, fostering ownership and engagement. Coghlan and Brannick (2014) further discuss identifying problems, developing research questions, and planning action research to ensure practical and outcome</w:t>
      </w:r>
      <w:r w:rsidRPr="2633F10F">
        <w:rPr>
          <w:rFonts w:ascii="Arial" w:eastAsia="Arial" w:hAnsi="Arial" w:cs="Arial"/>
        </w:rPr>
        <w:t>-focused relevance.</w:t>
      </w:r>
    </w:p>
    <w:p w14:paraId="54FD9701" w14:textId="32363277" w:rsidR="2633F10F" w:rsidRDefault="2633F10F" w:rsidP="0033236F">
      <w:pPr>
        <w:spacing w:beforeAutospacing="1" w:afterAutospacing="1" w:line="360" w:lineRule="auto"/>
        <w:rPr>
          <w:rFonts w:ascii="Arial" w:eastAsia="Arial" w:hAnsi="Arial" w:cs="Arial"/>
          <w:lang w:eastAsia="en-GB"/>
        </w:rPr>
      </w:pPr>
    </w:p>
    <w:p w14:paraId="51E30EE4" w14:textId="4F4D93C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Limitations of Action Research Design</w:t>
      </w:r>
    </w:p>
    <w:p w14:paraId="70012E1B" w14:textId="77212BF6" w:rsidR="2633F10F" w:rsidRPr="003D041A" w:rsidRDefault="00CC1BD1" w:rsidP="003D041A">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Despite its strengths, action </w:t>
      </w:r>
      <w:r w:rsidRPr="2633F10F">
        <w:rPr>
          <w:rFonts w:ascii="Arial" w:eastAsia="Arial" w:hAnsi="Arial" w:cs="Arial"/>
          <w:kern w:val="0"/>
          <w:lang w:eastAsia="en-GB"/>
          <w14:ligatures w14:val="none"/>
        </w:rPr>
        <w:t>research design has limitations. The involvement of participants can introduce bias, as their perspectives and interests may influence the outcomes (Kemmis &amp; McTaggart, 2000). The cyclical nature of action research can be time-consuming and requires sustained commitment from participants and researchers. This method often relies on qualitative data, which can be challenging to generalize beyond the study's specific context. In the context of trans and transitioning voices, the findings from an action resear</w:t>
      </w:r>
      <w:r w:rsidRPr="2633F10F">
        <w:rPr>
          <w:rFonts w:ascii="Arial" w:eastAsia="Arial" w:hAnsi="Arial" w:cs="Arial"/>
          <w:kern w:val="0"/>
          <w:lang w:eastAsia="en-GB"/>
          <w14:ligatures w14:val="none"/>
        </w:rPr>
        <w:t>ch project may not apply to other educational settings without similar levels of support and resources.</w:t>
      </w:r>
    </w:p>
    <w:p w14:paraId="52E7F561"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Application of Action Research Design in Work-Based Settings</w:t>
      </w:r>
    </w:p>
    <w:p w14:paraId="27BD7B02" w14:textId="590EE344"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work-based settings, action research design is valuable for addressing complex organizational issues and facilitating change</w:t>
      </w:r>
      <w:r w:rsidR="3437A976" w:rsidRPr="2633F10F">
        <w:rPr>
          <w:rFonts w:ascii="Arial" w:eastAsia="Arial" w:hAnsi="Arial" w:cs="Arial"/>
          <w:kern w:val="0"/>
          <w:lang w:eastAsia="en-GB"/>
          <w14:ligatures w14:val="none"/>
        </w:rPr>
        <w:t xml:space="preserve"> (</w:t>
      </w:r>
      <w:r w:rsidR="39226AB6" w:rsidRPr="2633F10F">
        <w:rPr>
          <w:rFonts w:ascii="Arial" w:eastAsia="Arial" w:hAnsi="Arial" w:cs="Arial"/>
        </w:rPr>
        <w:t>Coghlan &amp; Brannick, 2014).</w:t>
      </w:r>
      <w:r w:rsidRPr="2633F10F">
        <w:rPr>
          <w:rFonts w:ascii="Arial" w:eastAsia="Arial" w:hAnsi="Arial" w:cs="Arial"/>
          <w:kern w:val="0"/>
          <w:lang w:eastAsia="en-GB"/>
          <w14:ligatures w14:val="none"/>
        </w:rPr>
        <w:t xml:space="preserve"> For instance, an action research project could focus on improving a vocal training program's inclusivity and effectiveness for transitioning students. Through planning, acting, observing, and reflecting cycles, researchers and practitioners can collaboratively identify challenges and develop strategies to address them. This approach can lead to practical improvements and generate insights that inform broader educational practices and policies (Reason &amp; Bradbury, 2008). Action re</w:t>
      </w:r>
      <w:r w:rsidRPr="2633F10F">
        <w:rPr>
          <w:rFonts w:ascii="Arial" w:eastAsia="Arial" w:hAnsi="Arial" w:cs="Arial"/>
          <w:kern w:val="0"/>
          <w:lang w:eastAsia="en-GB"/>
          <w14:ligatures w14:val="none"/>
        </w:rPr>
        <w:t xml:space="preserve">search is also effective for studying organizational culture and employee </w:t>
      </w:r>
      <w:r w:rsidR="006D5887"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as it involves participants in the process of identifying problems and implementing solutions, leading to more sustainable and contextually relevant outcomes.</w:t>
      </w:r>
    </w:p>
    <w:p w14:paraId="2B24BD5E"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Methodological Triangulation</w:t>
      </w:r>
    </w:p>
    <w:p w14:paraId="10816CDD" w14:textId="4EA07EF7" w:rsidR="2633F10F" w:rsidRPr="003D041A" w:rsidRDefault="00CC1BD1" w:rsidP="003D041A">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Methodological Triangulation involves using different research methods to explore the same research question. For example, to examine the effectiveness of inclusive teaching </w:t>
      </w:r>
      <w:r w:rsidRPr="2633F10F">
        <w:rPr>
          <w:rFonts w:ascii="Arial" w:eastAsia="Arial" w:hAnsi="Arial" w:cs="Arial"/>
          <w:kern w:val="0"/>
          <w:lang w:eastAsia="en-GB"/>
          <w14:ligatures w14:val="none"/>
        </w:rPr>
        <w:lastRenderedPageBreak/>
        <w:t>strategies for trans and transitioning students, one might combine surveys for quantitative data on student satisfaction and performance with interviews for qualitative insights into personal experiences (Patton, 2015). This approach provides a richer understanding of how teaching methods impact these students.</w:t>
      </w:r>
    </w:p>
    <w:p w14:paraId="70C3AE09"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Data Triangulation</w:t>
      </w:r>
    </w:p>
    <w:p w14:paraId="1DF87DF1"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Data Triangulation uses multiple data sources to validate findings. In researching trans and transitioning students' experiences, combining student surveys, focus groups, and classroom observations offers a more holistic view. This might involve comparing students' self-reported experiences with teacher feedback and classroom interaction analysis (Denzin, 2017). This multi-source approach strengthens the credibility of the findings by integrating diverse perspectives.</w:t>
      </w:r>
    </w:p>
    <w:p w14:paraId="610444F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Investigator Triangulation</w:t>
      </w:r>
    </w:p>
    <w:p w14:paraId="7BD69D54" w14:textId="254679E4"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Investigator Triangulation involves multiple researchers collecting and </w:t>
      </w:r>
      <w:r w:rsidR="00DB74A4" w:rsidRPr="2633F10F">
        <w:rPr>
          <w:rFonts w:ascii="Arial" w:eastAsia="Arial" w:hAnsi="Arial" w:cs="Arial"/>
          <w:kern w:val="0"/>
          <w:lang w:eastAsia="en-GB"/>
          <w14:ligatures w14:val="none"/>
        </w:rPr>
        <w:t>analysing</w:t>
      </w:r>
      <w:r w:rsidRPr="2633F10F">
        <w:rPr>
          <w:rFonts w:ascii="Arial" w:eastAsia="Arial" w:hAnsi="Arial" w:cs="Arial"/>
          <w:kern w:val="0"/>
          <w:lang w:eastAsia="en-GB"/>
          <w14:ligatures w14:val="none"/>
        </w:rPr>
        <w:t xml:space="preserve"> data to mitigate bias and increase reliability</w:t>
      </w:r>
      <w:r w:rsidR="1D48C39D" w:rsidRPr="2633F10F">
        <w:rPr>
          <w:rFonts w:ascii="Arial" w:eastAsia="Arial" w:hAnsi="Arial" w:cs="Arial"/>
          <w:kern w:val="0"/>
          <w:lang w:eastAsia="en-GB"/>
          <w14:ligatures w14:val="none"/>
        </w:rPr>
        <w:t xml:space="preserve"> (Denzin, 2017)</w:t>
      </w:r>
      <w:r w:rsidRPr="2633F10F">
        <w:rPr>
          <w:rFonts w:ascii="Arial" w:eastAsia="Arial" w:hAnsi="Arial" w:cs="Arial"/>
          <w:kern w:val="0"/>
          <w:lang w:eastAsia="en-GB"/>
          <w14:ligatures w14:val="none"/>
        </w:rPr>
        <w:t xml:space="preserve">. For instance, in a study on inclusive teaching practices, </w:t>
      </w:r>
      <w:r w:rsidRPr="2633F10F">
        <w:rPr>
          <w:rFonts w:ascii="Arial" w:eastAsia="Arial" w:hAnsi="Arial" w:cs="Arial"/>
          <w:kern w:val="0"/>
          <w:lang w:eastAsia="en-GB"/>
          <w14:ligatures w14:val="none"/>
        </w:rPr>
        <w:t>researchers might independently code interview transcripts and compare their analyses to ensure consistency and accuracy (Creswell &amp; Plano Clark, 2018). This collaborative effort provides a more balanced and reliable interpretation of the data.</w:t>
      </w:r>
    </w:p>
    <w:p w14:paraId="735EAB6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By employing these forms of Triangulation, researchers and educators can gain a more nuanced understanding of how to effectively support trans and transitioning students in educational settings, thus enhancing both teaching practices and policy development (Budge, Adelson, &amp; Howard, 2013).</w:t>
      </w:r>
    </w:p>
    <w:p w14:paraId="11E2936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Designs</w:t>
      </w:r>
    </w:p>
    <w:p w14:paraId="3C3E333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Experimental and Quasi-Experimental Designs</w:t>
      </w:r>
    </w:p>
    <w:p w14:paraId="3940439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Experimental designs involve manipulating one or more variables to observe their effect on other variables, typically within a controlled environment. This design is considered the gold standard for establishing causal relationships (</w:t>
      </w:r>
      <w:proofErr w:type="spellStart"/>
      <w:r w:rsidRPr="2633F10F">
        <w:rPr>
          <w:rFonts w:ascii="Arial" w:eastAsia="Arial" w:hAnsi="Arial" w:cs="Arial"/>
          <w:kern w:val="0"/>
          <w:lang w:eastAsia="en-GB"/>
          <w14:ligatures w14:val="none"/>
        </w:rPr>
        <w:t>Shadish</w:t>
      </w:r>
      <w:proofErr w:type="spellEnd"/>
      <w:r w:rsidRPr="2633F10F">
        <w:rPr>
          <w:rFonts w:ascii="Arial" w:eastAsia="Arial" w:hAnsi="Arial" w:cs="Arial"/>
          <w:kern w:val="0"/>
          <w:lang w:eastAsia="en-GB"/>
          <w14:ligatures w14:val="none"/>
        </w:rPr>
        <w:t xml:space="preserve">, Cook, &amp; Campbell, 2002). In work-based settings, experimental designs can be applied to test interventions, such as the impact of a new training program on employee performance. However, the controlled </w:t>
      </w:r>
      <w:r w:rsidRPr="2633F10F">
        <w:rPr>
          <w:rFonts w:ascii="Arial" w:eastAsia="Arial" w:hAnsi="Arial" w:cs="Arial"/>
          <w:kern w:val="0"/>
          <w:lang w:eastAsia="en-GB"/>
          <w14:ligatures w14:val="none"/>
        </w:rPr>
        <w:lastRenderedPageBreak/>
        <w:t>conditions required for actual experiments are often challenging to achieve in real-world work environments, where numerous uncontrollable factors can influence the outcomes.</w:t>
      </w:r>
    </w:p>
    <w:p w14:paraId="716DB39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While </w:t>
      </w:r>
      <w:proofErr w:type="gramStart"/>
      <w:r w:rsidRPr="2633F10F">
        <w:rPr>
          <w:rFonts w:ascii="Arial" w:eastAsia="Arial" w:hAnsi="Arial" w:cs="Arial"/>
          <w:kern w:val="0"/>
          <w:lang w:eastAsia="en-GB"/>
          <w14:ligatures w14:val="none"/>
        </w:rPr>
        <w:t>similar to</w:t>
      </w:r>
      <w:proofErr w:type="gramEnd"/>
      <w:r w:rsidRPr="2633F10F">
        <w:rPr>
          <w:rFonts w:ascii="Arial" w:eastAsia="Arial" w:hAnsi="Arial" w:cs="Arial"/>
          <w:kern w:val="0"/>
          <w:lang w:eastAsia="en-GB"/>
          <w14:ligatures w14:val="none"/>
        </w:rPr>
        <w:t xml:space="preserve"> experimental designs, quasi-experimental designs do not involve random assignment to treatment and control groups (Campbell &amp; Stanley, 2015). This makes them more feasible in work-based settings where randomization is impractical or unethical. For example, a quasi-experimental study might compare the outcomes of two organizational departments, one of which has implemented a new policy while the other has not. While quasi-experimental designs are more adaptable to real-world settings, they are mor</w:t>
      </w:r>
      <w:r w:rsidRPr="2633F10F">
        <w:rPr>
          <w:rFonts w:ascii="Arial" w:eastAsia="Arial" w:hAnsi="Arial" w:cs="Arial"/>
          <w:kern w:val="0"/>
          <w:lang w:eastAsia="en-GB"/>
          <w14:ligatures w14:val="none"/>
        </w:rPr>
        <w:t>e susceptible to confounding variables, which can threaten the internal validity of the findings.</w:t>
      </w:r>
    </w:p>
    <w:p w14:paraId="188EDF5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Longitudinal Studies</w:t>
      </w:r>
    </w:p>
    <w:p w14:paraId="3C1A539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Longitudinal studies involve repeated observations of the same variables over an extended period. This design is handy for studying changes and developments over time, such as the long-term effects of a leadership development program on employee career progression (Singer &amp; Willett, 2003). Longitudinal research provides valuable insights into temporal dynamics and causal relationships, which cross-sectional studies cannot capture.</w:t>
      </w:r>
    </w:p>
    <w:p w14:paraId="5905729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However, longitudinal studies are resource-intensive, requiring significant time and financial investment. Attrition is a common issue, as participants may drop out of the study over time, potentially biasing the results. Despite these challenges, the ability to observe changes over time makes longitudinal studies a powerful tool for work-based research (</w:t>
      </w:r>
      <w:proofErr w:type="spellStart"/>
      <w:r w:rsidRPr="2633F10F">
        <w:rPr>
          <w:rFonts w:ascii="Arial" w:eastAsia="Arial" w:hAnsi="Arial" w:cs="Arial"/>
          <w:kern w:val="0"/>
          <w:lang w:eastAsia="en-GB"/>
          <w14:ligatures w14:val="none"/>
        </w:rPr>
        <w:t>Entropik</w:t>
      </w:r>
      <w:proofErr w:type="spellEnd"/>
      <w:r w:rsidRPr="2633F10F">
        <w:rPr>
          <w:rFonts w:ascii="Arial" w:eastAsia="Arial" w:hAnsi="Arial" w:cs="Arial"/>
          <w:kern w:val="0"/>
          <w:lang w:eastAsia="en-GB"/>
          <w14:ligatures w14:val="none"/>
        </w:rPr>
        <w:t>, 2024).</w:t>
      </w:r>
    </w:p>
    <w:p w14:paraId="4108ECA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Action Research</w:t>
      </w:r>
    </w:p>
    <w:p w14:paraId="0E6CBE6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Action research is an iterative process that combines action and reflection to solve practical problems and generate knowledge. It is highly participatory, involving researchers and participants collaboratively in the research process (Coghlan &amp; Brannick, 2014). This approach is particularly well-suited to work-based settings, where the goal is often to implement and evaluate real-time changes. For instance, action research might be used to develop and test a new workflow process within a team, with continu</w:t>
      </w:r>
      <w:r w:rsidRPr="2633F10F">
        <w:rPr>
          <w:rFonts w:ascii="Arial" w:eastAsia="Arial" w:hAnsi="Arial" w:cs="Arial"/>
          <w:kern w:val="0"/>
          <w:lang w:eastAsia="en-GB"/>
          <w14:ligatures w14:val="none"/>
        </w:rPr>
        <w:t>ous feedback and adjustments based on the findings.</w:t>
      </w:r>
    </w:p>
    <w:p w14:paraId="7CD16489"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The participatory nature of action research enhances its relevance and applicability to practice, as stakeholders are directly involved in the research process (Warren &amp; Marciano, 2018). However, maintaining objectivity can be challenging, as researchers are often closely </w:t>
      </w:r>
      <w:r w:rsidRPr="2633F10F">
        <w:rPr>
          <w:rFonts w:ascii="Arial" w:eastAsia="Arial" w:hAnsi="Arial" w:cs="Arial"/>
          <w:kern w:val="0"/>
          <w:lang w:eastAsia="en-GB"/>
          <w14:ligatures w14:val="none"/>
        </w:rPr>
        <w:lastRenderedPageBreak/>
        <w:t>involved with the participants. Additionally, the iterative nature of action research can make it challenging to plan and predict the course of the research, requiring flexibility and adaptability from the researchers.</w:t>
      </w:r>
    </w:p>
    <w:p w14:paraId="080AC3EC"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Methods</w:t>
      </w:r>
    </w:p>
    <w:p w14:paraId="200AFAC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Case Studies</w:t>
      </w:r>
    </w:p>
    <w:p w14:paraId="6044113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Case studies offer an in-depth exploration of a single case or a small number of cases within their real-life context. This methodological approach is particularly suited to complex work-based settings where the context plays a critical role in shaping the phenomena under study (Yin, 2018). In the context of vocal teaching practices involving trans and transitioning voices, case studies enable researchers to delve deeply into specific teaching environments and experiences, providing detailed insights that c</w:t>
      </w:r>
      <w:r w:rsidRPr="2633F10F">
        <w:rPr>
          <w:rFonts w:ascii="Arial" w:eastAsia="Arial" w:hAnsi="Arial" w:cs="Arial"/>
          <w:kern w:val="0"/>
          <w:lang w:eastAsia="en-GB"/>
          <w14:ligatures w14:val="none"/>
        </w:rPr>
        <w:t>an inform practice and policy.</w:t>
      </w:r>
    </w:p>
    <w:p w14:paraId="2E55522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Advantages of Case Studies</w:t>
      </w:r>
    </w:p>
    <w:p w14:paraId="1A3DA6F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One of the primary advantages of case studies is their ability to provide a deep understanding of the case within its specific context. This depth of analysis allows for exploring complex issues and identifying subtle factors that may not be evident through other research methods. For example, a case study of a vocal instructor successfully teaching transitioning students can reveal the strategies, techniques, and support mechanisms that contribute to effective teaching and learning outcomes, offering valua</w:t>
      </w:r>
      <w:r w:rsidRPr="2633F10F">
        <w:rPr>
          <w:rFonts w:ascii="Arial" w:eastAsia="Arial" w:hAnsi="Arial" w:cs="Arial"/>
          <w:kern w:val="0"/>
          <w:lang w:eastAsia="en-GB"/>
          <w14:ligatures w14:val="none"/>
        </w:rPr>
        <w:t>ble lessons for similar educational settings. This detailed exploration can uncover the nuances of gender identity, vocal changes, and pedagogical adaptations that influence the success of vocal training for trans individuals.</w:t>
      </w:r>
    </w:p>
    <w:p w14:paraId="4A3A404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Case studies also facilitate the use of multiple data sources, which can enhance the validity of the findings through Triangulation. Researchers can use interviews, observations, documents, and other data sources to picture the case comprehensively. This multi-faceted approach allows for the cross-verification of data, which can strengthen the credibility of the research findings (Stake, 1995). In studying trans and transitioning voices, incorporating diverse data sources such as personal narratives, vocal </w:t>
      </w:r>
      <w:r w:rsidRPr="2633F10F">
        <w:rPr>
          <w:rFonts w:ascii="Arial" w:eastAsia="Arial" w:hAnsi="Arial" w:cs="Arial"/>
          <w:kern w:val="0"/>
          <w:lang w:eastAsia="en-GB"/>
          <w14:ligatures w14:val="none"/>
        </w:rPr>
        <w:t>recordings, and classroom observations can provide a holistic view of the challenges and successes encountered in this specialized teaching practice (Denzin, 2017).</w:t>
      </w:r>
    </w:p>
    <w:p w14:paraId="719CF552" w14:textId="77777777" w:rsidR="003D041A" w:rsidRDefault="003D041A" w:rsidP="0033236F">
      <w:pPr>
        <w:spacing w:before="100" w:beforeAutospacing="1" w:after="100" w:afterAutospacing="1" w:line="360" w:lineRule="auto"/>
        <w:rPr>
          <w:rFonts w:ascii="Arial" w:eastAsia="Arial" w:hAnsi="Arial" w:cs="Arial"/>
          <w:b/>
          <w:bCs/>
          <w:kern w:val="0"/>
          <w:lang w:eastAsia="en-GB"/>
          <w14:ligatures w14:val="none"/>
        </w:rPr>
      </w:pPr>
    </w:p>
    <w:p w14:paraId="37C167CC" w14:textId="68D294A2"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lastRenderedPageBreak/>
        <w:t>Limitations of Case Studies</w:t>
      </w:r>
    </w:p>
    <w:p w14:paraId="11B7BBD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Despite their advantages, case studies also have limitations, primarily related to generalizability and time constraints. The specificity and depth of case studies often limit their generalizability. While they provide rich contextual insights, the findings from a single case may not be applicable to other settings. This limitation can be particularly pronounced in highly unique or atypical cases, where the context and circumstances do not represent broader populations or situations (Flyvbjerg, 2006). For i</w:t>
      </w:r>
      <w:r w:rsidRPr="2633F10F">
        <w:rPr>
          <w:rFonts w:ascii="Arial" w:eastAsia="Arial" w:hAnsi="Arial" w:cs="Arial"/>
          <w:kern w:val="0"/>
          <w:lang w:eastAsia="en-GB"/>
          <w14:ligatures w14:val="none"/>
        </w:rPr>
        <w:t>nstance, a case study focusing on a particularly progressive or well-resourced vocal training program for trans students may not reflect the experiences in less supportive or resource-constrained environments.</w:t>
      </w:r>
    </w:p>
    <w:p w14:paraId="50AD68C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Additionally, case studies can be time-consuming and require access to detailed information, which may only sometimes be feasible. The intensive nature of data collection and analysis in case studies demands significant research time and resources. Moreover, gaining access to organizations and securing the participation of individuals involved in the case can be challenging, especially when dealing with sensitive or proprietary information. In the context of trans and transitioning voices, securing particip</w:t>
      </w:r>
      <w:r w:rsidRPr="2633F10F">
        <w:rPr>
          <w:rFonts w:ascii="Arial" w:eastAsia="Arial" w:hAnsi="Arial" w:cs="Arial"/>
          <w:kern w:val="0"/>
          <w:lang w:eastAsia="en-GB"/>
          <w14:ligatures w14:val="none"/>
        </w:rPr>
        <w:t>ants' trust and willingness to share their experiences openly may require additional ethical considerations and relationship-building efforts.</w:t>
      </w:r>
    </w:p>
    <w:p w14:paraId="2798FC4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Application of Case Studies in Work-Based Settings</w:t>
      </w:r>
    </w:p>
    <w:p w14:paraId="3311DCF2"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work-based settings, case studies are particularly valuable for exploring organizational processes, decision-making, and change initiatives (Yin, 2018). For instance, a case study of a vocal training program's adaptation to accommodate transitioning voices can provide insights into the process's challenges and successes, highlighting the key factors contributing to its effectiveness and integration. This type of research can inform best practices and guide other educational institutions facing similar ch</w:t>
      </w:r>
      <w:r w:rsidRPr="2633F10F">
        <w:rPr>
          <w:rFonts w:ascii="Arial" w:eastAsia="Arial" w:hAnsi="Arial" w:cs="Arial"/>
          <w:kern w:val="0"/>
          <w:lang w:eastAsia="en-GB"/>
          <w14:ligatures w14:val="none"/>
        </w:rPr>
        <w:t>allenges.</w:t>
      </w:r>
    </w:p>
    <w:p w14:paraId="4F560482" w14:textId="654F932A"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Case studies are also practical for investigating organizational culture and employee </w:t>
      </w:r>
      <w:r w:rsidR="00DB74A4"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issues. By examining specific instances of organizational </w:t>
      </w:r>
      <w:r w:rsidR="00DB74A4"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such as leadership practices or team dynamics, researchers can gain a deeper understanding of the underlying factors that influence these </w:t>
      </w:r>
      <w:r w:rsidR="00DB74A4"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This knowledge can be used to develop targeted interventions and strategies to improve organizational performance and employee satisfaction. In the context of vocal teaching, examining how vocal instructors collaborate and share knowledge about working with trans students can reveal critical insights into fostering inclusive and supportive learning environme</w:t>
      </w:r>
      <w:r w:rsidRPr="2633F10F">
        <w:rPr>
          <w:rFonts w:ascii="Arial" w:eastAsia="Arial" w:hAnsi="Arial" w:cs="Arial"/>
          <w:kern w:val="0"/>
          <w:lang w:eastAsia="en-GB"/>
          <w14:ligatures w14:val="none"/>
        </w:rPr>
        <w:t>nts.</w:t>
      </w:r>
    </w:p>
    <w:p w14:paraId="31F7CBD7"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lastRenderedPageBreak/>
        <w:t>Surveys and Questionnaires</w:t>
      </w:r>
    </w:p>
    <w:p w14:paraId="0A53BE11" w14:textId="059CB254"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Surveys and questionnaires are widely used methods for quickly and efficiently collecting data from large groups of people. They are beneficial for gathering quantitative data on attitudes, opinions, and </w:t>
      </w:r>
      <w:r w:rsidR="00DB74A4"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xml:space="preserve"> (Fowler, 2014). In work-based settings, surveys can be used to assess employee satisfaction, organizational culture, and other relevant metrics. For instance, a survey might be administered to all employees in an organization to measure job satisfaction and identify factors contributing to high turnover rates.</w:t>
      </w:r>
    </w:p>
    <w:p w14:paraId="49AF462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However, surveys and questionnaires have several limitations. Response rates can be low, and there is always a risk of response bias, where respondents may provide socially desirable answers rather than </w:t>
      </w:r>
      <w:r w:rsidRPr="2633F10F">
        <w:rPr>
          <w:rFonts w:ascii="Arial" w:eastAsia="Arial" w:hAnsi="Arial" w:cs="Arial"/>
          <w:kern w:val="0"/>
          <w:lang w:eastAsia="en-GB"/>
          <w14:ligatures w14:val="none"/>
        </w:rPr>
        <w:t>truthful ones (Bryman, 2016). Additionally, designing effective surveys requires careful consideration of question-wording, order, and format to avoid introducing biases.</w:t>
      </w:r>
    </w:p>
    <w:p w14:paraId="6424086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Interviews</w:t>
      </w:r>
    </w:p>
    <w:p w14:paraId="6DF89767" w14:textId="4D9A1615" w:rsidR="7DCC33D8" w:rsidRDefault="00CC1BD1" w:rsidP="0033236F">
      <w:pPr>
        <w:spacing w:before="240" w:after="240" w:line="360" w:lineRule="auto"/>
        <w:rPr>
          <w:rFonts w:ascii="Arial" w:eastAsia="Arial" w:hAnsi="Arial" w:cs="Arial"/>
        </w:rPr>
      </w:pPr>
      <w:r w:rsidRPr="2633F10F">
        <w:rPr>
          <w:rFonts w:ascii="Arial" w:eastAsia="Arial" w:hAnsi="Arial" w:cs="Arial"/>
        </w:rPr>
        <w:t>Interviews are a versatile method for collecting qualitative data, essential for understanding trans and transitioning students' experiences (</w:t>
      </w:r>
      <w:proofErr w:type="spellStart"/>
      <w:r w:rsidRPr="2633F10F">
        <w:rPr>
          <w:rFonts w:ascii="Arial" w:eastAsia="Arial" w:hAnsi="Arial" w:cs="Arial"/>
        </w:rPr>
        <w:t>Brantlinger</w:t>
      </w:r>
      <w:proofErr w:type="spellEnd"/>
      <w:r w:rsidRPr="2633F10F">
        <w:rPr>
          <w:rFonts w:ascii="Arial" w:eastAsia="Arial" w:hAnsi="Arial" w:cs="Arial"/>
        </w:rPr>
        <w:t xml:space="preserve"> et al., 2005). Each type—structured, semi-structured, and unstructured—offers unique benefits.</w:t>
      </w:r>
    </w:p>
    <w:p w14:paraId="577ABE11" w14:textId="0F87EEAD" w:rsidR="7DCC33D8" w:rsidRDefault="00CC1BD1" w:rsidP="0033236F">
      <w:pPr>
        <w:spacing w:before="240" w:after="240" w:line="360" w:lineRule="auto"/>
        <w:rPr>
          <w:rFonts w:ascii="Arial" w:eastAsia="Arial" w:hAnsi="Arial" w:cs="Arial"/>
        </w:rPr>
      </w:pPr>
      <w:r w:rsidRPr="2633F10F">
        <w:rPr>
          <w:rFonts w:ascii="Arial" w:eastAsia="Arial" w:hAnsi="Arial" w:cs="Arial"/>
        </w:rPr>
        <w:t>Structured interviews follow a set list of questions, ensuring consistency and making it easier to compare aspects like awareness of support services (Kvale, 2007).</w:t>
      </w:r>
    </w:p>
    <w:p w14:paraId="3D4212CD" w14:textId="4E963319" w:rsidR="7DCC33D8" w:rsidRDefault="00CC1BD1" w:rsidP="0033236F">
      <w:pPr>
        <w:spacing w:before="240" w:after="240" w:line="360" w:lineRule="auto"/>
        <w:rPr>
          <w:rFonts w:ascii="Arial" w:eastAsia="Arial" w:hAnsi="Arial" w:cs="Arial"/>
        </w:rPr>
      </w:pPr>
      <w:r w:rsidRPr="2633F10F">
        <w:rPr>
          <w:rFonts w:ascii="Arial" w:eastAsia="Arial" w:hAnsi="Arial" w:cs="Arial"/>
        </w:rPr>
        <w:t>Semi-structured interviews combine structure with flexibility, allowing deeper exploration of personal experiences, such as interactions with faculty (Rubin &amp; Rubin, 2012).</w:t>
      </w:r>
    </w:p>
    <w:p w14:paraId="6EA463EB" w14:textId="446EBE02" w:rsidR="7DCC33D8" w:rsidRDefault="00CC1BD1" w:rsidP="0033236F">
      <w:pPr>
        <w:spacing w:before="240" w:after="240" w:line="360" w:lineRule="auto"/>
        <w:rPr>
          <w:rFonts w:ascii="Arial" w:eastAsia="Arial" w:hAnsi="Arial" w:cs="Arial"/>
        </w:rPr>
      </w:pPr>
      <w:r w:rsidRPr="2633F10F">
        <w:rPr>
          <w:rFonts w:ascii="Arial" w:eastAsia="Arial" w:hAnsi="Arial" w:cs="Arial"/>
        </w:rPr>
        <w:t>Unstructured interviews are highly flexible, enabling open-ended conversations that uncover personal narratives and unexpected issues (Kvale, 2007).</w:t>
      </w:r>
    </w:p>
    <w:p w14:paraId="57D3507C" w14:textId="28F258C0" w:rsidR="7DCC33D8" w:rsidRDefault="00CC1BD1" w:rsidP="0033236F">
      <w:pPr>
        <w:spacing w:before="240" w:after="240" w:line="360" w:lineRule="auto"/>
        <w:rPr>
          <w:rFonts w:ascii="Arial" w:eastAsia="Arial" w:hAnsi="Arial" w:cs="Arial"/>
        </w:rPr>
      </w:pPr>
      <w:r w:rsidRPr="2633F10F">
        <w:rPr>
          <w:rFonts w:ascii="Arial" w:eastAsia="Arial" w:hAnsi="Arial" w:cs="Arial"/>
        </w:rPr>
        <w:t xml:space="preserve">Although interviews provide valuable insights, they are time-consuming and require skilled interviewers. </w:t>
      </w:r>
      <w:r w:rsidR="006B7A26" w:rsidRPr="2633F10F">
        <w:rPr>
          <w:rFonts w:ascii="Arial" w:eastAsia="Arial" w:hAnsi="Arial" w:cs="Arial"/>
        </w:rPr>
        <w:t>Analysing</w:t>
      </w:r>
      <w:r w:rsidRPr="2633F10F">
        <w:rPr>
          <w:rFonts w:ascii="Arial" w:eastAsia="Arial" w:hAnsi="Arial" w:cs="Arial"/>
        </w:rPr>
        <w:t xml:space="preserve"> the data is also complex and resource-intensive (Rubin &amp; Rubin, 2012).</w:t>
      </w:r>
    </w:p>
    <w:p w14:paraId="18541856" w14:textId="7E33BAA5" w:rsidR="00DB74A4" w:rsidRPr="003D041A" w:rsidRDefault="00CC1BD1" w:rsidP="003D041A">
      <w:pPr>
        <w:spacing w:before="240" w:after="240" w:line="360" w:lineRule="auto"/>
        <w:rPr>
          <w:rFonts w:ascii="Arial" w:eastAsia="Arial" w:hAnsi="Arial" w:cs="Arial"/>
        </w:rPr>
      </w:pPr>
      <w:r w:rsidRPr="2633F10F">
        <w:rPr>
          <w:rFonts w:ascii="Arial" w:eastAsia="Arial" w:hAnsi="Arial" w:cs="Arial"/>
        </w:rPr>
        <w:t>These interview forms help educators and researchers better understand the needs of trans and transitioning students, leading to more inclusive teaching practices (</w:t>
      </w:r>
      <w:proofErr w:type="spellStart"/>
      <w:r w:rsidRPr="2633F10F">
        <w:rPr>
          <w:rFonts w:ascii="Arial" w:eastAsia="Arial" w:hAnsi="Arial" w:cs="Arial"/>
        </w:rPr>
        <w:t>Brantlinger</w:t>
      </w:r>
      <w:proofErr w:type="spellEnd"/>
      <w:r w:rsidRPr="2633F10F">
        <w:rPr>
          <w:rFonts w:ascii="Arial" w:eastAsia="Arial" w:hAnsi="Arial" w:cs="Arial"/>
        </w:rPr>
        <w:t xml:space="preserve"> et al., 2005))</w:t>
      </w:r>
    </w:p>
    <w:p w14:paraId="42A3C309" w14:textId="6771EB13"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Observations</w:t>
      </w:r>
    </w:p>
    <w:p w14:paraId="1F7E168D" w14:textId="41B17F2E"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lastRenderedPageBreak/>
        <w:t xml:space="preserve">Observational methods involve systematically watching and recording </w:t>
      </w:r>
      <w:r w:rsidR="006D5887" w:rsidRPr="2633F10F">
        <w:rPr>
          <w:rFonts w:ascii="Arial" w:eastAsia="Arial" w:hAnsi="Arial" w:cs="Arial"/>
          <w:kern w:val="0"/>
          <w:lang w:eastAsia="en-GB"/>
          <w14:ligatures w14:val="none"/>
        </w:rPr>
        <w:t>behaviours</w:t>
      </w:r>
      <w:r w:rsidRPr="2633F10F">
        <w:rPr>
          <w:rFonts w:ascii="Arial" w:eastAsia="Arial" w:hAnsi="Arial" w:cs="Arial"/>
          <w:kern w:val="0"/>
          <w:lang w:eastAsia="en-GB"/>
          <w14:ligatures w14:val="none"/>
        </w:rPr>
        <w:t xml:space="preserve"> and interactions within their natural context. This method is particularly useful for studying workplace dynamics, team interactions, and other phenomena that may not be fully captured through self-report methods (Creswell &amp; </w:t>
      </w:r>
      <w:proofErr w:type="spellStart"/>
      <w:r w:rsidRPr="2633F10F">
        <w:rPr>
          <w:rFonts w:ascii="Arial" w:eastAsia="Arial" w:hAnsi="Arial" w:cs="Arial"/>
          <w:kern w:val="0"/>
          <w:lang w:eastAsia="en-GB"/>
          <w14:ligatures w14:val="none"/>
        </w:rPr>
        <w:t>Poth</w:t>
      </w:r>
      <w:proofErr w:type="spellEnd"/>
      <w:r w:rsidRPr="2633F10F">
        <w:rPr>
          <w:rFonts w:ascii="Arial" w:eastAsia="Arial" w:hAnsi="Arial" w:cs="Arial"/>
          <w:kern w:val="0"/>
          <w:lang w:eastAsia="en-GB"/>
          <w14:ligatures w14:val="none"/>
        </w:rPr>
        <w:t>, 2017). For instance, observing team meetings in a corporate setting can provide insights into communication patterns, decision-making processes, and power dynamics that might be overlooked in surveys or interviews (Flick, 2018).</w:t>
      </w:r>
    </w:p>
    <w:p w14:paraId="4333D060" w14:textId="4ADD8DE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However, observational methods can be intrusive and may alter the </w:t>
      </w:r>
      <w:r w:rsidR="006D5887" w:rsidRPr="2633F10F">
        <w:rPr>
          <w:rFonts w:ascii="Arial" w:eastAsia="Arial" w:hAnsi="Arial" w:cs="Arial"/>
          <w:kern w:val="0"/>
          <w:lang w:eastAsia="en-GB"/>
          <w14:ligatures w14:val="none"/>
        </w:rPr>
        <w:t>behaviour</w:t>
      </w:r>
      <w:r w:rsidRPr="2633F10F">
        <w:rPr>
          <w:rFonts w:ascii="Arial" w:eastAsia="Arial" w:hAnsi="Arial" w:cs="Arial"/>
          <w:kern w:val="0"/>
          <w:lang w:eastAsia="en-GB"/>
          <w14:ligatures w14:val="none"/>
        </w:rPr>
        <w:t xml:space="preserve"> of those being observed, a phenomenon known as the Hawthorne effect (McCambridge, Witton, &amp; </w:t>
      </w:r>
      <w:proofErr w:type="spellStart"/>
      <w:r w:rsidRPr="2633F10F">
        <w:rPr>
          <w:rFonts w:ascii="Arial" w:eastAsia="Arial" w:hAnsi="Arial" w:cs="Arial"/>
          <w:kern w:val="0"/>
          <w:lang w:eastAsia="en-GB"/>
          <w14:ligatures w14:val="none"/>
        </w:rPr>
        <w:t>Elbourne</w:t>
      </w:r>
      <w:proofErr w:type="spellEnd"/>
      <w:r w:rsidRPr="2633F10F">
        <w:rPr>
          <w:rFonts w:ascii="Arial" w:eastAsia="Arial" w:hAnsi="Arial" w:cs="Arial"/>
          <w:kern w:val="0"/>
          <w:lang w:eastAsia="en-GB"/>
          <w14:ligatures w14:val="none"/>
        </w:rPr>
        <w:t xml:space="preserve">, 2014). To mitigate this, researchers can adopt unobtrusive observation techniques (McCambridge, Witton, &amp; </w:t>
      </w:r>
      <w:proofErr w:type="spellStart"/>
      <w:r w:rsidRPr="2633F10F">
        <w:rPr>
          <w:rFonts w:ascii="Arial" w:eastAsia="Arial" w:hAnsi="Arial" w:cs="Arial"/>
          <w:kern w:val="0"/>
          <w:lang w:eastAsia="en-GB"/>
          <w14:ligatures w14:val="none"/>
        </w:rPr>
        <w:t>Elbourne</w:t>
      </w:r>
      <w:proofErr w:type="spellEnd"/>
      <w:r w:rsidRPr="2633F10F">
        <w:rPr>
          <w:rFonts w:ascii="Arial" w:eastAsia="Arial" w:hAnsi="Arial" w:cs="Arial"/>
          <w:kern w:val="0"/>
          <w:lang w:eastAsia="en-GB"/>
          <w14:ligatures w14:val="none"/>
        </w:rPr>
        <w:t>, 2014) or ensure their presence becomes less noticeable over time.</w:t>
      </w:r>
    </w:p>
    <w:p w14:paraId="35CDD2B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Research Ethics</w:t>
      </w:r>
    </w:p>
    <w:p w14:paraId="13B7F2C6" w14:textId="709A34EC" w:rsidR="3C1CF47D" w:rsidRDefault="00CC1BD1" w:rsidP="0033236F">
      <w:pPr>
        <w:spacing w:beforeAutospacing="1" w:afterAutospacing="1" w:line="360" w:lineRule="auto"/>
        <w:rPr>
          <w:rFonts w:ascii="Arial" w:eastAsia="Arial" w:hAnsi="Arial" w:cs="Arial"/>
          <w:lang w:eastAsia="en-GB"/>
        </w:rPr>
      </w:pPr>
      <w:r w:rsidRPr="2633F10F">
        <w:rPr>
          <w:rFonts w:ascii="Arial" w:eastAsia="Arial" w:hAnsi="Arial" w:cs="Arial"/>
          <w:lang w:eastAsia="en-GB"/>
        </w:rPr>
        <w:t xml:space="preserve">As </w:t>
      </w:r>
      <w:proofErr w:type="spellStart"/>
      <w:r w:rsidRPr="2633F10F">
        <w:rPr>
          <w:rFonts w:ascii="Arial" w:eastAsia="Arial" w:hAnsi="Arial" w:cs="Arial"/>
          <w:lang w:eastAsia="en-GB"/>
        </w:rPr>
        <w:t>Walliman</w:t>
      </w:r>
      <w:proofErr w:type="spellEnd"/>
      <w:r w:rsidRPr="2633F10F">
        <w:rPr>
          <w:rFonts w:ascii="Arial" w:eastAsia="Arial" w:hAnsi="Arial" w:cs="Arial"/>
          <w:lang w:eastAsia="en-GB"/>
        </w:rPr>
        <w:t xml:space="preserve"> (2021) points out, t</w:t>
      </w:r>
      <w:r w:rsidR="7344BDCE" w:rsidRPr="2633F10F">
        <w:rPr>
          <w:rFonts w:ascii="Arial" w:eastAsia="Arial" w:hAnsi="Arial" w:cs="Arial"/>
          <w:lang w:eastAsia="en-GB"/>
        </w:rPr>
        <w:t>he idea of ethics in research is underpinned by the concept of Axiology. Axiology studies values, including ethics and aesthetics. Critical components of axiology are:</w:t>
      </w:r>
    </w:p>
    <w:p w14:paraId="0472AF09"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Ethics:</w:t>
      </w:r>
      <w:r w:rsidRPr="2633F10F">
        <w:rPr>
          <w:rFonts w:ascii="Arial" w:eastAsia="Arial" w:hAnsi="Arial" w:cs="Arial"/>
          <w:lang w:eastAsia="en-GB"/>
        </w:rPr>
        <w:t xml:space="preserve"> Explores moral values, principles, and rules of conduct. It addresses questions of right and wrong actions and the nature of justice (</w:t>
      </w:r>
      <w:proofErr w:type="spellStart"/>
      <w:r w:rsidRPr="2633F10F">
        <w:rPr>
          <w:rFonts w:ascii="Arial" w:eastAsia="Arial" w:hAnsi="Arial" w:cs="Arial"/>
          <w:lang w:eastAsia="en-GB"/>
        </w:rPr>
        <w:t>Frankena</w:t>
      </w:r>
      <w:proofErr w:type="spellEnd"/>
      <w:r w:rsidRPr="2633F10F">
        <w:rPr>
          <w:rFonts w:ascii="Arial" w:eastAsia="Arial" w:hAnsi="Arial" w:cs="Arial"/>
          <w:lang w:eastAsia="en-GB"/>
        </w:rPr>
        <w:t>, 1973).</w:t>
      </w:r>
    </w:p>
    <w:p w14:paraId="3A98BE42"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Aesthetics:</w:t>
      </w:r>
      <w:r w:rsidRPr="2633F10F">
        <w:rPr>
          <w:rFonts w:ascii="Arial" w:eastAsia="Arial" w:hAnsi="Arial" w:cs="Arial"/>
          <w:lang w:eastAsia="en-GB"/>
        </w:rPr>
        <w:t xml:space="preserve"> Examines the nature of beauty, art, and taste and how aesthetic judgments are formed (Cahn &amp; Meskin, 2008).</w:t>
      </w:r>
    </w:p>
    <w:p w14:paraId="04558E6D" w14:textId="77777777" w:rsidR="7344BDCE" w:rsidRDefault="00CC1BD1" w:rsidP="0033236F">
      <w:pPr>
        <w:numPr>
          <w:ilvl w:val="0"/>
          <w:numId w:val="12"/>
        </w:numPr>
        <w:spacing w:beforeAutospacing="1" w:afterAutospacing="1" w:line="360" w:lineRule="auto"/>
        <w:rPr>
          <w:rFonts w:ascii="Arial" w:eastAsia="Arial" w:hAnsi="Arial" w:cs="Arial"/>
          <w:lang w:eastAsia="en-GB"/>
        </w:rPr>
      </w:pPr>
      <w:r w:rsidRPr="2633F10F">
        <w:rPr>
          <w:rFonts w:ascii="Arial" w:eastAsia="Arial" w:hAnsi="Arial" w:cs="Arial"/>
          <w:b/>
          <w:bCs/>
          <w:lang w:eastAsia="en-GB"/>
        </w:rPr>
        <w:t>Value Theory:</w:t>
      </w:r>
      <w:r w:rsidRPr="2633F10F">
        <w:rPr>
          <w:rFonts w:ascii="Arial" w:eastAsia="Arial" w:hAnsi="Arial" w:cs="Arial"/>
          <w:lang w:eastAsia="en-GB"/>
        </w:rPr>
        <w:t xml:space="preserve"> Covers broader questions about the nature of values, distinguishing between intrinsic and extrinsic values (Sobel, </w:t>
      </w:r>
      <w:proofErr w:type="spellStart"/>
      <w:r w:rsidRPr="2633F10F">
        <w:rPr>
          <w:rFonts w:ascii="Arial" w:eastAsia="Arial" w:hAnsi="Arial" w:cs="Arial"/>
          <w:lang w:eastAsia="en-GB"/>
        </w:rPr>
        <w:t>Vallentyne</w:t>
      </w:r>
      <w:proofErr w:type="spellEnd"/>
      <w:r w:rsidRPr="2633F10F">
        <w:rPr>
          <w:rFonts w:ascii="Arial" w:eastAsia="Arial" w:hAnsi="Arial" w:cs="Arial"/>
          <w:lang w:eastAsia="en-GB"/>
        </w:rPr>
        <w:t>, &amp; Wall, 2018).</w:t>
      </w:r>
    </w:p>
    <w:p w14:paraId="2FEAA73F" w14:textId="77777777" w:rsidR="7344BDCE" w:rsidRDefault="00CC1BD1" w:rsidP="0033236F">
      <w:pPr>
        <w:spacing w:beforeAutospacing="1" w:afterAutospacing="1" w:line="360" w:lineRule="auto"/>
        <w:rPr>
          <w:rFonts w:ascii="Arial" w:eastAsia="Arial" w:hAnsi="Arial" w:cs="Arial"/>
          <w:lang w:eastAsia="en-GB"/>
        </w:rPr>
      </w:pPr>
      <w:r w:rsidRPr="2633F10F">
        <w:rPr>
          <w:rFonts w:ascii="Arial" w:eastAsia="Arial" w:hAnsi="Arial" w:cs="Arial"/>
          <w:lang w:eastAsia="en-GB"/>
        </w:rPr>
        <w:t>Axiology shapes ethical frameworks and artistic standards, influencing fields such as education, politics, and culture. It helps determine what is important and why (Hartman, 2011).</w:t>
      </w:r>
    </w:p>
    <w:p w14:paraId="66F19BC1" w14:textId="482C1B79" w:rsidR="2633F10F" w:rsidRDefault="2633F10F" w:rsidP="0033236F">
      <w:pPr>
        <w:spacing w:beforeAutospacing="1" w:afterAutospacing="1" w:line="360" w:lineRule="auto"/>
        <w:rPr>
          <w:rFonts w:ascii="Arial" w:eastAsia="Arial" w:hAnsi="Arial" w:cs="Arial"/>
          <w:b/>
          <w:bCs/>
          <w:lang w:eastAsia="en-GB"/>
        </w:rPr>
      </w:pPr>
    </w:p>
    <w:p w14:paraId="34194FC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Informed Consent and Confidentiality</w:t>
      </w:r>
    </w:p>
    <w:p w14:paraId="4A177ACF"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Research ethics are paramount in work-based settings, where the integrity of the research process and the protection of participants must be upheld (Kovach, 2018). Informed consent </w:t>
      </w:r>
      <w:r w:rsidRPr="2633F10F">
        <w:rPr>
          <w:rFonts w:ascii="Arial" w:eastAsia="Arial" w:hAnsi="Arial" w:cs="Arial"/>
          <w:kern w:val="0"/>
          <w:lang w:eastAsia="en-GB"/>
          <w14:ligatures w14:val="none"/>
        </w:rPr>
        <w:lastRenderedPageBreak/>
        <w:t xml:space="preserve">involves providing participants with comprehensive information about the study, including its purpose, procedures, risks, benefits, and rights, ensuring they voluntarily agree to participate (Orb, Eisenhauer, &amp; </w:t>
      </w:r>
      <w:proofErr w:type="spellStart"/>
      <w:r w:rsidRPr="2633F10F">
        <w:rPr>
          <w:rFonts w:ascii="Arial" w:eastAsia="Arial" w:hAnsi="Arial" w:cs="Arial"/>
          <w:kern w:val="0"/>
          <w:lang w:eastAsia="en-GB"/>
          <w14:ligatures w14:val="none"/>
        </w:rPr>
        <w:t>Wynaden</w:t>
      </w:r>
      <w:proofErr w:type="spellEnd"/>
      <w:r w:rsidRPr="2633F10F">
        <w:rPr>
          <w:rFonts w:ascii="Arial" w:eastAsia="Arial" w:hAnsi="Arial" w:cs="Arial"/>
          <w:kern w:val="0"/>
          <w:lang w:eastAsia="en-GB"/>
          <w14:ligatures w14:val="none"/>
        </w:rPr>
        <w:t>, 2001). This is particularly important in workplace research, where power dynamics may influence participants' willingness to consent.</w:t>
      </w:r>
    </w:p>
    <w:p w14:paraId="01CF436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Confidentiality is another critical ethical consideration, requiring researchers to protect participants' identities and sensitive information. This can be challenging in small organizations where individuals may be easily identifiable. Researchers must implement strategies such as anonymizing data, using pseudonyms, and securely storing data to ensure confidentiality (Kaiser, 2009).</w:t>
      </w:r>
    </w:p>
    <w:p w14:paraId="07595EA0"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Ethical Approval</w:t>
      </w:r>
    </w:p>
    <w:p w14:paraId="0A8FC6F2" w14:textId="28025975"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Ethical approval from relevant institutional review </w:t>
      </w:r>
      <w:r w:rsidRPr="2633F10F">
        <w:rPr>
          <w:rFonts w:ascii="Arial" w:eastAsia="Arial" w:hAnsi="Arial" w:cs="Arial"/>
          <w:kern w:val="0"/>
          <w:lang w:eastAsia="en-GB"/>
          <w14:ligatures w14:val="none"/>
        </w:rPr>
        <w:t>boards or ethics committees is essential before commencing research</w:t>
      </w:r>
      <w:r w:rsidR="2D3E9A04" w:rsidRPr="2633F10F">
        <w:rPr>
          <w:rFonts w:ascii="Arial" w:eastAsia="Arial" w:hAnsi="Arial" w:cs="Arial"/>
          <w:kern w:val="0"/>
          <w:lang w:eastAsia="en-GB"/>
          <w14:ligatures w14:val="none"/>
        </w:rPr>
        <w:t xml:space="preserve"> (Israel, 2015)</w:t>
      </w:r>
      <w:r w:rsidRPr="2633F10F">
        <w:rPr>
          <w:rFonts w:ascii="Arial" w:eastAsia="Arial" w:hAnsi="Arial" w:cs="Arial"/>
          <w:kern w:val="0"/>
          <w:lang w:eastAsia="en-GB"/>
          <w14:ligatures w14:val="none"/>
        </w:rPr>
        <w:t>. This process ensures that the study adheres to ethical guidelines and that potential participant risks are minimized. In work-based settings, this might involve obtaining approval from both academic and organizational bodies, ensuring that the research aligns with both ethical standards and organizational policies (Smith, 2013).</w:t>
      </w:r>
    </w:p>
    <w:p w14:paraId="1C20890E" w14:textId="18DC80C9" w:rsidR="0437D5BF" w:rsidRDefault="00CC1BD1" w:rsidP="0033236F">
      <w:pPr>
        <w:spacing w:before="240" w:after="240" w:line="360" w:lineRule="auto"/>
        <w:rPr>
          <w:rFonts w:ascii="Arial" w:eastAsia="Arial" w:hAnsi="Arial" w:cs="Arial"/>
        </w:rPr>
      </w:pPr>
      <w:r w:rsidRPr="2633F10F">
        <w:rPr>
          <w:rFonts w:ascii="Arial" w:eastAsia="Arial" w:hAnsi="Arial" w:cs="Arial"/>
        </w:rPr>
        <w:t xml:space="preserve">Prioritizing ethical considerations is essential to ensure the safety, dignity, and </w:t>
      </w:r>
      <w:r w:rsidRPr="2633F10F">
        <w:rPr>
          <w:rFonts w:ascii="Arial" w:eastAsia="Arial" w:hAnsi="Arial" w:cs="Arial"/>
        </w:rPr>
        <w:t>respect of participants in this study on trans voices. Due to the sensitive nature of questions about gender identity, transition status, and singing experiences, confidentiality and privacy must be strictly protected (APA, 2020). Anonymity should be preserved using anonymized identifiers, preventing responses from being traced to individuals (BSA, 2017). Data security is crucial, with information stored on secure, encrypted servers accessible only to the research team (E.U. Agency for Fundamental Rights, 2</w:t>
      </w:r>
      <w:r w:rsidRPr="2633F10F">
        <w:rPr>
          <w:rFonts w:ascii="Arial" w:eastAsia="Arial" w:hAnsi="Arial" w:cs="Arial"/>
        </w:rPr>
        <w:t>022). Informed consent must be obtained, clearly explaining data usage, storage, and participants' rights, including the option to withdraw without consequences (Wiles, 2012).</w:t>
      </w:r>
    </w:p>
    <w:p w14:paraId="11F3F2D8" w14:textId="1F7A73E7" w:rsidR="0437D5BF" w:rsidRDefault="00CC1BD1" w:rsidP="0033236F">
      <w:pPr>
        <w:spacing w:before="240" w:after="240" w:line="360" w:lineRule="auto"/>
        <w:rPr>
          <w:rFonts w:ascii="Arial" w:eastAsia="Arial" w:hAnsi="Arial" w:cs="Arial"/>
        </w:rPr>
      </w:pPr>
      <w:r w:rsidRPr="2633F10F">
        <w:rPr>
          <w:rFonts w:ascii="Arial" w:eastAsia="Arial" w:hAnsi="Arial" w:cs="Arial"/>
        </w:rPr>
        <w:t>Using inclusive and sensitive language in the questionnaire helps prevent discomfort. Addressing these ethical concerns upholds standards, builds trust, and protects participants' rights throughout the study (APA, 2020).</w:t>
      </w:r>
    </w:p>
    <w:p w14:paraId="68D69794"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Navigating Power Dynamics and Bias</w:t>
      </w:r>
    </w:p>
    <w:p w14:paraId="0B81EA8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Insider Research</w:t>
      </w:r>
    </w:p>
    <w:p w14:paraId="120FD846"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lastRenderedPageBreak/>
        <w:t>Insider research, where researchers are part of the organization being studied, presents unique ethical challenges. While insider research can offer valuable insights due to the researcher’s familiarity with the context, it also poses risks of bias and ethical dilemmas (Brannick &amp; Coghlan, 2007). Researchers must remain vigilant about their dual roles and potential conflicts of interest (Mercer, 2007). Strategies to mitigate bias include maintaining a reflective journal, seeking feedback from colleagues, an</w:t>
      </w:r>
      <w:r w:rsidRPr="2633F10F">
        <w:rPr>
          <w:rFonts w:ascii="Arial" w:eastAsia="Arial" w:hAnsi="Arial" w:cs="Arial"/>
          <w:kern w:val="0"/>
          <w:lang w:eastAsia="en-GB"/>
          <w14:ligatures w14:val="none"/>
        </w:rPr>
        <w:t>d ensuring transparency in data collection and analysis (Mercer, 2007).</w:t>
      </w:r>
    </w:p>
    <w:p w14:paraId="04E8BFFD"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Advantages</w:t>
      </w:r>
    </w:p>
    <w:p w14:paraId="7019F61E"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Insider research can provide rich, contextualized insights that external researchers might overlook. Insiders have a deep understanding of the organizational culture, processes, and dynamics, which can enhance the relevance and accuracy of the research findings (Bonner &amp; Tolhurst, 2002). Additionally, insider researchers may have easier access to participants and data, facilitating the research process.</w:t>
      </w:r>
    </w:p>
    <w:p w14:paraId="2F03D95B"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Potential Biases</w:t>
      </w:r>
    </w:p>
    <w:p w14:paraId="41B646A9"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 xml:space="preserve">However, insider research is susceptible to several biases, including confirmation bias, where researchers may unconsciously seek data confirming their preconceptions, and social desirability bias, where participants may alter their responses to align with perceived expectations (Kanuha, 2000). Researchers must adopt strategies to minimize these biases, such as using Triangulation to verify findings through multiple sources and methods and engaging in reflexivity to critically examine their own assumptions </w:t>
      </w:r>
      <w:r w:rsidRPr="2633F10F">
        <w:rPr>
          <w:rFonts w:ascii="Arial" w:eastAsia="Arial" w:hAnsi="Arial" w:cs="Arial"/>
          <w:kern w:val="0"/>
          <w:lang w:eastAsia="en-GB"/>
          <w14:ligatures w14:val="none"/>
        </w:rPr>
        <w:t>and potential biases (Finlay, 2002).</w:t>
      </w:r>
    </w:p>
    <w:p w14:paraId="08C189A1"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Maintaining Objectivity</w:t>
      </w:r>
    </w:p>
    <w:p w14:paraId="39870B63" w14:textId="5C9FDD77" w:rsidR="2B3AD81F" w:rsidRDefault="00CC1BD1" w:rsidP="0033236F">
      <w:pPr>
        <w:spacing w:before="240" w:after="240" w:line="360" w:lineRule="auto"/>
        <w:rPr>
          <w:rFonts w:ascii="Arial" w:eastAsia="Arial" w:hAnsi="Arial" w:cs="Arial"/>
        </w:rPr>
      </w:pPr>
      <w:r w:rsidRPr="2633F10F">
        <w:rPr>
          <w:rFonts w:ascii="Arial" w:eastAsia="Arial" w:hAnsi="Arial" w:cs="Arial"/>
        </w:rPr>
        <w:t>Maintaining objectivity in insider research requires balancing insider knowledge with critical distance. Researchers should define clear boundaries between their roles and remain open to alternative perspectives. Peer debriefing and external audits can enhance the research process's rigor and credibility (Lincoln &amp; Guba, 1985).</w:t>
      </w:r>
    </w:p>
    <w:p w14:paraId="4374D717" w14:textId="4B89C61C" w:rsidR="2B3AD81F" w:rsidRDefault="00CC1BD1" w:rsidP="0033236F">
      <w:pPr>
        <w:spacing w:before="240" w:after="240" w:line="360" w:lineRule="auto"/>
        <w:rPr>
          <w:rFonts w:ascii="Arial" w:eastAsia="Arial" w:hAnsi="Arial" w:cs="Arial"/>
        </w:rPr>
      </w:pPr>
      <w:r w:rsidRPr="2633F10F">
        <w:rPr>
          <w:rFonts w:ascii="Arial" w:eastAsia="Arial" w:hAnsi="Arial" w:cs="Arial"/>
        </w:rPr>
        <w:t xml:space="preserve">For my research, objectivity is crucial for the study's integrity and validity. Researchers must approach investigations without bias, designing neutral survey questions that allow participants to express their genuine experiences. Standardized procedures should be used during data collection and analysis to avoid influencing responses or interpreting data to fit </w:t>
      </w:r>
      <w:r w:rsidRPr="2633F10F">
        <w:rPr>
          <w:rFonts w:ascii="Arial" w:eastAsia="Arial" w:hAnsi="Arial" w:cs="Arial"/>
        </w:rPr>
        <w:lastRenderedPageBreak/>
        <w:t>expectations. Transparent reporting of methods and findings is essential for reproducibility and peer review. By upholding objectivity, the study can provide accurate insights into the belt singing techniques of trans singers, contributing valuable knowledge to the field while respecting participants' diverse experiences.</w:t>
      </w:r>
    </w:p>
    <w:p w14:paraId="7EA2841E"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relation to my own work with trans- and transitioning voices, this requires a delicate balance between leveraging insider knowledge and maintaining critical distance to ensure rigorous and credible findings. For instance, I will need to establish and maintain clear boundaries between my roles as educators and researchers. Doing so allows me to remain open to alternative perspectives and avoid bias (Lincoln &amp; Guba, 1985). Techniques such as peer debriefing and external audits can further enhance the credi</w:t>
      </w:r>
      <w:r w:rsidRPr="2633F10F">
        <w:rPr>
          <w:rFonts w:ascii="Arial" w:eastAsia="Arial" w:hAnsi="Arial" w:cs="Arial"/>
          <w:kern w:val="0"/>
          <w:lang w:eastAsia="en-GB"/>
          <w14:ligatures w14:val="none"/>
        </w:rPr>
        <w:t>bility of this research process. For example, when reflecting on teaching practices for transitioning students, employing these methods helps ensure that evaluations are not unduly influenced by my insider perspective, thus providing a more objective and comprehensive assessment (Creswell &amp; Plano Clark, 2017).</w:t>
      </w:r>
    </w:p>
    <w:p w14:paraId="3BB37AF8" w14:textId="77777777" w:rsidR="0059485A" w:rsidRPr="004B7BDC" w:rsidRDefault="00CC1BD1" w:rsidP="0033236F">
      <w:pPr>
        <w:spacing w:before="100" w:beforeAutospacing="1" w:after="100" w:afterAutospacing="1" w:line="360" w:lineRule="auto"/>
        <w:rPr>
          <w:rFonts w:ascii="Arial" w:eastAsia="Arial" w:hAnsi="Arial" w:cs="Arial"/>
          <w:kern w:val="0"/>
          <w:lang w:eastAsia="en-GB"/>
          <w14:ligatures w14:val="none"/>
        </w:rPr>
      </w:pPr>
      <w:r w:rsidRPr="2633F10F">
        <w:rPr>
          <w:rFonts w:ascii="Arial" w:eastAsia="Arial" w:hAnsi="Arial" w:cs="Arial"/>
          <w:b/>
          <w:bCs/>
          <w:kern w:val="0"/>
          <w:lang w:eastAsia="en-GB"/>
          <w14:ligatures w14:val="none"/>
        </w:rPr>
        <w:t>Conclusion</w:t>
      </w:r>
    </w:p>
    <w:p w14:paraId="0F8488D3" w14:textId="614546F5" w:rsidR="006E5959" w:rsidRPr="004B7BDC" w:rsidRDefault="00CC1BD1" w:rsidP="0033236F">
      <w:pPr>
        <w:spacing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This essay critically evaluates various methodological approaches, research designs, and methods for data collection in complex work-based settings. The discussion emphasizes the need to choose appropriate methodologies to capture the diversity and dynamics of these environments. Qualitative methods like interviews and observations provide deep insights but lack the generalizability of quantitative methods such as surveys. Conversely, quantitative methods offer statistical power but may miss contextual nuan</w:t>
      </w:r>
      <w:r w:rsidRPr="2633F10F">
        <w:rPr>
          <w:rFonts w:ascii="Arial" w:eastAsia="Arial" w:hAnsi="Arial" w:cs="Arial"/>
          <w:kern w:val="0"/>
          <w:lang w:eastAsia="en-GB"/>
          <w14:ligatures w14:val="none"/>
        </w:rPr>
        <w:t>ces (Creswell &amp; Plano Clark, 2017). Mixed methods research combines both and is highlighted for its comprehensively addressing research questions.</w:t>
      </w:r>
    </w:p>
    <w:p w14:paraId="6A81B807" w14:textId="77777777" w:rsidR="006E5959" w:rsidRPr="004B7BDC" w:rsidRDefault="00CC1BD1" w:rsidP="0033236F">
      <w:pPr>
        <w:spacing w:line="360" w:lineRule="auto"/>
        <w:rPr>
          <w:rFonts w:ascii="Arial" w:eastAsia="Arial" w:hAnsi="Arial" w:cs="Arial"/>
          <w:kern w:val="0"/>
          <w:lang w:eastAsia="en-GB"/>
          <w14:ligatures w14:val="none"/>
        </w:rPr>
      </w:pPr>
      <w:r w:rsidRPr="2633F10F">
        <w:rPr>
          <w:rFonts w:ascii="Arial" w:eastAsia="Arial" w:hAnsi="Arial" w:cs="Arial"/>
          <w:kern w:val="0"/>
          <w:lang w:eastAsia="en-GB"/>
          <w14:ligatures w14:val="none"/>
        </w:rPr>
        <w:t>In designing future studies related to my teaching practice, ethical considerations such as informed consent, confidentiality, and insider research complexities are crucial. The evaluation of research designs—including experimental, quasi-experimental, longitudinal, and action research—shows their suitability for different research questions but also their limitations. For example, longitudinal studies offer insights into changes over time but are resource-intensive (Flick, 2018). The discussion on surveys,</w:t>
      </w:r>
      <w:r w:rsidRPr="2633F10F">
        <w:rPr>
          <w:rFonts w:ascii="Arial" w:eastAsia="Arial" w:hAnsi="Arial" w:cs="Arial"/>
          <w:kern w:val="0"/>
          <w:lang w:eastAsia="en-GB"/>
          <w14:ligatures w14:val="none"/>
        </w:rPr>
        <w:t xml:space="preserve"> interviews, and observations illustrates their application and challenges in work-based settings, stressing the need for a balanced approach to ensure rigor and ethical integrity.</w:t>
      </w:r>
    </w:p>
    <w:p w14:paraId="55AACA08" w14:textId="4CDD06CD" w:rsidR="36799401" w:rsidRDefault="00CC1BD1" w:rsidP="0033236F">
      <w:pPr>
        <w:spacing w:line="360" w:lineRule="auto"/>
        <w:rPr>
          <w:rFonts w:ascii="Arial" w:eastAsia="Arial" w:hAnsi="Arial" w:cs="Arial"/>
          <w:lang w:eastAsia="en-GB"/>
        </w:rPr>
      </w:pPr>
      <w:r w:rsidRPr="2633F10F">
        <w:rPr>
          <w:rFonts w:ascii="Arial" w:eastAsia="Arial" w:hAnsi="Arial" w:cs="Arial"/>
          <w:lang w:eastAsia="en-GB"/>
        </w:rPr>
        <w:lastRenderedPageBreak/>
        <w:t xml:space="preserve">Using this information as a foundation to develop a research study on my </w:t>
      </w:r>
      <w:r w:rsidR="25D9DCC3" w:rsidRPr="2633F10F">
        <w:rPr>
          <w:rFonts w:ascii="Arial" w:eastAsia="Arial" w:hAnsi="Arial" w:cs="Arial"/>
          <w:lang w:eastAsia="en-GB"/>
        </w:rPr>
        <w:t>own pedagogical</w:t>
      </w:r>
      <w:r w:rsidRPr="2633F10F">
        <w:rPr>
          <w:rFonts w:ascii="Arial" w:eastAsia="Arial" w:hAnsi="Arial" w:cs="Arial"/>
          <w:lang w:eastAsia="en-GB"/>
        </w:rPr>
        <w:t xml:space="preserve"> approaches for working with trans and transitioning voices, a mixed methods approach offers a robust framework for capturing both broad trends and detailed personal experiences</w:t>
      </w:r>
      <w:r w:rsidR="3710FF68" w:rsidRPr="2633F10F">
        <w:rPr>
          <w:rFonts w:ascii="Arial" w:eastAsia="Arial" w:hAnsi="Arial" w:cs="Arial"/>
          <w:lang w:eastAsia="en-GB"/>
        </w:rPr>
        <w:t>, as set out in Appendix A</w:t>
      </w:r>
      <w:r w:rsidRPr="2633F10F">
        <w:rPr>
          <w:rFonts w:ascii="Arial" w:eastAsia="Arial" w:hAnsi="Arial" w:cs="Arial"/>
          <w:lang w:eastAsia="en-GB"/>
        </w:rPr>
        <w:t xml:space="preserve">. Surveys, as described by Fowler (2014), allow for a broad reach and efficient </w:t>
      </w:r>
      <w:r w:rsidRPr="2633F10F">
        <w:rPr>
          <w:rFonts w:ascii="Arial" w:eastAsia="Arial" w:hAnsi="Arial" w:cs="Arial"/>
          <w:lang w:eastAsia="en-GB"/>
        </w:rPr>
        <w:t>collection of quantifiable data from a diverse participant pool, enabling statistical analysis to identify overarching patterns and trends. This quantitative data provides a foundational overview of the issues faced by individuals undergoing vocal transitions, highlighting general trends across a large sample (Bryman, 2016).</w:t>
      </w:r>
    </w:p>
    <w:p w14:paraId="033C8EFB" w14:textId="6F01D6DA" w:rsidR="36799401" w:rsidRDefault="00CC1BD1" w:rsidP="0033236F">
      <w:pPr>
        <w:spacing w:line="360" w:lineRule="auto"/>
        <w:rPr>
          <w:rFonts w:ascii="Arial" w:eastAsia="Arial" w:hAnsi="Arial" w:cs="Arial"/>
          <w:lang w:eastAsia="en-GB"/>
        </w:rPr>
      </w:pPr>
      <w:bookmarkStart w:id="1" w:name="_Int_ucpDCZ7Y"/>
      <w:r w:rsidRPr="2633F10F">
        <w:rPr>
          <w:rFonts w:ascii="Arial" w:eastAsia="Arial" w:hAnsi="Arial" w:cs="Arial"/>
          <w:lang w:eastAsia="en-GB"/>
        </w:rPr>
        <w:t>When integrated with action research principles, the mixed methods approach supports iterative improvement and stakeholder engagement. Coghlan and Brannick (2014) noted that action research involves cycles of planning, acting, observing, and reflecting, which aligns well with the iterative nature of mixed methods research. This alignment facilitates the continuous refinement of pedagogical strategies based on both quantitative and qualitative data. Furthermore, involving stakeholders—such as voice trainers,</w:t>
      </w:r>
      <w:r w:rsidRPr="2633F10F">
        <w:rPr>
          <w:rFonts w:ascii="Arial" w:eastAsia="Arial" w:hAnsi="Arial" w:cs="Arial"/>
          <w:lang w:eastAsia="en-GB"/>
        </w:rPr>
        <w:t xml:space="preserve"> trans individuals, and educational professionals—ensures that the research addresses real-world needs and practical concerns, resulting in evidence-based practices that are both relevant and applicable in educational settings (Olszewski, Sullivan, &amp; Cabral, 2019; Chevalier &amp; Buckles, 2013).</w:t>
      </w:r>
      <w:bookmarkEnd w:id="1"/>
    </w:p>
    <w:p w14:paraId="058F61B0" w14:textId="63724BD3" w:rsidR="1C76435A" w:rsidRDefault="00CC1BD1" w:rsidP="0033236F">
      <w:pPr>
        <w:spacing w:line="360" w:lineRule="auto"/>
        <w:rPr>
          <w:rFonts w:ascii="Arial" w:eastAsia="Arial" w:hAnsi="Arial" w:cs="Arial"/>
        </w:rPr>
      </w:pPr>
      <w:r w:rsidRPr="2633F10F">
        <w:rPr>
          <w:rFonts w:ascii="Arial" w:eastAsia="Arial" w:hAnsi="Arial" w:cs="Arial"/>
        </w:rPr>
        <w:t>In summary, utilizing a combination of surveys, interviews, and action research creates a robust approach for a study aimed at building a knowledge base that informs the development of an evidence-based framework. This framework, rooted in real-world experiences, will guide creating more effective and customized vocal training techniques.</w:t>
      </w:r>
    </w:p>
    <w:p w14:paraId="7B109663" w14:textId="69EE59C2" w:rsidR="2633F10F" w:rsidRDefault="00CC1BD1" w:rsidP="0033236F">
      <w:pPr>
        <w:spacing w:line="360" w:lineRule="auto"/>
        <w:rPr>
          <w:rFonts w:ascii="Arial" w:eastAsia="Arial" w:hAnsi="Arial" w:cs="Arial"/>
        </w:rPr>
      </w:pPr>
      <w:r w:rsidRPr="2633F10F">
        <w:rPr>
          <w:rFonts w:ascii="Arial" w:eastAsia="Arial" w:hAnsi="Arial" w:cs="Arial"/>
        </w:rPr>
        <w:br w:type="page"/>
      </w:r>
    </w:p>
    <w:p w14:paraId="3E21BD67" w14:textId="77777777" w:rsidR="008A2C9E" w:rsidRPr="008A2C9E" w:rsidRDefault="008A2C9E" w:rsidP="008A2C9E">
      <w:pPr>
        <w:spacing w:line="360" w:lineRule="auto"/>
        <w:rPr>
          <w:rFonts w:ascii="Arial" w:hAnsi="Arial" w:cs="Arial"/>
        </w:rPr>
      </w:pPr>
      <w:r w:rsidRPr="008A2C9E">
        <w:rPr>
          <w:rFonts w:ascii="Arial" w:hAnsi="Arial" w:cs="Arial"/>
          <w:b/>
          <w:bCs/>
        </w:rPr>
        <w:lastRenderedPageBreak/>
        <w:t>Books:</w:t>
      </w:r>
    </w:p>
    <w:p w14:paraId="2F6BE8A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Olszewski, A., Sullivan, S., and Cabral, A. (2019) </w:t>
      </w:r>
      <w:r w:rsidRPr="008A2C9E">
        <w:rPr>
          <w:rFonts w:ascii="Arial" w:hAnsi="Arial" w:cs="Arial"/>
          <w:i/>
          <w:iCs/>
        </w:rPr>
        <w:t>Here's How to Teach Voice and Communication Skills to Transgender Women</w:t>
      </w:r>
      <w:r w:rsidRPr="008A2C9E">
        <w:rPr>
          <w:rFonts w:ascii="Arial" w:hAnsi="Arial" w:cs="Arial"/>
        </w:rPr>
        <w:t>. San Diego: Plural Publishing.</w:t>
      </w:r>
    </w:p>
    <w:p w14:paraId="59C9B033"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American Psychological Association (2020) </w:t>
      </w:r>
      <w:r w:rsidRPr="008A2C9E">
        <w:rPr>
          <w:rFonts w:ascii="Arial" w:hAnsi="Arial" w:cs="Arial"/>
          <w:i/>
          <w:iCs/>
        </w:rPr>
        <w:t>Publication Manual of the American Psychological Association</w:t>
      </w:r>
      <w:r w:rsidRPr="008A2C9E">
        <w:rPr>
          <w:rFonts w:ascii="Arial" w:hAnsi="Arial" w:cs="Arial"/>
        </w:rPr>
        <w:t xml:space="preserve"> (7th ed.). Washington, DC: American Psychological Association.</w:t>
      </w:r>
    </w:p>
    <w:p w14:paraId="29798AB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Babbie, E. (2016) </w:t>
      </w:r>
      <w:r w:rsidRPr="008A2C9E">
        <w:rPr>
          <w:rFonts w:ascii="Arial" w:hAnsi="Arial" w:cs="Arial"/>
          <w:i/>
          <w:iCs/>
        </w:rPr>
        <w:t>The Practice of Social Research</w:t>
      </w:r>
      <w:r w:rsidRPr="008A2C9E">
        <w:rPr>
          <w:rFonts w:ascii="Arial" w:hAnsi="Arial" w:cs="Arial"/>
        </w:rPr>
        <w:t>. Cengage Learning.</w:t>
      </w:r>
    </w:p>
    <w:p w14:paraId="36CA6CF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Bryman, A. (2016) </w:t>
      </w:r>
      <w:r w:rsidRPr="008A2C9E">
        <w:rPr>
          <w:rFonts w:ascii="Arial" w:hAnsi="Arial" w:cs="Arial"/>
          <w:i/>
          <w:iCs/>
        </w:rPr>
        <w:t>Social Research Methods</w:t>
      </w:r>
      <w:r w:rsidRPr="008A2C9E">
        <w:rPr>
          <w:rFonts w:ascii="Arial" w:hAnsi="Arial" w:cs="Arial"/>
        </w:rPr>
        <w:t>. Oxford University Press.</w:t>
      </w:r>
    </w:p>
    <w:p w14:paraId="0EC1F55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Campbell, D.T. and Stanley, J.C. (2015) </w:t>
      </w:r>
      <w:r w:rsidRPr="008A2C9E">
        <w:rPr>
          <w:rFonts w:ascii="Arial" w:hAnsi="Arial" w:cs="Arial"/>
          <w:i/>
          <w:iCs/>
        </w:rPr>
        <w:t>Experimental and Quasi-Experimental Designs for Research</w:t>
      </w:r>
      <w:r w:rsidRPr="008A2C9E">
        <w:rPr>
          <w:rFonts w:ascii="Arial" w:hAnsi="Arial" w:cs="Arial"/>
        </w:rPr>
        <w:t xml:space="preserve">. </w:t>
      </w:r>
      <w:proofErr w:type="spellStart"/>
      <w:r w:rsidRPr="008A2C9E">
        <w:rPr>
          <w:rFonts w:ascii="Arial" w:hAnsi="Arial" w:cs="Arial"/>
        </w:rPr>
        <w:t>Ravenio</w:t>
      </w:r>
      <w:proofErr w:type="spellEnd"/>
      <w:r w:rsidRPr="008A2C9E">
        <w:rPr>
          <w:rFonts w:ascii="Arial" w:hAnsi="Arial" w:cs="Arial"/>
        </w:rPr>
        <w:t xml:space="preserve"> Books.</w:t>
      </w:r>
    </w:p>
    <w:p w14:paraId="41EE401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Campbell, D.T. and Stanley, J.C. (1963) </w:t>
      </w:r>
      <w:r w:rsidRPr="008A2C9E">
        <w:rPr>
          <w:rFonts w:ascii="Arial" w:hAnsi="Arial" w:cs="Arial"/>
          <w:i/>
          <w:iCs/>
        </w:rPr>
        <w:t>Experimental and Quasi-Experimental Designs for Research</w:t>
      </w:r>
      <w:r w:rsidRPr="008A2C9E">
        <w:rPr>
          <w:rFonts w:ascii="Arial" w:hAnsi="Arial" w:cs="Arial"/>
        </w:rPr>
        <w:t>. Houghton Mifflin Company.</w:t>
      </w:r>
    </w:p>
    <w:p w14:paraId="6C1D3CE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Cahn, S.M. and Meskin, A. (Eds.) (2018) </w:t>
      </w:r>
      <w:r w:rsidRPr="008A2C9E">
        <w:rPr>
          <w:rFonts w:ascii="Arial" w:hAnsi="Arial" w:cs="Arial"/>
          <w:i/>
          <w:iCs/>
        </w:rPr>
        <w:t>Aesthetics: A Comprehensive Anthology</w:t>
      </w:r>
      <w:r w:rsidRPr="008A2C9E">
        <w:rPr>
          <w:rFonts w:ascii="Arial" w:hAnsi="Arial" w:cs="Arial"/>
        </w:rPr>
        <w:t>. ISBN: 978-1405154358.</w:t>
      </w:r>
    </w:p>
    <w:p w14:paraId="38B6F4A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Chevalier, J.M. and Buckles, D.J. (2013) </w:t>
      </w:r>
      <w:r w:rsidRPr="008A2C9E">
        <w:rPr>
          <w:rFonts w:ascii="Arial" w:hAnsi="Arial" w:cs="Arial"/>
          <w:i/>
          <w:iCs/>
        </w:rPr>
        <w:t>Participatory Action Research</w:t>
      </w:r>
      <w:r w:rsidRPr="008A2C9E">
        <w:rPr>
          <w:rFonts w:ascii="Arial" w:hAnsi="Arial" w:cs="Arial"/>
        </w:rPr>
        <w:t>. Abingdon: Routledge.</w:t>
      </w:r>
    </w:p>
    <w:p w14:paraId="5DD4E9C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Cohen, L., Manion, L., and Morrison, K. (2013) </w:t>
      </w:r>
      <w:r w:rsidRPr="008A2C9E">
        <w:rPr>
          <w:rFonts w:ascii="Arial" w:hAnsi="Arial" w:cs="Arial"/>
          <w:i/>
          <w:iCs/>
        </w:rPr>
        <w:t>Research Methods in Education</w:t>
      </w:r>
      <w:r w:rsidRPr="008A2C9E">
        <w:rPr>
          <w:rFonts w:ascii="Arial" w:hAnsi="Arial" w:cs="Arial"/>
        </w:rPr>
        <w:t xml:space="preserve"> (7th ed.). Hoboken: Taylor and Francis.</w:t>
      </w:r>
    </w:p>
    <w:p w14:paraId="4C1A920D"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Coghlan, D. and Brannick, T. (2014) </w:t>
      </w:r>
      <w:r w:rsidRPr="008A2C9E">
        <w:rPr>
          <w:rFonts w:ascii="Arial" w:hAnsi="Arial" w:cs="Arial"/>
          <w:i/>
          <w:iCs/>
        </w:rPr>
        <w:t>Doing Action Research in Your Own Organization</w:t>
      </w:r>
      <w:r w:rsidRPr="008A2C9E">
        <w:rPr>
          <w:rFonts w:ascii="Arial" w:hAnsi="Arial" w:cs="Arial"/>
        </w:rPr>
        <w:t>. Sage.</w:t>
      </w:r>
    </w:p>
    <w:p w14:paraId="3261CD1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Costley, C., Elliott, G., and Gibbs, P. (2012) </w:t>
      </w:r>
      <w:r w:rsidRPr="008A2C9E">
        <w:rPr>
          <w:rFonts w:ascii="Arial" w:hAnsi="Arial" w:cs="Arial"/>
          <w:i/>
          <w:iCs/>
        </w:rPr>
        <w:t>Doing Work Based Research: Approaches to Enquiry for Insider-Researchers</w:t>
      </w:r>
      <w:r w:rsidRPr="008A2C9E">
        <w:rPr>
          <w:rFonts w:ascii="Arial" w:hAnsi="Arial" w:cs="Arial"/>
        </w:rPr>
        <w:t>. London: Sage.</w:t>
      </w:r>
    </w:p>
    <w:p w14:paraId="6D06F44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Creswell, J.D. (2018) </w:t>
      </w:r>
      <w:r w:rsidRPr="008A2C9E">
        <w:rPr>
          <w:rFonts w:ascii="Arial" w:hAnsi="Arial" w:cs="Arial"/>
          <w:i/>
          <w:iCs/>
        </w:rPr>
        <w:t>Research Design: Qualitative, Quantitative, and Mixed Methods Approaches</w:t>
      </w:r>
      <w:r w:rsidRPr="008A2C9E">
        <w:rPr>
          <w:rFonts w:ascii="Arial" w:hAnsi="Arial" w:cs="Arial"/>
        </w:rPr>
        <w:t>. Sage.</w:t>
      </w:r>
    </w:p>
    <w:p w14:paraId="3ED635B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Plano Clark, V.L. (2017) </w:t>
      </w:r>
      <w:r w:rsidRPr="008A2C9E">
        <w:rPr>
          <w:rFonts w:ascii="Arial" w:hAnsi="Arial" w:cs="Arial"/>
          <w:i/>
          <w:iCs/>
        </w:rPr>
        <w:t>Designing and Conducting Mixed Methods Research</w:t>
      </w:r>
      <w:r w:rsidRPr="008A2C9E">
        <w:rPr>
          <w:rFonts w:ascii="Arial" w:hAnsi="Arial" w:cs="Arial"/>
        </w:rPr>
        <w:t>. Sage.</w:t>
      </w:r>
    </w:p>
    <w:p w14:paraId="3AD772F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Creswell, J.W. and Plano Clark, V.L. (2018) </w:t>
      </w:r>
      <w:r w:rsidRPr="008A2C9E">
        <w:rPr>
          <w:rFonts w:ascii="Arial" w:hAnsi="Arial" w:cs="Arial"/>
          <w:i/>
          <w:iCs/>
        </w:rPr>
        <w:t>Designing and Conducting Mixed Methods Research</w:t>
      </w:r>
      <w:r w:rsidRPr="008A2C9E">
        <w:rPr>
          <w:rFonts w:ascii="Arial" w:hAnsi="Arial" w:cs="Arial"/>
        </w:rPr>
        <w:t>. Sage Publications.</w:t>
      </w:r>
    </w:p>
    <w:p w14:paraId="766149A2"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lastRenderedPageBreak/>
        <w:t xml:space="preserve">Creswell, J.W. and </w:t>
      </w:r>
      <w:proofErr w:type="spellStart"/>
      <w:r w:rsidRPr="008A2C9E">
        <w:rPr>
          <w:rFonts w:ascii="Arial" w:hAnsi="Arial" w:cs="Arial"/>
        </w:rPr>
        <w:t>Poth</w:t>
      </w:r>
      <w:proofErr w:type="spellEnd"/>
      <w:r w:rsidRPr="008A2C9E">
        <w:rPr>
          <w:rFonts w:ascii="Arial" w:hAnsi="Arial" w:cs="Arial"/>
        </w:rPr>
        <w:t xml:space="preserve">, C.N. (2017) </w:t>
      </w:r>
      <w:r w:rsidRPr="008A2C9E">
        <w:rPr>
          <w:rFonts w:ascii="Arial" w:hAnsi="Arial" w:cs="Arial"/>
          <w:i/>
          <w:iCs/>
        </w:rPr>
        <w:t>Qualitative Inquiry and Research Design: Choosing Among Five Approaches</w:t>
      </w:r>
      <w:r w:rsidRPr="008A2C9E">
        <w:rPr>
          <w:rFonts w:ascii="Arial" w:hAnsi="Arial" w:cs="Arial"/>
        </w:rPr>
        <w:t>. Sage.</w:t>
      </w:r>
    </w:p>
    <w:p w14:paraId="0D52D40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Davies, M.B. (2007) </w:t>
      </w:r>
      <w:r w:rsidRPr="008A2C9E">
        <w:rPr>
          <w:rFonts w:ascii="Arial" w:hAnsi="Arial" w:cs="Arial"/>
          <w:i/>
          <w:iCs/>
        </w:rPr>
        <w:t>Doing a Successful Research Project: Using Qualitative and Quantitative Methods</w:t>
      </w:r>
      <w:r w:rsidRPr="008A2C9E">
        <w:rPr>
          <w:rFonts w:ascii="Arial" w:hAnsi="Arial" w:cs="Arial"/>
        </w:rPr>
        <w:t>. London: Palgrave.</w:t>
      </w:r>
    </w:p>
    <w:p w14:paraId="3D9BB920"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Denzin, N.K. and Lincoln, Y.S. (Eds.) (2011) </w:t>
      </w:r>
      <w:r w:rsidRPr="008A2C9E">
        <w:rPr>
          <w:rFonts w:ascii="Arial" w:hAnsi="Arial" w:cs="Arial"/>
          <w:i/>
          <w:iCs/>
        </w:rPr>
        <w:t>The SAGE Handbook of Qualitative Research</w:t>
      </w:r>
      <w:r w:rsidRPr="008A2C9E">
        <w:rPr>
          <w:rFonts w:ascii="Arial" w:hAnsi="Arial" w:cs="Arial"/>
        </w:rPr>
        <w:t>. Sage.</w:t>
      </w:r>
    </w:p>
    <w:p w14:paraId="1A19D22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Denzin, N.K. (2017) </w:t>
      </w:r>
      <w:r w:rsidRPr="008A2C9E">
        <w:rPr>
          <w:rFonts w:ascii="Arial" w:hAnsi="Arial" w:cs="Arial"/>
          <w:i/>
          <w:iCs/>
        </w:rPr>
        <w:t>The Research Act: A Theoretical Introduction to Sociological Methods</w:t>
      </w:r>
      <w:r w:rsidRPr="008A2C9E">
        <w:rPr>
          <w:rFonts w:ascii="Arial" w:hAnsi="Arial" w:cs="Arial"/>
        </w:rPr>
        <w:t>. Routledge.</w:t>
      </w:r>
    </w:p>
    <w:p w14:paraId="6B9FC74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Easterby-Smith, M., Thorpe, R., and Jackson, P. (2012) </w:t>
      </w:r>
      <w:r w:rsidRPr="008A2C9E">
        <w:rPr>
          <w:rFonts w:ascii="Arial" w:hAnsi="Arial" w:cs="Arial"/>
          <w:i/>
          <w:iCs/>
        </w:rPr>
        <w:t>Management Research</w:t>
      </w:r>
      <w:r w:rsidRPr="008A2C9E">
        <w:rPr>
          <w:rFonts w:ascii="Arial" w:hAnsi="Arial" w:cs="Arial"/>
        </w:rPr>
        <w:t xml:space="preserve"> (4th ed.). London: Sage.</w:t>
      </w:r>
    </w:p>
    <w:p w14:paraId="6BAC057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Flick, U. (2018) </w:t>
      </w:r>
      <w:r w:rsidRPr="008A2C9E">
        <w:rPr>
          <w:rFonts w:ascii="Arial" w:hAnsi="Arial" w:cs="Arial"/>
          <w:i/>
          <w:iCs/>
        </w:rPr>
        <w:t>An Introduction to Qualitative Research</w:t>
      </w:r>
      <w:r w:rsidRPr="008A2C9E">
        <w:rPr>
          <w:rFonts w:ascii="Arial" w:hAnsi="Arial" w:cs="Arial"/>
        </w:rPr>
        <w:t>. Sage.</w:t>
      </w:r>
    </w:p>
    <w:p w14:paraId="4159B19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Fowler, F.J. (2014) </w:t>
      </w:r>
      <w:r w:rsidRPr="008A2C9E">
        <w:rPr>
          <w:rFonts w:ascii="Arial" w:hAnsi="Arial" w:cs="Arial"/>
          <w:i/>
          <w:iCs/>
        </w:rPr>
        <w:t>Survey Research Methods</w:t>
      </w:r>
      <w:r w:rsidRPr="008A2C9E">
        <w:rPr>
          <w:rFonts w:ascii="Arial" w:hAnsi="Arial" w:cs="Arial"/>
        </w:rPr>
        <w:t>. Sage.</w:t>
      </w:r>
    </w:p>
    <w:p w14:paraId="28FDE8B6" w14:textId="77777777" w:rsidR="008A2C9E" w:rsidRPr="008A2C9E" w:rsidRDefault="008A2C9E" w:rsidP="008A2C9E">
      <w:pPr>
        <w:numPr>
          <w:ilvl w:val="0"/>
          <w:numId w:val="21"/>
        </w:numPr>
        <w:spacing w:line="360" w:lineRule="auto"/>
        <w:rPr>
          <w:rFonts w:ascii="Arial" w:hAnsi="Arial" w:cs="Arial"/>
        </w:rPr>
      </w:pPr>
      <w:proofErr w:type="spellStart"/>
      <w:r w:rsidRPr="008A2C9E">
        <w:rPr>
          <w:rFonts w:ascii="Arial" w:hAnsi="Arial" w:cs="Arial"/>
        </w:rPr>
        <w:t>Frankena</w:t>
      </w:r>
      <w:proofErr w:type="spellEnd"/>
      <w:r w:rsidRPr="008A2C9E">
        <w:rPr>
          <w:rFonts w:ascii="Arial" w:hAnsi="Arial" w:cs="Arial"/>
        </w:rPr>
        <w:t xml:space="preserve">, W.K. (1973) </w:t>
      </w:r>
      <w:r w:rsidRPr="008A2C9E">
        <w:rPr>
          <w:rFonts w:ascii="Arial" w:hAnsi="Arial" w:cs="Arial"/>
          <w:i/>
          <w:iCs/>
        </w:rPr>
        <w:t>Ethics</w:t>
      </w:r>
      <w:r w:rsidRPr="008A2C9E">
        <w:rPr>
          <w:rFonts w:ascii="Arial" w:hAnsi="Arial" w:cs="Arial"/>
        </w:rPr>
        <w:t>. ISBN: 978-0132904780.</w:t>
      </w:r>
    </w:p>
    <w:p w14:paraId="2FD54A3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Geertz, C. (1973) </w:t>
      </w:r>
      <w:r w:rsidRPr="008A2C9E">
        <w:rPr>
          <w:rFonts w:ascii="Arial" w:hAnsi="Arial" w:cs="Arial"/>
          <w:i/>
          <w:iCs/>
        </w:rPr>
        <w:t>The Interpretation of Cultures</w:t>
      </w:r>
      <w:r w:rsidRPr="008A2C9E">
        <w:rPr>
          <w:rFonts w:ascii="Arial" w:hAnsi="Arial" w:cs="Arial"/>
        </w:rPr>
        <w:t>. Basic Books.</w:t>
      </w:r>
    </w:p>
    <w:p w14:paraId="248CC70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Gill, J. and Johnson, P. (2012) </w:t>
      </w:r>
      <w:r w:rsidRPr="008A2C9E">
        <w:rPr>
          <w:rFonts w:ascii="Arial" w:hAnsi="Arial" w:cs="Arial"/>
          <w:i/>
          <w:iCs/>
        </w:rPr>
        <w:t>Research Methods for Managers</w:t>
      </w:r>
      <w:r w:rsidRPr="008A2C9E">
        <w:rPr>
          <w:rFonts w:ascii="Arial" w:hAnsi="Arial" w:cs="Arial"/>
        </w:rPr>
        <w:t xml:space="preserve"> (4th ed.). London: Sage.</w:t>
      </w:r>
    </w:p>
    <w:p w14:paraId="47BBD6A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Gray, D.E. (2004) </w:t>
      </w:r>
      <w:r w:rsidRPr="008A2C9E">
        <w:rPr>
          <w:rFonts w:ascii="Arial" w:hAnsi="Arial" w:cs="Arial"/>
          <w:i/>
          <w:iCs/>
        </w:rPr>
        <w:t>Doing Research in the Real World</w:t>
      </w:r>
      <w:r w:rsidRPr="008A2C9E">
        <w:rPr>
          <w:rFonts w:ascii="Arial" w:hAnsi="Arial" w:cs="Arial"/>
        </w:rPr>
        <w:t>. London: Sage.</w:t>
      </w:r>
    </w:p>
    <w:p w14:paraId="0C264AE4"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Hartman, R.S. (2011) </w:t>
      </w:r>
      <w:r w:rsidRPr="008A2C9E">
        <w:rPr>
          <w:rFonts w:ascii="Arial" w:hAnsi="Arial" w:cs="Arial"/>
          <w:i/>
          <w:iCs/>
        </w:rPr>
        <w:t>The Structure of Value: Foundations of Scientific Axiology</w:t>
      </w:r>
      <w:r w:rsidRPr="008A2C9E">
        <w:rPr>
          <w:rFonts w:ascii="Arial" w:hAnsi="Arial" w:cs="Arial"/>
        </w:rPr>
        <w:t>. Wipf and Stock Publishers.</w:t>
      </w:r>
    </w:p>
    <w:p w14:paraId="3413C33A"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Hendry, K.L. (2001) </w:t>
      </w:r>
      <w:r w:rsidRPr="008A2C9E">
        <w:rPr>
          <w:rFonts w:ascii="Arial" w:hAnsi="Arial" w:cs="Arial"/>
          <w:i/>
          <w:iCs/>
        </w:rPr>
        <w:t>Burnout and self-reported vocal health among music teachers and other educators</w:t>
      </w:r>
      <w:r w:rsidRPr="008A2C9E">
        <w:rPr>
          <w:rFonts w:ascii="Arial" w:hAnsi="Arial" w:cs="Arial"/>
        </w:rPr>
        <w:t>. Teachers College, Columbia University.</w:t>
      </w:r>
    </w:p>
    <w:p w14:paraId="75355CF6"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Israel, M. (2015) </w:t>
      </w:r>
      <w:r w:rsidRPr="008A2C9E">
        <w:rPr>
          <w:rFonts w:ascii="Arial" w:hAnsi="Arial" w:cs="Arial"/>
          <w:i/>
          <w:iCs/>
        </w:rPr>
        <w:t>Research Ethics and Integrity for Social Scientists: Beyond Regulatory Compliance</w:t>
      </w:r>
      <w:r w:rsidRPr="008A2C9E">
        <w:rPr>
          <w:rFonts w:ascii="Arial" w:hAnsi="Arial" w:cs="Arial"/>
        </w:rPr>
        <w:t>. Sage.</w:t>
      </w:r>
    </w:p>
    <w:p w14:paraId="1B3C41D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Kayes, G. (2015) </w:t>
      </w:r>
      <w:r w:rsidRPr="008A2C9E">
        <w:rPr>
          <w:rFonts w:ascii="Arial" w:hAnsi="Arial" w:cs="Arial"/>
          <w:i/>
          <w:iCs/>
        </w:rPr>
        <w:t>Singing and the Actor</w:t>
      </w:r>
      <w:r w:rsidRPr="008A2C9E">
        <w:rPr>
          <w:rFonts w:ascii="Arial" w:hAnsi="Arial" w:cs="Arial"/>
        </w:rPr>
        <w:t>. Routledge.</w:t>
      </w:r>
    </w:p>
    <w:p w14:paraId="71B7250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Kovach, M. (2019) </w:t>
      </w:r>
      <w:r w:rsidRPr="008A2C9E">
        <w:rPr>
          <w:rFonts w:ascii="Arial" w:hAnsi="Arial" w:cs="Arial"/>
          <w:i/>
          <w:iCs/>
        </w:rPr>
        <w:t>Indigenous Methodologies: Characteristics, Conversations, and Contexts</w:t>
      </w:r>
      <w:r w:rsidRPr="008A2C9E">
        <w:rPr>
          <w:rFonts w:ascii="Arial" w:hAnsi="Arial" w:cs="Arial"/>
        </w:rPr>
        <w:t>. University of Toronto Press.</w:t>
      </w:r>
    </w:p>
    <w:p w14:paraId="1A147FC5"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Kvale, S. (2007) </w:t>
      </w:r>
      <w:r w:rsidRPr="008A2C9E">
        <w:rPr>
          <w:rFonts w:ascii="Arial" w:hAnsi="Arial" w:cs="Arial"/>
          <w:i/>
          <w:iCs/>
        </w:rPr>
        <w:t>Doing Interviews</w:t>
      </w:r>
      <w:r w:rsidRPr="008A2C9E">
        <w:rPr>
          <w:rFonts w:ascii="Arial" w:hAnsi="Arial" w:cs="Arial"/>
        </w:rPr>
        <w:t>. Sage.</w:t>
      </w:r>
    </w:p>
    <w:p w14:paraId="1F7676B8"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Lincoln, Y.S. and Guba, E.G. (1985) </w:t>
      </w:r>
      <w:r w:rsidRPr="008A2C9E">
        <w:rPr>
          <w:rFonts w:ascii="Arial" w:hAnsi="Arial" w:cs="Arial"/>
          <w:i/>
          <w:iCs/>
        </w:rPr>
        <w:t>Naturalistic Inquiry</w:t>
      </w:r>
      <w:r w:rsidRPr="008A2C9E">
        <w:rPr>
          <w:rFonts w:ascii="Arial" w:hAnsi="Arial" w:cs="Arial"/>
        </w:rPr>
        <w:t>. Sage.</w:t>
      </w:r>
    </w:p>
    <w:p w14:paraId="1EB535A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lastRenderedPageBreak/>
        <w:t xml:space="preserve">Moring, B. (2014) </w:t>
      </w:r>
      <w:r w:rsidRPr="008A2C9E">
        <w:rPr>
          <w:rFonts w:ascii="Arial" w:hAnsi="Arial" w:cs="Arial"/>
          <w:i/>
          <w:iCs/>
        </w:rPr>
        <w:t>Research methods in psychology: Evaluating a world of information</w:t>
      </w:r>
      <w:r w:rsidRPr="008A2C9E">
        <w:rPr>
          <w:rFonts w:ascii="Arial" w:hAnsi="Arial" w:cs="Arial"/>
        </w:rPr>
        <w:t>. WW Norton &amp; Company.</w:t>
      </w:r>
    </w:p>
    <w:p w14:paraId="28D73197"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Munn, K. (2008) </w:t>
      </w:r>
      <w:r w:rsidRPr="008A2C9E">
        <w:rPr>
          <w:rFonts w:ascii="Arial" w:hAnsi="Arial" w:cs="Arial"/>
          <w:i/>
          <w:iCs/>
        </w:rPr>
        <w:t>Introduction: what is ontology for?</w:t>
      </w:r>
      <w:r w:rsidRPr="008A2C9E">
        <w:rPr>
          <w:rFonts w:ascii="Arial" w:hAnsi="Arial" w:cs="Arial"/>
        </w:rPr>
        <w:t xml:space="preserve"> Oxford: Oxford University Press.</w:t>
      </w:r>
    </w:p>
    <w:p w14:paraId="629627FF"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Patton, M.Q. (2015) </w:t>
      </w:r>
      <w:r w:rsidRPr="008A2C9E">
        <w:rPr>
          <w:rFonts w:ascii="Arial" w:hAnsi="Arial" w:cs="Arial"/>
          <w:i/>
          <w:iCs/>
        </w:rPr>
        <w:t>Qualitative Research &amp; Evaluation Methods</w:t>
      </w:r>
      <w:r w:rsidRPr="008A2C9E">
        <w:rPr>
          <w:rFonts w:ascii="Arial" w:hAnsi="Arial" w:cs="Arial"/>
        </w:rPr>
        <w:t>. Sage.</w:t>
      </w:r>
    </w:p>
    <w:p w14:paraId="3589600B"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Rubin, H.J. and Rubin, I.S. (2012) </w:t>
      </w:r>
      <w:r w:rsidRPr="008A2C9E">
        <w:rPr>
          <w:rFonts w:ascii="Arial" w:hAnsi="Arial" w:cs="Arial"/>
          <w:i/>
          <w:iCs/>
        </w:rPr>
        <w:t>Qualitative Interviewing: The Art of Hearing Data</w:t>
      </w:r>
      <w:r w:rsidRPr="008A2C9E">
        <w:rPr>
          <w:rFonts w:ascii="Arial" w:hAnsi="Arial" w:cs="Arial"/>
        </w:rPr>
        <w:t>. Sage.</w:t>
      </w:r>
    </w:p>
    <w:p w14:paraId="723649E1"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Saunders, M., Lewis, P., and Thornhill, A. (2009) </w:t>
      </w:r>
      <w:r w:rsidRPr="008A2C9E">
        <w:rPr>
          <w:rFonts w:ascii="Arial" w:hAnsi="Arial" w:cs="Arial"/>
          <w:i/>
          <w:iCs/>
        </w:rPr>
        <w:t>Research Methods for Business Students</w:t>
      </w:r>
      <w:r w:rsidRPr="008A2C9E">
        <w:rPr>
          <w:rFonts w:ascii="Arial" w:hAnsi="Arial" w:cs="Arial"/>
        </w:rPr>
        <w:t xml:space="preserve"> (5th ed.). London: Pearson Education Ltd.</w:t>
      </w:r>
    </w:p>
    <w:p w14:paraId="27BD2C4F" w14:textId="77777777" w:rsidR="008A2C9E" w:rsidRPr="008A2C9E" w:rsidRDefault="008A2C9E" w:rsidP="008A2C9E">
      <w:pPr>
        <w:numPr>
          <w:ilvl w:val="0"/>
          <w:numId w:val="21"/>
        </w:numPr>
        <w:spacing w:line="360" w:lineRule="auto"/>
        <w:rPr>
          <w:rFonts w:ascii="Arial" w:hAnsi="Arial" w:cs="Arial"/>
        </w:rPr>
      </w:pPr>
      <w:proofErr w:type="spellStart"/>
      <w:r w:rsidRPr="008A2C9E">
        <w:rPr>
          <w:rFonts w:ascii="Arial" w:hAnsi="Arial" w:cs="Arial"/>
        </w:rPr>
        <w:t>Walliman</w:t>
      </w:r>
      <w:proofErr w:type="spellEnd"/>
      <w:r w:rsidRPr="008A2C9E">
        <w:rPr>
          <w:rFonts w:ascii="Arial" w:hAnsi="Arial" w:cs="Arial"/>
        </w:rPr>
        <w:t xml:space="preserve">, N. (2021) </w:t>
      </w:r>
      <w:r w:rsidRPr="008A2C9E">
        <w:rPr>
          <w:rFonts w:ascii="Arial" w:hAnsi="Arial" w:cs="Arial"/>
          <w:i/>
          <w:iCs/>
        </w:rPr>
        <w:t>Research methods: The basics</w:t>
      </w:r>
      <w:r w:rsidRPr="008A2C9E">
        <w:rPr>
          <w:rFonts w:ascii="Arial" w:hAnsi="Arial" w:cs="Arial"/>
        </w:rPr>
        <w:t>. Routledge.</w:t>
      </w:r>
    </w:p>
    <w:p w14:paraId="1F599803" w14:textId="77777777" w:rsidR="008A2C9E" w:rsidRPr="008A2C9E" w:rsidRDefault="008A2C9E" w:rsidP="008A2C9E">
      <w:pPr>
        <w:numPr>
          <w:ilvl w:val="0"/>
          <w:numId w:val="21"/>
        </w:numPr>
        <w:spacing w:line="360" w:lineRule="auto"/>
        <w:rPr>
          <w:rFonts w:ascii="Arial" w:hAnsi="Arial" w:cs="Arial"/>
        </w:rPr>
      </w:pPr>
      <w:r w:rsidRPr="008A2C9E">
        <w:rPr>
          <w:rFonts w:ascii="Arial" w:hAnsi="Arial" w:cs="Arial"/>
        </w:rPr>
        <w:t xml:space="preserve">Yin, R.K. (2018) </w:t>
      </w:r>
      <w:r w:rsidRPr="008A2C9E">
        <w:rPr>
          <w:rFonts w:ascii="Arial" w:hAnsi="Arial" w:cs="Arial"/>
          <w:i/>
          <w:iCs/>
        </w:rPr>
        <w:t>Case Study Research and Applications: Design and Methods</w:t>
      </w:r>
      <w:r w:rsidRPr="008A2C9E">
        <w:rPr>
          <w:rFonts w:ascii="Arial" w:hAnsi="Arial" w:cs="Arial"/>
        </w:rPr>
        <w:t>. Sage Publications.</w:t>
      </w:r>
    </w:p>
    <w:p w14:paraId="4B295F3D" w14:textId="77777777" w:rsidR="008A2C9E" w:rsidRPr="008A2C9E" w:rsidRDefault="008A2C9E" w:rsidP="008A2C9E">
      <w:pPr>
        <w:spacing w:line="360" w:lineRule="auto"/>
        <w:rPr>
          <w:rFonts w:ascii="Arial" w:hAnsi="Arial" w:cs="Arial"/>
        </w:rPr>
      </w:pPr>
      <w:r w:rsidRPr="008A2C9E">
        <w:rPr>
          <w:rFonts w:ascii="Arial" w:hAnsi="Arial" w:cs="Arial"/>
        </w:rPr>
        <w:pict w14:anchorId="30E43714">
          <v:rect id="_x0000_i1031" style="width:0;height:1.5pt" o:hralign="center" o:hrstd="t" o:hr="t" fillcolor="#a0a0a0" stroked="f"/>
        </w:pict>
      </w:r>
    </w:p>
    <w:p w14:paraId="0D379130" w14:textId="77777777" w:rsidR="008A2C9E" w:rsidRPr="008A2C9E" w:rsidRDefault="008A2C9E" w:rsidP="008A2C9E">
      <w:pPr>
        <w:spacing w:line="360" w:lineRule="auto"/>
        <w:rPr>
          <w:rFonts w:ascii="Arial" w:hAnsi="Arial" w:cs="Arial"/>
        </w:rPr>
      </w:pPr>
      <w:r w:rsidRPr="008A2C9E">
        <w:rPr>
          <w:rFonts w:ascii="Arial" w:hAnsi="Arial" w:cs="Arial"/>
          <w:b/>
          <w:bCs/>
        </w:rPr>
        <w:t>Research Papers:</w:t>
      </w:r>
    </w:p>
    <w:p w14:paraId="27C992BD"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Bonner, A. and Tolhurst, G. (2002) 'Insider-outsider perspectives of participant observation', </w:t>
      </w:r>
      <w:r w:rsidRPr="008A2C9E">
        <w:rPr>
          <w:rFonts w:ascii="Arial" w:hAnsi="Arial" w:cs="Arial"/>
          <w:i/>
          <w:iCs/>
        </w:rPr>
        <w:t>Nurse Researcher</w:t>
      </w:r>
      <w:r w:rsidRPr="008A2C9E">
        <w:rPr>
          <w:rFonts w:ascii="Arial" w:hAnsi="Arial" w:cs="Arial"/>
        </w:rPr>
        <w:t>, 9(4), pp. 7-19.</w:t>
      </w:r>
    </w:p>
    <w:p w14:paraId="7B0F2E41"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Brannick, T. and Coghlan, D. (2007) 'In </w:t>
      </w:r>
      <w:proofErr w:type="spellStart"/>
      <w:r w:rsidRPr="008A2C9E">
        <w:rPr>
          <w:rFonts w:ascii="Arial" w:hAnsi="Arial" w:cs="Arial"/>
        </w:rPr>
        <w:t>defense</w:t>
      </w:r>
      <w:proofErr w:type="spellEnd"/>
      <w:r w:rsidRPr="008A2C9E">
        <w:rPr>
          <w:rFonts w:ascii="Arial" w:hAnsi="Arial" w:cs="Arial"/>
        </w:rPr>
        <w:t xml:space="preserve"> of being “native”: The case for insider academic research', </w:t>
      </w:r>
      <w:r w:rsidRPr="008A2C9E">
        <w:rPr>
          <w:rFonts w:ascii="Arial" w:hAnsi="Arial" w:cs="Arial"/>
          <w:i/>
          <w:iCs/>
        </w:rPr>
        <w:t>Organizational Research Methods</w:t>
      </w:r>
      <w:r w:rsidRPr="008A2C9E">
        <w:rPr>
          <w:rFonts w:ascii="Arial" w:hAnsi="Arial" w:cs="Arial"/>
        </w:rPr>
        <w:t>, 10(1), pp. 59-74.</w:t>
      </w:r>
    </w:p>
    <w:p w14:paraId="106E6C67" w14:textId="77777777" w:rsidR="008A2C9E" w:rsidRPr="008A2C9E" w:rsidRDefault="008A2C9E" w:rsidP="008A2C9E">
      <w:pPr>
        <w:numPr>
          <w:ilvl w:val="0"/>
          <w:numId w:val="22"/>
        </w:numPr>
        <w:spacing w:line="360" w:lineRule="auto"/>
        <w:rPr>
          <w:rFonts w:ascii="Arial" w:hAnsi="Arial" w:cs="Arial"/>
        </w:rPr>
      </w:pPr>
      <w:proofErr w:type="spellStart"/>
      <w:r w:rsidRPr="008A2C9E">
        <w:rPr>
          <w:rFonts w:ascii="Arial" w:hAnsi="Arial" w:cs="Arial"/>
        </w:rPr>
        <w:t>Brantlinger</w:t>
      </w:r>
      <w:proofErr w:type="spellEnd"/>
      <w:r w:rsidRPr="008A2C9E">
        <w:rPr>
          <w:rFonts w:ascii="Arial" w:hAnsi="Arial" w:cs="Arial"/>
        </w:rPr>
        <w:t xml:space="preserve">, E., Jimenez, R., Klingner, J., Pugach, M., and Richardson, V. (2005) 'Qualitative studies in special education', </w:t>
      </w:r>
      <w:r w:rsidRPr="008A2C9E">
        <w:rPr>
          <w:rFonts w:ascii="Arial" w:hAnsi="Arial" w:cs="Arial"/>
          <w:i/>
          <w:iCs/>
        </w:rPr>
        <w:t>Exceptional Children</w:t>
      </w:r>
      <w:r w:rsidRPr="008A2C9E">
        <w:rPr>
          <w:rFonts w:ascii="Arial" w:hAnsi="Arial" w:cs="Arial"/>
        </w:rPr>
        <w:t>, 71(2), pp. 195-207.</w:t>
      </w:r>
    </w:p>
    <w:p w14:paraId="77415766"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British Sociological Association (BSA) (2017) </w:t>
      </w:r>
      <w:r w:rsidRPr="008A2C9E">
        <w:rPr>
          <w:rFonts w:ascii="Arial" w:hAnsi="Arial" w:cs="Arial"/>
          <w:i/>
          <w:iCs/>
        </w:rPr>
        <w:t>Ethics Guidelines and Code of Conduct</w:t>
      </w:r>
      <w:r w:rsidRPr="008A2C9E">
        <w:rPr>
          <w:rFonts w:ascii="Arial" w:hAnsi="Arial" w:cs="Arial"/>
        </w:rPr>
        <w:t>. British Sociological Association.</w:t>
      </w:r>
    </w:p>
    <w:p w14:paraId="20C2D5CC"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Budge, S. L., Adelson, J. L., and Howard, K. A. S. (2013) 'Anxiety and depression in transgender individuals: The roles of transition status, loss, social support, and coping', </w:t>
      </w:r>
      <w:r w:rsidRPr="008A2C9E">
        <w:rPr>
          <w:rFonts w:ascii="Arial" w:hAnsi="Arial" w:cs="Arial"/>
          <w:i/>
          <w:iCs/>
        </w:rPr>
        <w:t>Journal of Consulting and Clinical Psychology</w:t>
      </w:r>
      <w:r w:rsidRPr="008A2C9E">
        <w:rPr>
          <w:rFonts w:ascii="Arial" w:hAnsi="Arial" w:cs="Arial"/>
        </w:rPr>
        <w:t>, 81(3), pp. 545-557.</w:t>
      </w:r>
    </w:p>
    <w:p w14:paraId="6D90C2C1"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Davies, S., Papp, V.G., and Antoni, C. (2015) 'Voice and communication change for gender nonconforming individuals: Giving voice to the person inside', </w:t>
      </w:r>
      <w:r w:rsidRPr="008A2C9E">
        <w:rPr>
          <w:rFonts w:ascii="Arial" w:hAnsi="Arial" w:cs="Arial"/>
          <w:i/>
          <w:iCs/>
        </w:rPr>
        <w:t>International Journal of Transgenderism</w:t>
      </w:r>
      <w:r w:rsidRPr="008A2C9E">
        <w:rPr>
          <w:rFonts w:ascii="Arial" w:hAnsi="Arial" w:cs="Arial"/>
        </w:rPr>
        <w:t xml:space="preserve">, 16(3), pp. 117-159. </w:t>
      </w:r>
      <w:proofErr w:type="spellStart"/>
      <w:r w:rsidRPr="008A2C9E">
        <w:rPr>
          <w:rFonts w:ascii="Arial" w:hAnsi="Arial" w:cs="Arial"/>
        </w:rPr>
        <w:t>doi</w:t>
      </w:r>
      <w:proofErr w:type="spellEnd"/>
      <w:r w:rsidRPr="008A2C9E">
        <w:rPr>
          <w:rFonts w:ascii="Arial" w:hAnsi="Arial" w:cs="Arial"/>
        </w:rPr>
        <w:t>: 10.1080/15532739.2015.1075931.</w:t>
      </w:r>
    </w:p>
    <w:p w14:paraId="658C6989"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lastRenderedPageBreak/>
        <w:t xml:space="preserve">Ellis, C., Adams, T.E., and Bochner, A.P. (2011) 'Autoethnography: An overview', </w:t>
      </w:r>
      <w:r w:rsidRPr="008A2C9E">
        <w:rPr>
          <w:rFonts w:ascii="Arial" w:hAnsi="Arial" w:cs="Arial"/>
          <w:i/>
          <w:iCs/>
        </w:rPr>
        <w:t xml:space="preserve">Forum Qualitative </w:t>
      </w:r>
      <w:proofErr w:type="spellStart"/>
      <w:r w:rsidRPr="008A2C9E">
        <w:rPr>
          <w:rFonts w:ascii="Arial" w:hAnsi="Arial" w:cs="Arial"/>
          <w:i/>
          <w:iCs/>
        </w:rPr>
        <w:t>Sozialforschung</w:t>
      </w:r>
      <w:proofErr w:type="spellEnd"/>
      <w:r w:rsidRPr="008A2C9E">
        <w:rPr>
          <w:rFonts w:ascii="Arial" w:hAnsi="Arial" w:cs="Arial"/>
          <w:i/>
          <w:iCs/>
        </w:rPr>
        <w:t xml:space="preserve"> / Forum: Qualitative Social Research</w:t>
      </w:r>
      <w:r w:rsidRPr="008A2C9E">
        <w:rPr>
          <w:rFonts w:ascii="Arial" w:hAnsi="Arial" w:cs="Arial"/>
        </w:rPr>
        <w:t>, 12(1), Art. 10.</w:t>
      </w:r>
    </w:p>
    <w:p w14:paraId="56B99DAF" w14:textId="77777777" w:rsidR="008A2C9E" w:rsidRPr="008A2C9E" w:rsidRDefault="008A2C9E" w:rsidP="008A2C9E">
      <w:pPr>
        <w:numPr>
          <w:ilvl w:val="0"/>
          <w:numId w:val="22"/>
        </w:numPr>
        <w:spacing w:line="360" w:lineRule="auto"/>
        <w:rPr>
          <w:rFonts w:ascii="Arial" w:hAnsi="Arial" w:cs="Arial"/>
        </w:rPr>
      </w:pPr>
      <w:proofErr w:type="spellStart"/>
      <w:r w:rsidRPr="008A2C9E">
        <w:rPr>
          <w:rFonts w:ascii="Arial" w:hAnsi="Arial" w:cs="Arial"/>
        </w:rPr>
        <w:t>Entropik</w:t>
      </w:r>
      <w:proofErr w:type="spellEnd"/>
      <w:r w:rsidRPr="008A2C9E">
        <w:rPr>
          <w:rFonts w:ascii="Arial" w:hAnsi="Arial" w:cs="Arial"/>
        </w:rPr>
        <w:t xml:space="preserve"> (2024) 'What is a Longitudinal Study? Definition, Types, and Examples', Retrieved from </w:t>
      </w:r>
      <w:hyperlink r:id="rId8" w:tgtFrame="_new" w:history="1">
        <w:r w:rsidRPr="008A2C9E">
          <w:rPr>
            <w:rStyle w:val="Hyperlink"/>
            <w:rFonts w:ascii="Arial" w:hAnsi="Arial" w:cs="Arial"/>
          </w:rPr>
          <w:t>https://www.entropik.io/blogs/what-is-a-longitudinal-study-definition-types-and-examples</w:t>
        </w:r>
      </w:hyperlink>
      <w:r w:rsidRPr="008A2C9E">
        <w:rPr>
          <w:rFonts w:ascii="Arial" w:hAnsi="Arial" w:cs="Arial"/>
        </w:rPr>
        <w:t>.</w:t>
      </w:r>
    </w:p>
    <w:p w14:paraId="29E33883"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Finlay, L. (2002) '“Outing” the researcher: The provenance, process, and practice of reflexivity', </w:t>
      </w:r>
      <w:r w:rsidRPr="008A2C9E">
        <w:rPr>
          <w:rFonts w:ascii="Arial" w:hAnsi="Arial" w:cs="Arial"/>
          <w:i/>
          <w:iCs/>
        </w:rPr>
        <w:t>Qualitative Health Research</w:t>
      </w:r>
      <w:r w:rsidRPr="008A2C9E">
        <w:rPr>
          <w:rFonts w:ascii="Arial" w:hAnsi="Arial" w:cs="Arial"/>
        </w:rPr>
        <w:t>, 12(4), pp. 531-545.</w:t>
      </w:r>
    </w:p>
    <w:p w14:paraId="0CFBCFB0"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Kaiser, K. (2009) 'Protecting respondent confidentiality in qualitative research', </w:t>
      </w:r>
      <w:r w:rsidRPr="008A2C9E">
        <w:rPr>
          <w:rFonts w:ascii="Arial" w:hAnsi="Arial" w:cs="Arial"/>
          <w:i/>
          <w:iCs/>
        </w:rPr>
        <w:t>Qualitative Health Research</w:t>
      </w:r>
      <w:r w:rsidRPr="008A2C9E">
        <w:rPr>
          <w:rFonts w:ascii="Arial" w:hAnsi="Arial" w:cs="Arial"/>
        </w:rPr>
        <w:t>, 19(11), pp. 1632-1641.</w:t>
      </w:r>
    </w:p>
    <w:p w14:paraId="335B3B1A"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Kanuha, V.K. (2000) '“Being” native versus “going native”: Conducting social work research as an insider', </w:t>
      </w:r>
      <w:r w:rsidRPr="008A2C9E">
        <w:rPr>
          <w:rFonts w:ascii="Arial" w:hAnsi="Arial" w:cs="Arial"/>
          <w:i/>
          <w:iCs/>
        </w:rPr>
        <w:t>Social Work</w:t>
      </w:r>
      <w:r w:rsidRPr="008A2C9E">
        <w:rPr>
          <w:rFonts w:ascii="Arial" w:hAnsi="Arial" w:cs="Arial"/>
        </w:rPr>
        <w:t>, 45(5), pp. 439-447.</w:t>
      </w:r>
    </w:p>
    <w:p w14:paraId="4DF715B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Likert, R. (1932) 'A Technique for the Measurement of Attitudes', </w:t>
      </w:r>
      <w:r w:rsidRPr="008A2C9E">
        <w:rPr>
          <w:rFonts w:ascii="Arial" w:hAnsi="Arial" w:cs="Arial"/>
          <w:i/>
          <w:iCs/>
        </w:rPr>
        <w:t>Archives of Psychology</w:t>
      </w:r>
      <w:r w:rsidRPr="008A2C9E">
        <w:rPr>
          <w:rFonts w:ascii="Arial" w:hAnsi="Arial" w:cs="Arial"/>
        </w:rPr>
        <w:t>, 140, pp. 1-55.</w:t>
      </w:r>
    </w:p>
    <w:p w14:paraId="1B08A29D"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McCambridge, J., Witton, J., and </w:t>
      </w:r>
      <w:proofErr w:type="spellStart"/>
      <w:r w:rsidRPr="008A2C9E">
        <w:rPr>
          <w:rFonts w:ascii="Arial" w:hAnsi="Arial" w:cs="Arial"/>
        </w:rPr>
        <w:t>Elbourne</w:t>
      </w:r>
      <w:proofErr w:type="spellEnd"/>
      <w:r w:rsidRPr="008A2C9E">
        <w:rPr>
          <w:rFonts w:ascii="Arial" w:hAnsi="Arial" w:cs="Arial"/>
        </w:rPr>
        <w:t xml:space="preserve">, D.R. (2014) 'Systematic review of the Hawthorne effect: New concepts are needed to study research participation effects', </w:t>
      </w:r>
      <w:r w:rsidRPr="008A2C9E">
        <w:rPr>
          <w:rFonts w:ascii="Arial" w:hAnsi="Arial" w:cs="Arial"/>
          <w:i/>
          <w:iCs/>
        </w:rPr>
        <w:t>Journal of Clinical Epidemiology</w:t>
      </w:r>
      <w:r w:rsidRPr="008A2C9E">
        <w:rPr>
          <w:rFonts w:ascii="Arial" w:hAnsi="Arial" w:cs="Arial"/>
        </w:rPr>
        <w:t>, 67(3), pp. 267-277.</w:t>
      </w:r>
    </w:p>
    <w:p w14:paraId="35531D0E"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Mercer, J. (2007) 'The challenges of insider research in educational institutions: Wielding a double-edged sword and resolving delicate dilemmas', </w:t>
      </w:r>
      <w:r w:rsidRPr="008A2C9E">
        <w:rPr>
          <w:rFonts w:ascii="Arial" w:hAnsi="Arial" w:cs="Arial"/>
          <w:i/>
          <w:iCs/>
        </w:rPr>
        <w:t>Oxford Review of Education</w:t>
      </w:r>
      <w:r w:rsidRPr="008A2C9E">
        <w:rPr>
          <w:rFonts w:ascii="Arial" w:hAnsi="Arial" w:cs="Arial"/>
        </w:rPr>
        <w:t>, 33(1), pp. 1-17.</w:t>
      </w:r>
    </w:p>
    <w:p w14:paraId="508E688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Morgan, E.S., Umberson, K., and Hertzog, C. (2014) 'Construct validation of self-reported stress scales', </w:t>
      </w:r>
      <w:r w:rsidRPr="008A2C9E">
        <w:rPr>
          <w:rFonts w:ascii="Arial" w:hAnsi="Arial" w:cs="Arial"/>
          <w:i/>
          <w:iCs/>
        </w:rPr>
        <w:t>Psychological assessment</w:t>
      </w:r>
      <w:r w:rsidRPr="008A2C9E">
        <w:rPr>
          <w:rFonts w:ascii="Arial" w:hAnsi="Arial" w:cs="Arial"/>
        </w:rPr>
        <w:t>, 26(1), p. 90.</w:t>
      </w:r>
    </w:p>
    <w:p w14:paraId="024C8645"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Orb, A., Eisenhauer, L., and </w:t>
      </w:r>
      <w:proofErr w:type="spellStart"/>
      <w:r w:rsidRPr="008A2C9E">
        <w:rPr>
          <w:rFonts w:ascii="Arial" w:hAnsi="Arial" w:cs="Arial"/>
        </w:rPr>
        <w:t>Wynaden</w:t>
      </w:r>
      <w:proofErr w:type="spellEnd"/>
      <w:r w:rsidRPr="008A2C9E">
        <w:rPr>
          <w:rFonts w:ascii="Arial" w:hAnsi="Arial" w:cs="Arial"/>
        </w:rPr>
        <w:t xml:space="preserve">, D. (2001) 'Ethics in qualitative research', </w:t>
      </w:r>
      <w:r w:rsidRPr="008A2C9E">
        <w:rPr>
          <w:rFonts w:ascii="Arial" w:hAnsi="Arial" w:cs="Arial"/>
          <w:i/>
          <w:iCs/>
        </w:rPr>
        <w:t>Journal of Nursing Scholarship</w:t>
      </w:r>
      <w:r w:rsidRPr="008A2C9E">
        <w:rPr>
          <w:rFonts w:ascii="Arial" w:hAnsi="Arial" w:cs="Arial"/>
        </w:rPr>
        <w:t>, 33(1), pp. 93-96.</w:t>
      </w:r>
    </w:p>
    <w:p w14:paraId="4CC7B146"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 xml:space="preserve">Ready, R.C., Buzby, J.C., and Hu, D. (1996) 'Differences between continuous and discrete contingent value estimates', </w:t>
      </w:r>
      <w:r w:rsidRPr="008A2C9E">
        <w:rPr>
          <w:rFonts w:ascii="Arial" w:hAnsi="Arial" w:cs="Arial"/>
          <w:i/>
          <w:iCs/>
        </w:rPr>
        <w:t>Land Economics</w:t>
      </w:r>
      <w:r w:rsidRPr="008A2C9E">
        <w:rPr>
          <w:rFonts w:ascii="Arial" w:hAnsi="Arial" w:cs="Arial"/>
        </w:rPr>
        <w:t>, pp. 397-411.</w:t>
      </w:r>
    </w:p>
    <w:p w14:paraId="23E8AAB8" w14:textId="77777777" w:rsidR="008A2C9E" w:rsidRPr="008A2C9E" w:rsidRDefault="008A2C9E" w:rsidP="008A2C9E">
      <w:pPr>
        <w:numPr>
          <w:ilvl w:val="0"/>
          <w:numId w:val="22"/>
        </w:numPr>
        <w:spacing w:line="360" w:lineRule="auto"/>
        <w:rPr>
          <w:rFonts w:ascii="Arial" w:hAnsi="Arial" w:cs="Arial"/>
        </w:rPr>
      </w:pPr>
      <w:r w:rsidRPr="008A2C9E">
        <w:rPr>
          <w:rFonts w:ascii="Arial" w:hAnsi="Arial" w:cs="Arial"/>
        </w:rPr>
        <w:t>Schwandt, T. A. (1994) 'Constructivist, interpretivist approaches to human inquiry', in N. K. Denzin and Y.</w:t>
      </w:r>
    </w:p>
    <w:p w14:paraId="38660813" w14:textId="5C57A23A" w:rsidR="2633F10F" w:rsidRDefault="2633F10F" w:rsidP="2633F10F">
      <w:pPr>
        <w:spacing w:line="360" w:lineRule="auto"/>
        <w:rPr>
          <w:rFonts w:ascii="Arial" w:hAnsi="Arial" w:cs="Arial"/>
        </w:rPr>
      </w:pPr>
    </w:p>
    <w:p w14:paraId="4FFB1A16" w14:textId="2F656040" w:rsidR="2633F10F" w:rsidRDefault="00CC1BD1">
      <w:r>
        <w:br w:type="page"/>
      </w:r>
    </w:p>
    <w:p w14:paraId="32F80A29" w14:textId="679B7BA3" w:rsidR="00D85E56" w:rsidRPr="00DB74A4" w:rsidRDefault="00CC1BD1" w:rsidP="2633F10F">
      <w:pPr>
        <w:spacing w:line="360" w:lineRule="auto"/>
        <w:rPr>
          <w:rFonts w:ascii="Arial" w:hAnsi="Arial" w:cs="Arial"/>
          <w:b/>
          <w:bCs/>
          <w:u w:val="single"/>
        </w:rPr>
      </w:pPr>
      <w:r w:rsidRPr="2633F10F">
        <w:rPr>
          <w:rFonts w:ascii="Arial" w:hAnsi="Arial" w:cs="Arial"/>
          <w:b/>
          <w:bCs/>
          <w:u w:val="single"/>
        </w:rPr>
        <w:lastRenderedPageBreak/>
        <w:t>Appendix A</w:t>
      </w:r>
    </w:p>
    <w:p w14:paraId="75F71353"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 xml:space="preserve">Mixed </w:t>
      </w:r>
      <w:r w:rsidRPr="2633F10F">
        <w:rPr>
          <w:rFonts w:ascii="Arial" w:eastAsia="Times New Roman" w:hAnsi="Arial" w:cs="Arial"/>
          <w:b/>
          <w:bCs/>
          <w:lang w:eastAsia="en-GB"/>
        </w:rPr>
        <w:t>Methods Approach:</w:t>
      </w:r>
    </w:p>
    <w:p w14:paraId="5A32D36B"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Comprehensive Understanding:</w:t>
      </w:r>
      <w:r w:rsidRPr="2633F10F">
        <w:rPr>
          <w:rFonts w:ascii="Arial" w:eastAsia="Times New Roman" w:hAnsi="Arial" w:cs="Arial"/>
          <w:lang w:eastAsia="en-GB"/>
        </w:rPr>
        <w:t xml:space="preserve"> Combines survey data with interview insights for a fuller picture.</w:t>
      </w:r>
    </w:p>
    <w:p w14:paraId="330B33BE"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Enhanced Validity:</w:t>
      </w:r>
      <w:r w:rsidRPr="2633F10F">
        <w:rPr>
          <w:rFonts w:ascii="Arial" w:eastAsia="Times New Roman" w:hAnsi="Arial" w:cs="Arial"/>
          <w:lang w:eastAsia="en-GB"/>
        </w:rPr>
        <w:t xml:space="preserve"> Triangulates data from multiple sources for greater reliability.</w:t>
      </w:r>
    </w:p>
    <w:p w14:paraId="26F5C76B" w14:textId="77777777" w:rsidR="2DE923C1" w:rsidRDefault="00CC1BD1" w:rsidP="2633F10F">
      <w:pPr>
        <w:numPr>
          <w:ilvl w:val="0"/>
          <w:numId w:val="17"/>
        </w:numPr>
        <w:spacing w:line="360" w:lineRule="auto"/>
        <w:rPr>
          <w:rFonts w:ascii="Arial" w:eastAsia="Times New Roman" w:hAnsi="Arial" w:cs="Arial"/>
          <w:lang w:eastAsia="en-GB"/>
        </w:rPr>
      </w:pPr>
      <w:r w:rsidRPr="2633F10F">
        <w:rPr>
          <w:rFonts w:ascii="Arial" w:eastAsia="Times New Roman" w:hAnsi="Arial" w:cs="Arial"/>
          <w:b/>
          <w:bCs/>
          <w:lang w:eastAsia="en-GB"/>
        </w:rPr>
        <w:t>Flexibility:</w:t>
      </w:r>
      <w:r w:rsidRPr="2633F10F">
        <w:rPr>
          <w:rFonts w:ascii="Arial" w:eastAsia="Times New Roman" w:hAnsi="Arial" w:cs="Arial"/>
          <w:lang w:eastAsia="en-GB"/>
        </w:rPr>
        <w:t xml:space="preserve"> Adapts to the complex nature of vocal transitions and training techniques.</w:t>
      </w:r>
    </w:p>
    <w:p w14:paraId="682D4788"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Surveys:</w:t>
      </w:r>
    </w:p>
    <w:p w14:paraId="6C9369B3"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Broad Reach:</w:t>
      </w:r>
      <w:r w:rsidRPr="2633F10F">
        <w:rPr>
          <w:rFonts w:ascii="Arial" w:eastAsia="Times New Roman" w:hAnsi="Arial" w:cs="Arial"/>
          <w:lang w:eastAsia="en-GB"/>
        </w:rPr>
        <w:t xml:space="preserve"> Ensures input from a diverse range of participants.</w:t>
      </w:r>
    </w:p>
    <w:p w14:paraId="5C17F86B"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Quantifiable Data:</w:t>
      </w:r>
      <w:r w:rsidRPr="2633F10F">
        <w:rPr>
          <w:rFonts w:ascii="Arial" w:eastAsia="Times New Roman" w:hAnsi="Arial" w:cs="Arial"/>
          <w:lang w:eastAsia="en-GB"/>
        </w:rPr>
        <w:t xml:space="preserve"> Enables statistical analysis to identify trends.</w:t>
      </w:r>
    </w:p>
    <w:p w14:paraId="6AC2D743" w14:textId="77777777" w:rsidR="2DE923C1" w:rsidRDefault="00CC1BD1" w:rsidP="2633F10F">
      <w:pPr>
        <w:numPr>
          <w:ilvl w:val="0"/>
          <w:numId w:val="18"/>
        </w:numPr>
        <w:spacing w:line="360" w:lineRule="auto"/>
        <w:rPr>
          <w:rFonts w:ascii="Arial" w:eastAsia="Times New Roman" w:hAnsi="Arial" w:cs="Arial"/>
          <w:lang w:eastAsia="en-GB"/>
        </w:rPr>
      </w:pPr>
      <w:r w:rsidRPr="2633F10F">
        <w:rPr>
          <w:rFonts w:ascii="Arial" w:eastAsia="Times New Roman" w:hAnsi="Arial" w:cs="Arial"/>
          <w:b/>
          <w:bCs/>
          <w:lang w:eastAsia="en-GB"/>
        </w:rPr>
        <w:t>Efficiency:</w:t>
      </w:r>
      <w:r w:rsidRPr="2633F10F">
        <w:rPr>
          <w:rFonts w:ascii="Arial" w:eastAsia="Times New Roman" w:hAnsi="Arial" w:cs="Arial"/>
          <w:lang w:eastAsia="en-GB"/>
        </w:rPr>
        <w:t xml:space="preserve"> Quickly gathers a large volume of information.</w:t>
      </w:r>
    </w:p>
    <w:p w14:paraId="608F9516"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Interviews:</w:t>
      </w:r>
    </w:p>
    <w:p w14:paraId="6D734497"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Depth of Understanding:</w:t>
      </w:r>
      <w:r w:rsidRPr="2633F10F">
        <w:rPr>
          <w:rFonts w:ascii="Arial" w:eastAsia="Times New Roman" w:hAnsi="Arial" w:cs="Arial"/>
          <w:lang w:eastAsia="en-GB"/>
        </w:rPr>
        <w:t xml:space="preserve"> Explores personal experiences in detail.</w:t>
      </w:r>
    </w:p>
    <w:p w14:paraId="63BC3792"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Contextual Insights:</w:t>
      </w:r>
      <w:r w:rsidRPr="2633F10F">
        <w:rPr>
          <w:rFonts w:ascii="Arial" w:eastAsia="Times New Roman" w:hAnsi="Arial" w:cs="Arial"/>
          <w:lang w:eastAsia="en-GB"/>
        </w:rPr>
        <w:t xml:space="preserve"> Explains the reasons behind quantitative data.</w:t>
      </w:r>
    </w:p>
    <w:p w14:paraId="2041C2C5" w14:textId="77777777" w:rsidR="2DE923C1" w:rsidRDefault="00CC1BD1" w:rsidP="2633F10F">
      <w:pPr>
        <w:numPr>
          <w:ilvl w:val="0"/>
          <w:numId w:val="19"/>
        </w:numPr>
        <w:spacing w:line="360" w:lineRule="auto"/>
        <w:rPr>
          <w:rFonts w:ascii="Arial" w:eastAsia="Times New Roman" w:hAnsi="Arial" w:cs="Arial"/>
          <w:lang w:eastAsia="en-GB"/>
        </w:rPr>
      </w:pPr>
      <w:r w:rsidRPr="2633F10F">
        <w:rPr>
          <w:rFonts w:ascii="Arial" w:eastAsia="Times New Roman" w:hAnsi="Arial" w:cs="Arial"/>
          <w:b/>
          <w:bCs/>
          <w:lang w:eastAsia="en-GB"/>
        </w:rPr>
        <w:t>Personalized Responses:</w:t>
      </w:r>
      <w:r w:rsidRPr="2633F10F">
        <w:rPr>
          <w:rFonts w:ascii="Arial" w:eastAsia="Times New Roman" w:hAnsi="Arial" w:cs="Arial"/>
          <w:lang w:eastAsia="en-GB"/>
        </w:rPr>
        <w:t xml:space="preserve"> Allows for follow-up questions and detailed exploration.</w:t>
      </w:r>
    </w:p>
    <w:p w14:paraId="247ED90C" w14:textId="77777777" w:rsidR="2DE923C1" w:rsidRDefault="00CC1BD1" w:rsidP="2633F10F">
      <w:pPr>
        <w:spacing w:line="360" w:lineRule="auto"/>
        <w:rPr>
          <w:rFonts w:ascii="Arial" w:eastAsia="Times New Roman" w:hAnsi="Arial" w:cs="Arial"/>
          <w:lang w:eastAsia="en-GB"/>
        </w:rPr>
      </w:pPr>
      <w:r w:rsidRPr="2633F10F">
        <w:rPr>
          <w:rFonts w:ascii="Arial" w:eastAsia="Times New Roman" w:hAnsi="Arial" w:cs="Arial"/>
          <w:b/>
          <w:bCs/>
          <w:lang w:eastAsia="en-GB"/>
        </w:rPr>
        <w:t>Why Mixed Methods and Action Research Are Effective:</w:t>
      </w:r>
    </w:p>
    <w:p w14:paraId="5111B1EA"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Holistic Framework Development:</w:t>
      </w:r>
      <w:r w:rsidRPr="2633F10F">
        <w:rPr>
          <w:rFonts w:ascii="Arial" w:eastAsia="Times New Roman" w:hAnsi="Arial" w:cs="Arial"/>
          <w:lang w:eastAsia="en-GB"/>
        </w:rPr>
        <w:t xml:space="preserve"> Combines surveys and interviews for breadth and depth.</w:t>
      </w:r>
    </w:p>
    <w:p w14:paraId="5D8AE908"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Iterative Improvement:</w:t>
      </w:r>
      <w:r w:rsidRPr="2633F10F">
        <w:rPr>
          <w:rFonts w:ascii="Arial" w:eastAsia="Times New Roman" w:hAnsi="Arial" w:cs="Arial"/>
          <w:lang w:eastAsia="en-GB"/>
        </w:rPr>
        <w:t xml:space="preserve"> Aligns with action research’s cycles of planning, acting, observing, and reflecting.</w:t>
      </w:r>
    </w:p>
    <w:p w14:paraId="577EEFAE"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Stakeholder Engagement:</w:t>
      </w:r>
      <w:r w:rsidRPr="2633F10F">
        <w:rPr>
          <w:rFonts w:ascii="Arial" w:eastAsia="Times New Roman" w:hAnsi="Arial" w:cs="Arial"/>
          <w:lang w:eastAsia="en-GB"/>
        </w:rPr>
        <w:t xml:space="preserve"> Involves relevant professionals, ensuring the framework meets real-world needs.</w:t>
      </w:r>
    </w:p>
    <w:p w14:paraId="26D14081" w14:textId="77777777" w:rsidR="2DE923C1" w:rsidRDefault="00CC1BD1" w:rsidP="2633F10F">
      <w:pPr>
        <w:numPr>
          <w:ilvl w:val="0"/>
          <w:numId w:val="20"/>
        </w:numPr>
        <w:spacing w:line="360" w:lineRule="auto"/>
        <w:rPr>
          <w:rFonts w:ascii="Arial" w:eastAsia="Times New Roman" w:hAnsi="Arial" w:cs="Arial"/>
          <w:lang w:eastAsia="en-GB"/>
        </w:rPr>
      </w:pPr>
      <w:r w:rsidRPr="2633F10F">
        <w:rPr>
          <w:rFonts w:ascii="Arial" w:eastAsia="Times New Roman" w:hAnsi="Arial" w:cs="Arial"/>
          <w:b/>
          <w:bCs/>
          <w:lang w:eastAsia="en-GB"/>
        </w:rPr>
        <w:t>Evidence-Based Practice:</w:t>
      </w:r>
      <w:r w:rsidRPr="2633F10F">
        <w:rPr>
          <w:rFonts w:ascii="Arial" w:eastAsia="Times New Roman" w:hAnsi="Arial" w:cs="Arial"/>
          <w:lang w:eastAsia="en-GB"/>
        </w:rPr>
        <w:t xml:space="preserve"> Continuously tests and refines the framework through action research.</w:t>
      </w:r>
    </w:p>
    <w:bookmarkEnd w:id="0"/>
    <w:p w14:paraId="20097539" w14:textId="1BFF3039" w:rsidR="2633F10F" w:rsidRDefault="2633F10F" w:rsidP="2633F10F">
      <w:pPr>
        <w:spacing w:line="360" w:lineRule="auto"/>
        <w:rPr>
          <w:rFonts w:ascii="Arial" w:hAnsi="Arial" w:cs="Arial"/>
        </w:rPr>
      </w:pPr>
    </w:p>
    <w:sectPr w:rsidR="2633F10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4099C" w14:textId="77777777" w:rsidR="00CC1BD1" w:rsidRDefault="00CC1BD1">
      <w:pPr>
        <w:spacing w:after="0" w:line="240" w:lineRule="auto"/>
      </w:pPr>
      <w:r>
        <w:separator/>
      </w:r>
    </w:p>
  </w:endnote>
  <w:endnote w:type="continuationSeparator" w:id="0">
    <w:p w14:paraId="0EECF4CB" w14:textId="77777777" w:rsidR="00CC1BD1" w:rsidRDefault="00CC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551A6" w14:textId="77777777" w:rsidR="00FF01B2" w:rsidRDefault="00CC1BD1" w:rsidP="00FF01B2">
    <w:pPr>
      <w:pStyle w:val="Footer"/>
    </w:pPr>
    <w:r>
      <w:t>Module 2: BMPF 7005</w:t>
    </w:r>
  </w:p>
  <w:p w14:paraId="28349345" w14:textId="576A2F54" w:rsidR="00FF01B2" w:rsidRDefault="00CC1BD1">
    <w:pPr>
      <w:pStyle w:val="Footer"/>
    </w:pPr>
    <w:r>
      <w:t xml:space="preserve">Word Count: </w:t>
    </w:r>
    <w:r w:rsidR="00635BD8">
      <w:t>48</w:t>
    </w:r>
    <w:r w:rsidR="006529CA">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B56D4" w14:textId="77777777" w:rsidR="00CC1BD1" w:rsidRDefault="00CC1BD1">
      <w:pPr>
        <w:spacing w:after="0" w:line="240" w:lineRule="auto"/>
      </w:pPr>
      <w:r>
        <w:separator/>
      </w:r>
    </w:p>
  </w:footnote>
  <w:footnote w:type="continuationSeparator" w:id="0">
    <w:p w14:paraId="5A604D42" w14:textId="77777777" w:rsidR="00CC1BD1" w:rsidRDefault="00CC1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F0BD1" w14:textId="77777777" w:rsidR="00FF01B2" w:rsidRPr="00FF01B2" w:rsidRDefault="00CC1BD1" w:rsidP="00FF01B2">
    <w:pPr>
      <w:autoSpaceDE w:val="0"/>
      <w:autoSpaceDN w:val="0"/>
      <w:adjustRightInd w:val="0"/>
      <w:rPr>
        <w:rFonts w:cstheme="minorHAnsi"/>
        <w:sz w:val="16"/>
        <w:szCs w:val="16"/>
      </w:rPr>
    </w:pPr>
    <w:r w:rsidRPr="00FF01B2">
      <w:rPr>
        <w:rFonts w:cstheme="minorHAnsi"/>
        <w:sz w:val="16"/>
        <w:szCs w:val="16"/>
      </w:rPr>
      <w:t>Student Name: Ian Massa-Harris-McFeely</w:t>
    </w:r>
  </w:p>
  <w:p w14:paraId="5FA51795" w14:textId="77777777" w:rsidR="00FF01B2" w:rsidRPr="00FF01B2" w:rsidRDefault="00CC1BD1" w:rsidP="00FF01B2">
    <w:pPr>
      <w:autoSpaceDE w:val="0"/>
      <w:autoSpaceDN w:val="0"/>
      <w:adjustRightInd w:val="0"/>
      <w:rPr>
        <w:rFonts w:cstheme="minorHAnsi"/>
        <w:sz w:val="16"/>
        <w:szCs w:val="16"/>
      </w:rPr>
    </w:pPr>
    <w:r w:rsidRPr="00FF01B2">
      <w:rPr>
        <w:rFonts w:cstheme="minorHAnsi"/>
        <w:sz w:val="16"/>
        <w:szCs w:val="16"/>
      </w:rPr>
      <w:t>Student Number: 2029174</w:t>
    </w:r>
  </w:p>
  <w:p w14:paraId="68B5B2A4" w14:textId="73F5F412" w:rsidR="00FF01B2" w:rsidRDefault="00CC1BD1">
    <w:pPr>
      <w:pStyle w:val="Header"/>
      <w:rPr>
        <w:rFonts w:cstheme="minorHAnsi"/>
        <w:sz w:val="16"/>
        <w:szCs w:val="16"/>
      </w:rPr>
    </w:pPr>
    <w:r w:rsidRPr="00FF01B2">
      <w:rPr>
        <w:rFonts w:cstheme="minorHAnsi"/>
        <w:sz w:val="16"/>
        <w:szCs w:val="16"/>
      </w:rPr>
      <w:t>MA-PT Professional Practice (Voice Pedagogy)</w:t>
    </w:r>
  </w:p>
  <w:p w14:paraId="5A5A45DF" w14:textId="77777777" w:rsidR="00FF01B2" w:rsidRPr="00FF01B2" w:rsidRDefault="00FF01B2">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537A3"/>
    <w:multiLevelType w:val="multilevel"/>
    <w:tmpl w:val="51E0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7C5105"/>
    <w:multiLevelType w:val="multilevel"/>
    <w:tmpl w:val="FDC2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B7AFA"/>
    <w:multiLevelType w:val="multilevel"/>
    <w:tmpl w:val="3D9CF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142C1D"/>
    <w:multiLevelType w:val="multilevel"/>
    <w:tmpl w:val="05062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D3CDA"/>
    <w:multiLevelType w:val="multilevel"/>
    <w:tmpl w:val="6CE89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EA37D7"/>
    <w:multiLevelType w:val="multilevel"/>
    <w:tmpl w:val="DD884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1C1B3C"/>
    <w:multiLevelType w:val="multilevel"/>
    <w:tmpl w:val="00DC3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9235F1"/>
    <w:multiLevelType w:val="multilevel"/>
    <w:tmpl w:val="3B74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136162"/>
    <w:multiLevelType w:val="multilevel"/>
    <w:tmpl w:val="68FC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B41D3C"/>
    <w:multiLevelType w:val="multilevel"/>
    <w:tmpl w:val="6058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BC246D"/>
    <w:multiLevelType w:val="multilevel"/>
    <w:tmpl w:val="5DDAD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1C5694"/>
    <w:multiLevelType w:val="multilevel"/>
    <w:tmpl w:val="84F63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AF1E7D"/>
    <w:multiLevelType w:val="multilevel"/>
    <w:tmpl w:val="A85C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2268E2"/>
    <w:multiLevelType w:val="multilevel"/>
    <w:tmpl w:val="FDBA7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03116B"/>
    <w:multiLevelType w:val="multilevel"/>
    <w:tmpl w:val="E3747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14401C"/>
    <w:multiLevelType w:val="multilevel"/>
    <w:tmpl w:val="63845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FC5402"/>
    <w:multiLevelType w:val="multilevel"/>
    <w:tmpl w:val="39FE4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D749EE"/>
    <w:multiLevelType w:val="hybridMultilevel"/>
    <w:tmpl w:val="1612F7C4"/>
    <w:lvl w:ilvl="0" w:tplc="40AA43F6">
      <w:start w:val="1"/>
      <w:numFmt w:val="bullet"/>
      <w:lvlText w:val=""/>
      <w:lvlJc w:val="left"/>
      <w:pPr>
        <w:ind w:left="720" w:hanging="360"/>
      </w:pPr>
      <w:rPr>
        <w:rFonts w:ascii="Symbol" w:hAnsi="Symbol" w:hint="default"/>
      </w:rPr>
    </w:lvl>
    <w:lvl w:ilvl="1" w:tplc="B052D5AE">
      <w:start w:val="1"/>
      <w:numFmt w:val="bullet"/>
      <w:lvlText w:val="o"/>
      <w:lvlJc w:val="left"/>
      <w:pPr>
        <w:ind w:left="1440" w:hanging="360"/>
      </w:pPr>
      <w:rPr>
        <w:rFonts w:ascii="Courier New" w:hAnsi="Courier New" w:hint="default"/>
      </w:rPr>
    </w:lvl>
    <w:lvl w:ilvl="2" w:tplc="F31ACAAC">
      <w:start w:val="1"/>
      <w:numFmt w:val="bullet"/>
      <w:lvlText w:val=""/>
      <w:lvlJc w:val="left"/>
      <w:pPr>
        <w:ind w:left="2160" w:hanging="360"/>
      </w:pPr>
      <w:rPr>
        <w:rFonts w:ascii="Wingdings" w:hAnsi="Wingdings" w:hint="default"/>
      </w:rPr>
    </w:lvl>
    <w:lvl w:ilvl="3" w:tplc="DEE0ECF0">
      <w:start w:val="1"/>
      <w:numFmt w:val="bullet"/>
      <w:lvlText w:val=""/>
      <w:lvlJc w:val="left"/>
      <w:pPr>
        <w:ind w:left="2880" w:hanging="360"/>
      </w:pPr>
      <w:rPr>
        <w:rFonts w:ascii="Symbol" w:hAnsi="Symbol" w:hint="default"/>
      </w:rPr>
    </w:lvl>
    <w:lvl w:ilvl="4" w:tplc="69E4E46C">
      <w:start w:val="1"/>
      <w:numFmt w:val="bullet"/>
      <w:lvlText w:val="o"/>
      <w:lvlJc w:val="left"/>
      <w:pPr>
        <w:ind w:left="3600" w:hanging="360"/>
      </w:pPr>
      <w:rPr>
        <w:rFonts w:ascii="Courier New" w:hAnsi="Courier New" w:hint="default"/>
      </w:rPr>
    </w:lvl>
    <w:lvl w:ilvl="5" w:tplc="C97299FA">
      <w:start w:val="1"/>
      <w:numFmt w:val="bullet"/>
      <w:lvlText w:val=""/>
      <w:lvlJc w:val="left"/>
      <w:pPr>
        <w:ind w:left="4320" w:hanging="360"/>
      </w:pPr>
      <w:rPr>
        <w:rFonts w:ascii="Wingdings" w:hAnsi="Wingdings" w:hint="default"/>
      </w:rPr>
    </w:lvl>
    <w:lvl w:ilvl="6" w:tplc="AB80B998">
      <w:start w:val="1"/>
      <w:numFmt w:val="bullet"/>
      <w:lvlText w:val=""/>
      <w:lvlJc w:val="left"/>
      <w:pPr>
        <w:ind w:left="5040" w:hanging="360"/>
      </w:pPr>
      <w:rPr>
        <w:rFonts w:ascii="Symbol" w:hAnsi="Symbol" w:hint="default"/>
      </w:rPr>
    </w:lvl>
    <w:lvl w:ilvl="7" w:tplc="7916E3D0">
      <w:start w:val="1"/>
      <w:numFmt w:val="bullet"/>
      <w:lvlText w:val="o"/>
      <w:lvlJc w:val="left"/>
      <w:pPr>
        <w:ind w:left="5760" w:hanging="360"/>
      </w:pPr>
      <w:rPr>
        <w:rFonts w:ascii="Courier New" w:hAnsi="Courier New" w:hint="default"/>
      </w:rPr>
    </w:lvl>
    <w:lvl w:ilvl="8" w:tplc="49F0E160">
      <w:start w:val="1"/>
      <w:numFmt w:val="bullet"/>
      <w:lvlText w:val=""/>
      <w:lvlJc w:val="left"/>
      <w:pPr>
        <w:ind w:left="6480" w:hanging="360"/>
      </w:pPr>
      <w:rPr>
        <w:rFonts w:ascii="Wingdings" w:hAnsi="Wingdings" w:hint="default"/>
      </w:rPr>
    </w:lvl>
  </w:abstractNum>
  <w:abstractNum w:abstractNumId="18" w15:restartNumberingAfterBreak="0">
    <w:nsid w:val="656C26F7"/>
    <w:multiLevelType w:val="multilevel"/>
    <w:tmpl w:val="08C02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1A168E"/>
    <w:multiLevelType w:val="multilevel"/>
    <w:tmpl w:val="E3A8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E273CD"/>
    <w:multiLevelType w:val="multilevel"/>
    <w:tmpl w:val="A87E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1E0527"/>
    <w:multiLevelType w:val="multilevel"/>
    <w:tmpl w:val="AF64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924458">
    <w:abstractNumId w:val="17"/>
  </w:num>
  <w:num w:numId="2" w16cid:durableId="1599945540">
    <w:abstractNumId w:val="11"/>
  </w:num>
  <w:num w:numId="3" w16cid:durableId="1272935794">
    <w:abstractNumId w:val="15"/>
  </w:num>
  <w:num w:numId="4" w16cid:durableId="648831121">
    <w:abstractNumId w:val="7"/>
  </w:num>
  <w:num w:numId="5" w16cid:durableId="200441559">
    <w:abstractNumId w:val="2"/>
  </w:num>
  <w:num w:numId="6" w16cid:durableId="31656104">
    <w:abstractNumId w:val="8"/>
  </w:num>
  <w:num w:numId="7" w16cid:durableId="1197616643">
    <w:abstractNumId w:val="9"/>
  </w:num>
  <w:num w:numId="8" w16cid:durableId="1057433599">
    <w:abstractNumId w:val="12"/>
  </w:num>
  <w:num w:numId="9" w16cid:durableId="315963734">
    <w:abstractNumId w:val="3"/>
  </w:num>
  <w:num w:numId="10" w16cid:durableId="946232086">
    <w:abstractNumId w:val="20"/>
  </w:num>
  <w:num w:numId="11" w16cid:durableId="1737624989">
    <w:abstractNumId w:val="13"/>
  </w:num>
  <w:num w:numId="12" w16cid:durableId="1199008867">
    <w:abstractNumId w:val="14"/>
  </w:num>
  <w:num w:numId="13" w16cid:durableId="79449950">
    <w:abstractNumId w:val="10"/>
  </w:num>
  <w:num w:numId="14" w16cid:durableId="370225439">
    <w:abstractNumId w:val="16"/>
  </w:num>
  <w:num w:numId="15" w16cid:durableId="758406491">
    <w:abstractNumId w:val="6"/>
  </w:num>
  <w:num w:numId="16" w16cid:durableId="176431673">
    <w:abstractNumId w:val="19"/>
  </w:num>
  <w:num w:numId="17" w16cid:durableId="1280988024">
    <w:abstractNumId w:val="5"/>
  </w:num>
  <w:num w:numId="18" w16cid:durableId="553471914">
    <w:abstractNumId w:val="0"/>
  </w:num>
  <w:num w:numId="19" w16cid:durableId="194197422">
    <w:abstractNumId w:val="4"/>
  </w:num>
  <w:num w:numId="20" w16cid:durableId="1307931682">
    <w:abstractNumId w:val="18"/>
  </w:num>
  <w:num w:numId="21" w16cid:durableId="423572002">
    <w:abstractNumId w:val="1"/>
  </w:num>
  <w:num w:numId="22" w16cid:durableId="1305563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403"/>
    <w:rsid w:val="00013E0C"/>
    <w:rsid w:val="00021BCF"/>
    <w:rsid w:val="00080523"/>
    <w:rsid w:val="000F3D6B"/>
    <w:rsid w:val="001418C3"/>
    <w:rsid w:val="00160CF8"/>
    <w:rsid w:val="00182E92"/>
    <w:rsid w:val="00186C3A"/>
    <w:rsid w:val="001D6F3B"/>
    <w:rsid w:val="002069AC"/>
    <w:rsid w:val="00224E6B"/>
    <w:rsid w:val="0024364D"/>
    <w:rsid w:val="00277AEB"/>
    <w:rsid w:val="002A58AC"/>
    <w:rsid w:val="0031020E"/>
    <w:rsid w:val="00314494"/>
    <w:rsid w:val="0033236F"/>
    <w:rsid w:val="00383385"/>
    <w:rsid w:val="003A515A"/>
    <w:rsid w:val="003A5C38"/>
    <w:rsid w:val="003C6826"/>
    <w:rsid w:val="003D041A"/>
    <w:rsid w:val="003E3FBA"/>
    <w:rsid w:val="00426CAF"/>
    <w:rsid w:val="004A425B"/>
    <w:rsid w:val="004B3697"/>
    <w:rsid w:val="004B7BDC"/>
    <w:rsid w:val="004D355B"/>
    <w:rsid w:val="004E499D"/>
    <w:rsid w:val="004F2167"/>
    <w:rsid w:val="0053102E"/>
    <w:rsid w:val="005400EE"/>
    <w:rsid w:val="0059485A"/>
    <w:rsid w:val="006202C8"/>
    <w:rsid w:val="00635BD8"/>
    <w:rsid w:val="006529CA"/>
    <w:rsid w:val="00671DD3"/>
    <w:rsid w:val="006B7A26"/>
    <w:rsid w:val="006C70C0"/>
    <w:rsid w:val="006D5887"/>
    <w:rsid w:val="006E37E4"/>
    <w:rsid w:val="006E502B"/>
    <w:rsid w:val="006E5959"/>
    <w:rsid w:val="007A5193"/>
    <w:rsid w:val="007D1C74"/>
    <w:rsid w:val="007F26B3"/>
    <w:rsid w:val="007F71A8"/>
    <w:rsid w:val="00821D88"/>
    <w:rsid w:val="00856EB8"/>
    <w:rsid w:val="00876803"/>
    <w:rsid w:val="008953D8"/>
    <w:rsid w:val="008A2C9E"/>
    <w:rsid w:val="008D2D9F"/>
    <w:rsid w:val="008F0FA8"/>
    <w:rsid w:val="0093135B"/>
    <w:rsid w:val="00961775"/>
    <w:rsid w:val="009815BE"/>
    <w:rsid w:val="00982FDA"/>
    <w:rsid w:val="009A0689"/>
    <w:rsid w:val="009A6347"/>
    <w:rsid w:val="009D68D8"/>
    <w:rsid w:val="00A257D4"/>
    <w:rsid w:val="00A34A0C"/>
    <w:rsid w:val="00B30C91"/>
    <w:rsid w:val="00B63BFB"/>
    <w:rsid w:val="00BA30BF"/>
    <w:rsid w:val="00BE4EA3"/>
    <w:rsid w:val="00C223CC"/>
    <w:rsid w:val="00C352BF"/>
    <w:rsid w:val="00C53D7F"/>
    <w:rsid w:val="00C803E6"/>
    <w:rsid w:val="00CA2DDB"/>
    <w:rsid w:val="00CB05D2"/>
    <w:rsid w:val="00CC1BD1"/>
    <w:rsid w:val="00CC30CB"/>
    <w:rsid w:val="00CE2004"/>
    <w:rsid w:val="00D72052"/>
    <w:rsid w:val="00D85E56"/>
    <w:rsid w:val="00DB52C2"/>
    <w:rsid w:val="00DB7403"/>
    <w:rsid w:val="00DB74A4"/>
    <w:rsid w:val="00DC38BC"/>
    <w:rsid w:val="00DE1BB2"/>
    <w:rsid w:val="00E95000"/>
    <w:rsid w:val="00E952A6"/>
    <w:rsid w:val="00EB46B3"/>
    <w:rsid w:val="00F83BEC"/>
    <w:rsid w:val="00F9606B"/>
    <w:rsid w:val="00FA2C63"/>
    <w:rsid w:val="00FD2417"/>
    <w:rsid w:val="00FF01B2"/>
    <w:rsid w:val="035519D0"/>
    <w:rsid w:val="039DD171"/>
    <w:rsid w:val="03BAB1E0"/>
    <w:rsid w:val="0437D5BF"/>
    <w:rsid w:val="047B9C00"/>
    <w:rsid w:val="0539E75D"/>
    <w:rsid w:val="053BBA0E"/>
    <w:rsid w:val="056324E5"/>
    <w:rsid w:val="05D11BE3"/>
    <w:rsid w:val="05D6CA8B"/>
    <w:rsid w:val="07768D26"/>
    <w:rsid w:val="097E490A"/>
    <w:rsid w:val="0A232825"/>
    <w:rsid w:val="0A6009FF"/>
    <w:rsid w:val="0B4767C0"/>
    <w:rsid w:val="0CFF2D64"/>
    <w:rsid w:val="0D0E62FA"/>
    <w:rsid w:val="0D7A1331"/>
    <w:rsid w:val="0DFE1C37"/>
    <w:rsid w:val="0E270E40"/>
    <w:rsid w:val="0E7F7265"/>
    <w:rsid w:val="0ECB2FA7"/>
    <w:rsid w:val="0F6FC0B3"/>
    <w:rsid w:val="104F723C"/>
    <w:rsid w:val="10E224EB"/>
    <w:rsid w:val="11720D4D"/>
    <w:rsid w:val="121A3030"/>
    <w:rsid w:val="15359D26"/>
    <w:rsid w:val="157DC043"/>
    <w:rsid w:val="167EAA57"/>
    <w:rsid w:val="17975358"/>
    <w:rsid w:val="180F48F7"/>
    <w:rsid w:val="19873B84"/>
    <w:rsid w:val="1B37C456"/>
    <w:rsid w:val="1C76435A"/>
    <w:rsid w:val="1D48C39D"/>
    <w:rsid w:val="1D98D10F"/>
    <w:rsid w:val="1E4904E8"/>
    <w:rsid w:val="1EE0418C"/>
    <w:rsid w:val="1F51A877"/>
    <w:rsid w:val="20A6E858"/>
    <w:rsid w:val="216EEAF7"/>
    <w:rsid w:val="223B3B85"/>
    <w:rsid w:val="22B429AC"/>
    <w:rsid w:val="249372BA"/>
    <w:rsid w:val="24FB41B8"/>
    <w:rsid w:val="25AE3F93"/>
    <w:rsid w:val="25D9DCC3"/>
    <w:rsid w:val="2633F10F"/>
    <w:rsid w:val="2676B829"/>
    <w:rsid w:val="26ACF7CC"/>
    <w:rsid w:val="273D22A1"/>
    <w:rsid w:val="27EB4A70"/>
    <w:rsid w:val="2A2FBED9"/>
    <w:rsid w:val="2B15CB56"/>
    <w:rsid w:val="2B3AD81F"/>
    <w:rsid w:val="2C05B521"/>
    <w:rsid w:val="2C11D94C"/>
    <w:rsid w:val="2D36F22A"/>
    <w:rsid w:val="2D3E9A04"/>
    <w:rsid w:val="2DE923C1"/>
    <w:rsid w:val="2E4D92BD"/>
    <w:rsid w:val="2EC84E99"/>
    <w:rsid w:val="3022D6F9"/>
    <w:rsid w:val="306B5FB3"/>
    <w:rsid w:val="30A593E7"/>
    <w:rsid w:val="3111A862"/>
    <w:rsid w:val="31186511"/>
    <w:rsid w:val="316237BA"/>
    <w:rsid w:val="32DB4D12"/>
    <w:rsid w:val="32DD55C7"/>
    <w:rsid w:val="32EADB01"/>
    <w:rsid w:val="34096835"/>
    <w:rsid w:val="3437A976"/>
    <w:rsid w:val="34764696"/>
    <w:rsid w:val="36799401"/>
    <w:rsid w:val="3710FF68"/>
    <w:rsid w:val="37433958"/>
    <w:rsid w:val="37B0569F"/>
    <w:rsid w:val="37DAE1CC"/>
    <w:rsid w:val="39226AB6"/>
    <w:rsid w:val="3C1CF47D"/>
    <w:rsid w:val="3D9493C3"/>
    <w:rsid w:val="3D94B5F9"/>
    <w:rsid w:val="3F425A66"/>
    <w:rsid w:val="404BDC00"/>
    <w:rsid w:val="41F6A014"/>
    <w:rsid w:val="429E4444"/>
    <w:rsid w:val="4455E9F8"/>
    <w:rsid w:val="4541B832"/>
    <w:rsid w:val="45AD40E0"/>
    <w:rsid w:val="460B938E"/>
    <w:rsid w:val="4653DA4E"/>
    <w:rsid w:val="46A0B726"/>
    <w:rsid w:val="46B0919F"/>
    <w:rsid w:val="474152B1"/>
    <w:rsid w:val="47815A4C"/>
    <w:rsid w:val="483592B6"/>
    <w:rsid w:val="48858A8D"/>
    <w:rsid w:val="4B1FBB36"/>
    <w:rsid w:val="4B7FDB3B"/>
    <w:rsid w:val="4CED203F"/>
    <w:rsid w:val="4DCFA104"/>
    <w:rsid w:val="5219A6C9"/>
    <w:rsid w:val="522DCBD7"/>
    <w:rsid w:val="536B8BCC"/>
    <w:rsid w:val="5515AD47"/>
    <w:rsid w:val="55579616"/>
    <w:rsid w:val="55E9223B"/>
    <w:rsid w:val="564684AB"/>
    <w:rsid w:val="56CBE03F"/>
    <w:rsid w:val="5733BD92"/>
    <w:rsid w:val="57501732"/>
    <w:rsid w:val="5770CE4E"/>
    <w:rsid w:val="5872DB96"/>
    <w:rsid w:val="5915F92F"/>
    <w:rsid w:val="59839C47"/>
    <w:rsid w:val="5A9C1B3A"/>
    <w:rsid w:val="5B2737AA"/>
    <w:rsid w:val="5B3D9A1E"/>
    <w:rsid w:val="5E173020"/>
    <w:rsid w:val="5E848197"/>
    <w:rsid w:val="5EB6628B"/>
    <w:rsid w:val="5F7D45CD"/>
    <w:rsid w:val="606BB995"/>
    <w:rsid w:val="61D98A48"/>
    <w:rsid w:val="62837424"/>
    <w:rsid w:val="63254292"/>
    <w:rsid w:val="63B161E5"/>
    <w:rsid w:val="6412ED7B"/>
    <w:rsid w:val="654ACDA0"/>
    <w:rsid w:val="661425A2"/>
    <w:rsid w:val="668B381A"/>
    <w:rsid w:val="678172EA"/>
    <w:rsid w:val="689B6094"/>
    <w:rsid w:val="6A732283"/>
    <w:rsid w:val="6AD2698D"/>
    <w:rsid w:val="6ADEC407"/>
    <w:rsid w:val="6CCFB1CD"/>
    <w:rsid w:val="6CD7091A"/>
    <w:rsid w:val="6F795FEB"/>
    <w:rsid w:val="7023F7CA"/>
    <w:rsid w:val="7074D7E4"/>
    <w:rsid w:val="72DC687C"/>
    <w:rsid w:val="73050C33"/>
    <w:rsid w:val="733F195A"/>
    <w:rsid w:val="7344BDCE"/>
    <w:rsid w:val="73A6ACED"/>
    <w:rsid w:val="758902AC"/>
    <w:rsid w:val="76F8C181"/>
    <w:rsid w:val="7946456B"/>
    <w:rsid w:val="7A3BC005"/>
    <w:rsid w:val="7AA840FB"/>
    <w:rsid w:val="7BBA47DD"/>
    <w:rsid w:val="7C9ED472"/>
    <w:rsid w:val="7CAB453F"/>
    <w:rsid w:val="7D2A4E8F"/>
    <w:rsid w:val="7D7FA9B1"/>
    <w:rsid w:val="7DCC33D8"/>
    <w:rsid w:val="7E713195"/>
    <w:rsid w:val="7EF05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659C"/>
  <w15:chartTrackingRefBased/>
  <w15:docId w15:val="{2A7DB412-BF2B-4D55-BB20-AF9B3D24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4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74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74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74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74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74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74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74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74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4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74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74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74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74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74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74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74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7403"/>
    <w:rPr>
      <w:rFonts w:eastAsiaTheme="majorEastAsia" w:cstheme="majorBidi"/>
      <w:color w:val="272727" w:themeColor="text1" w:themeTint="D8"/>
    </w:rPr>
  </w:style>
  <w:style w:type="paragraph" w:styleId="Title">
    <w:name w:val="Title"/>
    <w:basedOn w:val="Normal"/>
    <w:next w:val="Normal"/>
    <w:link w:val="TitleChar"/>
    <w:uiPriority w:val="10"/>
    <w:qFormat/>
    <w:rsid w:val="00DB74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74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74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74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7403"/>
    <w:pPr>
      <w:spacing w:before="160"/>
      <w:jc w:val="center"/>
    </w:pPr>
    <w:rPr>
      <w:i/>
      <w:iCs/>
      <w:color w:val="404040" w:themeColor="text1" w:themeTint="BF"/>
    </w:rPr>
  </w:style>
  <w:style w:type="character" w:customStyle="1" w:styleId="QuoteChar">
    <w:name w:val="Quote Char"/>
    <w:basedOn w:val="DefaultParagraphFont"/>
    <w:link w:val="Quote"/>
    <w:uiPriority w:val="29"/>
    <w:rsid w:val="00DB7403"/>
    <w:rPr>
      <w:i/>
      <w:iCs/>
      <w:color w:val="404040" w:themeColor="text1" w:themeTint="BF"/>
    </w:rPr>
  </w:style>
  <w:style w:type="paragraph" w:styleId="ListParagraph">
    <w:name w:val="List Paragraph"/>
    <w:basedOn w:val="Normal"/>
    <w:uiPriority w:val="34"/>
    <w:qFormat/>
    <w:rsid w:val="00DB7403"/>
    <w:pPr>
      <w:ind w:left="720"/>
      <w:contextualSpacing/>
    </w:pPr>
  </w:style>
  <w:style w:type="character" w:styleId="IntenseEmphasis">
    <w:name w:val="Intense Emphasis"/>
    <w:basedOn w:val="DefaultParagraphFont"/>
    <w:uiPriority w:val="21"/>
    <w:qFormat/>
    <w:rsid w:val="00DB7403"/>
    <w:rPr>
      <w:i/>
      <w:iCs/>
      <w:color w:val="2F5496" w:themeColor="accent1" w:themeShade="BF"/>
    </w:rPr>
  </w:style>
  <w:style w:type="paragraph" w:styleId="IntenseQuote">
    <w:name w:val="Intense Quote"/>
    <w:basedOn w:val="Normal"/>
    <w:next w:val="Normal"/>
    <w:link w:val="IntenseQuoteChar"/>
    <w:uiPriority w:val="30"/>
    <w:qFormat/>
    <w:rsid w:val="00DB74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7403"/>
    <w:rPr>
      <w:i/>
      <w:iCs/>
      <w:color w:val="2F5496" w:themeColor="accent1" w:themeShade="BF"/>
    </w:rPr>
  </w:style>
  <w:style w:type="character" w:styleId="IntenseReference">
    <w:name w:val="Intense Reference"/>
    <w:basedOn w:val="DefaultParagraphFont"/>
    <w:uiPriority w:val="32"/>
    <w:qFormat/>
    <w:rsid w:val="00DB7403"/>
    <w:rPr>
      <w:b/>
      <w:bCs/>
      <w:smallCaps/>
      <w:color w:val="2F5496" w:themeColor="accent1" w:themeShade="BF"/>
      <w:spacing w:val="5"/>
    </w:rPr>
  </w:style>
  <w:style w:type="character" w:styleId="Hyperlink">
    <w:name w:val="Hyperlink"/>
    <w:basedOn w:val="DefaultParagraphFont"/>
    <w:uiPriority w:val="99"/>
    <w:unhideWhenUsed/>
    <w:rsid w:val="00DB7403"/>
    <w:rPr>
      <w:color w:val="0563C1" w:themeColor="hyperlink"/>
      <w:u w:val="single"/>
    </w:rPr>
  </w:style>
  <w:style w:type="character" w:styleId="UnresolvedMention">
    <w:name w:val="Unresolved Mention"/>
    <w:basedOn w:val="DefaultParagraphFont"/>
    <w:uiPriority w:val="99"/>
    <w:semiHidden/>
    <w:unhideWhenUsed/>
    <w:rsid w:val="00DB7403"/>
    <w:rPr>
      <w:color w:val="605E5C"/>
      <w:shd w:val="clear" w:color="auto" w:fill="E1DFDD"/>
    </w:rPr>
  </w:style>
  <w:style w:type="paragraph" w:styleId="Header">
    <w:name w:val="header"/>
    <w:basedOn w:val="Normal"/>
    <w:link w:val="HeaderChar"/>
    <w:uiPriority w:val="99"/>
    <w:unhideWhenUsed/>
    <w:rsid w:val="00FF0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1B2"/>
  </w:style>
  <w:style w:type="paragraph" w:styleId="Footer">
    <w:name w:val="footer"/>
    <w:basedOn w:val="Normal"/>
    <w:link w:val="FooterChar"/>
    <w:uiPriority w:val="99"/>
    <w:unhideWhenUsed/>
    <w:rsid w:val="00FF0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1B2"/>
  </w:style>
  <w:style w:type="paragraph" w:styleId="NormalWeb">
    <w:name w:val="Normal (Web)"/>
    <w:basedOn w:val="Normal"/>
    <w:uiPriority w:val="99"/>
    <w:semiHidden/>
    <w:unhideWhenUsed/>
    <w:rsid w:val="004F21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2167"/>
    <w:rPr>
      <w:b/>
      <w:bCs/>
    </w:rPr>
  </w:style>
  <w:style w:type="character" w:styleId="CommentReference">
    <w:name w:val="annotation reference"/>
    <w:basedOn w:val="DefaultParagraphFont"/>
    <w:uiPriority w:val="99"/>
    <w:semiHidden/>
    <w:unhideWhenUsed/>
    <w:rsid w:val="004A425B"/>
    <w:rPr>
      <w:sz w:val="16"/>
      <w:szCs w:val="16"/>
    </w:rPr>
  </w:style>
  <w:style w:type="paragraph" w:styleId="CommentText">
    <w:name w:val="annotation text"/>
    <w:basedOn w:val="Normal"/>
    <w:link w:val="CommentTextChar"/>
    <w:uiPriority w:val="99"/>
    <w:unhideWhenUsed/>
    <w:rsid w:val="004A425B"/>
    <w:pPr>
      <w:spacing w:line="240" w:lineRule="auto"/>
    </w:pPr>
    <w:rPr>
      <w:sz w:val="20"/>
      <w:szCs w:val="20"/>
    </w:rPr>
  </w:style>
  <w:style w:type="character" w:customStyle="1" w:styleId="CommentTextChar">
    <w:name w:val="Comment Text Char"/>
    <w:basedOn w:val="DefaultParagraphFont"/>
    <w:link w:val="CommentText"/>
    <w:uiPriority w:val="99"/>
    <w:rsid w:val="004A425B"/>
    <w:rPr>
      <w:sz w:val="20"/>
      <w:szCs w:val="20"/>
    </w:rPr>
  </w:style>
  <w:style w:type="paragraph" w:styleId="CommentSubject">
    <w:name w:val="annotation subject"/>
    <w:basedOn w:val="CommentText"/>
    <w:next w:val="CommentText"/>
    <w:link w:val="CommentSubjectChar"/>
    <w:uiPriority w:val="99"/>
    <w:semiHidden/>
    <w:unhideWhenUsed/>
    <w:rsid w:val="004A425B"/>
    <w:rPr>
      <w:b/>
      <w:bCs/>
    </w:rPr>
  </w:style>
  <w:style w:type="character" w:customStyle="1" w:styleId="CommentSubjectChar">
    <w:name w:val="Comment Subject Char"/>
    <w:basedOn w:val="CommentTextChar"/>
    <w:link w:val="CommentSubject"/>
    <w:uiPriority w:val="99"/>
    <w:semiHidden/>
    <w:rsid w:val="004A425B"/>
    <w:rPr>
      <w:b/>
      <w:bCs/>
      <w:sz w:val="20"/>
      <w:szCs w:val="20"/>
    </w:rPr>
  </w:style>
  <w:style w:type="paragraph" w:styleId="BalloonText">
    <w:name w:val="Balloon Text"/>
    <w:basedOn w:val="Normal"/>
    <w:link w:val="BalloonTextChar"/>
    <w:uiPriority w:val="99"/>
    <w:semiHidden/>
    <w:unhideWhenUsed/>
    <w:rsid w:val="003323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36F"/>
    <w:rPr>
      <w:rFonts w:ascii="Segoe UI" w:hAnsi="Segoe UI" w:cs="Segoe UI"/>
      <w:sz w:val="18"/>
      <w:szCs w:val="18"/>
    </w:rPr>
  </w:style>
  <w:style w:type="paragraph" w:styleId="Revision">
    <w:name w:val="Revision"/>
    <w:hidden/>
    <w:uiPriority w:val="99"/>
    <w:semiHidden/>
    <w:rsid w:val="003D0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271011">
      <w:bodyDiv w:val="1"/>
      <w:marLeft w:val="0"/>
      <w:marRight w:val="0"/>
      <w:marTop w:val="0"/>
      <w:marBottom w:val="0"/>
      <w:divBdr>
        <w:top w:val="none" w:sz="0" w:space="0" w:color="auto"/>
        <w:left w:val="none" w:sz="0" w:space="0" w:color="auto"/>
        <w:bottom w:val="none" w:sz="0" w:space="0" w:color="auto"/>
        <w:right w:val="none" w:sz="0" w:space="0" w:color="auto"/>
      </w:divBdr>
    </w:div>
    <w:div w:id="189388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opik.io/blogs/what-is-a-longitudinal-study-definition-types-and-examp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C9415-FEDB-4374-9F2C-995189EC2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6604</Words>
  <Characters>37648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Massa-Harris-McFeely</dc:creator>
  <cp:lastModifiedBy>Ian Massa-Harris-McFeely</cp:lastModifiedBy>
  <cp:revision>2</cp:revision>
  <dcterms:created xsi:type="dcterms:W3CDTF">2024-08-15T14:59:00Z</dcterms:created>
  <dcterms:modified xsi:type="dcterms:W3CDTF">2024-08-15T14:59:00Z</dcterms:modified>
</cp:coreProperties>
</file>