
<file path=[Content_Types].xml><?xml version="1.0" encoding="utf-8"?>
<Types xmlns="http://schemas.openxmlformats.org/package/2006/content-types">
  <Default Extension="rels" ContentType="application/vnd.openxmlformats-package.relationships+xml"/>
  <Default Extension="bin" ContentType="application/vnd.openxmlformats-officedocument.oleObject"/>
  <Default Extension="wmf" ContentType="image/x-wmf"/>
  <Default Extension="xml" ContentType="application/vnd.openxmlformats-officedocument.wordprocessingml.numbering+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240"/>
        <w:ind w:right="0" w:left="0" w:firstLine="0"/>
        <w:jc w:val="center"/>
        <w:rPr>
          <w:rFonts w:ascii="Calibri Light" w:hAnsi="Calibri Light" w:cs="Calibri Light" w:eastAsia="Calibri Light"/>
          <w:color w:val="auto"/>
          <w:spacing w:val="-10"/>
          <w:position w:val="0"/>
          <w:sz w:val="44"/>
          <w:shd w:fill="auto" w:val="clear"/>
        </w:rPr>
      </w:pPr>
      <w:r>
        <w:rPr>
          <w:rFonts w:ascii="Calibri Light" w:hAnsi="Calibri Light" w:cs="Calibri Light" w:eastAsia="Calibri Light"/>
          <w:color w:val="auto"/>
          <w:spacing w:val="-10"/>
          <w:position w:val="0"/>
          <w:sz w:val="44"/>
          <w:shd w:fill="auto" w:val="clear"/>
        </w:rPr>
        <w:t xml:space="preserve">Module Code: LCBB4001</w:t>
      </w:r>
    </w:p>
    <w:p>
      <w:pPr>
        <w:spacing w:before="0" w:after="0" w:line="240"/>
        <w:ind w:right="0" w:left="0" w:firstLine="0"/>
        <w:jc w:val="center"/>
        <w:rPr>
          <w:rFonts w:ascii="Calibri Light" w:hAnsi="Calibri Light" w:cs="Calibri Light" w:eastAsia="Calibri Light"/>
          <w:color w:val="auto"/>
          <w:spacing w:val="-10"/>
          <w:position w:val="0"/>
          <w:sz w:val="44"/>
          <w:shd w:fill="auto" w:val="clear"/>
        </w:rPr>
      </w:pPr>
      <w:r>
        <w:rPr>
          <w:rFonts w:ascii="Calibri Light" w:hAnsi="Calibri Light" w:cs="Calibri Light" w:eastAsia="Calibri Light"/>
          <w:color w:val="auto"/>
          <w:spacing w:val="-10"/>
          <w:position w:val="0"/>
          <w:sz w:val="44"/>
          <w:shd w:fill="auto" w:val="clear"/>
        </w:rPr>
        <w:t xml:space="preserve">Module Title: ACCOUNTING FUNDAMENTALS</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Student Name: Ivan Uzunov</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Student ID: 2011296</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360"/>
        <w:ind w:right="0" w:left="0" w:firstLine="0"/>
        <w:jc w:val="both"/>
        <w:rPr>
          <w:rFonts w:ascii="Calibri" w:hAnsi="Calibri" w:cs="Calibri" w:eastAsia="Calibri"/>
          <w:color w:val="auto"/>
          <w:spacing w:val="0"/>
          <w:position w:val="0"/>
          <w:sz w:val="24"/>
          <w:shd w:fill="auto" w:val="clear"/>
        </w:rPr>
      </w:pPr>
      <w:r>
        <w:object w:dxaOrig="8985" w:dyaOrig="2069">
          <v:rect xmlns:o="urn:schemas-microsoft-com:office:office" xmlns:v="urn:schemas-microsoft-com:vml" id="rectole0000000000" style="width:449.250000pt;height:103.4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r>
        <w:rPr>
          <w:rFonts w:ascii="Calibri" w:hAnsi="Calibri" w:cs="Calibri" w:eastAsia="Calibri"/>
          <w:color w:val="auto"/>
          <w:spacing w:val="0"/>
          <w:position w:val="0"/>
          <w:sz w:val="24"/>
          <w:shd w:fill="auto" w:val="clear"/>
        </w:rPr>
        <w:t xml:space="preserve"> </w:t>
      </w:r>
    </w:p>
    <w:p>
      <w:pPr>
        <w:spacing w:before="0" w:after="160" w:line="360"/>
        <w:ind w:right="0" w:left="0" w:firstLine="0"/>
        <w:jc w:val="both"/>
        <w:rPr>
          <w:rFonts w:ascii="Calibri" w:hAnsi="Calibri" w:cs="Calibri" w:eastAsia="Calibri"/>
          <w:color w:val="auto"/>
          <w:spacing w:val="0"/>
          <w:position w:val="0"/>
          <w:sz w:val="24"/>
          <w:shd w:fill="auto" w:val="clear"/>
        </w:rPr>
      </w:pPr>
    </w:p>
    <w:p>
      <w:pPr>
        <w:keepNext w:val="true"/>
        <w:keepLines w:val="true"/>
        <w:spacing w:before="240" w:after="0" w:line="360"/>
        <w:ind w:right="0" w:left="0" w:firstLine="0"/>
        <w:jc w:val="both"/>
        <w:rPr>
          <w:rFonts w:ascii="Calibri" w:hAnsi="Calibri" w:cs="Calibri" w:eastAsia="Calibri"/>
          <w:b/>
          <w:color w:val="000000"/>
          <w:spacing w:val="0"/>
          <w:position w:val="0"/>
          <w:sz w:val="28"/>
          <w:shd w:fill="auto" w:val="clear"/>
        </w:rPr>
      </w:pPr>
      <w:r>
        <w:rPr>
          <w:rFonts w:ascii="Calibri" w:hAnsi="Calibri" w:cs="Calibri" w:eastAsia="Calibri"/>
          <w:b/>
          <w:color w:val="000000"/>
          <w:spacing w:val="0"/>
          <w:position w:val="0"/>
          <w:sz w:val="28"/>
          <w:shd w:fill="auto" w:val="clear"/>
        </w:rPr>
        <w:t xml:space="preserve">Answer to the Question No 1 </w:t>
      </w:r>
    </w:p>
    <w:p>
      <w:pPr>
        <w:spacing w:before="0" w:after="160" w:line="259"/>
        <w:ind w:right="0" w:left="0" w:firstLine="0"/>
        <w:jc w:val="left"/>
        <w:rPr>
          <w:rFonts w:ascii="Calibri" w:hAnsi="Calibri" w:cs="Calibri" w:eastAsia="Calibri"/>
          <w:color w:val="auto"/>
          <w:spacing w:val="0"/>
          <w:position w:val="0"/>
          <w:sz w:val="22"/>
          <w:shd w:fill="auto" w:val="clear"/>
        </w:rPr>
      </w:pPr>
      <w:r>
        <w:object w:dxaOrig="8985" w:dyaOrig="305">
          <v:rect xmlns:o="urn:schemas-microsoft-com:office:office" xmlns:v="urn:schemas-microsoft-com:vml" id="rectole0000000001" style="width:449.250000pt;height:15.25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0" w:after="16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b/>
          <w:color w:val="auto"/>
          <w:spacing w:val="0"/>
          <w:position w:val="0"/>
          <w:sz w:val="24"/>
          <w:shd w:fill="auto" w:val="clear"/>
        </w:rPr>
        <w:t xml:space="preserve">Break-Even Analysis:</w:t>
      </w:r>
      <w:r>
        <w:rPr>
          <w:rFonts w:ascii="Calibri" w:hAnsi="Calibri" w:cs="Calibri" w:eastAsia="Calibri"/>
          <w:color w:val="auto"/>
          <w:spacing w:val="0"/>
          <w:position w:val="0"/>
          <w:sz w:val="24"/>
          <w:shd w:fill="auto" w:val="clear"/>
        </w:rPr>
        <w:t xml:space="preserve"> Break Even Analysis refers to the point in which both cost and revenue are equal. The main purpose of Break-Even Analysis is to figure out the number of units or GBP of revenue required to cover the total fixed and variable cost </w:t>
      </w:r>
      <w:r>
        <w:rPr>
          <w:rFonts w:ascii="Calibri" w:hAnsi="Calibri" w:cs="Calibri" w:eastAsia="Calibri"/>
          <w:color w:val="222222"/>
          <w:spacing w:val="0"/>
          <w:position w:val="0"/>
          <w:sz w:val="24"/>
          <w:shd w:fill="FFFFFF" w:val="clear"/>
        </w:rPr>
        <w:t xml:space="preserve">(Charifzadeh and Taschner, 2017)</w:t>
      </w:r>
      <w:r>
        <w:rPr>
          <w:rFonts w:ascii="Calibri" w:hAnsi="Calibri" w:cs="Calibri" w:eastAsia="Calibri"/>
          <w:color w:val="auto"/>
          <w:spacing w:val="0"/>
          <w:position w:val="0"/>
          <w:sz w:val="24"/>
          <w:shd w:fill="auto" w:val="clear"/>
        </w:rPr>
        <w:t xml:space="preserve">. </w:t>
      </w:r>
    </w:p>
    <w:p>
      <w:pPr>
        <w:spacing w:before="0" w:after="160" w:line="360"/>
        <w:ind w:right="0" w:left="0" w:firstLine="0"/>
        <w:jc w:val="both"/>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4"/>
          <w:shd w:fill="auto" w:val="clear"/>
        </w:rPr>
        <w:t xml:space="preserve">i) The formula of Break-Even Units:</w:t>
      </w:r>
      <w:r>
        <w:rPr>
          <w:rFonts w:ascii="Calibri" w:hAnsi="Calibri" w:cs="Calibri" w:eastAsia="Calibri"/>
          <w:color w:val="auto"/>
          <w:spacing w:val="0"/>
          <w:position w:val="0"/>
          <w:sz w:val="28"/>
          <w:shd w:fill="auto" w:val="clear"/>
        </w:rPr>
        <w:t xml:space="preserve"> </w:t>
        <w:tab/>
        <w:t xml:space="preserve">= </w:t>
      </w:r>
    </w:p>
    <w:p>
      <w:pPr>
        <w:spacing w:before="0" w:after="160" w:line="360"/>
        <w:ind w:right="0" w:left="0" w:firstLine="0"/>
        <w:jc w:val="both"/>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4"/>
          <w:shd w:fill="auto" w:val="clear"/>
        </w:rPr>
        <w:t xml:space="preserve"> </w:t>
        <w:tab/>
        <w:tab/>
        <w:tab/>
        <w:tab/>
        <w:tab/>
        <w:t xml:space="preserve">= </w:t>
      </w:r>
    </w:p>
    <w:p>
      <w:pPr>
        <w:spacing w:before="0" w:after="16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8"/>
          <w:shd w:fill="auto" w:val="clear"/>
        </w:rPr>
        <w:tab/>
        <w:tab/>
        <w:tab/>
        <w:tab/>
      </w:r>
      <w:r>
        <w:rPr>
          <w:rFonts w:ascii="Calibri" w:hAnsi="Calibri" w:cs="Calibri" w:eastAsia="Calibri"/>
          <w:color w:val="auto"/>
          <w:spacing w:val="0"/>
          <w:position w:val="0"/>
          <w:sz w:val="24"/>
          <w:shd w:fill="auto" w:val="clear"/>
        </w:rPr>
        <w:tab/>
        <w:t xml:space="preserve">= 70000 Units </w:t>
      </w:r>
    </w:p>
    <w:p>
      <w:pPr>
        <w:spacing w:before="0" w:after="16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ii) The Break-even revenue for Walk About Ltd is: </w:t>
        <w:tab/>
        <w:t xml:space="preserve">= Break event units × sales price per unit</w:t>
      </w:r>
    </w:p>
    <w:p>
      <w:pPr>
        <w:spacing w:before="0" w:after="16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ab/>
        <w:tab/>
        <w:tab/>
        <w:tab/>
        <w:tab/>
        <w:tab/>
        <w:tab/>
        <w:t xml:space="preserve">= 70000 × £11</w:t>
      </w:r>
    </w:p>
    <w:p>
      <w:pPr>
        <w:spacing w:before="0" w:after="16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ab/>
        <w:tab/>
        <w:tab/>
        <w:tab/>
        <w:tab/>
        <w:tab/>
        <w:tab/>
        <w:t xml:space="preserve">= £770,000</w:t>
      </w:r>
    </w:p>
    <w:p>
      <w:pPr>
        <w:keepNext w:val="true"/>
        <w:keepLines w:val="true"/>
        <w:spacing w:before="40" w:after="0" w:line="360"/>
        <w:ind w:right="0" w:left="0" w:firstLine="0"/>
        <w:jc w:val="left"/>
        <w:rPr>
          <w:rFonts w:ascii="Calibri" w:hAnsi="Calibri" w:cs="Calibri" w:eastAsia="Calibri"/>
          <w:b/>
          <w:color w:val="000000"/>
          <w:spacing w:val="0"/>
          <w:position w:val="0"/>
          <w:sz w:val="26"/>
          <w:shd w:fill="auto" w:val="clear"/>
        </w:rPr>
      </w:pPr>
      <w:r>
        <w:object w:dxaOrig="4531" w:dyaOrig="301">
          <v:rect xmlns:o="urn:schemas-microsoft-com:office:office" xmlns:v="urn:schemas-microsoft-com:vml" id="rectole0000000002" style="width:226.550000pt;height:15.05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p>
    <w:p>
      <w:pPr>
        <w:spacing w:before="0" w:after="16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 Revenue of 75,000 units </w:t>
        <w:tab/>
        <w:t xml:space="preserve">= 75,000 × £11</w:t>
      </w:r>
    </w:p>
    <w:p>
      <w:pPr>
        <w:spacing w:before="0" w:after="16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ab/>
        <w:tab/>
        <w:tab/>
        <w:tab/>
        <w:tab/>
        <w:tab/>
        <w:t xml:space="preserve">= £825,000</w:t>
      </w:r>
    </w:p>
    <w:p>
      <w:pPr>
        <w:spacing w:before="0" w:after="16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ii) Total cost of 75,000 units </w:t>
        <w:tab/>
        <w:t xml:space="preserve">= Variable cost + fixed cost </w:t>
      </w:r>
    </w:p>
    <w:p>
      <w:pPr>
        <w:spacing w:before="0" w:after="16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ab/>
        <w:tab/>
        <w:tab/>
        <w:tab/>
        <w:t xml:space="preserve">= (£6 × 75,000) + £350000</w:t>
      </w:r>
    </w:p>
    <w:p>
      <w:pPr>
        <w:spacing w:before="0" w:after="16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ab/>
        <w:tab/>
        <w:tab/>
        <w:tab/>
        <w:t xml:space="preserve">= £450,000 + £350000</w:t>
      </w:r>
    </w:p>
    <w:p>
      <w:pPr>
        <w:spacing w:before="0" w:after="160" w:line="360"/>
        <w:ind w:right="0" w:left="2160" w:firstLine="72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£800,000 </w:t>
      </w:r>
    </w:p>
    <w:p>
      <w:pPr>
        <w:spacing w:before="0" w:after="16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iii) Profit of 75,000 units</w:t>
        <w:tab/>
        <w:t xml:space="preserve">= Revenue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Total cost</w:t>
      </w:r>
    </w:p>
    <w:p>
      <w:pPr>
        <w:spacing w:before="0" w:after="16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ab/>
        <w:tab/>
        <w:tab/>
        <w:tab/>
        <w:t xml:space="preserve">= £825,000 - £800,000 </w:t>
      </w:r>
    </w:p>
    <w:p>
      <w:pPr>
        <w:spacing w:before="0" w:after="16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ab/>
        <w:tab/>
        <w:tab/>
        <w:tab/>
        <w:t xml:space="preserve">= £25,000</w:t>
      </w:r>
    </w:p>
    <w:p>
      <w:pPr>
        <w:spacing w:before="0" w:after="160" w:line="360"/>
        <w:ind w:right="0" w:left="0" w:firstLine="0"/>
        <w:jc w:val="both"/>
        <w:rPr>
          <w:rFonts w:ascii="Calibri" w:hAnsi="Calibri" w:cs="Calibri" w:eastAsia="Calibri"/>
          <w:color w:val="auto"/>
          <w:spacing w:val="0"/>
          <w:position w:val="0"/>
          <w:sz w:val="24"/>
          <w:shd w:fill="auto" w:val="clear"/>
        </w:rPr>
      </w:pPr>
    </w:p>
    <w:p>
      <w:pPr>
        <w:keepNext w:val="true"/>
        <w:keepLines w:val="true"/>
        <w:spacing w:before="40" w:after="0" w:line="360"/>
        <w:ind w:right="0" w:left="0" w:firstLine="0"/>
        <w:jc w:val="left"/>
        <w:rPr>
          <w:rFonts w:ascii="Calibri" w:hAnsi="Calibri" w:cs="Calibri" w:eastAsia="Calibri"/>
          <w:b/>
          <w:color w:val="000000"/>
          <w:spacing w:val="0"/>
          <w:position w:val="0"/>
          <w:sz w:val="26"/>
          <w:shd w:fill="auto" w:val="clear"/>
        </w:rPr>
      </w:pPr>
      <w:r>
        <w:object w:dxaOrig="5040" w:dyaOrig="259">
          <v:rect xmlns:o="urn:schemas-microsoft-com:office:office" xmlns:v="urn:schemas-microsoft-com:vml" id="rectole0000000003" style="width:252.000000pt;height:12.950000pt" o:preferrelative="t" o:ole="">
            <o:lock v:ext="edit"/>
            <v:imagedata xmlns:r="http://schemas.openxmlformats.org/officeDocument/2006/relationships" r:id="docRId7" o:title=""/>
          </v:rect>
          <o:OLEObject xmlns:r="http://schemas.openxmlformats.org/officeDocument/2006/relationships" xmlns:o="urn:schemas-microsoft-com:office:office" Type="Embed" ProgID="StaticMetafile" DrawAspect="Content" ObjectID="0000000003" ShapeID="rectole0000000003" r:id="docRId6"/>
        </w:object>
      </w:r>
    </w:p>
    <w:p>
      <w:pPr>
        <w:spacing w:before="0" w:after="16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 New Sales Unit</w:t>
        <w:tab/>
        <w:tab/>
        <w:t xml:space="preserve">= 80,000 units </w:t>
      </w:r>
    </w:p>
    <w:p>
      <w:pPr>
        <w:spacing w:before="0" w:after="16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ii) New Selling price </w:t>
        <w:tab/>
        <w:tab/>
        <w:t xml:space="preserve">= £13</w:t>
      </w:r>
    </w:p>
    <w:p>
      <w:pPr>
        <w:spacing w:before="0" w:after="16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iii) New Fixed Cost </w:t>
        <w:tab/>
        <w:tab/>
        <w:t xml:space="preserve">= £350000 + Advertising Campaign costs £10,000 </w:t>
      </w:r>
    </w:p>
    <w:p>
      <w:pPr>
        <w:spacing w:before="0" w:after="16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So Total new fixed cost </w:t>
        <w:tab/>
        <w:t xml:space="preserve">= £350000 + £10,000</w:t>
      </w:r>
    </w:p>
    <w:p>
      <w:pPr>
        <w:spacing w:before="0" w:after="16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ab/>
        <w:tab/>
        <w:tab/>
        <w:tab/>
        <w:t xml:space="preserve">= £360000 </w:t>
      </w:r>
    </w:p>
    <w:p>
      <w:pPr>
        <w:spacing w:before="0" w:after="16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iv) New Variable cost </w:t>
        <w:tab/>
        <w:t xml:space="preserve">= £6 + £1 </w:t>
      </w:r>
    </w:p>
    <w:p>
      <w:pPr>
        <w:spacing w:before="0" w:after="16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ab/>
        <w:tab/>
        <w:tab/>
        <w:tab/>
        <w:t xml:space="preserve">= £7</w:t>
      </w:r>
    </w:p>
    <w:p>
      <w:pPr>
        <w:spacing w:before="0" w:after="16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ab/>
        <w:tab/>
        <w:tab/>
        <w:tab/>
        <w:t xml:space="preserve">= 80,000 × £7</w:t>
      </w:r>
    </w:p>
    <w:p>
      <w:pPr>
        <w:spacing w:before="0" w:after="16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ab/>
        <w:tab/>
        <w:tab/>
        <w:tab/>
        <w:t xml:space="preserve">= £560,000</w:t>
      </w:r>
    </w:p>
    <w:p>
      <w:pPr>
        <w:spacing w:before="0" w:after="16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v) So new profit figure is = Revenue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Total cost </w:t>
      </w:r>
    </w:p>
    <w:p>
      <w:pPr>
        <w:spacing w:before="0" w:after="16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ab/>
        <w:tab/>
        <w:tab/>
        <w:t xml:space="preserve">= (80,000 units × £13)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£360000 + £560,000) </w:t>
      </w:r>
    </w:p>
    <w:p>
      <w:pPr>
        <w:spacing w:before="0" w:after="16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ab/>
        <w:tab/>
        <w:tab/>
        <w:t xml:space="preserve">= £1,040,000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£920,000</w:t>
      </w:r>
    </w:p>
    <w:p>
      <w:pPr>
        <w:spacing w:before="0" w:after="16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ab/>
        <w:tab/>
        <w:tab/>
        <w:t xml:space="preserve">= £120,000</w:t>
      </w:r>
    </w:p>
    <w:p>
      <w:pPr>
        <w:spacing w:before="0" w:after="16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So new profit figure is = £120,000</w:t>
      </w:r>
    </w:p>
    <w:p>
      <w:pPr>
        <w:spacing w:before="0" w:after="160" w:line="259"/>
        <w:ind w:right="0" w:left="0" w:firstLine="0"/>
        <w:jc w:val="left"/>
        <w:rPr>
          <w:rFonts w:ascii="Calibri" w:hAnsi="Calibri" w:cs="Calibri" w:eastAsia="Calibri"/>
          <w:color w:val="auto"/>
          <w:spacing w:val="0"/>
          <w:position w:val="0"/>
          <w:sz w:val="22"/>
          <w:shd w:fill="auto" w:val="clear"/>
        </w:rPr>
      </w:pPr>
      <w:r>
        <w:object w:dxaOrig="5001" w:dyaOrig="306">
          <v:rect xmlns:o="urn:schemas-microsoft-com:office:office" xmlns:v="urn:schemas-microsoft-com:vml" id="rectole0000000004" style="width:250.050000pt;height:15.300000pt" o:preferrelative="t" o:ole="">
            <o:lock v:ext="edit"/>
            <v:imagedata xmlns:r="http://schemas.openxmlformats.org/officeDocument/2006/relationships" r:id="docRId9" o:title=""/>
          </v:rect>
          <o:OLEObject xmlns:r="http://schemas.openxmlformats.org/officeDocument/2006/relationships" xmlns:o="urn:schemas-microsoft-com:office:office" Type="Embed" ProgID="StaticMetafile" DrawAspect="Content" ObjectID="0000000004" ShapeID="rectole0000000004" r:id="docRId8"/>
        </w:object>
      </w:r>
    </w:p>
    <w:p>
      <w:pPr>
        <w:spacing w:before="0" w:after="16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There are some limitations of break-even analysis and these are given below.</w:t>
      </w:r>
    </w:p>
    <w:p>
      <w:pPr>
        <w:spacing w:before="0" w:after="16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1) The assumptions are unrealistic because companies do not sell the product at the same price all time. They sell the product at different levels of output thus fixed cost of the product does vary while changes in output are occurred </w:t>
      </w:r>
      <w:r>
        <w:rPr>
          <w:rFonts w:ascii="Calibri" w:hAnsi="Calibri" w:cs="Calibri" w:eastAsia="Calibri"/>
          <w:color w:val="222222"/>
          <w:spacing w:val="0"/>
          <w:position w:val="0"/>
          <w:sz w:val="24"/>
          <w:shd w:fill="FFFFFF" w:val="clear"/>
        </w:rPr>
        <w:t xml:space="preserve">(Li, 2018)</w:t>
      </w:r>
      <w:r>
        <w:rPr>
          <w:rFonts w:ascii="Calibri" w:hAnsi="Calibri" w:cs="Calibri" w:eastAsia="Calibri"/>
          <w:color w:val="auto"/>
          <w:spacing w:val="0"/>
          <w:position w:val="0"/>
          <w:sz w:val="24"/>
          <w:shd w:fill="auto" w:val="clear"/>
        </w:rPr>
        <w:t xml:space="preserve">. </w:t>
      </w:r>
    </w:p>
    <w:p>
      <w:pPr>
        <w:spacing w:before="0" w:after="16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2) It is a supply-side analysis only which only show cost side analysis. Because it does not tell anything about sales and does not tell the actual sales for the product at these various prices </w:t>
      </w:r>
      <w:r>
        <w:rPr>
          <w:rFonts w:ascii="Calibri" w:hAnsi="Calibri" w:cs="Calibri" w:eastAsia="Calibri"/>
          <w:color w:val="222222"/>
          <w:spacing w:val="0"/>
          <w:position w:val="0"/>
          <w:sz w:val="24"/>
          <w:shd w:fill="FFFFFF" w:val="clear"/>
        </w:rPr>
        <w:t xml:space="preserve">(Li, 2018)</w:t>
      </w:r>
      <w:r>
        <w:rPr>
          <w:rFonts w:ascii="Calibri" w:hAnsi="Calibri" w:cs="Calibri" w:eastAsia="Calibri"/>
          <w:color w:val="auto"/>
          <w:spacing w:val="0"/>
          <w:position w:val="0"/>
          <w:sz w:val="24"/>
          <w:shd w:fill="auto" w:val="clear"/>
        </w:rPr>
        <w:t xml:space="preserve">.</w:t>
      </w:r>
    </w:p>
    <w:p>
      <w:pPr>
        <w:spacing w:before="0" w:after="16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3) The assumption that fixed costs are constant is true in the short run, but it may be false in long run. Because the increasing scale of production can trigger fixed cost to rise </w:t>
      </w:r>
      <w:r>
        <w:rPr>
          <w:rFonts w:ascii="Calibri" w:hAnsi="Calibri" w:cs="Calibri" w:eastAsia="Calibri"/>
          <w:color w:val="222222"/>
          <w:spacing w:val="0"/>
          <w:position w:val="0"/>
          <w:sz w:val="24"/>
          <w:shd w:fill="FFFFFF" w:val="clear"/>
        </w:rPr>
        <w:t xml:space="preserve">(Collis and Hussey, 2017)</w:t>
      </w:r>
      <w:r>
        <w:rPr>
          <w:rFonts w:ascii="Calibri" w:hAnsi="Calibri" w:cs="Calibri" w:eastAsia="Calibri"/>
          <w:color w:val="auto"/>
          <w:spacing w:val="0"/>
          <w:position w:val="0"/>
          <w:sz w:val="24"/>
          <w:shd w:fill="auto" w:val="clear"/>
        </w:rPr>
        <w:t xml:space="preserve">.</w:t>
      </w:r>
    </w:p>
    <w:p>
      <w:pPr>
        <w:spacing w:before="0" w:after="16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4) Break-even analysis is merely a planning tool aid. It is not a decision-making tool </w:t>
      </w:r>
      <w:r>
        <w:rPr>
          <w:rFonts w:ascii="Calibri" w:hAnsi="Calibri" w:cs="Calibri" w:eastAsia="Calibri"/>
          <w:color w:val="222222"/>
          <w:spacing w:val="0"/>
          <w:position w:val="0"/>
          <w:sz w:val="24"/>
          <w:shd w:fill="FFFFFF" w:val="clear"/>
        </w:rPr>
        <w:t xml:space="preserve">(Collis and Hussey, 2017)</w:t>
      </w:r>
      <w:r>
        <w:rPr>
          <w:rFonts w:ascii="Calibri" w:hAnsi="Calibri" w:cs="Calibri" w:eastAsia="Calibri"/>
          <w:color w:val="auto"/>
          <w:spacing w:val="0"/>
          <w:position w:val="0"/>
          <w:sz w:val="24"/>
          <w:shd w:fill="auto" w:val="clear"/>
        </w:rPr>
        <w:t xml:space="preserve">.</w:t>
      </w:r>
    </w:p>
    <w:p>
      <w:pPr>
        <w:spacing w:before="0" w:after="16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5) In the case of multi-product businesses that sell more than one product, break-even analysis may be harder for them to calculate </w:t>
      </w:r>
      <w:r>
        <w:rPr>
          <w:rFonts w:ascii="Calibri" w:hAnsi="Calibri" w:cs="Calibri" w:eastAsia="Calibri"/>
          <w:color w:val="222222"/>
          <w:spacing w:val="0"/>
          <w:position w:val="0"/>
          <w:sz w:val="24"/>
          <w:shd w:fill="FFFFFF" w:val="clear"/>
        </w:rPr>
        <w:t xml:space="preserve">(Collis and Hussey, 2017)</w:t>
      </w:r>
      <w:r>
        <w:rPr>
          <w:rFonts w:ascii="Calibri" w:hAnsi="Calibri" w:cs="Calibri" w:eastAsia="Calibri"/>
          <w:color w:val="auto"/>
          <w:spacing w:val="0"/>
          <w:position w:val="0"/>
          <w:sz w:val="24"/>
          <w:shd w:fill="auto" w:val="clear"/>
        </w:rPr>
        <w:t xml:space="preserve">.</w:t>
      </w:r>
    </w:p>
    <w:p>
      <w:pPr>
        <w:spacing w:before="0" w:after="16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6) One of the assumptions of break-even analysis is that it assumes sales quantities of product and production quantities are the same. It assumes that there will be no changes occurred in the opening and ending stock of the finished product. This assumption does not hold a good practice for a company </w:t>
      </w:r>
      <w:r>
        <w:rPr>
          <w:rFonts w:ascii="Calibri" w:hAnsi="Calibri" w:cs="Calibri" w:eastAsia="Calibri"/>
          <w:color w:val="222222"/>
          <w:spacing w:val="0"/>
          <w:position w:val="0"/>
          <w:sz w:val="24"/>
          <w:shd w:fill="FFFFFF" w:val="clear"/>
        </w:rPr>
        <w:t xml:space="preserve">(Malina, 2017)</w:t>
      </w:r>
      <w:r>
        <w:rPr>
          <w:rFonts w:ascii="Calibri" w:hAnsi="Calibri" w:cs="Calibri" w:eastAsia="Calibri"/>
          <w:color w:val="auto"/>
          <w:spacing w:val="0"/>
          <w:position w:val="0"/>
          <w:sz w:val="24"/>
          <w:shd w:fill="auto" w:val="clear"/>
        </w:rPr>
        <w:t xml:space="preserve">. </w:t>
      </w:r>
    </w:p>
    <w:p>
      <w:pPr>
        <w:spacing w:before="0" w:after="16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7) The assumption that business condition will not change over time is wrong in break-even analysis </w:t>
      </w:r>
      <w:r>
        <w:rPr>
          <w:rFonts w:ascii="Calibri" w:hAnsi="Calibri" w:cs="Calibri" w:eastAsia="Calibri"/>
          <w:color w:val="222222"/>
          <w:spacing w:val="0"/>
          <w:position w:val="0"/>
          <w:sz w:val="24"/>
          <w:shd w:fill="FFFFFF" w:val="clear"/>
        </w:rPr>
        <w:t xml:space="preserve">(Malina, 2017)</w:t>
      </w:r>
      <w:r>
        <w:rPr>
          <w:rFonts w:ascii="Calibri" w:hAnsi="Calibri" w:cs="Calibri" w:eastAsia="Calibri"/>
          <w:color w:val="auto"/>
          <w:spacing w:val="0"/>
          <w:position w:val="0"/>
          <w:sz w:val="24"/>
          <w:shd w:fill="auto" w:val="clear"/>
        </w:rPr>
        <w:t xml:space="preserve">. </w:t>
      </w:r>
    </w:p>
    <w:p>
      <w:pPr>
        <w:keepNext w:val="true"/>
        <w:keepLines w:val="true"/>
        <w:spacing w:before="240" w:after="0" w:line="360"/>
        <w:ind w:right="0" w:left="0" w:firstLine="0"/>
        <w:jc w:val="both"/>
        <w:rPr>
          <w:rFonts w:ascii="Calibri" w:hAnsi="Calibri" w:cs="Calibri" w:eastAsia="Calibri"/>
          <w:b/>
          <w:color w:val="000000"/>
          <w:spacing w:val="0"/>
          <w:position w:val="0"/>
          <w:sz w:val="28"/>
          <w:shd w:fill="auto" w:val="clear"/>
        </w:rPr>
      </w:pPr>
      <w:r>
        <w:rPr>
          <w:rFonts w:ascii="Calibri" w:hAnsi="Calibri" w:cs="Calibri" w:eastAsia="Calibri"/>
          <w:b/>
          <w:color w:val="000000"/>
          <w:spacing w:val="0"/>
          <w:position w:val="0"/>
          <w:sz w:val="28"/>
          <w:shd w:fill="auto" w:val="clear"/>
        </w:rPr>
        <w:t xml:space="preserve">Answer to the Question No 2</w:t>
      </w:r>
    </w:p>
    <w:p>
      <w:pPr>
        <w:spacing w:before="0" w:after="160" w:line="360"/>
        <w:ind w:right="0" w:left="0" w:firstLine="0"/>
        <w:jc w:val="both"/>
        <w:rPr>
          <w:rFonts w:ascii="Calibri" w:hAnsi="Calibri" w:cs="Calibri" w:eastAsia="Calibri"/>
          <w:b/>
          <w:color w:val="auto"/>
          <w:spacing w:val="0"/>
          <w:position w:val="0"/>
          <w:sz w:val="24"/>
          <w:shd w:fill="auto" w:val="clear"/>
        </w:rPr>
      </w:pPr>
      <w:r>
        <w:object w:dxaOrig="8985" w:dyaOrig="784">
          <v:rect xmlns:o="urn:schemas-microsoft-com:office:office" xmlns:v="urn:schemas-microsoft-com:vml" id="rectole0000000005" style="width:449.250000pt;height:39.200000pt" o:preferrelative="t" o:ole="">
            <o:lock v:ext="edit"/>
            <v:imagedata xmlns:r="http://schemas.openxmlformats.org/officeDocument/2006/relationships" r:id="docRId11" o:title=""/>
          </v:rect>
          <o:OLEObject xmlns:r="http://schemas.openxmlformats.org/officeDocument/2006/relationships" xmlns:o="urn:schemas-microsoft-com:office:office" Type="Embed" ProgID="StaticMetafile" DrawAspect="Content" ObjectID="0000000005" ShapeID="rectole0000000005" r:id="docRId10"/>
        </w:object>
      </w:r>
    </w:p>
    <w:p>
      <w:pPr>
        <w:spacing w:before="0" w:after="16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Management accounting is very useful, and it is now commonly used. The below are the importance:</w:t>
      </w:r>
    </w:p>
    <w:p>
      <w:pPr>
        <w:spacing w:before="0" w:after="160" w:line="360"/>
        <w:ind w:right="0" w:left="0" w:firstLine="0"/>
        <w:jc w:val="both"/>
        <w:rPr>
          <w:rFonts w:ascii="Calibri" w:hAnsi="Calibri" w:cs="Calibri" w:eastAsia="Calibri"/>
          <w:b/>
          <w:color w:val="auto"/>
          <w:spacing w:val="0"/>
          <w:position w:val="0"/>
          <w:sz w:val="24"/>
          <w:shd w:fill="auto" w:val="clear"/>
        </w:rPr>
      </w:pPr>
      <w:r>
        <w:rPr>
          <w:rFonts w:ascii="Calibri" w:hAnsi="Calibri" w:cs="Calibri" w:eastAsia="Calibri"/>
          <w:b/>
          <w:color w:val="auto"/>
          <w:spacing w:val="0"/>
          <w:position w:val="0"/>
          <w:sz w:val="24"/>
          <w:shd w:fill="auto" w:val="clear"/>
        </w:rPr>
        <w:t xml:space="preserve">1. Planning </w:t>
      </w:r>
    </w:p>
    <w:p>
      <w:pPr>
        <w:spacing w:before="0" w:after="16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Financial and non-financial knowledge is provided to management at regular times, such as monthly or fortnightly, in management accounting. Forecasts, budgets, and in-depth research are included in this presentation. As a result, it aids managers in the coordination of corporate operations </w:t>
      </w:r>
      <w:r>
        <w:rPr>
          <w:rFonts w:ascii="Calibri" w:hAnsi="Calibri" w:cs="Calibri" w:eastAsia="Calibri"/>
          <w:color w:val="222222"/>
          <w:spacing w:val="0"/>
          <w:position w:val="0"/>
          <w:sz w:val="24"/>
          <w:shd w:fill="FFFFFF" w:val="clear"/>
        </w:rPr>
        <w:t xml:space="preserve">(Malina, 2017)</w:t>
      </w:r>
      <w:r>
        <w:rPr>
          <w:rFonts w:ascii="Calibri" w:hAnsi="Calibri" w:cs="Calibri" w:eastAsia="Calibri"/>
          <w:color w:val="auto"/>
          <w:spacing w:val="0"/>
          <w:position w:val="0"/>
          <w:sz w:val="24"/>
          <w:shd w:fill="auto" w:val="clear"/>
        </w:rPr>
        <w:t xml:space="preserve">.</w:t>
      </w:r>
    </w:p>
    <w:p>
      <w:pPr>
        <w:spacing w:before="0" w:after="160" w:line="360"/>
        <w:ind w:right="0" w:left="0" w:firstLine="0"/>
        <w:jc w:val="both"/>
        <w:rPr>
          <w:rFonts w:ascii="Calibri" w:hAnsi="Calibri" w:cs="Calibri" w:eastAsia="Calibri"/>
          <w:b/>
          <w:color w:val="auto"/>
          <w:spacing w:val="0"/>
          <w:position w:val="0"/>
          <w:sz w:val="24"/>
          <w:shd w:fill="auto" w:val="clear"/>
        </w:rPr>
      </w:pPr>
      <w:r>
        <w:rPr>
          <w:rFonts w:ascii="Calibri" w:hAnsi="Calibri" w:cs="Calibri" w:eastAsia="Calibri"/>
          <w:b/>
          <w:color w:val="auto"/>
          <w:spacing w:val="0"/>
          <w:position w:val="0"/>
          <w:sz w:val="24"/>
          <w:shd w:fill="auto" w:val="clear"/>
        </w:rPr>
        <w:t xml:space="preserve">2. Decision making </w:t>
      </w:r>
    </w:p>
    <w:p>
      <w:pPr>
        <w:spacing w:before="0" w:after="16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Management accounting is used for decision-making and it provides numerous maps, predictions, and analyses.</w:t>
      </w:r>
    </w:p>
    <w:p>
      <w:pPr>
        <w:spacing w:before="0" w:after="160" w:line="360"/>
        <w:ind w:right="0" w:left="0" w:firstLine="0"/>
        <w:jc w:val="both"/>
        <w:rPr>
          <w:rFonts w:ascii="Calibri" w:hAnsi="Calibri" w:cs="Calibri" w:eastAsia="Calibri"/>
          <w:color w:val="auto"/>
          <w:spacing w:val="0"/>
          <w:position w:val="0"/>
          <w:sz w:val="24"/>
          <w:shd w:fill="auto" w:val="clear"/>
        </w:rPr>
      </w:pPr>
    </w:p>
    <w:p>
      <w:pPr>
        <w:numPr>
          <w:ilvl w:val="0"/>
          <w:numId w:val="18"/>
        </w:numPr>
        <w:spacing w:before="0" w:after="160" w:line="360"/>
        <w:ind w:right="0" w:left="720" w:hanging="360"/>
        <w:jc w:val="both"/>
        <w:rPr>
          <w:rFonts w:ascii="Calibri" w:hAnsi="Calibri" w:cs="Calibri" w:eastAsia="Calibri"/>
          <w:b/>
          <w:color w:val="auto"/>
          <w:spacing w:val="0"/>
          <w:position w:val="0"/>
          <w:sz w:val="24"/>
          <w:shd w:fill="auto" w:val="clear"/>
        </w:rPr>
      </w:pPr>
      <w:r>
        <w:rPr>
          <w:rFonts w:ascii="Calibri" w:hAnsi="Calibri" w:cs="Calibri" w:eastAsia="Calibri"/>
          <w:b/>
          <w:color w:val="auto"/>
          <w:spacing w:val="0"/>
          <w:position w:val="0"/>
          <w:sz w:val="24"/>
          <w:shd w:fill="auto" w:val="clear"/>
        </w:rPr>
        <w:t xml:space="preserve">Identify early signs of problems </w:t>
      </w:r>
    </w:p>
    <w:p>
      <w:pPr>
        <w:spacing w:before="0" w:after="16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Since the accounts are presented at frequent intervals, managers may determine that a commodity is performing poorly early on. This would help overcome constraints early on to prevent losses in the future </w:t>
      </w:r>
      <w:r>
        <w:rPr>
          <w:rFonts w:ascii="Calibri" w:hAnsi="Calibri" w:cs="Calibri" w:eastAsia="Calibri"/>
          <w:color w:val="222222"/>
          <w:spacing w:val="0"/>
          <w:position w:val="0"/>
          <w:sz w:val="24"/>
          <w:shd w:fill="FFFFFF" w:val="clear"/>
        </w:rPr>
        <w:t xml:space="preserve">(Charifzadeh and Taschner, 2017)</w:t>
      </w:r>
      <w:r>
        <w:rPr>
          <w:rFonts w:ascii="Calibri" w:hAnsi="Calibri" w:cs="Calibri" w:eastAsia="Calibri"/>
          <w:color w:val="auto"/>
          <w:spacing w:val="0"/>
          <w:position w:val="0"/>
          <w:sz w:val="24"/>
          <w:shd w:fill="auto" w:val="clear"/>
        </w:rPr>
        <w:t xml:space="preserve">.</w:t>
      </w:r>
    </w:p>
    <w:p>
      <w:pPr>
        <w:numPr>
          <w:ilvl w:val="0"/>
          <w:numId w:val="20"/>
        </w:numPr>
        <w:spacing w:before="0" w:after="160" w:line="360"/>
        <w:ind w:right="0" w:left="720" w:hanging="360"/>
        <w:jc w:val="both"/>
        <w:rPr>
          <w:rFonts w:ascii="Calibri" w:hAnsi="Calibri" w:cs="Calibri" w:eastAsia="Calibri"/>
          <w:b/>
          <w:color w:val="auto"/>
          <w:spacing w:val="0"/>
          <w:position w:val="0"/>
          <w:sz w:val="24"/>
          <w:shd w:fill="auto" w:val="clear"/>
        </w:rPr>
      </w:pPr>
      <w:r>
        <w:rPr>
          <w:rFonts w:ascii="Calibri" w:hAnsi="Calibri" w:cs="Calibri" w:eastAsia="Calibri"/>
          <w:b/>
          <w:color w:val="auto"/>
          <w:spacing w:val="0"/>
          <w:position w:val="0"/>
          <w:sz w:val="24"/>
          <w:shd w:fill="auto" w:val="clear"/>
        </w:rPr>
        <w:t xml:space="preserve">Strategic management </w:t>
      </w:r>
    </w:p>
    <w:p>
      <w:pPr>
        <w:spacing w:before="0" w:after="16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Based on the information presented in management accounting, management can decide whether to retain a product or adjust the sales plan. Management accounting is not regulated by rules, so management can decide which areas require further analysis and inspection and implement strategies accordingly (Charifzadeh and Taschner, 2017).</w:t>
      </w:r>
    </w:p>
    <w:p>
      <w:pPr>
        <w:spacing w:before="0" w:after="160" w:line="360"/>
        <w:ind w:right="0" w:left="0" w:firstLine="0"/>
        <w:jc w:val="both"/>
        <w:rPr>
          <w:rFonts w:ascii="Calibri" w:hAnsi="Calibri" w:cs="Calibri" w:eastAsia="Calibri"/>
          <w:b/>
          <w:color w:val="auto"/>
          <w:spacing w:val="0"/>
          <w:position w:val="0"/>
          <w:sz w:val="24"/>
          <w:shd w:fill="auto" w:val="clear"/>
        </w:rPr>
      </w:pPr>
      <w:r>
        <w:rPr>
          <w:rFonts w:ascii="Calibri" w:hAnsi="Calibri" w:cs="Calibri" w:eastAsia="Calibri"/>
          <w:b/>
          <w:color w:val="auto"/>
          <w:spacing w:val="0"/>
          <w:position w:val="0"/>
          <w:sz w:val="24"/>
          <w:shd w:fill="auto" w:val="clear"/>
        </w:rPr>
        <w:t xml:space="preserve">3. Staffing </w:t>
      </w:r>
    </w:p>
    <w:p>
      <w:pPr>
        <w:spacing w:before="0" w:after="16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Staffing is another industry where management accounting can be extremely helpful. Making decisions on hiring new hires and deciding salaries can be difficult. Management accountants can help you make the right decision possible by assessing how much you can afford to spend on recruiting and the estimated returns on your staffing budget (Li, 2018).</w:t>
      </w:r>
    </w:p>
    <w:p>
      <w:pPr>
        <w:spacing w:before="0" w:after="160" w:line="360"/>
        <w:ind w:right="0" w:left="0" w:firstLine="0"/>
        <w:jc w:val="both"/>
        <w:rPr>
          <w:rFonts w:ascii="Calibri" w:hAnsi="Calibri" w:cs="Calibri" w:eastAsia="Calibri"/>
          <w:b/>
          <w:color w:val="auto"/>
          <w:spacing w:val="0"/>
          <w:position w:val="0"/>
          <w:sz w:val="24"/>
          <w:shd w:fill="auto" w:val="clear"/>
        </w:rPr>
      </w:pPr>
      <w:r>
        <w:rPr>
          <w:rFonts w:ascii="Calibri" w:hAnsi="Calibri" w:cs="Calibri" w:eastAsia="Calibri"/>
          <w:b/>
          <w:color w:val="auto"/>
          <w:spacing w:val="0"/>
          <w:position w:val="0"/>
          <w:sz w:val="24"/>
          <w:shd w:fill="auto" w:val="clear"/>
        </w:rPr>
        <w:t xml:space="preserve">Difference financial accounting and management accounting</w:t>
      </w:r>
    </w:p>
    <w:tbl>
      <w:tblPr/>
      <w:tblGrid>
        <w:gridCol w:w="2043"/>
        <w:gridCol w:w="3668"/>
        <w:gridCol w:w="3889"/>
      </w:tblGrid>
      <w:tr>
        <w:trPr>
          <w:trHeight w:val="1" w:hRule="atLeast"/>
          <w:jc w:val="left"/>
        </w:trPr>
        <w:tc>
          <w:tcPr>
            <w:tcW w:w="2043" w:type="dxa"/>
            <w:tcBorders>
              <w:top w:val="single" w:color="999999" w:sz="4"/>
              <w:left w:val="single" w:color="999999" w:sz="4"/>
              <w:bottom w:val="single" w:color="999999" w:sz="4"/>
              <w:right w:val="single" w:color="999999" w:sz="4"/>
            </w:tcBorders>
            <w:shd w:color="000000" w:fill="ffffff" w:val="clear"/>
            <w:tcMar>
              <w:left w:w="108" w:type="dxa"/>
              <w:right w:w="108" w:type="dxa"/>
            </w:tcMar>
            <w:vAlign w:val="top"/>
          </w:tcPr>
          <w:p>
            <w:pPr>
              <w:spacing w:before="0" w:after="240" w:line="240"/>
              <w:ind w:right="0" w:left="0" w:firstLine="0"/>
              <w:jc w:val="center"/>
              <w:rPr>
                <w:rFonts w:ascii="Calibri" w:hAnsi="Calibri" w:cs="Calibri" w:eastAsia="Calibri"/>
                <w:spacing w:val="0"/>
                <w:position w:val="0"/>
                <w:shd w:fill="auto" w:val="clear"/>
              </w:rPr>
            </w:pPr>
            <w:r>
              <w:rPr>
                <w:rFonts w:ascii="Calibri" w:hAnsi="Calibri" w:cs="Calibri" w:eastAsia="Calibri"/>
                <w:caps w:val="true"/>
                <w:color w:val="222222"/>
                <w:spacing w:val="0"/>
                <w:position w:val="0"/>
                <w:sz w:val="24"/>
                <w:shd w:fill="auto" w:val="clear"/>
              </w:rPr>
              <w:t xml:space="preserve">BASIS FOR COMPARISON</w:t>
            </w:r>
          </w:p>
        </w:tc>
        <w:tc>
          <w:tcPr>
            <w:tcW w:w="3668" w:type="dxa"/>
            <w:tcBorders>
              <w:top w:val="single" w:color="999999" w:sz="4"/>
              <w:left w:val="single" w:color="999999" w:sz="4"/>
              <w:bottom w:val="single" w:color="999999" w:sz="4"/>
              <w:right w:val="single" w:color="999999" w:sz="4"/>
            </w:tcBorders>
            <w:shd w:color="000000" w:fill="ffffff" w:val="clear"/>
            <w:tcMar>
              <w:left w:w="108" w:type="dxa"/>
              <w:right w:w="108" w:type="dxa"/>
            </w:tcMar>
            <w:vAlign w:val="top"/>
          </w:tcPr>
          <w:p>
            <w:pPr>
              <w:spacing w:before="0" w:after="240" w:line="240"/>
              <w:ind w:right="0" w:left="0" w:firstLine="0"/>
              <w:jc w:val="both"/>
              <w:rPr>
                <w:rFonts w:ascii="Calibri" w:hAnsi="Calibri" w:cs="Calibri" w:eastAsia="Calibri"/>
                <w:spacing w:val="0"/>
                <w:position w:val="0"/>
                <w:shd w:fill="auto" w:val="clear"/>
              </w:rPr>
            </w:pPr>
            <w:r>
              <w:rPr>
                <w:rFonts w:ascii="Calibri" w:hAnsi="Calibri" w:cs="Calibri" w:eastAsia="Calibri"/>
                <w:caps w:val="true"/>
                <w:color w:val="222222"/>
                <w:spacing w:val="0"/>
                <w:position w:val="0"/>
                <w:sz w:val="24"/>
                <w:shd w:fill="auto" w:val="clear"/>
              </w:rPr>
              <w:t xml:space="preserve">FINANCIAL ACCOUNTING</w:t>
            </w:r>
          </w:p>
        </w:tc>
        <w:tc>
          <w:tcPr>
            <w:tcW w:w="3889" w:type="dxa"/>
            <w:tcBorders>
              <w:top w:val="single" w:color="999999" w:sz="4"/>
              <w:left w:val="single" w:color="999999" w:sz="4"/>
              <w:bottom w:val="single" w:color="999999" w:sz="4"/>
              <w:right w:val="single" w:color="999999" w:sz="4"/>
            </w:tcBorders>
            <w:shd w:color="000000" w:fill="ffffff" w:val="clear"/>
            <w:tcMar>
              <w:left w:w="108" w:type="dxa"/>
              <w:right w:w="108" w:type="dxa"/>
            </w:tcMar>
            <w:vAlign w:val="top"/>
          </w:tcPr>
          <w:p>
            <w:pPr>
              <w:spacing w:before="0" w:after="240" w:line="240"/>
              <w:ind w:right="0" w:left="0" w:firstLine="0"/>
              <w:jc w:val="both"/>
              <w:rPr>
                <w:rFonts w:ascii="Calibri" w:hAnsi="Calibri" w:cs="Calibri" w:eastAsia="Calibri"/>
                <w:spacing w:val="0"/>
                <w:position w:val="0"/>
                <w:shd w:fill="auto" w:val="clear"/>
              </w:rPr>
            </w:pPr>
            <w:r>
              <w:rPr>
                <w:rFonts w:ascii="Calibri" w:hAnsi="Calibri" w:cs="Calibri" w:eastAsia="Calibri"/>
                <w:caps w:val="true"/>
                <w:color w:val="222222"/>
                <w:spacing w:val="0"/>
                <w:position w:val="0"/>
                <w:sz w:val="24"/>
                <w:shd w:fill="auto" w:val="clear"/>
              </w:rPr>
              <w:t xml:space="preserve">MANAGEMENT ACCOUNTING</w:t>
            </w:r>
          </w:p>
        </w:tc>
      </w:tr>
      <w:tr>
        <w:trPr>
          <w:trHeight w:val="1" w:hRule="atLeast"/>
          <w:jc w:val="left"/>
        </w:trPr>
        <w:tc>
          <w:tcPr>
            <w:tcW w:w="2043" w:type="dxa"/>
            <w:tcBorders>
              <w:top w:val="single" w:color="999999" w:sz="4"/>
              <w:left w:val="single" w:color="999999" w:sz="4"/>
              <w:bottom w:val="single" w:color="999999" w:sz="4"/>
              <w:right w:val="single" w:color="999999" w:sz="4"/>
            </w:tcBorders>
            <w:shd w:color="000000" w:fill="ffffff" w:val="clear"/>
            <w:tcMar>
              <w:left w:w="108" w:type="dxa"/>
              <w:right w:w="108" w:type="dxa"/>
            </w:tcMar>
            <w:vAlign w:val="top"/>
          </w:tcPr>
          <w:p>
            <w:pPr>
              <w:spacing w:before="0" w:after="240" w:line="240"/>
              <w:ind w:right="0" w:left="0" w:firstLine="0"/>
              <w:jc w:val="left"/>
              <w:rPr>
                <w:rFonts w:ascii="Calibri" w:hAnsi="Calibri" w:cs="Calibri" w:eastAsia="Calibri"/>
                <w:spacing w:val="0"/>
                <w:position w:val="0"/>
                <w:shd w:fill="auto" w:val="clear"/>
              </w:rPr>
            </w:pPr>
            <w:r>
              <w:rPr>
                <w:rFonts w:ascii="Calibri" w:hAnsi="Calibri" w:cs="Calibri" w:eastAsia="Calibri"/>
                <w:color w:val="222222"/>
                <w:spacing w:val="0"/>
                <w:position w:val="0"/>
                <w:sz w:val="24"/>
                <w:shd w:fill="auto" w:val="clear"/>
              </w:rPr>
              <w:t xml:space="preserve">Meaning</w:t>
            </w:r>
          </w:p>
        </w:tc>
        <w:tc>
          <w:tcPr>
            <w:tcW w:w="3668" w:type="dxa"/>
            <w:tcBorders>
              <w:top w:val="single" w:color="999999" w:sz="4"/>
              <w:left w:val="single" w:color="999999" w:sz="4"/>
              <w:bottom w:val="single" w:color="999999" w:sz="4"/>
              <w:right w:val="single" w:color="999999" w:sz="4"/>
            </w:tcBorders>
            <w:shd w:color="000000" w:fill="ffffff" w:val="clear"/>
            <w:tcMar>
              <w:left w:w="108" w:type="dxa"/>
              <w:right w:w="108" w:type="dxa"/>
            </w:tcMar>
            <w:vAlign w:val="top"/>
          </w:tcPr>
          <w:p>
            <w:pPr>
              <w:spacing w:before="0" w:after="240" w:line="240"/>
              <w:ind w:right="0" w:left="0" w:firstLine="0"/>
              <w:jc w:val="both"/>
              <w:rPr>
                <w:rFonts w:ascii="Calibri" w:hAnsi="Calibri" w:cs="Calibri" w:eastAsia="Calibri"/>
                <w:spacing w:val="0"/>
                <w:position w:val="0"/>
                <w:shd w:fill="auto" w:val="clear"/>
              </w:rPr>
            </w:pPr>
            <w:r>
              <w:rPr>
                <w:rFonts w:ascii="Calibri" w:hAnsi="Calibri" w:cs="Calibri" w:eastAsia="Calibri"/>
                <w:color w:val="222222"/>
                <w:spacing w:val="0"/>
                <w:position w:val="0"/>
                <w:sz w:val="24"/>
                <w:shd w:fill="auto" w:val="clear"/>
              </w:rPr>
              <w:t xml:space="preserve">Financial accounting is a form of accounting that focuses on the compilation of financial statements for a business in order to provide financial reports to interested parties.</w:t>
            </w:r>
          </w:p>
        </w:tc>
        <w:tc>
          <w:tcPr>
            <w:tcW w:w="3889" w:type="dxa"/>
            <w:tcBorders>
              <w:top w:val="single" w:color="999999" w:sz="4"/>
              <w:left w:val="single" w:color="999999" w:sz="4"/>
              <w:bottom w:val="single" w:color="999999" w:sz="4"/>
              <w:right w:val="single" w:color="999999" w:sz="4"/>
            </w:tcBorders>
            <w:shd w:color="000000" w:fill="ffffff" w:val="clear"/>
            <w:tcMar>
              <w:left w:w="108" w:type="dxa"/>
              <w:right w:w="108" w:type="dxa"/>
            </w:tcMar>
            <w:vAlign w:val="top"/>
          </w:tcPr>
          <w:p>
            <w:pPr>
              <w:spacing w:before="0" w:after="240" w:line="240"/>
              <w:ind w:right="0" w:left="0" w:firstLine="0"/>
              <w:jc w:val="both"/>
              <w:rPr>
                <w:rFonts w:ascii="Calibri" w:hAnsi="Calibri" w:cs="Calibri" w:eastAsia="Calibri"/>
                <w:spacing w:val="0"/>
                <w:position w:val="0"/>
                <w:shd w:fill="auto" w:val="clear"/>
              </w:rPr>
            </w:pPr>
            <w:r>
              <w:rPr>
                <w:rFonts w:ascii="Calibri" w:hAnsi="Calibri" w:cs="Calibri" w:eastAsia="Calibri"/>
                <w:color w:val="222222"/>
                <w:spacing w:val="0"/>
                <w:position w:val="0"/>
                <w:sz w:val="24"/>
                <w:shd w:fill="auto" w:val="clear"/>
              </w:rPr>
              <w:t xml:space="preserve">Management accounting is an accounting system that provides relevant facts to managers so that they can make better decisions about business policies, strategies, and techniques.</w:t>
            </w:r>
          </w:p>
        </w:tc>
      </w:tr>
      <w:tr>
        <w:trPr>
          <w:trHeight w:val="1" w:hRule="atLeast"/>
          <w:jc w:val="left"/>
        </w:trPr>
        <w:tc>
          <w:tcPr>
            <w:tcW w:w="2043" w:type="dxa"/>
            <w:tcBorders>
              <w:top w:val="single" w:color="999999" w:sz="4"/>
              <w:left w:val="single" w:color="999999" w:sz="4"/>
              <w:bottom w:val="single" w:color="999999" w:sz="4"/>
              <w:right w:val="single" w:color="999999" w:sz="4"/>
            </w:tcBorders>
            <w:shd w:color="000000" w:fill="ffffff" w:val="clear"/>
            <w:tcMar>
              <w:left w:w="108" w:type="dxa"/>
              <w:right w:w="108" w:type="dxa"/>
            </w:tcMar>
            <w:vAlign w:val="top"/>
          </w:tcPr>
          <w:p>
            <w:pPr>
              <w:spacing w:before="0" w:after="240" w:line="240"/>
              <w:ind w:right="0" w:left="0" w:firstLine="0"/>
              <w:jc w:val="left"/>
              <w:rPr>
                <w:rFonts w:ascii="Calibri" w:hAnsi="Calibri" w:cs="Calibri" w:eastAsia="Calibri"/>
                <w:spacing w:val="0"/>
                <w:position w:val="0"/>
                <w:shd w:fill="auto" w:val="clear"/>
              </w:rPr>
            </w:pPr>
            <w:r>
              <w:rPr>
                <w:rFonts w:ascii="Calibri" w:hAnsi="Calibri" w:cs="Calibri" w:eastAsia="Calibri"/>
                <w:color w:val="222222"/>
                <w:spacing w:val="0"/>
                <w:position w:val="0"/>
                <w:sz w:val="24"/>
                <w:shd w:fill="auto" w:val="clear"/>
              </w:rPr>
              <w:t xml:space="preserve">Is it compulsory?</w:t>
            </w:r>
          </w:p>
        </w:tc>
        <w:tc>
          <w:tcPr>
            <w:tcW w:w="3668" w:type="dxa"/>
            <w:tcBorders>
              <w:top w:val="single" w:color="999999" w:sz="4"/>
              <w:left w:val="single" w:color="999999" w:sz="4"/>
              <w:bottom w:val="single" w:color="999999" w:sz="4"/>
              <w:right w:val="single" w:color="999999" w:sz="4"/>
            </w:tcBorders>
            <w:shd w:color="000000" w:fill="ffffff" w:val="clear"/>
            <w:tcMar>
              <w:left w:w="108" w:type="dxa"/>
              <w:right w:w="108" w:type="dxa"/>
            </w:tcMar>
            <w:vAlign w:val="top"/>
          </w:tcPr>
          <w:p>
            <w:pPr>
              <w:spacing w:before="0" w:after="240" w:line="240"/>
              <w:ind w:right="0" w:left="0" w:firstLine="0"/>
              <w:jc w:val="both"/>
              <w:rPr>
                <w:rFonts w:ascii="Calibri" w:hAnsi="Calibri" w:cs="Calibri" w:eastAsia="Calibri"/>
                <w:spacing w:val="0"/>
                <w:position w:val="0"/>
                <w:shd w:fill="auto" w:val="clear"/>
              </w:rPr>
            </w:pPr>
            <w:r>
              <w:rPr>
                <w:rFonts w:ascii="Calibri" w:hAnsi="Calibri" w:cs="Calibri" w:eastAsia="Calibri"/>
                <w:color w:val="222222"/>
                <w:spacing w:val="0"/>
                <w:position w:val="0"/>
                <w:sz w:val="24"/>
                <w:shd w:fill="auto" w:val="clear"/>
              </w:rPr>
              <w:t xml:space="preserve">Yes</w:t>
            </w:r>
          </w:p>
        </w:tc>
        <w:tc>
          <w:tcPr>
            <w:tcW w:w="3889" w:type="dxa"/>
            <w:tcBorders>
              <w:top w:val="single" w:color="999999" w:sz="4"/>
              <w:left w:val="single" w:color="999999" w:sz="4"/>
              <w:bottom w:val="single" w:color="999999" w:sz="4"/>
              <w:right w:val="single" w:color="999999" w:sz="4"/>
            </w:tcBorders>
            <w:shd w:color="000000" w:fill="ffffff" w:val="clear"/>
            <w:tcMar>
              <w:left w:w="108" w:type="dxa"/>
              <w:right w:w="108" w:type="dxa"/>
            </w:tcMar>
            <w:vAlign w:val="top"/>
          </w:tcPr>
          <w:p>
            <w:pPr>
              <w:spacing w:before="0" w:after="240" w:line="240"/>
              <w:ind w:right="0" w:left="0" w:firstLine="0"/>
              <w:jc w:val="both"/>
              <w:rPr>
                <w:rFonts w:ascii="Calibri" w:hAnsi="Calibri" w:cs="Calibri" w:eastAsia="Calibri"/>
                <w:spacing w:val="0"/>
                <w:position w:val="0"/>
                <w:shd w:fill="auto" w:val="clear"/>
              </w:rPr>
            </w:pPr>
            <w:r>
              <w:rPr>
                <w:rFonts w:ascii="Calibri" w:hAnsi="Calibri" w:cs="Calibri" w:eastAsia="Calibri"/>
                <w:color w:val="222222"/>
                <w:spacing w:val="0"/>
                <w:position w:val="0"/>
                <w:sz w:val="24"/>
                <w:shd w:fill="auto" w:val="clear"/>
              </w:rPr>
              <w:t xml:space="preserve">No</w:t>
            </w:r>
          </w:p>
        </w:tc>
      </w:tr>
      <w:tr>
        <w:trPr>
          <w:trHeight w:val="1" w:hRule="atLeast"/>
          <w:jc w:val="left"/>
        </w:trPr>
        <w:tc>
          <w:tcPr>
            <w:tcW w:w="2043" w:type="dxa"/>
            <w:tcBorders>
              <w:top w:val="single" w:color="999999" w:sz="4"/>
              <w:left w:val="single" w:color="999999" w:sz="4"/>
              <w:bottom w:val="single" w:color="999999" w:sz="4"/>
              <w:right w:val="single" w:color="999999" w:sz="4"/>
            </w:tcBorders>
            <w:shd w:color="000000" w:fill="ffffff" w:val="clear"/>
            <w:tcMar>
              <w:left w:w="108" w:type="dxa"/>
              <w:right w:w="108" w:type="dxa"/>
            </w:tcMar>
            <w:vAlign w:val="top"/>
          </w:tcPr>
          <w:p>
            <w:pPr>
              <w:spacing w:before="0" w:after="240" w:line="240"/>
              <w:ind w:right="0" w:left="0" w:firstLine="0"/>
              <w:jc w:val="left"/>
              <w:rPr>
                <w:rFonts w:ascii="Calibri" w:hAnsi="Calibri" w:cs="Calibri" w:eastAsia="Calibri"/>
                <w:spacing w:val="0"/>
                <w:position w:val="0"/>
                <w:shd w:fill="auto" w:val="clear"/>
              </w:rPr>
            </w:pPr>
            <w:r>
              <w:rPr>
                <w:rFonts w:ascii="Calibri" w:hAnsi="Calibri" w:cs="Calibri" w:eastAsia="Calibri"/>
                <w:color w:val="222222"/>
                <w:spacing w:val="0"/>
                <w:position w:val="0"/>
                <w:sz w:val="24"/>
                <w:shd w:fill="auto" w:val="clear"/>
              </w:rPr>
              <w:t xml:space="preserve">Information</w:t>
            </w:r>
          </w:p>
        </w:tc>
        <w:tc>
          <w:tcPr>
            <w:tcW w:w="3668" w:type="dxa"/>
            <w:tcBorders>
              <w:top w:val="single" w:color="999999" w:sz="4"/>
              <w:left w:val="single" w:color="999999" w:sz="4"/>
              <w:bottom w:val="single" w:color="999999" w:sz="4"/>
              <w:right w:val="single" w:color="999999" w:sz="4"/>
            </w:tcBorders>
            <w:shd w:color="000000" w:fill="ffffff" w:val="clear"/>
            <w:tcMar>
              <w:left w:w="108" w:type="dxa"/>
              <w:right w:w="108" w:type="dxa"/>
            </w:tcMar>
            <w:vAlign w:val="top"/>
          </w:tcPr>
          <w:p>
            <w:pPr>
              <w:spacing w:before="0" w:after="240" w:line="240"/>
              <w:ind w:right="0" w:left="0" w:firstLine="0"/>
              <w:jc w:val="both"/>
              <w:rPr>
                <w:rFonts w:ascii="Calibri" w:hAnsi="Calibri" w:cs="Calibri" w:eastAsia="Calibri"/>
                <w:spacing w:val="0"/>
                <w:position w:val="0"/>
                <w:shd w:fill="auto" w:val="clear"/>
              </w:rPr>
            </w:pPr>
            <w:r>
              <w:rPr>
                <w:rFonts w:ascii="Calibri" w:hAnsi="Calibri" w:cs="Calibri" w:eastAsia="Calibri"/>
                <w:color w:val="222222"/>
                <w:spacing w:val="0"/>
                <w:position w:val="0"/>
                <w:sz w:val="24"/>
                <w:shd w:fill="auto" w:val="clear"/>
              </w:rPr>
              <w:t xml:space="preserve">Only information related to monetary</w:t>
            </w:r>
          </w:p>
        </w:tc>
        <w:tc>
          <w:tcPr>
            <w:tcW w:w="3889" w:type="dxa"/>
            <w:tcBorders>
              <w:top w:val="single" w:color="999999" w:sz="4"/>
              <w:left w:val="single" w:color="999999" w:sz="4"/>
              <w:bottom w:val="single" w:color="999999" w:sz="4"/>
              <w:right w:val="single" w:color="999999" w:sz="4"/>
            </w:tcBorders>
            <w:shd w:color="000000" w:fill="ffffff" w:val="clear"/>
            <w:tcMar>
              <w:left w:w="108" w:type="dxa"/>
              <w:right w:w="108" w:type="dxa"/>
            </w:tcMar>
            <w:vAlign w:val="top"/>
          </w:tcPr>
          <w:p>
            <w:pPr>
              <w:spacing w:before="0" w:after="240" w:line="240"/>
              <w:ind w:right="0" w:left="0" w:firstLine="0"/>
              <w:jc w:val="both"/>
              <w:rPr>
                <w:rFonts w:ascii="Calibri" w:hAnsi="Calibri" w:cs="Calibri" w:eastAsia="Calibri"/>
                <w:spacing w:val="0"/>
                <w:position w:val="0"/>
                <w:shd w:fill="auto" w:val="clear"/>
              </w:rPr>
            </w:pPr>
            <w:r>
              <w:rPr>
                <w:rFonts w:ascii="Calibri" w:hAnsi="Calibri" w:cs="Calibri" w:eastAsia="Calibri"/>
                <w:color w:val="222222"/>
                <w:spacing w:val="0"/>
                <w:position w:val="0"/>
                <w:sz w:val="24"/>
                <w:shd w:fill="auto" w:val="clear"/>
              </w:rPr>
              <w:t xml:space="preserve">Information both related to monetary and non-monetary</w:t>
            </w:r>
          </w:p>
        </w:tc>
      </w:tr>
      <w:tr>
        <w:trPr>
          <w:trHeight w:val="1" w:hRule="atLeast"/>
          <w:jc w:val="left"/>
        </w:trPr>
        <w:tc>
          <w:tcPr>
            <w:tcW w:w="2043" w:type="dxa"/>
            <w:tcBorders>
              <w:top w:val="single" w:color="999999" w:sz="4"/>
              <w:left w:val="single" w:color="999999" w:sz="4"/>
              <w:bottom w:val="single" w:color="999999" w:sz="4"/>
              <w:right w:val="single" w:color="999999" w:sz="4"/>
            </w:tcBorders>
            <w:shd w:color="000000" w:fill="ffffff" w:val="clear"/>
            <w:tcMar>
              <w:left w:w="108" w:type="dxa"/>
              <w:right w:w="108" w:type="dxa"/>
            </w:tcMar>
            <w:vAlign w:val="top"/>
          </w:tcPr>
          <w:p>
            <w:pPr>
              <w:spacing w:before="0" w:after="240" w:line="240"/>
              <w:ind w:right="0" w:left="0" w:firstLine="0"/>
              <w:jc w:val="left"/>
              <w:rPr>
                <w:rFonts w:ascii="Calibri" w:hAnsi="Calibri" w:cs="Calibri" w:eastAsia="Calibri"/>
                <w:spacing w:val="0"/>
                <w:position w:val="0"/>
                <w:shd w:fill="auto" w:val="clear"/>
              </w:rPr>
            </w:pPr>
            <w:r>
              <w:rPr>
                <w:rFonts w:ascii="Calibri" w:hAnsi="Calibri" w:cs="Calibri" w:eastAsia="Calibri"/>
                <w:color w:val="222222"/>
                <w:spacing w:val="0"/>
                <w:position w:val="0"/>
                <w:sz w:val="24"/>
                <w:shd w:fill="auto" w:val="clear"/>
              </w:rPr>
              <w:t xml:space="preserve">Objective</w:t>
            </w:r>
          </w:p>
        </w:tc>
        <w:tc>
          <w:tcPr>
            <w:tcW w:w="3668" w:type="dxa"/>
            <w:tcBorders>
              <w:top w:val="single" w:color="999999" w:sz="4"/>
              <w:left w:val="single" w:color="999999" w:sz="4"/>
              <w:bottom w:val="single" w:color="999999" w:sz="4"/>
              <w:right w:val="single" w:color="999999" w:sz="4"/>
            </w:tcBorders>
            <w:shd w:color="000000" w:fill="ffffff" w:val="clear"/>
            <w:tcMar>
              <w:left w:w="108" w:type="dxa"/>
              <w:right w:w="108" w:type="dxa"/>
            </w:tcMar>
            <w:vAlign w:val="top"/>
          </w:tcPr>
          <w:p>
            <w:pPr>
              <w:spacing w:before="0" w:after="240" w:line="240"/>
              <w:ind w:right="0" w:left="0" w:firstLine="0"/>
              <w:jc w:val="both"/>
              <w:rPr>
                <w:rFonts w:ascii="Calibri" w:hAnsi="Calibri" w:cs="Calibri" w:eastAsia="Calibri"/>
                <w:spacing w:val="0"/>
                <w:position w:val="0"/>
                <w:shd w:fill="auto" w:val="clear"/>
              </w:rPr>
            </w:pPr>
            <w:r>
              <w:rPr>
                <w:rFonts w:ascii="Calibri" w:hAnsi="Calibri" w:cs="Calibri" w:eastAsia="Calibri"/>
                <w:color w:val="222222"/>
                <w:spacing w:val="0"/>
                <w:position w:val="0"/>
                <w:sz w:val="24"/>
                <w:shd w:fill="auto" w:val="clear"/>
              </w:rPr>
              <w:t xml:space="preserve">Outsiders will be given financial records.</w:t>
            </w:r>
          </w:p>
        </w:tc>
        <w:tc>
          <w:tcPr>
            <w:tcW w:w="3889" w:type="dxa"/>
            <w:tcBorders>
              <w:top w:val="single" w:color="999999" w:sz="4"/>
              <w:left w:val="single" w:color="999999" w:sz="4"/>
              <w:bottom w:val="single" w:color="999999" w:sz="4"/>
              <w:right w:val="single" w:color="999999" w:sz="4"/>
            </w:tcBorders>
            <w:shd w:color="000000" w:fill="ffffff" w:val="clear"/>
            <w:tcMar>
              <w:left w:w="108" w:type="dxa"/>
              <w:right w:w="108" w:type="dxa"/>
            </w:tcMar>
            <w:vAlign w:val="top"/>
          </w:tcPr>
          <w:p>
            <w:pPr>
              <w:spacing w:before="0" w:after="240" w:line="240"/>
              <w:ind w:right="0" w:left="0" w:firstLine="0"/>
              <w:jc w:val="both"/>
              <w:rPr>
                <w:rFonts w:ascii="Calibri" w:hAnsi="Calibri" w:cs="Calibri" w:eastAsia="Calibri"/>
                <w:spacing w:val="0"/>
                <w:position w:val="0"/>
                <w:shd w:fill="auto" w:val="clear"/>
              </w:rPr>
            </w:pPr>
            <w:r>
              <w:rPr>
                <w:rFonts w:ascii="Calibri" w:hAnsi="Calibri" w:cs="Calibri" w:eastAsia="Calibri"/>
                <w:color w:val="222222"/>
                <w:spacing w:val="0"/>
                <w:position w:val="0"/>
                <w:sz w:val="24"/>
                <w:shd w:fill="auto" w:val="clear"/>
              </w:rPr>
              <w:t xml:space="preserve">By presenting comprehensive input on different topics, to support management in the strategy and decision-making process.</w:t>
            </w:r>
          </w:p>
        </w:tc>
      </w:tr>
      <w:tr>
        <w:trPr>
          <w:trHeight w:val="1" w:hRule="atLeast"/>
          <w:jc w:val="left"/>
        </w:trPr>
        <w:tc>
          <w:tcPr>
            <w:tcW w:w="2043" w:type="dxa"/>
            <w:tcBorders>
              <w:top w:val="single" w:color="999999" w:sz="4"/>
              <w:left w:val="single" w:color="999999" w:sz="4"/>
              <w:bottom w:val="single" w:color="999999" w:sz="4"/>
              <w:right w:val="single" w:color="999999" w:sz="4"/>
            </w:tcBorders>
            <w:shd w:color="000000" w:fill="ffffff" w:val="clear"/>
            <w:tcMar>
              <w:left w:w="108" w:type="dxa"/>
              <w:right w:w="108" w:type="dxa"/>
            </w:tcMar>
            <w:vAlign w:val="top"/>
          </w:tcPr>
          <w:p>
            <w:pPr>
              <w:spacing w:before="0" w:after="240" w:line="240"/>
              <w:ind w:right="0" w:left="0" w:firstLine="0"/>
              <w:jc w:val="left"/>
              <w:rPr>
                <w:rFonts w:ascii="Calibri" w:hAnsi="Calibri" w:cs="Calibri" w:eastAsia="Calibri"/>
                <w:spacing w:val="0"/>
                <w:position w:val="0"/>
                <w:shd w:fill="auto" w:val="clear"/>
              </w:rPr>
            </w:pPr>
            <w:r>
              <w:rPr>
                <w:rFonts w:ascii="Calibri" w:hAnsi="Calibri" w:cs="Calibri" w:eastAsia="Calibri"/>
                <w:color w:val="222222"/>
                <w:spacing w:val="0"/>
                <w:position w:val="0"/>
                <w:sz w:val="24"/>
                <w:shd w:fill="auto" w:val="clear"/>
              </w:rPr>
              <w:t xml:space="preserve">Format</w:t>
            </w:r>
          </w:p>
        </w:tc>
        <w:tc>
          <w:tcPr>
            <w:tcW w:w="3668" w:type="dxa"/>
            <w:tcBorders>
              <w:top w:val="single" w:color="999999" w:sz="4"/>
              <w:left w:val="single" w:color="999999" w:sz="4"/>
              <w:bottom w:val="single" w:color="999999" w:sz="4"/>
              <w:right w:val="single" w:color="999999" w:sz="4"/>
            </w:tcBorders>
            <w:shd w:color="000000" w:fill="ffffff" w:val="clear"/>
            <w:tcMar>
              <w:left w:w="108" w:type="dxa"/>
              <w:right w:w="108" w:type="dxa"/>
            </w:tcMar>
            <w:vAlign w:val="top"/>
          </w:tcPr>
          <w:p>
            <w:pPr>
              <w:spacing w:before="0" w:after="240" w:line="240"/>
              <w:ind w:right="0" w:left="0" w:firstLine="0"/>
              <w:jc w:val="both"/>
              <w:rPr>
                <w:rFonts w:ascii="Calibri" w:hAnsi="Calibri" w:cs="Calibri" w:eastAsia="Calibri"/>
                <w:spacing w:val="0"/>
                <w:position w:val="0"/>
                <w:shd w:fill="auto" w:val="clear"/>
              </w:rPr>
            </w:pPr>
            <w:r>
              <w:rPr>
                <w:rFonts w:ascii="Calibri" w:hAnsi="Calibri" w:cs="Calibri" w:eastAsia="Calibri"/>
                <w:color w:val="222222"/>
                <w:spacing w:val="0"/>
                <w:position w:val="0"/>
                <w:sz w:val="24"/>
                <w:shd w:fill="auto" w:val="clear"/>
              </w:rPr>
              <w:t xml:space="preserve">Specified</w:t>
            </w:r>
          </w:p>
        </w:tc>
        <w:tc>
          <w:tcPr>
            <w:tcW w:w="3889" w:type="dxa"/>
            <w:tcBorders>
              <w:top w:val="single" w:color="999999" w:sz="4"/>
              <w:left w:val="single" w:color="999999" w:sz="4"/>
              <w:bottom w:val="single" w:color="999999" w:sz="4"/>
              <w:right w:val="single" w:color="999999" w:sz="4"/>
            </w:tcBorders>
            <w:shd w:color="000000" w:fill="ffffff" w:val="clear"/>
            <w:tcMar>
              <w:left w:w="108" w:type="dxa"/>
              <w:right w:w="108" w:type="dxa"/>
            </w:tcMar>
            <w:vAlign w:val="top"/>
          </w:tcPr>
          <w:p>
            <w:pPr>
              <w:spacing w:before="0" w:after="240" w:line="240"/>
              <w:ind w:right="0" w:left="0" w:firstLine="0"/>
              <w:jc w:val="both"/>
              <w:rPr>
                <w:rFonts w:ascii="Calibri" w:hAnsi="Calibri" w:cs="Calibri" w:eastAsia="Calibri"/>
                <w:spacing w:val="0"/>
                <w:position w:val="0"/>
                <w:shd w:fill="auto" w:val="clear"/>
              </w:rPr>
            </w:pPr>
            <w:r>
              <w:rPr>
                <w:rFonts w:ascii="Calibri" w:hAnsi="Calibri" w:cs="Calibri" w:eastAsia="Calibri"/>
                <w:color w:val="222222"/>
                <w:spacing w:val="0"/>
                <w:position w:val="0"/>
                <w:sz w:val="24"/>
                <w:shd w:fill="auto" w:val="clear"/>
              </w:rPr>
              <w:t xml:space="preserve">Not specified</w:t>
            </w:r>
          </w:p>
        </w:tc>
      </w:tr>
      <w:tr>
        <w:trPr>
          <w:trHeight w:val="1" w:hRule="atLeast"/>
          <w:jc w:val="left"/>
        </w:trPr>
        <w:tc>
          <w:tcPr>
            <w:tcW w:w="2043" w:type="dxa"/>
            <w:tcBorders>
              <w:top w:val="single" w:color="999999" w:sz="4"/>
              <w:left w:val="single" w:color="999999" w:sz="4"/>
              <w:bottom w:val="single" w:color="999999" w:sz="4"/>
              <w:right w:val="single" w:color="999999" w:sz="4"/>
            </w:tcBorders>
            <w:shd w:color="000000" w:fill="ffffff" w:val="clear"/>
            <w:tcMar>
              <w:left w:w="108" w:type="dxa"/>
              <w:right w:w="108" w:type="dxa"/>
            </w:tcMar>
            <w:vAlign w:val="top"/>
          </w:tcPr>
          <w:p>
            <w:pPr>
              <w:spacing w:before="0" w:after="240" w:line="240"/>
              <w:ind w:right="0" w:left="0" w:firstLine="0"/>
              <w:jc w:val="left"/>
              <w:rPr>
                <w:rFonts w:ascii="Calibri" w:hAnsi="Calibri" w:cs="Calibri" w:eastAsia="Calibri"/>
                <w:spacing w:val="0"/>
                <w:position w:val="0"/>
                <w:shd w:fill="auto" w:val="clear"/>
              </w:rPr>
            </w:pPr>
            <w:r>
              <w:rPr>
                <w:rFonts w:ascii="Calibri" w:hAnsi="Calibri" w:cs="Calibri" w:eastAsia="Calibri"/>
                <w:color w:val="222222"/>
                <w:spacing w:val="0"/>
                <w:position w:val="0"/>
                <w:sz w:val="24"/>
                <w:shd w:fill="auto" w:val="clear"/>
              </w:rPr>
              <w:t xml:space="preserve">Time Frame</w:t>
            </w:r>
          </w:p>
        </w:tc>
        <w:tc>
          <w:tcPr>
            <w:tcW w:w="3668" w:type="dxa"/>
            <w:tcBorders>
              <w:top w:val="single" w:color="999999" w:sz="4"/>
              <w:left w:val="single" w:color="999999" w:sz="4"/>
              <w:bottom w:val="single" w:color="999999" w:sz="4"/>
              <w:right w:val="single" w:color="999999" w:sz="4"/>
            </w:tcBorders>
            <w:shd w:color="000000" w:fill="ffffff" w:val="clear"/>
            <w:tcMar>
              <w:left w:w="108" w:type="dxa"/>
              <w:right w:w="108" w:type="dxa"/>
            </w:tcMar>
            <w:vAlign w:val="top"/>
          </w:tcPr>
          <w:p>
            <w:pPr>
              <w:spacing w:before="0" w:after="240" w:line="240"/>
              <w:ind w:right="0" w:left="0" w:firstLine="0"/>
              <w:jc w:val="both"/>
              <w:rPr>
                <w:rFonts w:ascii="Calibri" w:hAnsi="Calibri" w:cs="Calibri" w:eastAsia="Calibri"/>
                <w:spacing w:val="0"/>
                <w:position w:val="0"/>
                <w:shd w:fill="auto" w:val="clear"/>
              </w:rPr>
            </w:pPr>
            <w:r>
              <w:rPr>
                <w:rFonts w:ascii="Calibri" w:hAnsi="Calibri" w:cs="Calibri" w:eastAsia="Calibri"/>
                <w:color w:val="222222"/>
                <w:spacing w:val="0"/>
                <w:position w:val="0"/>
                <w:sz w:val="24"/>
                <w:shd w:fill="auto" w:val="clear"/>
              </w:rPr>
              <w:t xml:space="preserve">At the end of the accounting period </w:t>
            </w:r>
          </w:p>
        </w:tc>
        <w:tc>
          <w:tcPr>
            <w:tcW w:w="3889" w:type="dxa"/>
            <w:tcBorders>
              <w:top w:val="single" w:color="999999" w:sz="4"/>
              <w:left w:val="single" w:color="999999" w:sz="4"/>
              <w:bottom w:val="single" w:color="999999" w:sz="4"/>
              <w:right w:val="single" w:color="999999" w:sz="4"/>
            </w:tcBorders>
            <w:shd w:color="000000" w:fill="ffffff" w:val="clear"/>
            <w:tcMar>
              <w:left w:w="108" w:type="dxa"/>
              <w:right w:w="108" w:type="dxa"/>
            </w:tcMar>
            <w:vAlign w:val="top"/>
          </w:tcPr>
          <w:p>
            <w:pPr>
              <w:spacing w:before="0" w:after="240" w:line="240"/>
              <w:ind w:right="0" w:left="0" w:firstLine="0"/>
              <w:jc w:val="both"/>
              <w:rPr>
                <w:rFonts w:ascii="Calibri" w:hAnsi="Calibri" w:cs="Calibri" w:eastAsia="Calibri"/>
                <w:spacing w:val="0"/>
                <w:position w:val="0"/>
                <w:shd w:fill="auto" w:val="clear"/>
              </w:rPr>
            </w:pPr>
            <w:r>
              <w:rPr>
                <w:rFonts w:ascii="Calibri" w:hAnsi="Calibri" w:cs="Calibri" w:eastAsia="Calibri"/>
                <w:color w:val="222222"/>
                <w:spacing w:val="0"/>
                <w:position w:val="0"/>
                <w:sz w:val="24"/>
                <w:shd w:fill="auto" w:val="clear"/>
              </w:rPr>
              <w:t xml:space="preserve">Prepared as per the need and requirements of the organization.</w:t>
            </w:r>
          </w:p>
        </w:tc>
      </w:tr>
      <w:tr>
        <w:trPr>
          <w:trHeight w:val="1" w:hRule="atLeast"/>
          <w:jc w:val="left"/>
        </w:trPr>
        <w:tc>
          <w:tcPr>
            <w:tcW w:w="2043" w:type="dxa"/>
            <w:tcBorders>
              <w:top w:val="single" w:color="999999" w:sz="4"/>
              <w:left w:val="single" w:color="999999" w:sz="4"/>
              <w:bottom w:val="single" w:color="999999" w:sz="4"/>
              <w:right w:val="single" w:color="999999" w:sz="4"/>
            </w:tcBorders>
            <w:shd w:color="000000" w:fill="ffffff" w:val="clear"/>
            <w:tcMar>
              <w:left w:w="108" w:type="dxa"/>
              <w:right w:w="108" w:type="dxa"/>
            </w:tcMar>
            <w:vAlign w:val="top"/>
          </w:tcPr>
          <w:p>
            <w:pPr>
              <w:spacing w:before="0" w:after="240" w:line="240"/>
              <w:ind w:right="0" w:left="0" w:firstLine="0"/>
              <w:jc w:val="left"/>
              <w:rPr>
                <w:rFonts w:ascii="Calibri" w:hAnsi="Calibri" w:cs="Calibri" w:eastAsia="Calibri"/>
                <w:spacing w:val="0"/>
                <w:position w:val="0"/>
                <w:shd w:fill="auto" w:val="clear"/>
              </w:rPr>
            </w:pPr>
            <w:r>
              <w:rPr>
                <w:rFonts w:ascii="Calibri" w:hAnsi="Calibri" w:cs="Calibri" w:eastAsia="Calibri"/>
                <w:color w:val="222222"/>
                <w:spacing w:val="0"/>
                <w:position w:val="0"/>
                <w:sz w:val="24"/>
                <w:shd w:fill="auto" w:val="clear"/>
              </w:rPr>
              <w:t xml:space="preserve">User</w:t>
            </w:r>
          </w:p>
        </w:tc>
        <w:tc>
          <w:tcPr>
            <w:tcW w:w="3668" w:type="dxa"/>
            <w:tcBorders>
              <w:top w:val="single" w:color="999999" w:sz="4"/>
              <w:left w:val="single" w:color="999999" w:sz="4"/>
              <w:bottom w:val="single" w:color="999999" w:sz="4"/>
              <w:right w:val="single" w:color="999999" w:sz="4"/>
            </w:tcBorders>
            <w:shd w:color="000000" w:fill="ffffff" w:val="clear"/>
            <w:tcMar>
              <w:left w:w="108" w:type="dxa"/>
              <w:right w:w="108" w:type="dxa"/>
            </w:tcMar>
            <w:vAlign w:val="top"/>
          </w:tcPr>
          <w:p>
            <w:pPr>
              <w:spacing w:before="0" w:after="240" w:line="240"/>
              <w:ind w:right="0" w:left="0" w:firstLine="0"/>
              <w:jc w:val="both"/>
              <w:rPr>
                <w:rFonts w:ascii="Calibri" w:hAnsi="Calibri" w:cs="Calibri" w:eastAsia="Calibri"/>
                <w:spacing w:val="0"/>
                <w:position w:val="0"/>
                <w:shd w:fill="auto" w:val="clear"/>
              </w:rPr>
            </w:pPr>
            <w:r>
              <w:rPr>
                <w:rFonts w:ascii="Calibri" w:hAnsi="Calibri" w:cs="Calibri" w:eastAsia="Calibri"/>
                <w:color w:val="222222"/>
                <w:spacing w:val="0"/>
                <w:position w:val="0"/>
                <w:sz w:val="24"/>
                <w:shd w:fill="auto" w:val="clear"/>
              </w:rPr>
              <w:t xml:space="preserve">Internal and external parties</w:t>
            </w:r>
          </w:p>
        </w:tc>
        <w:tc>
          <w:tcPr>
            <w:tcW w:w="3889" w:type="dxa"/>
            <w:tcBorders>
              <w:top w:val="single" w:color="999999" w:sz="4"/>
              <w:left w:val="single" w:color="999999" w:sz="4"/>
              <w:bottom w:val="single" w:color="999999" w:sz="4"/>
              <w:right w:val="single" w:color="999999" w:sz="4"/>
            </w:tcBorders>
            <w:shd w:color="000000" w:fill="ffffff" w:val="clear"/>
            <w:tcMar>
              <w:left w:w="108" w:type="dxa"/>
              <w:right w:w="108" w:type="dxa"/>
            </w:tcMar>
            <w:vAlign w:val="top"/>
          </w:tcPr>
          <w:p>
            <w:pPr>
              <w:spacing w:before="0" w:after="240" w:line="240"/>
              <w:ind w:right="0" w:left="0" w:firstLine="0"/>
              <w:jc w:val="both"/>
              <w:rPr>
                <w:rFonts w:ascii="Calibri" w:hAnsi="Calibri" w:cs="Calibri" w:eastAsia="Calibri"/>
                <w:spacing w:val="0"/>
                <w:position w:val="0"/>
                <w:shd w:fill="auto" w:val="clear"/>
              </w:rPr>
            </w:pPr>
            <w:r>
              <w:rPr>
                <w:rFonts w:ascii="Calibri" w:hAnsi="Calibri" w:cs="Calibri" w:eastAsia="Calibri"/>
                <w:color w:val="222222"/>
                <w:spacing w:val="0"/>
                <w:position w:val="0"/>
                <w:sz w:val="24"/>
                <w:shd w:fill="auto" w:val="clear"/>
              </w:rPr>
              <w:t xml:space="preserve">Only internal management.</w:t>
            </w:r>
          </w:p>
        </w:tc>
      </w:tr>
    </w:tbl>
    <w:p>
      <w:pPr>
        <w:spacing w:before="0" w:after="160" w:line="360"/>
        <w:ind w:right="0" w:left="0" w:firstLine="0"/>
        <w:jc w:val="both"/>
        <w:rPr>
          <w:rFonts w:ascii="Calibri" w:hAnsi="Calibri" w:cs="Calibri" w:eastAsia="Calibri"/>
          <w:color w:val="auto"/>
          <w:spacing w:val="0"/>
          <w:position w:val="0"/>
          <w:sz w:val="24"/>
          <w:shd w:fill="auto" w:val="clear"/>
        </w:rPr>
      </w:pPr>
    </w:p>
    <w:p>
      <w:pPr>
        <w:spacing w:before="0" w:after="160" w:line="360"/>
        <w:ind w:right="0" w:left="0" w:firstLine="0"/>
        <w:jc w:val="both"/>
        <w:rPr>
          <w:rFonts w:ascii="Calibri" w:hAnsi="Calibri" w:cs="Calibri" w:eastAsia="Calibri"/>
          <w:b/>
          <w:color w:val="auto"/>
          <w:spacing w:val="0"/>
          <w:position w:val="0"/>
          <w:sz w:val="24"/>
          <w:shd w:fill="auto" w:val="clear"/>
        </w:rPr>
      </w:pPr>
      <w:r>
        <w:object w:dxaOrig="8985" w:dyaOrig="693">
          <v:rect xmlns:o="urn:schemas-microsoft-com:office:office" xmlns:v="urn:schemas-microsoft-com:vml" id="rectole0000000006" style="width:449.250000pt;height:34.650000pt" o:preferrelative="t" o:ole="">
            <o:lock v:ext="edit"/>
            <v:imagedata xmlns:r="http://schemas.openxmlformats.org/officeDocument/2006/relationships" r:id="docRId13" o:title=""/>
          </v:rect>
          <o:OLEObject xmlns:r="http://schemas.openxmlformats.org/officeDocument/2006/relationships" xmlns:o="urn:schemas-microsoft-com:office:office" Type="Embed" ProgID="StaticMetafile" DrawAspect="Content" ObjectID="0000000006" ShapeID="rectole0000000006" r:id="docRId12"/>
        </w:object>
      </w:r>
    </w:p>
    <w:p>
      <w:pPr>
        <w:spacing w:before="0" w:after="160" w:line="360"/>
        <w:ind w:right="0" w:left="0" w:firstLine="0"/>
        <w:jc w:val="both"/>
        <w:rPr>
          <w:rFonts w:ascii="Calibri" w:hAnsi="Calibri" w:cs="Calibri" w:eastAsia="Calibri"/>
          <w:b/>
          <w:color w:val="auto"/>
          <w:spacing w:val="0"/>
          <w:position w:val="0"/>
          <w:sz w:val="24"/>
          <w:shd w:fill="auto" w:val="clear"/>
        </w:rPr>
      </w:pPr>
      <w:r>
        <w:rPr>
          <w:rFonts w:ascii="Calibri" w:hAnsi="Calibri" w:cs="Calibri" w:eastAsia="Calibri"/>
          <w:b/>
          <w:color w:val="auto"/>
          <w:spacing w:val="0"/>
          <w:position w:val="0"/>
          <w:sz w:val="24"/>
          <w:shd w:fill="auto" w:val="clear"/>
        </w:rPr>
        <w:t xml:space="preserve">Financial Planning</w:t>
      </w:r>
    </w:p>
    <w:p>
      <w:pPr>
        <w:spacing w:before="0" w:after="16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Finance is needed for a company to function. Financial preparation entails assessing the firm's long-term and short-term funding goals. Any company must determine how it can raise funds.</w:t>
      </w:r>
    </w:p>
    <w:p>
      <w:pPr>
        <w:spacing w:before="0" w:after="16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 funds can be collected in one of two ways: by issuing stock or by taking out loans. The form of capital, equity share capital or preference share capital, must be decided once more.</w:t>
      </w:r>
    </w:p>
    <w:p>
      <w:pPr>
        <w:spacing w:before="0" w:after="16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Management must determine whether to repay long-term or short-term as it chooses to collect funds from loans. All of these decisions are crucial in terms of budgeting </w:t>
      </w:r>
      <w:r>
        <w:rPr>
          <w:rFonts w:ascii="Calibri" w:hAnsi="Calibri" w:cs="Calibri" w:eastAsia="Calibri"/>
          <w:color w:val="222222"/>
          <w:spacing w:val="0"/>
          <w:position w:val="0"/>
          <w:sz w:val="24"/>
          <w:shd w:fill="FFFFFF" w:val="clear"/>
        </w:rPr>
        <w:t xml:space="preserve">(Li, 2018)</w:t>
      </w:r>
      <w:r>
        <w:rPr>
          <w:rFonts w:ascii="Calibri" w:hAnsi="Calibri" w:cs="Calibri" w:eastAsia="Calibri"/>
          <w:color w:val="auto"/>
          <w:spacing w:val="0"/>
          <w:position w:val="0"/>
          <w:sz w:val="24"/>
          <w:shd w:fill="auto" w:val="clear"/>
        </w:rPr>
        <w:t xml:space="preserve">.</w:t>
      </w:r>
    </w:p>
    <w:p>
      <w:pPr>
        <w:spacing w:before="0" w:after="160" w:line="360"/>
        <w:ind w:right="0" w:left="0" w:firstLine="0"/>
        <w:jc w:val="both"/>
        <w:rPr>
          <w:rFonts w:ascii="Calibri" w:hAnsi="Calibri" w:cs="Calibri" w:eastAsia="Calibri"/>
          <w:b/>
          <w:color w:val="auto"/>
          <w:spacing w:val="0"/>
          <w:position w:val="0"/>
          <w:sz w:val="24"/>
          <w:shd w:fill="auto" w:val="clear"/>
        </w:rPr>
      </w:pPr>
      <w:r>
        <w:rPr>
          <w:rFonts w:ascii="Calibri" w:hAnsi="Calibri" w:cs="Calibri" w:eastAsia="Calibri"/>
          <w:b/>
          <w:color w:val="auto"/>
          <w:spacing w:val="0"/>
          <w:position w:val="0"/>
          <w:sz w:val="24"/>
          <w:shd w:fill="auto" w:val="clear"/>
        </w:rPr>
        <w:t xml:space="preserve">Budgetary Control</w:t>
      </w:r>
    </w:p>
    <w:p>
      <w:pPr>
        <w:spacing w:before="0" w:after="16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There are a variety of devices that aid in control. “Budget” is the most used management control system.</w:t>
      </w:r>
    </w:p>
    <w:p>
      <w:pPr>
        <w:spacing w:before="0" w:after="16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Budgetary management is a mechanism that uses a budget to schedule, control, and coordinate various forms of operations, such as the manufacture and delivery of goods and services according to plan </w:t>
      </w:r>
      <w:r>
        <w:rPr>
          <w:rFonts w:ascii="Calibri" w:hAnsi="Calibri" w:cs="Calibri" w:eastAsia="Calibri"/>
          <w:color w:val="222222"/>
          <w:spacing w:val="0"/>
          <w:position w:val="0"/>
          <w:sz w:val="24"/>
          <w:shd w:fill="FFFFFF" w:val="clear"/>
        </w:rPr>
        <w:t xml:space="preserve">(Collis and Hussey, 2017)</w:t>
      </w:r>
      <w:r>
        <w:rPr>
          <w:rFonts w:ascii="Calibri" w:hAnsi="Calibri" w:cs="Calibri" w:eastAsia="Calibri"/>
          <w:color w:val="auto"/>
          <w:spacing w:val="0"/>
          <w:position w:val="0"/>
          <w:sz w:val="24"/>
          <w:shd w:fill="auto" w:val="clear"/>
        </w:rPr>
        <w:t xml:space="preserve">.</w:t>
      </w:r>
    </w:p>
    <w:p>
      <w:pPr>
        <w:spacing w:before="0" w:after="160" w:line="360"/>
        <w:ind w:right="0" w:left="0" w:firstLine="0"/>
        <w:jc w:val="both"/>
        <w:rPr>
          <w:rFonts w:ascii="Calibri" w:hAnsi="Calibri" w:cs="Calibri" w:eastAsia="Calibri"/>
          <w:b/>
          <w:color w:val="auto"/>
          <w:spacing w:val="0"/>
          <w:position w:val="0"/>
          <w:sz w:val="24"/>
          <w:shd w:fill="auto" w:val="clear"/>
        </w:rPr>
      </w:pPr>
      <w:r>
        <w:rPr>
          <w:rFonts w:ascii="Calibri" w:hAnsi="Calibri" w:cs="Calibri" w:eastAsia="Calibri"/>
          <w:b/>
          <w:color w:val="auto"/>
          <w:spacing w:val="0"/>
          <w:position w:val="0"/>
          <w:sz w:val="24"/>
          <w:shd w:fill="auto" w:val="clear"/>
        </w:rPr>
        <w:t xml:space="preserve">Marginal Costing</w:t>
      </w:r>
    </w:p>
    <w:p>
      <w:pPr>
        <w:spacing w:before="0" w:after="16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Marginal costing is useful for determining the feasibility of various manufacturing lines. This method aids in determining the essence of costs such as marginal (variable) and fixed costs.</w:t>
      </w:r>
    </w:p>
    <w:p>
      <w:pPr>
        <w:spacing w:before="0" w:after="16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This is a costing approach that is concerned with increases in prices as a function of changes in output rate </w:t>
      </w:r>
      <w:r>
        <w:rPr>
          <w:rFonts w:ascii="Calibri" w:hAnsi="Calibri" w:cs="Calibri" w:eastAsia="Calibri"/>
          <w:color w:val="222222"/>
          <w:spacing w:val="0"/>
          <w:position w:val="0"/>
          <w:sz w:val="24"/>
          <w:shd w:fill="FFFFFF" w:val="clear"/>
        </w:rPr>
        <w:t xml:space="preserve">(Collis and Hussey, 2017)</w:t>
      </w:r>
      <w:r>
        <w:rPr>
          <w:rFonts w:ascii="Calibri" w:hAnsi="Calibri" w:cs="Calibri" w:eastAsia="Calibri"/>
          <w:color w:val="auto"/>
          <w:spacing w:val="0"/>
          <w:position w:val="0"/>
          <w:sz w:val="24"/>
          <w:shd w:fill="auto" w:val="clear"/>
        </w:rPr>
        <w:t xml:space="preserve">.</w:t>
      </w:r>
    </w:p>
    <w:p>
      <w:pPr>
        <w:keepNext w:val="true"/>
        <w:keepLines w:val="true"/>
        <w:spacing w:before="240" w:after="0" w:line="360"/>
        <w:ind w:right="0" w:left="0" w:firstLine="0"/>
        <w:jc w:val="both"/>
        <w:rPr>
          <w:rFonts w:ascii="Calibri" w:hAnsi="Calibri" w:cs="Calibri" w:eastAsia="Calibri"/>
          <w:b/>
          <w:color w:val="000000"/>
          <w:spacing w:val="0"/>
          <w:position w:val="0"/>
          <w:sz w:val="28"/>
          <w:shd w:fill="auto" w:val="clear"/>
        </w:rPr>
      </w:pPr>
      <w:r>
        <w:rPr>
          <w:rFonts w:ascii="Calibri" w:hAnsi="Calibri" w:cs="Calibri" w:eastAsia="Calibri"/>
          <w:b/>
          <w:color w:val="000000"/>
          <w:spacing w:val="0"/>
          <w:position w:val="0"/>
          <w:sz w:val="28"/>
          <w:shd w:fill="auto" w:val="clear"/>
        </w:rPr>
        <w:t xml:space="preserve">References </w:t>
      </w:r>
    </w:p>
    <w:p>
      <w:pPr>
        <w:spacing w:before="0" w:after="160" w:line="360"/>
        <w:ind w:right="0" w:left="567" w:hanging="567"/>
        <w:jc w:val="both"/>
        <w:rPr>
          <w:rFonts w:ascii="Calibri" w:hAnsi="Calibri" w:cs="Calibri" w:eastAsia="Calibri"/>
          <w:color w:val="auto"/>
          <w:spacing w:val="0"/>
          <w:position w:val="0"/>
          <w:sz w:val="24"/>
          <w:shd w:fill="auto" w:val="clear"/>
        </w:rPr>
      </w:pPr>
      <w:r>
        <w:rPr>
          <w:rFonts w:ascii="Calibri" w:hAnsi="Calibri" w:cs="Calibri" w:eastAsia="Calibri"/>
          <w:color w:val="222222"/>
          <w:spacing w:val="0"/>
          <w:position w:val="0"/>
          <w:sz w:val="24"/>
          <w:shd w:fill="FFFFFF" w:val="clear"/>
        </w:rPr>
        <w:t xml:space="preserve">Charifzadeh, M. and Taschner, A., 2017. </w:t>
      </w:r>
      <w:r>
        <w:rPr>
          <w:rFonts w:ascii="Calibri" w:hAnsi="Calibri" w:cs="Calibri" w:eastAsia="Calibri"/>
          <w:i/>
          <w:color w:val="222222"/>
          <w:spacing w:val="0"/>
          <w:position w:val="0"/>
          <w:sz w:val="24"/>
          <w:shd w:fill="FFFFFF" w:val="clear"/>
        </w:rPr>
        <w:t xml:space="preserve">Management accounting and control: tools and concepts in a Central European context</w:t>
      </w:r>
      <w:r>
        <w:rPr>
          <w:rFonts w:ascii="Calibri" w:hAnsi="Calibri" w:cs="Calibri" w:eastAsia="Calibri"/>
          <w:color w:val="222222"/>
          <w:spacing w:val="0"/>
          <w:position w:val="0"/>
          <w:sz w:val="24"/>
          <w:shd w:fill="FFFFFF" w:val="clear"/>
        </w:rPr>
        <w:t xml:space="preserve">. John Wiley &amp; Sons.</w:t>
      </w:r>
    </w:p>
    <w:p>
      <w:pPr>
        <w:spacing w:before="0" w:after="160" w:line="360"/>
        <w:ind w:right="0" w:left="567" w:hanging="567"/>
        <w:jc w:val="both"/>
        <w:rPr>
          <w:rFonts w:ascii="Calibri" w:hAnsi="Calibri" w:cs="Calibri" w:eastAsia="Calibri"/>
          <w:color w:val="auto"/>
          <w:spacing w:val="0"/>
          <w:position w:val="0"/>
          <w:sz w:val="24"/>
          <w:shd w:fill="auto" w:val="clear"/>
        </w:rPr>
      </w:pPr>
      <w:r>
        <w:rPr>
          <w:rFonts w:ascii="Calibri" w:hAnsi="Calibri" w:cs="Calibri" w:eastAsia="Calibri"/>
          <w:color w:val="222222"/>
          <w:spacing w:val="0"/>
          <w:position w:val="0"/>
          <w:sz w:val="24"/>
          <w:shd w:fill="FFFFFF" w:val="clear"/>
        </w:rPr>
        <w:t xml:space="preserve">Collis, J. and Hussey, R., 2017. </w:t>
      </w:r>
      <w:r>
        <w:rPr>
          <w:rFonts w:ascii="Calibri" w:hAnsi="Calibri" w:cs="Calibri" w:eastAsia="Calibri"/>
          <w:i/>
          <w:color w:val="222222"/>
          <w:spacing w:val="0"/>
          <w:position w:val="0"/>
          <w:sz w:val="24"/>
          <w:shd w:fill="FFFFFF" w:val="clear"/>
        </w:rPr>
        <w:t xml:space="preserve">Cost and management accounting</w:t>
      </w:r>
      <w:r>
        <w:rPr>
          <w:rFonts w:ascii="Calibri" w:hAnsi="Calibri" w:cs="Calibri" w:eastAsia="Calibri"/>
          <w:color w:val="222222"/>
          <w:spacing w:val="0"/>
          <w:position w:val="0"/>
          <w:sz w:val="24"/>
          <w:shd w:fill="FFFFFF" w:val="clear"/>
        </w:rPr>
        <w:t xml:space="preserve">. Macmillan International Higher Education.</w:t>
      </w:r>
    </w:p>
    <w:p>
      <w:pPr>
        <w:spacing w:before="0" w:after="160" w:line="360"/>
        <w:ind w:right="0" w:left="567" w:hanging="567"/>
        <w:jc w:val="both"/>
        <w:rPr>
          <w:rFonts w:ascii="Calibri" w:hAnsi="Calibri" w:cs="Calibri" w:eastAsia="Calibri"/>
          <w:b/>
          <w:color w:val="auto"/>
          <w:spacing w:val="0"/>
          <w:position w:val="0"/>
          <w:sz w:val="24"/>
          <w:shd w:fill="auto" w:val="clear"/>
        </w:rPr>
      </w:pPr>
      <w:r>
        <w:rPr>
          <w:rFonts w:ascii="Calibri" w:hAnsi="Calibri" w:cs="Calibri" w:eastAsia="Calibri"/>
          <w:color w:val="222222"/>
          <w:spacing w:val="0"/>
          <w:position w:val="0"/>
          <w:sz w:val="24"/>
          <w:shd w:fill="FFFFFF" w:val="clear"/>
        </w:rPr>
        <w:t xml:space="preserve">Li, W.S., 2018. Strategic Management Accounting. </w:t>
      </w:r>
      <w:r>
        <w:rPr>
          <w:rFonts w:ascii="Calibri" w:hAnsi="Calibri" w:cs="Calibri" w:eastAsia="Calibri"/>
          <w:i/>
          <w:color w:val="222222"/>
          <w:spacing w:val="0"/>
          <w:position w:val="0"/>
          <w:sz w:val="24"/>
          <w:shd w:fill="FFFFFF" w:val="clear"/>
        </w:rPr>
        <w:t xml:space="preserve">Management for Professionals</w:t>
      </w:r>
      <w:r>
        <w:rPr>
          <w:rFonts w:ascii="Calibri" w:hAnsi="Calibri" w:cs="Calibri" w:eastAsia="Calibri"/>
          <w:color w:val="222222"/>
          <w:spacing w:val="0"/>
          <w:position w:val="0"/>
          <w:sz w:val="24"/>
          <w:shd w:fill="FFFFFF" w:val="clear"/>
        </w:rPr>
        <w:t xml:space="preserve">.</w:t>
      </w:r>
    </w:p>
    <w:p>
      <w:pPr>
        <w:spacing w:before="0" w:after="160" w:line="360"/>
        <w:ind w:right="0" w:left="567" w:hanging="567"/>
        <w:jc w:val="both"/>
        <w:rPr>
          <w:rFonts w:ascii="Calibri" w:hAnsi="Calibri" w:cs="Calibri" w:eastAsia="Calibri"/>
          <w:color w:val="auto"/>
          <w:spacing w:val="0"/>
          <w:position w:val="0"/>
          <w:sz w:val="24"/>
          <w:shd w:fill="auto" w:val="clear"/>
        </w:rPr>
      </w:pPr>
      <w:r>
        <w:rPr>
          <w:rFonts w:ascii="Calibri" w:hAnsi="Calibri" w:cs="Calibri" w:eastAsia="Calibri"/>
          <w:color w:val="222222"/>
          <w:spacing w:val="0"/>
          <w:position w:val="0"/>
          <w:sz w:val="24"/>
          <w:shd w:fill="FFFFFF" w:val="clear"/>
        </w:rPr>
        <w:t xml:space="preserve">Malina, M.A. ed., 2017. </w:t>
      </w:r>
      <w:r>
        <w:rPr>
          <w:rFonts w:ascii="Calibri" w:hAnsi="Calibri" w:cs="Calibri" w:eastAsia="Calibri"/>
          <w:i/>
          <w:color w:val="222222"/>
          <w:spacing w:val="0"/>
          <w:position w:val="0"/>
          <w:sz w:val="24"/>
          <w:shd w:fill="FFFFFF" w:val="clear"/>
        </w:rPr>
        <w:t xml:space="preserve">Advances in management accounting</w:t>
      </w:r>
      <w:r>
        <w:rPr>
          <w:rFonts w:ascii="Calibri" w:hAnsi="Calibri" w:cs="Calibri" w:eastAsia="Calibri"/>
          <w:color w:val="222222"/>
          <w:spacing w:val="0"/>
          <w:position w:val="0"/>
          <w:sz w:val="24"/>
          <w:shd w:fill="FFFFFF" w:val="clear"/>
        </w:rPr>
        <w:t xml:space="preserve">. Emerald Group Publishing.</w:t>
      </w:r>
    </w:p>
    <w:p>
      <w:pPr>
        <w:spacing w:before="0" w:after="160" w:line="360"/>
        <w:ind w:right="0" w:left="0" w:firstLine="0"/>
        <w:jc w:val="both"/>
        <w:rPr>
          <w:rFonts w:ascii="Calibri" w:hAnsi="Calibri" w:cs="Calibri" w:eastAsia="Calibri"/>
          <w:color w:val="auto"/>
          <w:spacing w:val="0"/>
          <w:position w:val="0"/>
          <w:sz w:val="24"/>
          <w:shd w:fill="auto" w:val="clear"/>
        </w:rPr>
      </w:pPr>
    </w:p>
    <w:p>
      <w:pPr>
        <w:spacing w:before="0" w:after="160" w:line="360"/>
        <w:ind w:right="0" w:left="0" w:firstLine="0"/>
        <w:jc w:val="both"/>
        <w:rPr>
          <w:rFonts w:ascii="Calibri" w:hAnsi="Calibri" w:cs="Calibri" w:eastAsia="Calibri"/>
          <w:color w:val="auto"/>
          <w:spacing w:val="0"/>
          <w:position w:val="0"/>
          <w:sz w:val="24"/>
          <w:shd w:fill="auto" w:val="clear"/>
        </w:rPr>
      </w:pPr>
    </w:p>
    <w:p>
      <w:pPr>
        <w:spacing w:before="0" w:after="160" w:line="360"/>
        <w:ind w:right="0" w:left="0" w:firstLine="0"/>
        <w:jc w:val="both"/>
        <w:rPr>
          <w:rFonts w:ascii="Calibri" w:hAnsi="Calibri" w:cs="Calibri" w:eastAsia="Calibri"/>
          <w:color w:val="auto"/>
          <w:spacing w:val="0"/>
          <w:position w:val="0"/>
          <w:sz w:val="24"/>
          <w:shd w:fill="auto" w:val="clear"/>
        </w:rPr>
      </w:pPr>
    </w:p>
    <w:p>
      <w:pPr>
        <w:spacing w:before="0" w:after="160" w:line="360"/>
        <w:ind w:right="0" w:left="0" w:firstLine="0"/>
        <w:jc w:val="both"/>
        <w:rPr>
          <w:rFonts w:ascii="Calibri" w:hAnsi="Calibri" w:cs="Calibri" w:eastAsia="Calibri"/>
          <w:color w:val="auto"/>
          <w:spacing w:val="0"/>
          <w:position w:val="0"/>
          <w:sz w:val="24"/>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num w:numId="18">
    <w:abstractNumId w:val="6"/>
  </w:num>
  <w:num w:numId="20">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6.wmf" Id="docRId13" Type="http://schemas.openxmlformats.org/officeDocument/2006/relationships/image" /><Relationship Target="media/image1.wmf" Id="docRId3" Type="http://schemas.openxmlformats.org/officeDocument/2006/relationships/image" /><Relationship Target="media/image3.wmf" Id="docRId7" Type="http://schemas.openxmlformats.org/officeDocument/2006/relationships/image" /><Relationship Target="embeddings/oleObject5.bin" Id="docRId10" Type="http://schemas.openxmlformats.org/officeDocument/2006/relationships/oleObject" /><Relationship Target="numbering.xml" Id="docRId14" Type="http://schemas.openxmlformats.org/officeDocument/2006/relationships/numbering" /><Relationship Target="embeddings/oleObject1.bin" Id="docRId2" Type="http://schemas.openxmlformats.org/officeDocument/2006/relationships/oleObject" /><Relationship Target="embeddings/oleObject3.bin" Id="docRId6" Type="http://schemas.openxmlformats.org/officeDocument/2006/relationships/oleObject" /><Relationship Target="media/image0.wmf" Id="docRId1" Type="http://schemas.openxmlformats.org/officeDocument/2006/relationships/image" /><Relationship Target="media/image5.wmf" Id="docRId11" Type="http://schemas.openxmlformats.org/officeDocument/2006/relationships/image" /><Relationship Target="styles.xml" Id="docRId15" Type="http://schemas.openxmlformats.org/officeDocument/2006/relationships/styles" /><Relationship Target="media/image2.wmf" Id="docRId5" Type="http://schemas.openxmlformats.org/officeDocument/2006/relationships/image" /><Relationship Target="media/image4.wmf" Id="docRId9" Type="http://schemas.openxmlformats.org/officeDocument/2006/relationships/image" /><Relationship Target="embeddings/oleObject0.bin" Id="docRId0" Type="http://schemas.openxmlformats.org/officeDocument/2006/relationships/oleObject" /><Relationship Target="embeddings/oleObject6.bin" Id="docRId12" Type="http://schemas.openxmlformats.org/officeDocument/2006/relationships/oleObject" /><Relationship Target="embeddings/oleObject2.bin" Id="docRId4" Type="http://schemas.openxmlformats.org/officeDocument/2006/relationships/oleObject" /><Relationship Target="embeddings/oleObject4.bin" Id="docRId8" Type="http://schemas.openxmlformats.org/officeDocument/2006/relationships/oleObject" /></Relationships>
</file>