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F4B" w:rsidRDefault="00416809" w:rsidP="00484F4B">
      <w:pPr>
        <w:jc w:val="center"/>
        <w:rPr>
          <w:rFonts w:ascii="Arial" w:hAnsi="Arial" w:cs="Arial"/>
          <w:sz w:val="44"/>
          <w:szCs w:val="44"/>
        </w:rPr>
      </w:pPr>
      <w:r>
        <w:rPr>
          <w:rFonts w:ascii="Arial" w:hAnsi="Arial" w:cs="Arial"/>
          <w:sz w:val="44"/>
          <w:szCs w:val="44"/>
        </w:rPr>
        <w:t>Advanced Application of Employment Law</w:t>
      </w:r>
    </w:p>
    <w:p w:rsidR="00484F4B" w:rsidRPr="00484F4B" w:rsidRDefault="00484F4B" w:rsidP="00484F4B">
      <w:pPr>
        <w:jc w:val="center"/>
        <w:rPr>
          <w:rFonts w:ascii="Arial" w:hAnsi="Arial" w:cs="Arial"/>
          <w:sz w:val="44"/>
          <w:szCs w:val="44"/>
        </w:rPr>
      </w:pPr>
    </w:p>
    <w:p w:rsidR="00484F4B" w:rsidRPr="008E1CDA" w:rsidRDefault="00484F4B" w:rsidP="00484F4B">
      <w:pPr>
        <w:jc w:val="center"/>
        <w:rPr>
          <w:rFonts w:ascii="Arial" w:hAnsi="Arial" w:cs="Arial"/>
          <w:sz w:val="24"/>
          <w:szCs w:val="24"/>
        </w:rPr>
      </w:pPr>
      <w:r w:rsidRPr="008E1CDA">
        <w:rPr>
          <w:rFonts w:ascii="Arial" w:hAnsi="Arial" w:cs="Arial"/>
          <w:sz w:val="24"/>
          <w:szCs w:val="24"/>
        </w:rPr>
        <w:t>Jodie Barnett</w:t>
      </w:r>
    </w:p>
    <w:p w:rsidR="00484F4B" w:rsidRPr="008E1CDA" w:rsidRDefault="00484F4B" w:rsidP="00484F4B">
      <w:pPr>
        <w:jc w:val="center"/>
        <w:rPr>
          <w:rFonts w:ascii="Arial" w:hAnsi="Arial" w:cs="Arial"/>
          <w:sz w:val="24"/>
          <w:szCs w:val="24"/>
        </w:rPr>
      </w:pPr>
    </w:p>
    <w:p w:rsidR="00484F4B" w:rsidRPr="008E1CDA" w:rsidRDefault="00484F4B" w:rsidP="00484F4B">
      <w:pPr>
        <w:jc w:val="center"/>
        <w:rPr>
          <w:rFonts w:ascii="Arial" w:hAnsi="Arial" w:cs="Arial"/>
          <w:sz w:val="24"/>
          <w:szCs w:val="24"/>
        </w:rPr>
      </w:pPr>
      <w:r w:rsidRPr="008E1CDA">
        <w:rPr>
          <w:rFonts w:ascii="Arial" w:hAnsi="Arial" w:cs="Arial"/>
          <w:sz w:val="24"/>
          <w:szCs w:val="24"/>
        </w:rPr>
        <w:t xml:space="preserve">Module code: </w:t>
      </w:r>
      <w:r w:rsidR="00416809">
        <w:rPr>
          <w:rFonts w:ascii="Arial" w:hAnsi="Arial" w:cs="Arial"/>
          <w:b/>
          <w:sz w:val="24"/>
          <w:szCs w:val="24"/>
        </w:rPr>
        <w:t>BMHR7019</w:t>
      </w:r>
    </w:p>
    <w:p w:rsidR="00484F4B" w:rsidRPr="008E1CDA" w:rsidRDefault="00484F4B" w:rsidP="00484F4B">
      <w:pPr>
        <w:jc w:val="center"/>
        <w:rPr>
          <w:rFonts w:ascii="Arial" w:hAnsi="Arial" w:cs="Arial"/>
          <w:sz w:val="24"/>
          <w:szCs w:val="24"/>
        </w:rPr>
      </w:pPr>
    </w:p>
    <w:p w:rsidR="00484F4B" w:rsidRPr="008E1CDA" w:rsidRDefault="00484F4B" w:rsidP="00484F4B">
      <w:pPr>
        <w:jc w:val="center"/>
        <w:rPr>
          <w:rFonts w:ascii="Arial" w:hAnsi="Arial" w:cs="Arial"/>
          <w:sz w:val="24"/>
          <w:szCs w:val="24"/>
        </w:rPr>
      </w:pPr>
      <w:r w:rsidRPr="008E1CDA">
        <w:rPr>
          <w:rFonts w:ascii="Arial" w:hAnsi="Arial" w:cs="Arial"/>
          <w:sz w:val="24"/>
          <w:szCs w:val="24"/>
        </w:rPr>
        <w:t>Student number: 1905258</w:t>
      </w:r>
    </w:p>
    <w:p w:rsidR="00484F4B" w:rsidRDefault="00484F4B" w:rsidP="00484F4B">
      <w:pPr>
        <w:rPr>
          <w:rFonts w:ascii="Arial" w:hAnsi="Arial" w:cs="Arial"/>
          <w:sz w:val="24"/>
          <w:szCs w:val="24"/>
        </w:rPr>
      </w:pPr>
    </w:p>
    <w:p w:rsidR="00484F4B" w:rsidRPr="006134DA" w:rsidRDefault="00484F4B" w:rsidP="00484F4B">
      <w:pPr>
        <w:rPr>
          <w:rFonts w:ascii="Arial" w:hAnsi="Arial" w:cs="Arial"/>
          <w:sz w:val="28"/>
          <w:szCs w:val="28"/>
        </w:rPr>
      </w:pPr>
      <w:r w:rsidRPr="008E1CDA">
        <w:rPr>
          <w:rFonts w:ascii="Arial" w:hAnsi="Arial" w:cs="Arial"/>
          <w:sz w:val="24"/>
          <w:szCs w:val="24"/>
        </w:rPr>
        <w:t>Word count: (3</w:t>
      </w:r>
      <w:r w:rsidR="00416809">
        <w:rPr>
          <w:rFonts w:ascii="Arial" w:hAnsi="Arial" w:cs="Arial"/>
          <w:sz w:val="24"/>
          <w:szCs w:val="24"/>
        </w:rPr>
        <w:t>0</w:t>
      </w:r>
      <w:r w:rsidRPr="008E1CDA">
        <w:rPr>
          <w:rFonts w:ascii="Arial" w:hAnsi="Arial" w:cs="Arial"/>
          <w:sz w:val="24"/>
          <w:szCs w:val="24"/>
        </w:rPr>
        <w:t>00)</w:t>
      </w:r>
      <w:r>
        <w:rPr>
          <w:rFonts w:ascii="Arial" w:hAnsi="Arial" w:cs="Arial"/>
          <w:sz w:val="24"/>
          <w:szCs w:val="24"/>
        </w:rPr>
        <w:t xml:space="preserve"> </w:t>
      </w:r>
      <w:r w:rsidR="003900E7">
        <w:rPr>
          <w:rFonts w:ascii="Arial" w:hAnsi="Arial" w:cs="Arial"/>
          <w:b/>
          <w:sz w:val="24"/>
          <w:szCs w:val="24"/>
        </w:rPr>
        <w:t>2988</w:t>
      </w:r>
      <w:bookmarkStart w:id="0" w:name="_GoBack"/>
      <w:bookmarkEnd w:id="0"/>
    </w:p>
    <w:p w:rsidR="00484F4B" w:rsidRPr="006134DA" w:rsidRDefault="00484F4B" w:rsidP="00484F4B">
      <w:pPr>
        <w:rPr>
          <w:rFonts w:ascii="Arial" w:hAnsi="Arial" w:cs="Arial"/>
        </w:rPr>
      </w:pPr>
    </w:p>
    <w:p w:rsidR="00484F4B" w:rsidRPr="006134DA" w:rsidRDefault="00484F4B" w:rsidP="00484F4B">
      <w:pPr>
        <w:rPr>
          <w:rFonts w:ascii="Arial" w:hAnsi="Arial" w:cs="Arial"/>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484F4B" w:rsidRDefault="00484F4B">
      <w:pPr>
        <w:rPr>
          <w:rFonts w:ascii="Arial" w:hAnsi="Arial" w:cs="Arial"/>
          <w:b/>
          <w:sz w:val="28"/>
          <w:szCs w:val="28"/>
        </w:rPr>
      </w:pPr>
    </w:p>
    <w:p w:rsidR="000369F0" w:rsidRDefault="000369F0">
      <w:pPr>
        <w:rPr>
          <w:rFonts w:ascii="Arial" w:hAnsi="Arial" w:cs="Arial"/>
          <w:b/>
          <w:noProof/>
          <w:sz w:val="28"/>
          <w:szCs w:val="28"/>
          <w:lang w:eastAsia="en-GB"/>
        </w:rPr>
      </w:pPr>
    </w:p>
    <w:p w:rsidR="00FF48F6" w:rsidRDefault="00FF48F6">
      <w:pPr>
        <w:rPr>
          <w:rFonts w:ascii="Arial" w:hAnsi="Arial" w:cs="Arial"/>
          <w:b/>
          <w:sz w:val="72"/>
          <w:szCs w:val="72"/>
        </w:rPr>
      </w:pPr>
    </w:p>
    <w:p w:rsidR="00484F4B" w:rsidRPr="00FA6FA7" w:rsidRDefault="00416809">
      <w:pPr>
        <w:rPr>
          <w:rFonts w:ascii="Arial" w:hAnsi="Arial" w:cs="Arial"/>
          <w:b/>
          <w:sz w:val="72"/>
          <w:szCs w:val="72"/>
        </w:rPr>
      </w:pPr>
      <w:r w:rsidRPr="00FA6FA7">
        <w:rPr>
          <w:rFonts w:ascii="Arial" w:hAnsi="Arial" w:cs="Arial"/>
          <w:b/>
          <w:sz w:val="72"/>
          <w:szCs w:val="72"/>
        </w:rPr>
        <w:lastRenderedPageBreak/>
        <w:t>Memorandum</w:t>
      </w:r>
    </w:p>
    <w:p w:rsidR="00484F4B" w:rsidRDefault="00484F4B">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106680</wp:posOffset>
                </wp:positionV>
                <wp:extent cx="565785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56578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6A815F"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8.4pt" to="441.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" strokecolor="black [3200]" strokeweight="1.5pt">
                <v:stroke joinstyle="miter"/>
              </v:line>
            </w:pict>
          </mc:Fallback>
        </mc:AlternateContent>
      </w:r>
    </w:p>
    <w:p w:rsidR="009330C8" w:rsidRDefault="00FA6FA7" w:rsidP="009330C8">
      <w:pPr>
        <w:rPr>
          <w:rFonts w:ascii="Arial" w:hAnsi="Arial" w:cs="Arial"/>
          <w:b/>
          <w:sz w:val="24"/>
          <w:szCs w:val="24"/>
        </w:rPr>
      </w:pPr>
      <w:r>
        <w:rPr>
          <w:rFonts w:ascii="Arial" w:hAnsi="Arial" w:cs="Arial"/>
          <w:b/>
          <w:sz w:val="24"/>
          <w:szCs w:val="24"/>
        </w:rPr>
        <w:t>To:</w:t>
      </w:r>
      <w:r w:rsidR="00665858">
        <w:rPr>
          <w:rFonts w:ascii="Arial" w:hAnsi="Arial" w:cs="Arial"/>
          <w:b/>
          <w:sz w:val="24"/>
          <w:szCs w:val="24"/>
        </w:rPr>
        <w:tab/>
      </w:r>
      <w:r w:rsidR="00665858">
        <w:rPr>
          <w:rFonts w:ascii="Arial" w:hAnsi="Arial" w:cs="Arial"/>
          <w:b/>
          <w:sz w:val="24"/>
          <w:szCs w:val="24"/>
        </w:rPr>
        <w:tab/>
        <w:t>Managing Director – Capital Garden Centre Ltd.</w:t>
      </w:r>
    </w:p>
    <w:p w:rsidR="00FA6FA7" w:rsidRDefault="00FA6FA7" w:rsidP="009330C8">
      <w:pPr>
        <w:rPr>
          <w:rFonts w:ascii="Arial" w:hAnsi="Arial" w:cs="Arial"/>
          <w:b/>
          <w:sz w:val="24"/>
          <w:szCs w:val="24"/>
        </w:rPr>
      </w:pPr>
      <w:r>
        <w:rPr>
          <w:rFonts w:ascii="Arial" w:hAnsi="Arial" w:cs="Arial"/>
          <w:b/>
          <w:sz w:val="24"/>
          <w:szCs w:val="24"/>
        </w:rPr>
        <w:t>From:</w:t>
      </w:r>
      <w:r w:rsidR="00665858">
        <w:rPr>
          <w:rFonts w:ascii="Arial" w:hAnsi="Arial" w:cs="Arial"/>
          <w:b/>
          <w:sz w:val="24"/>
          <w:szCs w:val="24"/>
        </w:rPr>
        <w:tab/>
      </w:r>
      <w:r w:rsidR="00665858">
        <w:rPr>
          <w:rFonts w:ascii="Arial" w:hAnsi="Arial" w:cs="Arial"/>
          <w:b/>
          <w:sz w:val="24"/>
          <w:szCs w:val="24"/>
        </w:rPr>
        <w:tab/>
        <w:t>Jodie Barnett – HR consultant</w:t>
      </w:r>
    </w:p>
    <w:p w:rsidR="00FA6FA7" w:rsidRDefault="00FA6FA7" w:rsidP="009330C8">
      <w:pPr>
        <w:rPr>
          <w:rFonts w:ascii="Arial" w:hAnsi="Arial" w:cs="Arial"/>
          <w:b/>
          <w:sz w:val="24"/>
          <w:szCs w:val="24"/>
        </w:rPr>
      </w:pPr>
      <w:r>
        <w:rPr>
          <w:rFonts w:ascii="Arial" w:hAnsi="Arial" w:cs="Arial"/>
          <w:b/>
          <w:sz w:val="24"/>
          <w:szCs w:val="24"/>
        </w:rPr>
        <w:t>Date:</w:t>
      </w:r>
      <w:r w:rsidR="001A659C">
        <w:rPr>
          <w:rFonts w:ascii="Arial" w:hAnsi="Arial" w:cs="Arial"/>
          <w:b/>
          <w:sz w:val="24"/>
          <w:szCs w:val="24"/>
        </w:rPr>
        <w:tab/>
      </w:r>
      <w:r w:rsidR="000A77D0">
        <w:rPr>
          <w:rFonts w:ascii="Arial" w:hAnsi="Arial" w:cs="Arial"/>
          <w:b/>
          <w:sz w:val="24"/>
          <w:szCs w:val="24"/>
        </w:rPr>
        <w:tab/>
        <w:t>8</w:t>
      </w:r>
      <w:r w:rsidR="000A77D0" w:rsidRPr="000A77D0">
        <w:rPr>
          <w:rFonts w:ascii="Arial" w:hAnsi="Arial" w:cs="Arial"/>
          <w:b/>
          <w:sz w:val="24"/>
          <w:szCs w:val="24"/>
          <w:vertAlign w:val="superscript"/>
        </w:rPr>
        <w:t>th</w:t>
      </w:r>
      <w:r w:rsidR="000A77D0">
        <w:rPr>
          <w:rFonts w:ascii="Arial" w:hAnsi="Arial" w:cs="Arial"/>
          <w:b/>
          <w:sz w:val="24"/>
          <w:szCs w:val="24"/>
        </w:rPr>
        <w:t xml:space="preserve"> </w:t>
      </w:r>
      <w:r w:rsidR="00CB761E">
        <w:rPr>
          <w:rFonts w:ascii="Arial" w:hAnsi="Arial" w:cs="Arial"/>
          <w:b/>
          <w:sz w:val="24"/>
          <w:szCs w:val="24"/>
        </w:rPr>
        <w:t>February</w:t>
      </w:r>
      <w:r w:rsidR="009E0F51">
        <w:rPr>
          <w:rFonts w:ascii="Arial" w:hAnsi="Arial" w:cs="Arial"/>
          <w:b/>
          <w:sz w:val="24"/>
          <w:szCs w:val="24"/>
        </w:rPr>
        <w:t xml:space="preserve"> </w:t>
      </w:r>
      <w:r w:rsidR="000C5B44">
        <w:rPr>
          <w:rFonts w:ascii="Arial" w:hAnsi="Arial" w:cs="Arial"/>
          <w:b/>
          <w:sz w:val="24"/>
          <w:szCs w:val="24"/>
        </w:rPr>
        <w:t>2024</w:t>
      </w:r>
    </w:p>
    <w:p w:rsidR="00FA6FA7" w:rsidRDefault="00FA6FA7" w:rsidP="009330C8">
      <w:pPr>
        <w:rPr>
          <w:rFonts w:ascii="Arial" w:hAnsi="Arial" w:cs="Arial"/>
          <w:b/>
          <w:sz w:val="24"/>
          <w:szCs w:val="24"/>
        </w:rPr>
      </w:pPr>
      <w:r>
        <w:rPr>
          <w:rFonts w:ascii="Arial" w:hAnsi="Arial" w:cs="Arial"/>
          <w:b/>
          <w:sz w:val="24"/>
          <w:szCs w:val="24"/>
        </w:rPr>
        <w:t>Subject:</w:t>
      </w:r>
      <w:r w:rsidR="00107833">
        <w:rPr>
          <w:rFonts w:ascii="Arial" w:hAnsi="Arial" w:cs="Arial"/>
          <w:b/>
          <w:sz w:val="24"/>
          <w:szCs w:val="24"/>
        </w:rPr>
        <w:tab/>
        <w:t>Employment Law a</w:t>
      </w:r>
      <w:r w:rsidR="00665858">
        <w:rPr>
          <w:rFonts w:ascii="Arial" w:hAnsi="Arial" w:cs="Arial"/>
          <w:b/>
          <w:sz w:val="24"/>
          <w:szCs w:val="24"/>
        </w:rPr>
        <w:t>dvice</w:t>
      </w:r>
      <w:r w:rsidR="009E6514">
        <w:rPr>
          <w:rFonts w:ascii="Arial" w:hAnsi="Arial" w:cs="Arial"/>
          <w:b/>
          <w:sz w:val="24"/>
          <w:szCs w:val="24"/>
        </w:rPr>
        <w:t xml:space="preserve"> – Sarah Walters</w:t>
      </w:r>
    </w:p>
    <w:p w:rsidR="00C111A9" w:rsidRDefault="00C111A9" w:rsidP="009330C8">
      <w:pPr>
        <w:rPr>
          <w:rFonts w:ascii="Arial" w:hAnsi="Arial" w:cs="Arial"/>
          <w:sz w:val="24"/>
          <w:szCs w:val="24"/>
        </w:rPr>
      </w:pPr>
    </w:p>
    <w:p w:rsidR="001D3163" w:rsidRPr="000621C5" w:rsidRDefault="000621C5" w:rsidP="009330C8">
      <w:pPr>
        <w:rPr>
          <w:rFonts w:ascii="Arial" w:hAnsi="Arial" w:cs="Arial"/>
          <w:b/>
          <w:sz w:val="24"/>
          <w:szCs w:val="24"/>
          <w:u w:val="single"/>
        </w:rPr>
      </w:pPr>
      <w:r w:rsidRPr="000621C5">
        <w:rPr>
          <w:rFonts w:ascii="Arial" w:hAnsi="Arial" w:cs="Arial"/>
          <w:b/>
          <w:sz w:val="24"/>
          <w:szCs w:val="24"/>
          <w:u w:val="single"/>
        </w:rPr>
        <w:t>SECTION A</w:t>
      </w:r>
      <w:r>
        <w:rPr>
          <w:rFonts w:ascii="Arial" w:hAnsi="Arial" w:cs="Arial"/>
          <w:b/>
          <w:sz w:val="24"/>
          <w:szCs w:val="24"/>
          <w:u w:val="single"/>
        </w:rPr>
        <w:t xml:space="preserve"> (1)</w:t>
      </w:r>
    </w:p>
    <w:p w:rsidR="000C5B44" w:rsidRDefault="00CF33EA" w:rsidP="009330C8">
      <w:pPr>
        <w:rPr>
          <w:rFonts w:ascii="Arial" w:hAnsi="Arial" w:cs="Arial"/>
          <w:sz w:val="24"/>
          <w:szCs w:val="24"/>
        </w:rPr>
      </w:pPr>
      <w:r>
        <w:rPr>
          <w:rFonts w:ascii="Arial" w:hAnsi="Arial" w:cs="Arial"/>
          <w:sz w:val="24"/>
          <w:szCs w:val="24"/>
        </w:rPr>
        <w:t xml:space="preserve">Further to an </w:t>
      </w:r>
      <w:r w:rsidR="000C5B44">
        <w:rPr>
          <w:rFonts w:ascii="Arial" w:hAnsi="Arial" w:cs="Arial"/>
          <w:sz w:val="24"/>
          <w:szCs w:val="24"/>
        </w:rPr>
        <w:t>Employment Tribunal claim form (ET1)</w:t>
      </w:r>
      <w:r w:rsidR="005A6343">
        <w:rPr>
          <w:rFonts w:ascii="Arial" w:hAnsi="Arial" w:cs="Arial"/>
          <w:sz w:val="24"/>
          <w:szCs w:val="24"/>
        </w:rPr>
        <w:t xml:space="preserve"> </w:t>
      </w:r>
      <w:r>
        <w:rPr>
          <w:rFonts w:ascii="Arial" w:hAnsi="Arial" w:cs="Arial"/>
          <w:sz w:val="24"/>
          <w:szCs w:val="24"/>
        </w:rPr>
        <w:t>received from</w:t>
      </w:r>
      <w:r w:rsidR="005A6343">
        <w:rPr>
          <w:rFonts w:ascii="Arial" w:hAnsi="Arial" w:cs="Arial"/>
          <w:sz w:val="24"/>
          <w:szCs w:val="24"/>
        </w:rPr>
        <w:t xml:space="preserve"> claimant Sarah Walters against your company</w:t>
      </w:r>
      <w:r w:rsidR="003835EB">
        <w:rPr>
          <w:rFonts w:ascii="Arial" w:hAnsi="Arial" w:cs="Arial"/>
          <w:sz w:val="24"/>
          <w:szCs w:val="24"/>
        </w:rPr>
        <w:t>, Capital Garden Centre Ltd</w:t>
      </w:r>
      <w:r w:rsidR="000A77D0">
        <w:rPr>
          <w:rFonts w:ascii="Arial" w:hAnsi="Arial" w:cs="Arial"/>
          <w:sz w:val="24"/>
          <w:szCs w:val="24"/>
        </w:rPr>
        <w:t>.</w:t>
      </w:r>
      <w:r w:rsidR="00EE3827">
        <w:rPr>
          <w:rFonts w:ascii="Arial" w:hAnsi="Arial" w:cs="Arial"/>
          <w:sz w:val="24"/>
          <w:szCs w:val="24"/>
        </w:rPr>
        <w:t xml:space="preserve"> </w:t>
      </w:r>
      <w:r w:rsidR="0090122B">
        <w:rPr>
          <w:rFonts w:ascii="Arial" w:hAnsi="Arial" w:cs="Arial"/>
          <w:sz w:val="24"/>
          <w:szCs w:val="24"/>
        </w:rPr>
        <w:t xml:space="preserve">I am writing to advise you to </w:t>
      </w:r>
      <w:r w:rsidR="00EE3827">
        <w:rPr>
          <w:rFonts w:ascii="Arial" w:hAnsi="Arial" w:cs="Arial"/>
          <w:sz w:val="24"/>
          <w:szCs w:val="24"/>
        </w:rPr>
        <w:t>ensure tha</w:t>
      </w:r>
      <w:r w:rsidR="009E0F51">
        <w:rPr>
          <w:rFonts w:ascii="Arial" w:hAnsi="Arial" w:cs="Arial"/>
          <w:sz w:val="24"/>
          <w:szCs w:val="24"/>
        </w:rPr>
        <w:t xml:space="preserve">t a response is provided </w:t>
      </w:r>
      <w:r w:rsidR="00D775E7">
        <w:rPr>
          <w:rFonts w:ascii="Arial" w:hAnsi="Arial" w:cs="Arial"/>
          <w:sz w:val="24"/>
          <w:szCs w:val="24"/>
        </w:rPr>
        <w:t xml:space="preserve">to the tribunal office </w:t>
      </w:r>
      <w:r w:rsidR="003A19F7">
        <w:rPr>
          <w:rFonts w:ascii="Arial" w:hAnsi="Arial" w:cs="Arial"/>
          <w:sz w:val="24"/>
          <w:szCs w:val="24"/>
        </w:rPr>
        <w:t xml:space="preserve">within 28 days from </w:t>
      </w:r>
      <w:r w:rsidR="00DF333F">
        <w:rPr>
          <w:rFonts w:ascii="Arial" w:hAnsi="Arial" w:cs="Arial"/>
          <w:sz w:val="24"/>
          <w:szCs w:val="24"/>
        </w:rPr>
        <w:t xml:space="preserve">the date </w:t>
      </w:r>
      <w:r w:rsidR="003A19F7">
        <w:rPr>
          <w:rFonts w:ascii="Arial" w:hAnsi="Arial" w:cs="Arial"/>
          <w:sz w:val="24"/>
          <w:szCs w:val="24"/>
        </w:rPr>
        <w:t xml:space="preserve">you received a copy of the claimant’s </w:t>
      </w:r>
      <w:r w:rsidR="00DF333F">
        <w:rPr>
          <w:rFonts w:ascii="Arial" w:hAnsi="Arial" w:cs="Arial"/>
          <w:sz w:val="24"/>
          <w:szCs w:val="24"/>
        </w:rPr>
        <w:t>claim</w:t>
      </w:r>
      <w:r w:rsidR="003A19F7">
        <w:rPr>
          <w:rFonts w:ascii="Arial" w:hAnsi="Arial" w:cs="Arial"/>
          <w:sz w:val="24"/>
          <w:szCs w:val="24"/>
        </w:rPr>
        <w:t xml:space="preserve"> form</w:t>
      </w:r>
      <w:r w:rsidR="00341DD4">
        <w:rPr>
          <w:rFonts w:ascii="Arial" w:hAnsi="Arial" w:cs="Arial"/>
          <w:sz w:val="24"/>
          <w:szCs w:val="24"/>
        </w:rPr>
        <w:t xml:space="preserve">. </w:t>
      </w:r>
      <w:r w:rsidR="003A19F7">
        <w:rPr>
          <w:rFonts w:ascii="Arial" w:hAnsi="Arial" w:cs="Arial"/>
          <w:sz w:val="24"/>
          <w:szCs w:val="24"/>
        </w:rPr>
        <w:t xml:space="preserve">The date for response will also be </w:t>
      </w:r>
      <w:r w:rsidR="003835EB">
        <w:rPr>
          <w:rFonts w:ascii="Arial" w:hAnsi="Arial" w:cs="Arial"/>
          <w:sz w:val="24"/>
          <w:szCs w:val="24"/>
        </w:rPr>
        <w:t>included within the claim form (Legislation UK, 2013). T</w:t>
      </w:r>
      <w:r w:rsidR="00341DD4">
        <w:rPr>
          <w:rFonts w:ascii="Arial" w:hAnsi="Arial" w:cs="Arial"/>
          <w:sz w:val="24"/>
          <w:szCs w:val="24"/>
        </w:rPr>
        <w:t>his was</w:t>
      </w:r>
      <w:r w:rsidR="00DF333F">
        <w:rPr>
          <w:rFonts w:ascii="Arial" w:hAnsi="Arial" w:cs="Arial"/>
          <w:sz w:val="24"/>
          <w:szCs w:val="24"/>
        </w:rPr>
        <w:t xml:space="preserve"> sent by the Tribunal dated 31</w:t>
      </w:r>
      <w:r w:rsidR="00DF333F" w:rsidRPr="00DF333F">
        <w:rPr>
          <w:rFonts w:ascii="Arial" w:hAnsi="Arial" w:cs="Arial"/>
          <w:sz w:val="24"/>
          <w:szCs w:val="24"/>
          <w:vertAlign w:val="superscript"/>
        </w:rPr>
        <w:t>st</w:t>
      </w:r>
      <w:r w:rsidR="003835EB">
        <w:rPr>
          <w:rFonts w:ascii="Arial" w:hAnsi="Arial" w:cs="Arial"/>
          <w:sz w:val="24"/>
          <w:szCs w:val="24"/>
        </w:rPr>
        <w:t xml:space="preserve"> January 2024.</w:t>
      </w:r>
    </w:p>
    <w:p w:rsidR="009E0F51" w:rsidRDefault="009E0F51" w:rsidP="009330C8">
      <w:pPr>
        <w:rPr>
          <w:rFonts w:ascii="Arial" w:hAnsi="Arial" w:cs="Arial"/>
          <w:sz w:val="24"/>
          <w:szCs w:val="24"/>
        </w:rPr>
      </w:pPr>
      <w:r>
        <w:rPr>
          <w:rFonts w:ascii="Arial" w:hAnsi="Arial" w:cs="Arial"/>
          <w:sz w:val="24"/>
          <w:szCs w:val="24"/>
        </w:rPr>
        <w:t>The tribunal cannot accept any response unless certain minimum information has been provided. By law, your response must include the following:</w:t>
      </w:r>
    </w:p>
    <w:p w:rsidR="009E0F51" w:rsidRDefault="009E0F51" w:rsidP="009E0F51">
      <w:pPr>
        <w:pStyle w:val="ListParagraph"/>
        <w:numPr>
          <w:ilvl w:val="0"/>
          <w:numId w:val="7"/>
        </w:numPr>
        <w:rPr>
          <w:rFonts w:ascii="Arial" w:hAnsi="Arial" w:cs="Arial"/>
          <w:sz w:val="24"/>
          <w:szCs w:val="24"/>
        </w:rPr>
      </w:pPr>
      <w:r>
        <w:rPr>
          <w:rFonts w:ascii="Arial" w:hAnsi="Arial" w:cs="Arial"/>
          <w:sz w:val="24"/>
          <w:szCs w:val="24"/>
        </w:rPr>
        <w:t>Your full name and address</w:t>
      </w:r>
    </w:p>
    <w:p w:rsidR="009E0F51" w:rsidRDefault="009E0F51" w:rsidP="009E0F51">
      <w:pPr>
        <w:pStyle w:val="ListParagraph"/>
        <w:numPr>
          <w:ilvl w:val="0"/>
          <w:numId w:val="7"/>
        </w:numPr>
        <w:rPr>
          <w:rFonts w:ascii="Arial" w:hAnsi="Arial" w:cs="Arial"/>
          <w:sz w:val="24"/>
          <w:szCs w:val="24"/>
        </w:rPr>
      </w:pPr>
      <w:r>
        <w:rPr>
          <w:rFonts w:ascii="Arial" w:hAnsi="Arial" w:cs="Arial"/>
          <w:sz w:val="24"/>
          <w:szCs w:val="24"/>
        </w:rPr>
        <w:t>Whether you want to resist (defend) all or part of the claim</w:t>
      </w:r>
    </w:p>
    <w:p w:rsidR="009E0F51" w:rsidRDefault="009E0F51" w:rsidP="009E0F51">
      <w:pPr>
        <w:rPr>
          <w:rFonts w:ascii="Arial" w:hAnsi="Arial" w:cs="Arial"/>
          <w:sz w:val="24"/>
          <w:szCs w:val="24"/>
        </w:rPr>
      </w:pPr>
      <w:r>
        <w:rPr>
          <w:rFonts w:ascii="Arial" w:hAnsi="Arial" w:cs="Arial"/>
          <w:sz w:val="24"/>
          <w:szCs w:val="24"/>
        </w:rPr>
        <w:t>Any response provided that is not on a prescribed form approved by HM Courts and Tribunals Service or does not contain the information indicated above, will be returned to you and the claim will be dealt with as if a response has not been received (HM Courts &amp; Tribunals Service, 2024).</w:t>
      </w:r>
    </w:p>
    <w:p w:rsidR="00B82806" w:rsidRDefault="00B82806" w:rsidP="009E0F51">
      <w:pPr>
        <w:rPr>
          <w:rFonts w:ascii="Arial" w:hAnsi="Arial" w:cs="Arial"/>
          <w:sz w:val="24"/>
          <w:szCs w:val="24"/>
        </w:rPr>
      </w:pPr>
      <w:r>
        <w:rPr>
          <w:rFonts w:ascii="Arial" w:hAnsi="Arial" w:cs="Arial"/>
          <w:sz w:val="24"/>
          <w:szCs w:val="24"/>
        </w:rPr>
        <w:t>Any response will not be accepted by the tribunal office unless it is on a form which is approved (prescribed) by HM Courts and Tribunals Service. You can either respond using the paper copy which was provided to you within the employment tribunal claim or you may wish to respond using a version for the response which can</w:t>
      </w:r>
      <w:r w:rsidR="003A19F7">
        <w:rPr>
          <w:rFonts w:ascii="Arial" w:hAnsi="Arial" w:cs="Arial"/>
          <w:sz w:val="24"/>
          <w:szCs w:val="24"/>
        </w:rPr>
        <w:t xml:space="preserve"> be found on the HM Courts and Tribunals Service website. </w:t>
      </w:r>
    </w:p>
    <w:p w:rsidR="003A19F7" w:rsidRDefault="003A19F7" w:rsidP="009E0F51">
      <w:pPr>
        <w:rPr>
          <w:rFonts w:ascii="Arial" w:hAnsi="Arial" w:cs="Arial"/>
          <w:sz w:val="24"/>
          <w:szCs w:val="24"/>
        </w:rPr>
      </w:pPr>
      <w:r>
        <w:rPr>
          <w:rFonts w:ascii="Arial" w:hAnsi="Arial" w:cs="Arial"/>
          <w:sz w:val="24"/>
          <w:szCs w:val="24"/>
        </w:rPr>
        <w:t>Please note that it is your responsibility to ensure that the tribunal office receives your response with the relevant time limit. I would advise that any response is sent via a recorded delivery service</w:t>
      </w:r>
      <w:r w:rsidR="005B4AE4">
        <w:rPr>
          <w:rFonts w:ascii="Arial" w:hAnsi="Arial" w:cs="Arial"/>
          <w:sz w:val="24"/>
          <w:szCs w:val="24"/>
        </w:rPr>
        <w:t xml:space="preserve"> if you are not submitting online</w:t>
      </w:r>
      <w:r>
        <w:rPr>
          <w:rFonts w:ascii="Arial" w:hAnsi="Arial" w:cs="Arial"/>
          <w:sz w:val="24"/>
          <w:szCs w:val="24"/>
        </w:rPr>
        <w:t>.  Please ensure that a copy of your response is kept for your records.</w:t>
      </w:r>
    </w:p>
    <w:p w:rsidR="00AA7B65" w:rsidRDefault="00AA7B65" w:rsidP="009E0F51">
      <w:pPr>
        <w:rPr>
          <w:rFonts w:ascii="Arial" w:hAnsi="Arial" w:cs="Arial"/>
          <w:sz w:val="24"/>
          <w:szCs w:val="24"/>
        </w:rPr>
      </w:pPr>
    </w:p>
    <w:p w:rsidR="00AA7B65" w:rsidRDefault="00AA7B65" w:rsidP="009E0F51">
      <w:pPr>
        <w:rPr>
          <w:rFonts w:ascii="Arial" w:hAnsi="Arial" w:cs="Arial"/>
          <w:sz w:val="24"/>
          <w:szCs w:val="24"/>
        </w:rPr>
      </w:pPr>
    </w:p>
    <w:p w:rsidR="00AA7B65" w:rsidRDefault="00AA7B65" w:rsidP="009E0F51">
      <w:pPr>
        <w:rPr>
          <w:rFonts w:ascii="Arial" w:hAnsi="Arial" w:cs="Arial"/>
          <w:sz w:val="24"/>
          <w:szCs w:val="24"/>
        </w:rPr>
      </w:pPr>
    </w:p>
    <w:p w:rsidR="00AA7B65" w:rsidRPr="009E0F51" w:rsidRDefault="00AA7B65" w:rsidP="009E0F51">
      <w:pPr>
        <w:rPr>
          <w:rFonts w:ascii="Arial" w:hAnsi="Arial" w:cs="Arial"/>
          <w:sz w:val="24"/>
          <w:szCs w:val="24"/>
        </w:rPr>
      </w:pPr>
    </w:p>
    <w:p w:rsidR="00AA7B65" w:rsidRDefault="005C2086" w:rsidP="009330C8">
      <w:pPr>
        <w:rPr>
          <w:rFonts w:ascii="Arial" w:hAnsi="Arial" w:cs="Arial"/>
          <w:i/>
          <w:sz w:val="24"/>
          <w:szCs w:val="24"/>
        </w:rPr>
      </w:pPr>
      <w:r>
        <w:rPr>
          <w:rFonts w:ascii="Arial" w:hAnsi="Arial" w:cs="Arial"/>
          <w:i/>
          <w:sz w:val="24"/>
          <w:szCs w:val="24"/>
        </w:rPr>
        <w:lastRenderedPageBreak/>
        <w:t>Disability Discrimination</w:t>
      </w:r>
    </w:p>
    <w:p w:rsidR="00122720" w:rsidRDefault="008E4B91" w:rsidP="009330C8">
      <w:pPr>
        <w:rPr>
          <w:rFonts w:ascii="Arial" w:hAnsi="Arial" w:cs="Arial"/>
          <w:sz w:val="24"/>
          <w:szCs w:val="24"/>
        </w:rPr>
      </w:pPr>
      <w:r>
        <w:rPr>
          <w:rFonts w:ascii="Arial" w:hAnsi="Arial" w:cs="Arial"/>
          <w:sz w:val="24"/>
          <w:szCs w:val="24"/>
        </w:rPr>
        <w:t xml:space="preserve">The </w:t>
      </w:r>
      <w:r w:rsidR="005C2086">
        <w:rPr>
          <w:rFonts w:ascii="Arial" w:hAnsi="Arial" w:cs="Arial"/>
          <w:sz w:val="24"/>
          <w:szCs w:val="24"/>
        </w:rPr>
        <w:t>Equality and Human Righ</w:t>
      </w:r>
      <w:r>
        <w:rPr>
          <w:rFonts w:ascii="Arial" w:hAnsi="Arial" w:cs="Arial"/>
          <w:sz w:val="24"/>
          <w:szCs w:val="24"/>
        </w:rPr>
        <w:t>ts Commission (</w:t>
      </w:r>
      <w:r w:rsidR="005C2086">
        <w:rPr>
          <w:rFonts w:ascii="Arial" w:hAnsi="Arial" w:cs="Arial"/>
          <w:sz w:val="24"/>
          <w:szCs w:val="24"/>
        </w:rPr>
        <w:t xml:space="preserve">2018) defines that the </w:t>
      </w:r>
      <w:r w:rsidR="00122720">
        <w:rPr>
          <w:rFonts w:ascii="Arial" w:hAnsi="Arial" w:cs="Arial"/>
          <w:sz w:val="24"/>
          <w:szCs w:val="24"/>
        </w:rPr>
        <w:t xml:space="preserve">Equality Act 2010 </w:t>
      </w:r>
      <w:r w:rsidR="005C2086">
        <w:rPr>
          <w:rFonts w:ascii="Arial" w:hAnsi="Arial" w:cs="Arial"/>
          <w:sz w:val="24"/>
          <w:szCs w:val="24"/>
        </w:rPr>
        <w:t xml:space="preserve">legally protects people from </w:t>
      </w:r>
      <w:r w:rsidR="00D324B5">
        <w:rPr>
          <w:rFonts w:ascii="Arial" w:hAnsi="Arial" w:cs="Arial"/>
          <w:sz w:val="24"/>
          <w:szCs w:val="24"/>
        </w:rPr>
        <w:t>discrimination in the workplace. It is against the law to discrimination against anyone because of a protected characteristic. These are:</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Age</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Gender reassignment</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Being married or in a civil partnership</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Being pregnant or on maternity leave</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Disability</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Race</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Religion or belief</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Sex</w:t>
      </w:r>
    </w:p>
    <w:p w:rsidR="00D324B5" w:rsidRDefault="00D324B5" w:rsidP="00D324B5">
      <w:pPr>
        <w:pStyle w:val="ListParagraph"/>
        <w:numPr>
          <w:ilvl w:val="0"/>
          <w:numId w:val="11"/>
        </w:numPr>
        <w:rPr>
          <w:rFonts w:ascii="Arial" w:hAnsi="Arial" w:cs="Arial"/>
          <w:sz w:val="24"/>
          <w:szCs w:val="24"/>
        </w:rPr>
      </w:pPr>
      <w:r>
        <w:rPr>
          <w:rFonts w:ascii="Arial" w:hAnsi="Arial" w:cs="Arial"/>
          <w:sz w:val="24"/>
          <w:szCs w:val="24"/>
        </w:rPr>
        <w:t>Sexual orientation</w:t>
      </w:r>
    </w:p>
    <w:p w:rsidR="00291EAA" w:rsidRPr="00291EAA" w:rsidRDefault="00291EAA" w:rsidP="00291EAA">
      <w:pPr>
        <w:rPr>
          <w:rFonts w:ascii="Arial" w:hAnsi="Arial" w:cs="Arial"/>
          <w:sz w:val="24"/>
          <w:szCs w:val="24"/>
        </w:rPr>
      </w:pPr>
      <w:r>
        <w:rPr>
          <w:rFonts w:ascii="Arial" w:hAnsi="Arial" w:cs="Arial"/>
          <w:sz w:val="24"/>
          <w:szCs w:val="24"/>
        </w:rPr>
        <w:t>It is considered a disability under the Equality Act 2010, if a person has a physical or mental impairment that has a substantial and long term negative effect on their ability to do normal day-to-day activities. Substantial relates to more than minor or trivial and long term refers to 12 months or more (ACAS, 2024</w:t>
      </w:r>
      <w:r w:rsidR="00394978">
        <w:rPr>
          <w:rFonts w:ascii="Arial" w:hAnsi="Arial" w:cs="Arial"/>
          <w:sz w:val="24"/>
          <w:szCs w:val="24"/>
        </w:rPr>
        <w:t>a</w:t>
      </w:r>
      <w:r w:rsidR="00597D1C">
        <w:rPr>
          <w:rFonts w:ascii="Arial" w:hAnsi="Arial" w:cs="Arial"/>
          <w:sz w:val="24"/>
          <w:szCs w:val="24"/>
        </w:rPr>
        <w:t>, CIPD, 2024</w:t>
      </w:r>
      <w:r w:rsidR="0002053D">
        <w:rPr>
          <w:rFonts w:ascii="Arial" w:hAnsi="Arial" w:cs="Arial"/>
          <w:sz w:val="24"/>
          <w:szCs w:val="24"/>
        </w:rPr>
        <w:t>a</w:t>
      </w:r>
      <w:r w:rsidR="00675914">
        <w:rPr>
          <w:rFonts w:ascii="Arial" w:hAnsi="Arial" w:cs="Arial"/>
          <w:sz w:val="24"/>
          <w:szCs w:val="24"/>
        </w:rPr>
        <w:t>, Department for Business and Trade, 2023</w:t>
      </w:r>
      <w:r>
        <w:rPr>
          <w:rFonts w:ascii="Arial" w:hAnsi="Arial" w:cs="Arial"/>
          <w:sz w:val="24"/>
          <w:szCs w:val="24"/>
        </w:rPr>
        <w:t>).</w:t>
      </w:r>
    </w:p>
    <w:p w:rsidR="00636508" w:rsidRDefault="00291EAA" w:rsidP="009330C8">
      <w:pPr>
        <w:rPr>
          <w:rFonts w:ascii="Arial" w:hAnsi="Arial" w:cs="Arial"/>
          <w:sz w:val="24"/>
          <w:szCs w:val="24"/>
        </w:rPr>
      </w:pPr>
      <w:r>
        <w:rPr>
          <w:rFonts w:ascii="Arial" w:hAnsi="Arial" w:cs="Arial"/>
          <w:sz w:val="24"/>
          <w:szCs w:val="24"/>
        </w:rPr>
        <w:t xml:space="preserve">The claimant advises </w:t>
      </w:r>
      <w:r w:rsidR="000764EA">
        <w:rPr>
          <w:rFonts w:ascii="Arial" w:hAnsi="Arial" w:cs="Arial"/>
          <w:sz w:val="24"/>
          <w:szCs w:val="24"/>
        </w:rPr>
        <w:t xml:space="preserve">within her claim </w:t>
      </w:r>
      <w:r>
        <w:rPr>
          <w:rFonts w:ascii="Arial" w:hAnsi="Arial" w:cs="Arial"/>
          <w:sz w:val="24"/>
          <w:szCs w:val="24"/>
        </w:rPr>
        <w:t xml:space="preserve">that </w:t>
      </w:r>
      <w:r w:rsidR="000764EA">
        <w:rPr>
          <w:rFonts w:ascii="Arial" w:hAnsi="Arial" w:cs="Arial"/>
          <w:sz w:val="24"/>
          <w:szCs w:val="24"/>
        </w:rPr>
        <w:t>she has suffered with depression for many years an</w:t>
      </w:r>
      <w:r w:rsidR="00D06625">
        <w:rPr>
          <w:rFonts w:ascii="Arial" w:hAnsi="Arial" w:cs="Arial"/>
          <w:sz w:val="24"/>
          <w:szCs w:val="24"/>
        </w:rPr>
        <w:t xml:space="preserve">d </w:t>
      </w:r>
      <w:r w:rsidR="000764EA">
        <w:rPr>
          <w:rFonts w:ascii="Arial" w:hAnsi="Arial" w:cs="Arial"/>
          <w:sz w:val="24"/>
          <w:szCs w:val="24"/>
        </w:rPr>
        <w:t>medicati</w:t>
      </w:r>
      <w:r w:rsidR="00D06625">
        <w:rPr>
          <w:rFonts w:ascii="Arial" w:hAnsi="Arial" w:cs="Arial"/>
          <w:sz w:val="24"/>
          <w:szCs w:val="24"/>
        </w:rPr>
        <w:t xml:space="preserve">ng her symptoms </w:t>
      </w:r>
      <w:r w:rsidR="000764EA">
        <w:rPr>
          <w:rFonts w:ascii="Arial" w:hAnsi="Arial" w:cs="Arial"/>
          <w:sz w:val="24"/>
          <w:szCs w:val="24"/>
        </w:rPr>
        <w:t>th</w:t>
      </w:r>
      <w:r w:rsidR="00D06625">
        <w:rPr>
          <w:rFonts w:ascii="Arial" w:hAnsi="Arial" w:cs="Arial"/>
          <w:sz w:val="24"/>
          <w:szCs w:val="24"/>
        </w:rPr>
        <w:t>rough her General Practitioner. Therefore, this ailment would be considered a</w:t>
      </w:r>
      <w:r w:rsidR="000764EA">
        <w:rPr>
          <w:rFonts w:ascii="Arial" w:hAnsi="Arial" w:cs="Arial"/>
          <w:sz w:val="24"/>
          <w:szCs w:val="24"/>
        </w:rPr>
        <w:t xml:space="preserve"> disability</w:t>
      </w:r>
      <w:r w:rsidR="00D06625">
        <w:rPr>
          <w:rFonts w:ascii="Arial" w:hAnsi="Arial" w:cs="Arial"/>
          <w:sz w:val="24"/>
          <w:szCs w:val="24"/>
        </w:rPr>
        <w:t xml:space="preserve"> under the Equality Act 2010</w:t>
      </w:r>
      <w:r w:rsidR="000764EA">
        <w:rPr>
          <w:rFonts w:ascii="Arial" w:hAnsi="Arial" w:cs="Arial"/>
          <w:sz w:val="24"/>
          <w:szCs w:val="24"/>
        </w:rPr>
        <w:t xml:space="preserve">. </w:t>
      </w:r>
    </w:p>
    <w:p w:rsidR="005C2086" w:rsidRDefault="000764EA" w:rsidP="009330C8">
      <w:pPr>
        <w:rPr>
          <w:rFonts w:ascii="Arial" w:hAnsi="Arial" w:cs="Arial"/>
          <w:sz w:val="24"/>
          <w:szCs w:val="24"/>
        </w:rPr>
      </w:pPr>
      <w:r>
        <w:rPr>
          <w:rFonts w:ascii="Arial" w:hAnsi="Arial" w:cs="Arial"/>
          <w:sz w:val="24"/>
          <w:szCs w:val="24"/>
        </w:rPr>
        <w:t xml:space="preserve">Although by law, the claimant does not have to inform Capital Garden Centre Ltd of any disability, it is evident that the claimant did mention </w:t>
      </w:r>
      <w:r w:rsidR="00597D1C">
        <w:rPr>
          <w:rFonts w:ascii="Arial" w:hAnsi="Arial" w:cs="Arial"/>
          <w:sz w:val="24"/>
          <w:szCs w:val="24"/>
        </w:rPr>
        <w:t xml:space="preserve">during their employment that they had </w:t>
      </w:r>
      <w:r>
        <w:rPr>
          <w:rFonts w:ascii="Arial" w:hAnsi="Arial" w:cs="Arial"/>
          <w:sz w:val="24"/>
          <w:szCs w:val="24"/>
        </w:rPr>
        <w:t xml:space="preserve">depression and it was medically considered that any migraines </w:t>
      </w:r>
      <w:r w:rsidR="00597D1C">
        <w:rPr>
          <w:rFonts w:ascii="Arial" w:hAnsi="Arial" w:cs="Arial"/>
          <w:sz w:val="24"/>
          <w:szCs w:val="24"/>
        </w:rPr>
        <w:t xml:space="preserve">were linked to this disability. </w:t>
      </w:r>
      <w:r w:rsidR="005D6A16">
        <w:rPr>
          <w:rFonts w:ascii="Arial" w:hAnsi="Arial" w:cs="Arial"/>
          <w:sz w:val="24"/>
          <w:szCs w:val="24"/>
        </w:rPr>
        <w:t xml:space="preserve">Furthermore, the claimant had been subject to disciplinary proceedings and issued with a written warning due to poor timekeeping and unsatisfactory levels in performance. </w:t>
      </w:r>
      <w:r w:rsidR="00826013">
        <w:rPr>
          <w:rFonts w:ascii="Arial" w:hAnsi="Arial" w:cs="Arial"/>
          <w:sz w:val="24"/>
          <w:szCs w:val="24"/>
        </w:rPr>
        <w:t>No consi</w:t>
      </w:r>
      <w:r w:rsidR="000B3113">
        <w:rPr>
          <w:rFonts w:ascii="Arial" w:hAnsi="Arial" w:cs="Arial"/>
          <w:sz w:val="24"/>
          <w:szCs w:val="24"/>
        </w:rPr>
        <w:t>deration was given that they may have</w:t>
      </w:r>
      <w:r w:rsidR="00826013">
        <w:rPr>
          <w:rFonts w:ascii="Arial" w:hAnsi="Arial" w:cs="Arial"/>
          <w:sz w:val="24"/>
          <w:szCs w:val="24"/>
        </w:rPr>
        <w:t xml:space="preserve"> a disability and whether</w:t>
      </w:r>
      <w:r w:rsidR="000B3113">
        <w:rPr>
          <w:rFonts w:ascii="Arial" w:hAnsi="Arial" w:cs="Arial"/>
          <w:sz w:val="24"/>
          <w:szCs w:val="24"/>
        </w:rPr>
        <w:t xml:space="preserve"> this could have been a contributing factor.</w:t>
      </w:r>
    </w:p>
    <w:p w:rsidR="00597D1C" w:rsidRDefault="008E4B91" w:rsidP="009330C8">
      <w:pPr>
        <w:rPr>
          <w:rFonts w:ascii="Arial" w:hAnsi="Arial" w:cs="Arial"/>
          <w:sz w:val="24"/>
          <w:szCs w:val="24"/>
        </w:rPr>
      </w:pPr>
      <w:r>
        <w:rPr>
          <w:rFonts w:ascii="Arial" w:hAnsi="Arial" w:cs="Arial"/>
          <w:sz w:val="24"/>
          <w:szCs w:val="24"/>
        </w:rPr>
        <w:t xml:space="preserve">Stander (2022) refers to a case - </w:t>
      </w:r>
      <w:r w:rsidRPr="008E4B91">
        <w:rPr>
          <w:rFonts w:ascii="Arial" w:hAnsi="Arial" w:cs="Arial"/>
          <w:b/>
          <w:i/>
          <w:sz w:val="24"/>
          <w:szCs w:val="24"/>
        </w:rPr>
        <w:t xml:space="preserve">McKenzie v University Hospitals of Leicester NHS Trust </w:t>
      </w:r>
      <w:r>
        <w:rPr>
          <w:rFonts w:ascii="Arial" w:hAnsi="Arial" w:cs="Arial"/>
          <w:b/>
          <w:i/>
          <w:sz w:val="24"/>
          <w:szCs w:val="24"/>
        </w:rPr>
        <w:t xml:space="preserve">2020 </w:t>
      </w:r>
      <w:r>
        <w:rPr>
          <w:rFonts w:ascii="Arial" w:hAnsi="Arial" w:cs="Arial"/>
          <w:sz w:val="24"/>
          <w:szCs w:val="24"/>
        </w:rPr>
        <w:t>where a tribunal claim was won on the basis that both migraines and depression constituted disabilities under the Equality Act 2010.</w:t>
      </w:r>
    </w:p>
    <w:p w:rsidR="003D52DB" w:rsidRDefault="003D52DB" w:rsidP="003D52DB">
      <w:pPr>
        <w:rPr>
          <w:rFonts w:ascii="Arial" w:hAnsi="Arial" w:cs="Arial"/>
          <w:sz w:val="24"/>
          <w:szCs w:val="24"/>
        </w:rPr>
      </w:pPr>
      <w:r>
        <w:rPr>
          <w:rFonts w:ascii="Arial" w:hAnsi="Arial" w:cs="Arial"/>
          <w:sz w:val="24"/>
          <w:szCs w:val="24"/>
        </w:rPr>
        <w:t xml:space="preserve">Capital Garden Centre Ltd did give the employee the right of appeal against their written warning and it is questioned why this right wasn’t exercised, given that they were aggrieved by the process. </w:t>
      </w:r>
    </w:p>
    <w:p w:rsidR="000764EA" w:rsidRDefault="000764EA" w:rsidP="009330C8">
      <w:pPr>
        <w:rPr>
          <w:rFonts w:ascii="Arial" w:hAnsi="Arial" w:cs="Arial"/>
          <w:sz w:val="24"/>
          <w:szCs w:val="24"/>
        </w:rPr>
      </w:pPr>
    </w:p>
    <w:p w:rsidR="005C2086" w:rsidRPr="005C2086" w:rsidRDefault="00BC065E" w:rsidP="009330C8">
      <w:pPr>
        <w:rPr>
          <w:rFonts w:ascii="Arial" w:hAnsi="Arial" w:cs="Arial"/>
          <w:i/>
          <w:sz w:val="24"/>
          <w:szCs w:val="24"/>
        </w:rPr>
      </w:pPr>
      <w:r>
        <w:rPr>
          <w:rFonts w:ascii="Arial" w:hAnsi="Arial" w:cs="Arial"/>
          <w:i/>
          <w:sz w:val="24"/>
          <w:szCs w:val="24"/>
        </w:rPr>
        <w:t>Failure to make r</w:t>
      </w:r>
      <w:r w:rsidR="005C2086" w:rsidRPr="005C2086">
        <w:rPr>
          <w:rFonts w:ascii="Arial" w:hAnsi="Arial" w:cs="Arial"/>
          <w:i/>
          <w:sz w:val="24"/>
          <w:szCs w:val="24"/>
        </w:rPr>
        <w:t>easonable adjustments</w:t>
      </w:r>
    </w:p>
    <w:p w:rsidR="008F16A4" w:rsidRDefault="009D73E7" w:rsidP="009330C8">
      <w:pPr>
        <w:rPr>
          <w:rFonts w:ascii="Arial" w:hAnsi="Arial" w:cs="Arial"/>
          <w:sz w:val="24"/>
          <w:szCs w:val="24"/>
        </w:rPr>
      </w:pPr>
      <w:r>
        <w:rPr>
          <w:rFonts w:ascii="Arial" w:hAnsi="Arial" w:cs="Arial"/>
          <w:sz w:val="24"/>
          <w:szCs w:val="24"/>
        </w:rPr>
        <w:t xml:space="preserve">Under the Equality Act 2010, employers are under a duty to make reasonable adjustments in the workplace to ensure that disabled workers are not substantially disadvantaged </w:t>
      </w:r>
      <w:r w:rsidR="008F16A4">
        <w:rPr>
          <w:rFonts w:ascii="Arial" w:hAnsi="Arial" w:cs="Arial"/>
          <w:sz w:val="24"/>
          <w:szCs w:val="24"/>
        </w:rPr>
        <w:t>in carrying out their job role (Morris, 2023).</w:t>
      </w:r>
    </w:p>
    <w:p w:rsidR="00E36574" w:rsidRDefault="009D73E7" w:rsidP="009330C8">
      <w:pPr>
        <w:rPr>
          <w:rFonts w:ascii="Arial" w:hAnsi="Arial" w:cs="Arial"/>
          <w:sz w:val="24"/>
          <w:szCs w:val="24"/>
        </w:rPr>
      </w:pPr>
      <w:r>
        <w:rPr>
          <w:rFonts w:ascii="Arial" w:hAnsi="Arial" w:cs="Arial"/>
          <w:sz w:val="24"/>
          <w:szCs w:val="24"/>
        </w:rPr>
        <w:lastRenderedPageBreak/>
        <w:t>A reasonable adjustment is a change deliberately designed to remove or reduce any barriers that an individual may be fa</w:t>
      </w:r>
      <w:r w:rsidR="008F16A4">
        <w:rPr>
          <w:rFonts w:ascii="Arial" w:hAnsi="Arial" w:cs="Arial"/>
          <w:sz w:val="24"/>
          <w:szCs w:val="24"/>
        </w:rPr>
        <w:t>ced with in performing. In respect of the claimant, this could have included a provision, criterion or practice applied in the workplace which typically refers to working arrangements, such as the hours the employee is required to work, the duties they are required to undertake</w:t>
      </w:r>
      <w:r w:rsidR="00122720">
        <w:rPr>
          <w:rFonts w:ascii="Arial" w:hAnsi="Arial" w:cs="Arial"/>
          <w:sz w:val="24"/>
          <w:szCs w:val="24"/>
        </w:rPr>
        <w:t xml:space="preserve"> or the</w:t>
      </w:r>
      <w:r w:rsidR="00BC065E">
        <w:rPr>
          <w:rFonts w:ascii="Arial" w:hAnsi="Arial" w:cs="Arial"/>
          <w:sz w:val="24"/>
          <w:szCs w:val="24"/>
        </w:rPr>
        <w:t xml:space="preserve"> targets they are asked to meet (MIND, 2023).</w:t>
      </w:r>
    </w:p>
    <w:p w:rsidR="009D73E7" w:rsidRDefault="00BC065E" w:rsidP="009330C8">
      <w:pPr>
        <w:rPr>
          <w:rFonts w:ascii="Arial" w:hAnsi="Arial" w:cs="Arial"/>
          <w:sz w:val="24"/>
          <w:szCs w:val="24"/>
        </w:rPr>
      </w:pPr>
      <w:r>
        <w:rPr>
          <w:rFonts w:ascii="Arial" w:hAnsi="Arial" w:cs="Arial"/>
          <w:sz w:val="24"/>
          <w:szCs w:val="24"/>
        </w:rPr>
        <w:t>ACAS (2023</w:t>
      </w:r>
      <w:r w:rsidR="00ED5CBB">
        <w:rPr>
          <w:rFonts w:ascii="Arial" w:hAnsi="Arial" w:cs="Arial"/>
          <w:sz w:val="24"/>
          <w:szCs w:val="24"/>
        </w:rPr>
        <w:t>a</w:t>
      </w:r>
      <w:r>
        <w:rPr>
          <w:rFonts w:ascii="Arial" w:hAnsi="Arial" w:cs="Arial"/>
          <w:sz w:val="24"/>
          <w:szCs w:val="24"/>
        </w:rPr>
        <w:t xml:space="preserve">) emphasises that when an employer is aware or expected to know an employee to have a disability, they have a legal responsibility to support employees, including making reasonable adjustments.  </w:t>
      </w:r>
    </w:p>
    <w:p w:rsidR="00E36574" w:rsidRDefault="00F06794" w:rsidP="009330C8">
      <w:pPr>
        <w:rPr>
          <w:rFonts w:ascii="Arial" w:hAnsi="Arial" w:cs="Arial"/>
          <w:sz w:val="24"/>
          <w:szCs w:val="24"/>
        </w:rPr>
      </w:pPr>
      <w:r>
        <w:rPr>
          <w:rFonts w:ascii="Arial" w:hAnsi="Arial" w:cs="Arial"/>
          <w:sz w:val="24"/>
          <w:szCs w:val="24"/>
        </w:rPr>
        <w:t>It could be argued that no reasonable adjustments were consi</w:t>
      </w:r>
      <w:r w:rsidR="005E0D79">
        <w:rPr>
          <w:rFonts w:ascii="Arial" w:hAnsi="Arial" w:cs="Arial"/>
          <w:sz w:val="24"/>
          <w:szCs w:val="24"/>
        </w:rPr>
        <w:t>dered to support the claimant including a change in working hours e</w:t>
      </w:r>
      <w:r>
        <w:rPr>
          <w:rFonts w:ascii="Arial" w:hAnsi="Arial" w:cs="Arial"/>
          <w:sz w:val="24"/>
          <w:szCs w:val="24"/>
        </w:rPr>
        <w:t>ven though these were raised on several occasions by them.</w:t>
      </w:r>
      <w:r w:rsidR="003200E5">
        <w:rPr>
          <w:rFonts w:ascii="Arial" w:hAnsi="Arial" w:cs="Arial"/>
          <w:sz w:val="24"/>
          <w:szCs w:val="24"/>
        </w:rPr>
        <w:t xml:space="preserve"> </w:t>
      </w:r>
    </w:p>
    <w:p w:rsidR="00F06794" w:rsidRPr="005E0D79" w:rsidRDefault="005E0D79" w:rsidP="009330C8">
      <w:pPr>
        <w:rPr>
          <w:rFonts w:ascii="Arial" w:hAnsi="Arial" w:cs="Arial"/>
          <w:sz w:val="24"/>
          <w:szCs w:val="24"/>
        </w:rPr>
      </w:pPr>
      <w:r>
        <w:rPr>
          <w:rFonts w:ascii="Arial" w:hAnsi="Arial" w:cs="Arial"/>
          <w:sz w:val="24"/>
          <w:szCs w:val="24"/>
        </w:rPr>
        <w:t>XpertHR (2023) referred to a case -</w:t>
      </w:r>
      <w:r w:rsidRPr="005E0D79">
        <w:rPr>
          <w:rFonts w:ascii="Arial" w:hAnsi="Arial" w:cs="Arial"/>
          <w:i/>
          <w:iCs/>
          <w:color w:val="202526"/>
          <w:shd w:val="clear" w:color="auto" w:fill="FFFFFF"/>
        </w:rPr>
        <w:t xml:space="preserve"> </w:t>
      </w:r>
      <w:r w:rsidRPr="005E0D79">
        <w:rPr>
          <w:rFonts w:ascii="Arial" w:hAnsi="Arial" w:cs="Arial"/>
          <w:b/>
          <w:i/>
          <w:iCs/>
          <w:color w:val="202526"/>
          <w:shd w:val="clear" w:color="auto" w:fill="FFFFFF"/>
        </w:rPr>
        <w:t>Ring v Dansk almennyttigt Boligselskab DAB; Skouboe Werge v Dansk Arbejdsgiverforening Cases C-335/11 and C-337/11 ECJ</w:t>
      </w:r>
      <w:r>
        <w:rPr>
          <w:rFonts w:ascii="Arial" w:hAnsi="Arial" w:cs="Arial"/>
          <w:b/>
          <w:i/>
          <w:iCs/>
          <w:color w:val="202526"/>
          <w:shd w:val="clear" w:color="auto" w:fill="FFFFFF"/>
        </w:rPr>
        <w:t xml:space="preserve"> </w:t>
      </w:r>
      <w:r>
        <w:rPr>
          <w:rFonts w:ascii="Arial" w:hAnsi="Arial" w:cs="Arial"/>
          <w:iCs/>
          <w:color w:val="202526"/>
          <w:sz w:val="24"/>
          <w:szCs w:val="24"/>
          <w:shd w:val="clear" w:color="auto" w:fill="FFFFFF"/>
        </w:rPr>
        <w:t>where it was confirmed that a change in working hours can be regarded as reasonable adjustment for disabled workers.</w:t>
      </w:r>
    </w:p>
    <w:p w:rsidR="00E36574" w:rsidRDefault="00E36574" w:rsidP="009330C8">
      <w:pPr>
        <w:rPr>
          <w:rFonts w:ascii="Arial" w:hAnsi="Arial" w:cs="Arial"/>
          <w:sz w:val="24"/>
          <w:szCs w:val="24"/>
        </w:rPr>
      </w:pPr>
    </w:p>
    <w:p w:rsidR="00E02B43" w:rsidRPr="005E0D79" w:rsidRDefault="005E0D79" w:rsidP="009330C8">
      <w:pPr>
        <w:rPr>
          <w:rFonts w:ascii="Arial" w:hAnsi="Arial" w:cs="Arial"/>
          <w:i/>
          <w:sz w:val="24"/>
          <w:szCs w:val="24"/>
        </w:rPr>
      </w:pPr>
      <w:r>
        <w:rPr>
          <w:rFonts w:ascii="Arial" w:hAnsi="Arial" w:cs="Arial"/>
          <w:i/>
          <w:sz w:val="24"/>
          <w:szCs w:val="24"/>
        </w:rPr>
        <w:t>C</w:t>
      </w:r>
      <w:r w:rsidR="00F06794" w:rsidRPr="005E0D79">
        <w:rPr>
          <w:rFonts w:ascii="Arial" w:hAnsi="Arial" w:cs="Arial"/>
          <w:i/>
          <w:sz w:val="24"/>
          <w:szCs w:val="24"/>
        </w:rPr>
        <w:t xml:space="preserve">onstructive </w:t>
      </w:r>
      <w:r w:rsidR="002E31A7">
        <w:rPr>
          <w:rFonts w:ascii="Arial" w:hAnsi="Arial" w:cs="Arial"/>
          <w:i/>
          <w:sz w:val="24"/>
          <w:szCs w:val="24"/>
        </w:rPr>
        <w:t xml:space="preserve">unfair </w:t>
      </w:r>
      <w:r w:rsidR="00F06794" w:rsidRPr="005E0D79">
        <w:rPr>
          <w:rFonts w:ascii="Arial" w:hAnsi="Arial" w:cs="Arial"/>
          <w:i/>
          <w:sz w:val="24"/>
          <w:szCs w:val="24"/>
        </w:rPr>
        <w:t>dismissal</w:t>
      </w:r>
    </w:p>
    <w:p w:rsidR="0033028A" w:rsidRDefault="0049098B" w:rsidP="009330C8">
      <w:pPr>
        <w:rPr>
          <w:rFonts w:ascii="Arial" w:hAnsi="Arial" w:cs="Arial"/>
          <w:sz w:val="24"/>
          <w:szCs w:val="24"/>
        </w:rPr>
      </w:pPr>
      <w:r>
        <w:rPr>
          <w:rFonts w:ascii="Arial" w:hAnsi="Arial" w:cs="Arial"/>
          <w:sz w:val="24"/>
          <w:szCs w:val="24"/>
        </w:rPr>
        <w:t xml:space="preserve">Lewis et al (2023) refer to a constructive dismissal whereby the employee terminates the contract with or without notice in circumstances such that he or she is entitled to terminate it without notice by reason of the employer’s conduct. </w:t>
      </w:r>
    </w:p>
    <w:p w:rsidR="00360FD2" w:rsidRDefault="00316DED" w:rsidP="009330C8">
      <w:pPr>
        <w:rPr>
          <w:rFonts w:ascii="Arial" w:hAnsi="Arial" w:cs="Arial"/>
          <w:sz w:val="24"/>
          <w:szCs w:val="24"/>
        </w:rPr>
      </w:pPr>
      <w:r>
        <w:rPr>
          <w:rFonts w:ascii="Arial" w:hAnsi="Arial" w:cs="Arial"/>
          <w:sz w:val="24"/>
          <w:szCs w:val="24"/>
        </w:rPr>
        <w:t xml:space="preserve">AWH Solicitors (no date) refers to UK employment law where any claim for constructive dismissal can be brought to employment tribunal if you are left unable to continue working for your employer. </w:t>
      </w:r>
    </w:p>
    <w:p w:rsidR="00316DED" w:rsidRDefault="00316DED" w:rsidP="009330C8">
      <w:pPr>
        <w:rPr>
          <w:rFonts w:ascii="Arial" w:hAnsi="Arial" w:cs="Arial"/>
          <w:sz w:val="24"/>
          <w:szCs w:val="24"/>
        </w:rPr>
      </w:pPr>
      <w:r>
        <w:rPr>
          <w:rFonts w:ascii="Arial" w:hAnsi="Arial" w:cs="Arial"/>
          <w:sz w:val="24"/>
          <w:szCs w:val="24"/>
        </w:rPr>
        <w:t xml:space="preserve">An example where an employer failed to meet the employee’s obligations includes a failure to provide an employee with all the support that was needed to carry out the role properly. </w:t>
      </w:r>
    </w:p>
    <w:p w:rsidR="00B51DFF" w:rsidRDefault="00B51DFF" w:rsidP="009330C8">
      <w:pPr>
        <w:rPr>
          <w:rFonts w:ascii="Arial" w:hAnsi="Arial" w:cs="Arial"/>
          <w:sz w:val="24"/>
          <w:szCs w:val="24"/>
        </w:rPr>
      </w:pPr>
      <w:r>
        <w:rPr>
          <w:rFonts w:ascii="Arial" w:hAnsi="Arial" w:cs="Arial"/>
          <w:sz w:val="24"/>
          <w:szCs w:val="24"/>
        </w:rPr>
        <w:t>The claimant states that they felt that they were ‘forced’ to resign with immediate effect on Monday 23</w:t>
      </w:r>
      <w:r w:rsidRPr="00B51DFF">
        <w:rPr>
          <w:rFonts w:ascii="Arial" w:hAnsi="Arial" w:cs="Arial"/>
          <w:sz w:val="24"/>
          <w:szCs w:val="24"/>
          <w:vertAlign w:val="superscript"/>
        </w:rPr>
        <w:t>rd</w:t>
      </w:r>
      <w:r>
        <w:rPr>
          <w:rFonts w:ascii="Arial" w:hAnsi="Arial" w:cs="Arial"/>
          <w:sz w:val="24"/>
          <w:szCs w:val="24"/>
        </w:rPr>
        <w:t xml:space="preserve"> December 2023 due to being treated badly and failed to take into account their disabilities.</w:t>
      </w:r>
      <w:r w:rsidR="002E31A7">
        <w:rPr>
          <w:rFonts w:ascii="Arial" w:hAnsi="Arial" w:cs="Arial"/>
          <w:sz w:val="24"/>
          <w:szCs w:val="24"/>
        </w:rPr>
        <w:t xml:space="preserve"> </w:t>
      </w:r>
      <w:r w:rsidR="00360FD2">
        <w:rPr>
          <w:rFonts w:ascii="Arial" w:hAnsi="Arial" w:cs="Arial"/>
          <w:sz w:val="24"/>
          <w:szCs w:val="24"/>
        </w:rPr>
        <w:t xml:space="preserve">This could be deemed as a breakdown </w:t>
      </w:r>
      <w:r w:rsidR="007F5BF3">
        <w:rPr>
          <w:rFonts w:ascii="Arial" w:hAnsi="Arial" w:cs="Arial"/>
          <w:sz w:val="24"/>
          <w:szCs w:val="24"/>
        </w:rPr>
        <w:t>in trust and confidence, thus breaching their implied terms of contract.</w:t>
      </w:r>
    </w:p>
    <w:p w:rsidR="00F10D0D" w:rsidRDefault="00316DED" w:rsidP="009330C8">
      <w:pPr>
        <w:rPr>
          <w:rFonts w:ascii="Arial" w:hAnsi="Arial" w:cs="Arial"/>
          <w:b/>
          <w:i/>
          <w:sz w:val="24"/>
          <w:szCs w:val="24"/>
        </w:rPr>
      </w:pPr>
      <w:r>
        <w:rPr>
          <w:rFonts w:ascii="Arial" w:hAnsi="Arial" w:cs="Arial"/>
          <w:sz w:val="24"/>
          <w:szCs w:val="24"/>
        </w:rPr>
        <w:t xml:space="preserve">Tahamtani (2020) referred to a case where it was deemed a breach of contract </w:t>
      </w:r>
      <w:r w:rsidR="00E059E6">
        <w:rPr>
          <w:rFonts w:ascii="Arial" w:hAnsi="Arial" w:cs="Arial"/>
          <w:sz w:val="24"/>
          <w:szCs w:val="24"/>
        </w:rPr>
        <w:t xml:space="preserve">where an employee was struggling and given no support – </w:t>
      </w:r>
      <w:r w:rsidR="00E059E6">
        <w:rPr>
          <w:rFonts w:ascii="Arial" w:hAnsi="Arial" w:cs="Arial"/>
          <w:b/>
          <w:i/>
          <w:sz w:val="24"/>
          <w:szCs w:val="24"/>
        </w:rPr>
        <w:t>Fletcher v Countrywide Estate Agents (2018).</w:t>
      </w:r>
    </w:p>
    <w:p w:rsidR="00F10D0D" w:rsidRPr="00F10D0D" w:rsidRDefault="00F10D0D" w:rsidP="009330C8">
      <w:pPr>
        <w:rPr>
          <w:rFonts w:ascii="Arial" w:hAnsi="Arial" w:cs="Arial"/>
          <w:sz w:val="24"/>
          <w:szCs w:val="24"/>
        </w:rPr>
      </w:pPr>
      <w:r>
        <w:rPr>
          <w:rFonts w:ascii="Arial" w:hAnsi="Arial" w:cs="Arial"/>
          <w:sz w:val="24"/>
          <w:szCs w:val="24"/>
        </w:rPr>
        <w:t>Whilst constructive dismissal claims are considered plentiful, successful constructive dismissal claims are deemed few and far between with on average only around to 5% of claims succeeding at an employment tribunal. It is argued that it can be incredibly difficult to prove that the legal grounds have been met (B</w:t>
      </w:r>
      <w:r w:rsidR="002E5C20">
        <w:rPr>
          <w:rFonts w:ascii="Arial" w:hAnsi="Arial" w:cs="Arial"/>
          <w:sz w:val="24"/>
          <w:szCs w:val="24"/>
        </w:rPr>
        <w:t>aigey, 2013).</w:t>
      </w:r>
    </w:p>
    <w:p w:rsidR="00ED5CBB" w:rsidRPr="00ED5CBB" w:rsidRDefault="007D2F61" w:rsidP="009330C8">
      <w:pPr>
        <w:rPr>
          <w:rFonts w:ascii="Arial" w:hAnsi="Arial" w:cs="Arial"/>
          <w:sz w:val="24"/>
          <w:szCs w:val="24"/>
        </w:rPr>
      </w:pPr>
      <w:r>
        <w:rPr>
          <w:rFonts w:ascii="Arial" w:hAnsi="Arial" w:cs="Arial"/>
          <w:sz w:val="24"/>
          <w:szCs w:val="24"/>
        </w:rPr>
        <w:lastRenderedPageBreak/>
        <w:t>I believe the question should be asked of the c</w:t>
      </w:r>
      <w:r w:rsidR="00D64AB3">
        <w:rPr>
          <w:rFonts w:ascii="Arial" w:hAnsi="Arial" w:cs="Arial"/>
          <w:sz w:val="24"/>
          <w:szCs w:val="24"/>
        </w:rPr>
        <w:t xml:space="preserve">laimant </w:t>
      </w:r>
      <w:r>
        <w:rPr>
          <w:rFonts w:ascii="Arial" w:hAnsi="Arial" w:cs="Arial"/>
          <w:sz w:val="24"/>
          <w:szCs w:val="24"/>
        </w:rPr>
        <w:t xml:space="preserve">as to why they did not pursue with </w:t>
      </w:r>
      <w:r w:rsidR="00D64AB3">
        <w:rPr>
          <w:rFonts w:ascii="Arial" w:hAnsi="Arial" w:cs="Arial"/>
          <w:sz w:val="24"/>
          <w:szCs w:val="24"/>
        </w:rPr>
        <w:t xml:space="preserve">early conciliation </w:t>
      </w:r>
      <w:r>
        <w:rPr>
          <w:rFonts w:ascii="Arial" w:hAnsi="Arial" w:cs="Arial"/>
          <w:sz w:val="24"/>
          <w:szCs w:val="24"/>
        </w:rPr>
        <w:t xml:space="preserve">as this is advised when resolving workplace disputes prior to any employment tribunal claim. </w:t>
      </w:r>
    </w:p>
    <w:p w:rsidR="00ED5CBB" w:rsidRPr="00FA6FA7" w:rsidRDefault="00ED5CBB" w:rsidP="009330C8">
      <w:pPr>
        <w:rPr>
          <w:rFonts w:ascii="Arial" w:hAnsi="Arial" w:cs="Arial"/>
          <w:b/>
          <w:sz w:val="24"/>
          <w:szCs w:val="24"/>
        </w:rPr>
      </w:pPr>
    </w:p>
    <w:p w:rsidR="004B7477" w:rsidRPr="000621C5" w:rsidRDefault="004B7477" w:rsidP="004B7477">
      <w:pPr>
        <w:rPr>
          <w:rFonts w:ascii="Arial" w:hAnsi="Arial" w:cs="Arial"/>
          <w:b/>
          <w:sz w:val="24"/>
          <w:szCs w:val="24"/>
          <w:u w:val="single"/>
        </w:rPr>
      </w:pPr>
      <w:r w:rsidRPr="000621C5">
        <w:rPr>
          <w:rFonts w:ascii="Arial" w:hAnsi="Arial" w:cs="Arial"/>
          <w:b/>
          <w:sz w:val="24"/>
          <w:szCs w:val="24"/>
          <w:u w:val="single"/>
        </w:rPr>
        <w:t>SECTION A</w:t>
      </w:r>
      <w:r>
        <w:rPr>
          <w:rFonts w:ascii="Arial" w:hAnsi="Arial" w:cs="Arial"/>
          <w:b/>
          <w:sz w:val="24"/>
          <w:szCs w:val="24"/>
          <w:u w:val="single"/>
        </w:rPr>
        <w:t xml:space="preserve"> (2)</w:t>
      </w:r>
    </w:p>
    <w:p w:rsidR="0007139C" w:rsidRDefault="0007139C" w:rsidP="009330C8">
      <w:pPr>
        <w:rPr>
          <w:rFonts w:ascii="Arial" w:hAnsi="Arial" w:cs="Arial"/>
          <w:sz w:val="24"/>
          <w:szCs w:val="24"/>
        </w:rPr>
      </w:pPr>
      <w:r>
        <w:rPr>
          <w:rFonts w:ascii="Arial" w:hAnsi="Arial" w:cs="Arial"/>
          <w:sz w:val="24"/>
          <w:szCs w:val="24"/>
        </w:rPr>
        <w:t>Ayling et al (2013) refers to UK employment tribunals will deal with any claims where the employee may bring a claim against an employer which relates to their employment or termination. The types of disputes heard at an employment tribunal include:</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Unfair dismissal</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Wrongful dismissal</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Discrimination (sex, race, disability, sexual orientation, religion or belief, age, maternity or paternity leave/pay)</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Equal pay</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Working Time Regulations</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Unauthorised deduction from wages</w:t>
      </w:r>
    </w:p>
    <w:p w:rsidR="0007139C" w:rsidRDefault="0007139C" w:rsidP="0007139C">
      <w:pPr>
        <w:pStyle w:val="ListParagraph"/>
        <w:numPr>
          <w:ilvl w:val="0"/>
          <w:numId w:val="13"/>
        </w:numPr>
        <w:rPr>
          <w:rFonts w:ascii="Arial" w:hAnsi="Arial" w:cs="Arial"/>
          <w:sz w:val="24"/>
          <w:szCs w:val="24"/>
        </w:rPr>
      </w:pPr>
      <w:r>
        <w:rPr>
          <w:rFonts w:ascii="Arial" w:hAnsi="Arial" w:cs="Arial"/>
          <w:sz w:val="24"/>
          <w:szCs w:val="24"/>
        </w:rPr>
        <w:t>Redundancy pay or failure to inform or consult</w:t>
      </w:r>
    </w:p>
    <w:p w:rsidR="006D14EB" w:rsidRDefault="006D14EB" w:rsidP="009330C8">
      <w:pPr>
        <w:rPr>
          <w:rFonts w:ascii="Arial" w:hAnsi="Arial" w:cs="Arial"/>
          <w:sz w:val="24"/>
          <w:szCs w:val="24"/>
        </w:rPr>
      </w:pPr>
      <w:r>
        <w:rPr>
          <w:rFonts w:ascii="Arial" w:hAnsi="Arial" w:cs="Arial"/>
          <w:sz w:val="24"/>
          <w:szCs w:val="24"/>
        </w:rPr>
        <w:t>L</w:t>
      </w:r>
      <w:r w:rsidR="006B1256">
        <w:rPr>
          <w:rFonts w:ascii="Arial" w:hAnsi="Arial" w:cs="Arial"/>
          <w:sz w:val="24"/>
          <w:szCs w:val="24"/>
        </w:rPr>
        <w:t>ewis at al (20</w:t>
      </w:r>
      <w:r w:rsidR="00B26957">
        <w:rPr>
          <w:rFonts w:ascii="Arial" w:hAnsi="Arial" w:cs="Arial"/>
          <w:sz w:val="24"/>
          <w:szCs w:val="24"/>
        </w:rPr>
        <w:t>2</w:t>
      </w:r>
      <w:r w:rsidR="006B1256">
        <w:rPr>
          <w:rFonts w:ascii="Arial" w:hAnsi="Arial" w:cs="Arial"/>
          <w:sz w:val="24"/>
          <w:szCs w:val="24"/>
        </w:rPr>
        <w:t>3) deems</w:t>
      </w:r>
      <w:r>
        <w:rPr>
          <w:rFonts w:ascii="Arial" w:hAnsi="Arial" w:cs="Arial"/>
          <w:sz w:val="24"/>
          <w:szCs w:val="24"/>
        </w:rPr>
        <w:t xml:space="preserve"> the assumption that discrimination at the workplace has taken place because of one or more </w:t>
      </w:r>
      <w:r w:rsidR="006B1256">
        <w:rPr>
          <w:rFonts w:ascii="Arial" w:hAnsi="Arial" w:cs="Arial"/>
          <w:sz w:val="24"/>
          <w:szCs w:val="24"/>
        </w:rPr>
        <w:t xml:space="preserve">protected characteristic, in this case, the claimant is considered to have a disability. Section 39 of the Equality Act 2010 defines that an employer must not discriminate at any stage of the employment relationship, noting that it is unlawful for an employer to discriminate by subjecting them to any other detriment. </w:t>
      </w:r>
    </w:p>
    <w:p w:rsidR="00E95FD6" w:rsidRDefault="000A7EB7" w:rsidP="009330C8">
      <w:pPr>
        <w:rPr>
          <w:rFonts w:ascii="Arial" w:hAnsi="Arial" w:cs="Arial"/>
          <w:sz w:val="24"/>
          <w:szCs w:val="24"/>
        </w:rPr>
      </w:pPr>
      <w:r>
        <w:rPr>
          <w:rFonts w:ascii="Arial" w:hAnsi="Arial" w:cs="Arial"/>
          <w:sz w:val="24"/>
          <w:szCs w:val="24"/>
        </w:rPr>
        <w:t>The burden of proof in discrimination</w:t>
      </w:r>
      <w:r w:rsidR="00E95FD6">
        <w:rPr>
          <w:rFonts w:ascii="Arial" w:hAnsi="Arial" w:cs="Arial"/>
          <w:sz w:val="24"/>
          <w:szCs w:val="24"/>
        </w:rPr>
        <w:t xml:space="preserve"> claims is often hard to prove. In legal terms, referred to as a prima facie case, in order to make a claim less difficult to prove that discrimination has indeed occurred, section 136 under the Equality Act 2010 ruling states that the employee merely has to produce sufficient evidence from which a court or tribunal could decide, in the absence of any other explanation, that there has been discrimination. It is then for the employer, Capital Garden Centre Ltd, to disprove that discrimination has occurred, and should you be unable to do so, the tribunal must find in favour of the claimant and uphold any claim unless it is proved that there is an innocent explanation for these</w:t>
      </w:r>
      <w:r w:rsidR="00B26957">
        <w:rPr>
          <w:rFonts w:ascii="Arial" w:hAnsi="Arial" w:cs="Arial"/>
          <w:sz w:val="24"/>
          <w:szCs w:val="24"/>
        </w:rPr>
        <w:t xml:space="preserve"> facts presented by the claimant.</w:t>
      </w:r>
      <w:r w:rsidR="00E95FD6">
        <w:rPr>
          <w:rFonts w:ascii="Arial" w:hAnsi="Arial" w:cs="Arial"/>
          <w:sz w:val="24"/>
          <w:szCs w:val="24"/>
        </w:rPr>
        <w:t xml:space="preserve"> </w:t>
      </w:r>
    </w:p>
    <w:p w:rsidR="00010F5D" w:rsidRDefault="00010F5D" w:rsidP="00010F5D">
      <w:pPr>
        <w:rPr>
          <w:rFonts w:ascii="Arial" w:hAnsi="Arial" w:cs="Arial"/>
          <w:sz w:val="24"/>
          <w:szCs w:val="24"/>
        </w:rPr>
      </w:pPr>
      <w:r>
        <w:rPr>
          <w:rFonts w:ascii="Arial" w:hAnsi="Arial" w:cs="Arial"/>
          <w:sz w:val="24"/>
          <w:szCs w:val="24"/>
        </w:rPr>
        <w:t>Failure to comply with a duty to make reasonable adjustments, referred to in section 20 of the Act emphasises that an employer has a duty to make reasonable adjustments for a person with a disability. Ensuring that is disabled person is not substantially disadvantaged in comparison with a non-disabled person</w:t>
      </w:r>
      <w:r w:rsidR="00B26957">
        <w:rPr>
          <w:rFonts w:ascii="Arial" w:hAnsi="Arial" w:cs="Arial"/>
          <w:sz w:val="24"/>
          <w:szCs w:val="24"/>
        </w:rPr>
        <w:t xml:space="preserve"> (EHRC, 2011, Lewis et al, 2023)</w:t>
      </w:r>
      <w:r>
        <w:rPr>
          <w:rFonts w:ascii="Arial" w:hAnsi="Arial" w:cs="Arial"/>
          <w:sz w:val="24"/>
          <w:szCs w:val="24"/>
        </w:rPr>
        <w:t xml:space="preserve">. </w:t>
      </w:r>
    </w:p>
    <w:p w:rsidR="00E95FD6" w:rsidRDefault="00D54821" w:rsidP="009330C8">
      <w:pPr>
        <w:rPr>
          <w:rFonts w:ascii="Arial" w:hAnsi="Arial" w:cs="Arial"/>
          <w:sz w:val="24"/>
          <w:szCs w:val="24"/>
        </w:rPr>
      </w:pPr>
      <w:r>
        <w:rPr>
          <w:rFonts w:ascii="Arial" w:hAnsi="Arial" w:cs="Arial"/>
          <w:sz w:val="24"/>
          <w:szCs w:val="24"/>
        </w:rPr>
        <w:t xml:space="preserve">It could be considered within this claim that </w:t>
      </w:r>
      <w:r w:rsidR="00010F5D">
        <w:rPr>
          <w:rFonts w:ascii="Arial" w:hAnsi="Arial" w:cs="Arial"/>
          <w:sz w:val="24"/>
          <w:szCs w:val="24"/>
        </w:rPr>
        <w:t xml:space="preserve">the employer, does not know, and could not reasonably be expected to know, that the claimant has a disability. The Equality Act 2010 Code of Practice – Employment Statutory Code of Practice emphasises that for disabled workers in employment, an employer only has a duty to make an adjustment if they know, or could reasonably be expected to know, that a worker has </w:t>
      </w:r>
      <w:r w:rsidR="00010F5D">
        <w:rPr>
          <w:rFonts w:ascii="Arial" w:hAnsi="Arial" w:cs="Arial"/>
          <w:sz w:val="24"/>
          <w:szCs w:val="24"/>
        </w:rPr>
        <w:lastRenderedPageBreak/>
        <w:t>a disability and is, or is likely to be, placed at a substantial disadvantage</w:t>
      </w:r>
      <w:r w:rsidR="0006369C">
        <w:rPr>
          <w:rFonts w:ascii="Arial" w:hAnsi="Arial" w:cs="Arial"/>
          <w:sz w:val="24"/>
          <w:szCs w:val="24"/>
        </w:rPr>
        <w:t xml:space="preserve"> (EHRC, 2011)</w:t>
      </w:r>
      <w:r w:rsidR="00010F5D">
        <w:rPr>
          <w:rFonts w:ascii="Arial" w:hAnsi="Arial" w:cs="Arial"/>
          <w:sz w:val="24"/>
          <w:szCs w:val="24"/>
        </w:rPr>
        <w:t xml:space="preserve">. </w:t>
      </w:r>
    </w:p>
    <w:p w:rsidR="0006369C" w:rsidRDefault="00010F5D" w:rsidP="009330C8">
      <w:pPr>
        <w:rPr>
          <w:rFonts w:ascii="Arial" w:hAnsi="Arial" w:cs="Arial"/>
          <w:sz w:val="24"/>
          <w:szCs w:val="24"/>
        </w:rPr>
      </w:pPr>
      <w:r>
        <w:rPr>
          <w:rFonts w:ascii="Arial" w:hAnsi="Arial" w:cs="Arial"/>
          <w:sz w:val="24"/>
          <w:szCs w:val="24"/>
        </w:rPr>
        <w:t xml:space="preserve">It could be argued that the employer </w:t>
      </w:r>
      <w:r w:rsidR="00CE0616">
        <w:rPr>
          <w:rFonts w:ascii="Arial" w:hAnsi="Arial" w:cs="Arial"/>
          <w:sz w:val="24"/>
          <w:szCs w:val="24"/>
        </w:rPr>
        <w:t>was unable to consider any reasonable adjustments as they were</w:t>
      </w:r>
      <w:r w:rsidR="00012EA5">
        <w:rPr>
          <w:rFonts w:ascii="Arial" w:hAnsi="Arial" w:cs="Arial"/>
          <w:sz w:val="24"/>
          <w:szCs w:val="24"/>
        </w:rPr>
        <w:t xml:space="preserve"> only made fully </w:t>
      </w:r>
      <w:r w:rsidR="00CE0616">
        <w:rPr>
          <w:rFonts w:ascii="Arial" w:hAnsi="Arial" w:cs="Arial"/>
          <w:sz w:val="24"/>
          <w:szCs w:val="24"/>
        </w:rPr>
        <w:t xml:space="preserve">aware by the </w:t>
      </w:r>
      <w:r>
        <w:rPr>
          <w:rFonts w:ascii="Arial" w:hAnsi="Arial" w:cs="Arial"/>
          <w:sz w:val="24"/>
          <w:szCs w:val="24"/>
        </w:rPr>
        <w:t>claimant</w:t>
      </w:r>
      <w:r w:rsidR="00CE0616">
        <w:rPr>
          <w:rFonts w:ascii="Arial" w:hAnsi="Arial" w:cs="Arial"/>
          <w:sz w:val="24"/>
          <w:szCs w:val="24"/>
        </w:rPr>
        <w:t xml:space="preserve"> of their </w:t>
      </w:r>
      <w:r>
        <w:rPr>
          <w:rFonts w:ascii="Arial" w:hAnsi="Arial" w:cs="Arial"/>
          <w:sz w:val="24"/>
          <w:szCs w:val="24"/>
        </w:rPr>
        <w:t>disability on 19</w:t>
      </w:r>
      <w:r w:rsidRPr="00010F5D">
        <w:rPr>
          <w:rFonts w:ascii="Arial" w:hAnsi="Arial" w:cs="Arial"/>
          <w:sz w:val="24"/>
          <w:szCs w:val="24"/>
          <w:vertAlign w:val="superscript"/>
        </w:rPr>
        <w:t>th</w:t>
      </w:r>
      <w:r>
        <w:rPr>
          <w:rFonts w:ascii="Arial" w:hAnsi="Arial" w:cs="Arial"/>
          <w:sz w:val="24"/>
          <w:szCs w:val="24"/>
        </w:rPr>
        <w:t xml:space="preserve"> December 2023 at</w:t>
      </w:r>
      <w:r w:rsidR="00CE0616">
        <w:rPr>
          <w:rFonts w:ascii="Arial" w:hAnsi="Arial" w:cs="Arial"/>
          <w:sz w:val="24"/>
          <w:szCs w:val="24"/>
        </w:rPr>
        <w:t xml:space="preserve"> a formal disciplinary meeting. Whereby, </w:t>
      </w:r>
      <w:r>
        <w:rPr>
          <w:rFonts w:ascii="Arial" w:hAnsi="Arial" w:cs="Arial"/>
          <w:sz w:val="24"/>
          <w:szCs w:val="24"/>
        </w:rPr>
        <w:t>the claimant provided evidence in the form of a letter from her General Practitioner in relation to their sporadic migraine attacks and depression, for w</w:t>
      </w:r>
      <w:r w:rsidR="006140A0">
        <w:rPr>
          <w:rFonts w:ascii="Arial" w:hAnsi="Arial" w:cs="Arial"/>
          <w:sz w:val="24"/>
          <w:szCs w:val="24"/>
        </w:rPr>
        <w:t>hich, both are being medicated. The claimant returned to work on 20</w:t>
      </w:r>
      <w:r w:rsidR="006140A0" w:rsidRPr="006140A0">
        <w:rPr>
          <w:rFonts w:ascii="Arial" w:hAnsi="Arial" w:cs="Arial"/>
          <w:sz w:val="24"/>
          <w:szCs w:val="24"/>
          <w:vertAlign w:val="superscript"/>
        </w:rPr>
        <w:t>th</w:t>
      </w:r>
      <w:r w:rsidR="006140A0">
        <w:rPr>
          <w:rFonts w:ascii="Arial" w:hAnsi="Arial" w:cs="Arial"/>
          <w:sz w:val="24"/>
          <w:szCs w:val="24"/>
        </w:rPr>
        <w:t xml:space="preserve"> December 2023 and left work without permission the same afternoon, after which, they did not return to work. </w:t>
      </w:r>
    </w:p>
    <w:p w:rsidR="00D54821" w:rsidRDefault="00D54821" w:rsidP="009330C8">
      <w:pPr>
        <w:rPr>
          <w:rFonts w:ascii="Arial" w:hAnsi="Arial" w:cs="Arial"/>
          <w:sz w:val="24"/>
          <w:szCs w:val="24"/>
        </w:rPr>
      </w:pPr>
      <w:r>
        <w:rPr>
          <w:rFonts w:ascii="Arial" w:hAnsi="Arial" w:cs="Arial"/>
          <w:sz w:val="24"/>
          <w:szCs w:val="24"/>
        </w:rPr>
        <w:t xml:space="preserve">Although it could also be deemed that the employee had made the employer aware of their prolonged </w:t>
      </w:r>
      <w:r w:rsidR="00012EA5">
        <w:rPr>
          <w:rFonts w:ascii="Arial" w:hAnsi="Arial" w:cs="Arial"/>
          <w:sz w:val="24"/>
          <w:szCs w:val="24"/>
        </w:rPr>
        <w:t xml:space="preserve">migraine attacks </w:t>
      </w:r>
      <w:r>
        <w:rPr>
          <w:rFonts w:ascii="Arial" w:hAnsi="Arial" w:cs="Arial"/>
          <w:sz w:val="24"/>
          <w:szCs w:val="24"/>
        </w:rPr>
        <w:t>on several occasions during their employment which was evidently affecting them fulfilling their daily work</w:t>
      </w:r>
      <w:r w:rsidR="00012EA5">
        <w:rPr>
          <w:rFonts w:ascii="Arial" w:hAnsi="Arial" w:cs="Arial"/>
          <w:sz w:val="24"/>
          <w:szCs w:val="24"/>
        </w:rPr>
        <w:t xml:space="preserve"> and disregarded by the employer</w:t>
      </w:r>
      <w:r>
        <w:rPr>
          <w:rFonts w:ascii="Arial" w:hAnsi="Arial" w:cs="Arial"/>
          <w:sz w:val="24"/>
          <w:szCs w:val="24"/>
        </w:rPr>
        <w:t xml:space="preserve">. EHRC (2011) highlights that in such cases the employer must, however, do all they can reasonably be expected to do to find our whether this is the case.  What is considered reasonable will depend on the circumstances through an objective assessment. </w:t>
      </w:r>
    </w:p>
    <w:p w:rsidR="00382C65" w:rsidRDefault="00382C65" w:rsidP="009330C8">
      <w:pPr>
        <w:rPr>
          <w:rFonts w:ascii="Arial" w:hAnsi="Arial" w:cs="Arial"/>
          <w:sz w:val="24"/>
          <w:szCs w:val="24"/>
        </w:rPr>
      </w:pPr>
      <w:r>
        <w:rPr>
          <w:rFonts w:ascii="Arial" w:hAnsi="Arial" w:cs="Arial"/>
          <w:sz w:val="24"/>
          <w:szCs w:val="24"/>
        </w:rPr>
        <w:t>Lewis et al (2023) highlights two important points when considering if an employer failed to comply with their duty i</w:t>
      </w:r>
      <w:r w:rsidR="009D1956">
        <w:rPr>
          <w:rFonts w:ascii="Arial" w:hAnsi="Arial" w:cs="Arial"/>
          <w:sz w:val="24"/>
          <w:szCs w:val="24"/>
        </w:rPr>
        <w:t xml:space="preserve">n making reasonable adjustments. These are firstly, the employer is not under the duty if they do not know and could not be reasonably expected to know that the claimant has a disability. Secondly, the duty on the employer is to take reasonable steps, but this is not defined, therefore, such a case as this could be left to the tribunal to decide with the facts to hand. </w:t>
      </w:r>
    </w:p>
    <w:p w:rsidR="007C3916" w:rsidRDefault="007C3916" w:rsidP="009330C8">
      <w:pPr>
        <w:rPr>
          <w:rFonts w:ascii="Arial" w:hAnsi="Arial" w:cs="Arial"/>
          <w:sz w:val="24"/>
          <w:szCs w:val="24"/>
        </w:rPr>
      </w:pPr>
      <w:r>
        <w:rPr>
          <w:rFonts w:ascii="Arial" w:hAnsi="Arial" w:cs="Arial"/>
          <w:sz w:val="24"/>
          <w:szCs w:val="24"/>
        </w:rPr>
        <w:t>The Government Equalities Office (2015) suggests that the following factors are taken into account when applying reasonable adjustments:</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Whether taking any particular steps would be effective in preventing the substantial disadvantage</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The practicality of the step</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The financial and other costs of making the adjustment and the extend of any disruption caused</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The extent of the employer’s financial or other resources</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The availability to the employer of financial or other assistance to help make an adjustment</w:t>
      </w:r>
    </w:p>
    <w:p w:rsidR="007C3916" w:rsidRDefault="007C3916" w:rsidP="007C3916">
      <w:pPr>
        <w:pStyle w:val="ListParagraph"/>
        <w:numPr>
          <w:ilvl w:val="0"/>
          <w:numId w:val="15"/>
        </w:numPr>
        <w:rPr>
          <w:rFonts w:ascii="Arial" w:hAnsi="Arial" w:cs="Arial"/>
          <w:sz w:val="24"/>
          <w:szCs w:val="24"/>
        </w:rPr>
      </w:pPr>
      <w:r>
        <w:rPr>
          <w:rFonts w:ascii="Arial" w:hAnsi="Arial" w:cs="Arial"/>
          <w:sz w:val="24"/>
          <w:szCs w:val="24"/>
        </w:rPr>
        <w:t>The type and size of the employer</w:t>
      </w:r>
    </w:p>
    <w:p w:rsidR="007C3916" w:rsidRDefault="007C3916" w:rsidP="007C3916">
      <w:pPr>
        <w:rPr>
          <w:rFonts w:ascii="Arial" w:hAnsi="Arial" w:cs="Arial"/>
          <w:sz w:val="24"/>
          <w:szCs w:val="24"/>
        </w:rPr>
      </w:pPr>
      <w:r>
        <w:rPr>
          <w:rFonts w:ascii="Arial" w:hAnsi="Arial" w:cs="Arial"/>
          <w:sz w:val="24"/>
          <w:szCs w:val="24"/>
        </w:rPr>
        <w:t>With the above in mind, Capital Garden Centre Ltd would be considered a small business employing a total of 19 workers</w:t>
      </w:r>
      <w:r w:rsidR="006D3F68">
        <w:rPr>
          <w:rFonts w:ascii="Arial" w:hAnsi="Arial" w:cs="Arial"/>
          <w:sz w:val="24"/>
          <w:szCs w:val="24"/>
        </w:rPr>
        <w:t xml:space="preserve"> and would any adjustments </w:t>
      </w:r>
      <w:r w:rsidR="00FC58A0">
        <w:rPr>
          <w:rFonts w:ascii="Arial" w:hAnsi="Arial" w:cs="Arial"/>
          <w:sz w:val="24"/>
          <w:szCs w:val="24"/>
        </w:rPr>
        <w:t xml:space="preserve">have a significant impact financially and service disruption. </w:t>
      </w:r>
      <w:r w:rsidR="006D3F68">
        <w:rPr>
          <w:rFonts w:ascii="Arial" w:hAnsi="Arial" w:cs="Arial"/>
          <w:sz w:val="24"/>
          <w:szCs w:val="24"/>
        </w:rPr>
        <w:t xml:space="preserve"> </w:t>
      </w:r>
      <w:r w:rsidR="009456B1">
        <w:rPr>
          <w:rFonts w:ascii="Arial" w:hAnsi="Arial" w:cs="Arial"/>
          <w:sz w:val="24"/>
          <w:szCs w:val="24"/>
        </w:rPr>
        <w:t xml:space="preserve">Such contributing factors could be considered when determining the level of award, if applicable. </w:t>
      </w:r>
    </w:p>
    <w:p w:rsidR="00ED5CBB" w:rsidRDefault="00ED5CBB" w:rsidP="007C3916">
      <w:pPr>
        <w:rPr>
          <w:rFonts w:ascii="Arial" w:hAnsi="Arial" w:cs="Arial"/>
          <w:sz w:val="24"/>
          <w:szCs w:val="24"/>
        </w:rPr>
      </w:pPr>
      <w:r>
        <w:rPr>
          <w:rFonts w:ascii="Arial" w:hAnsi="Arial" w:cs="Arial"/>
          <w:sz w:val="24"/>
          <w:szCs w:val="24"/>
        </w:rPr>
        <w:t>ACAS (2023b) argues that if an employee is not meeting their job standards, the employer should follow a capability or performance procedure to investigate. Before doing so, the employer must make sure they have done all they reasonably can to support a disabled person.</w:t>
      </w:r>
    </w:p>
    <w:p w:rsidR="00404256" w:rsidRDefault="00404256" w:rsidP="007C3916">
      <w:pPr>
        <w:rPr>
          <w:rFonts w:ascii="Arial" w:hAnsi="Arial" w:cs="Arial"/>
          <w:sz w:val="24"/>
          <w:szCs w:val="24"/>
        </w:rPr>
      </w:pPr>
      <w:r>
        <w:rPr>
          <w:rFonts w:ascii="Arial" w:hAnsi="Arial" w:cs="Arial"/>
          <w:sz w:val="24"/>
          <w:szCs w:val="24"/>
        </w:rPr>
        <w:lastRenderedPageBreak/>
        <w:t xml:space="preserve">Furthermore, the Equality Act 2010 emphasises that by law an employer must not discipline them just because they are disabled. This would be deemed as disability discrimination. </w:t>
      </w:r>
    </w:p>
    <w:p w:rsidR="00404256" w:rsidRDefault="00404256" w:rsidP="007C3916">
      <w:pPr>
        <w:rPr>
          <w:rFonts w:ascii="Arial" w:hAnsi="Arial" w:cs="Arial"/>
          <w:sz w:val="24"/>
          <w:szCs w:val="24"/>
        </w:rPr>
      </w:pPr>
      <w:r>
        <w:rPr>
          <w:rFonts w:ascii="Arial" w:hAnsi="Arial" w:cs="Arial"/>
          <w:sz w:val="24"/>
          <w:szCs w:val="24"/>
        </w:rPr>
        <w:t xml:space="preserve">Managing performance fairly should include a discussion between the employer and employee on current performance, what the employer expects and what support and reasonable adjustments might be required to help. </w:t>
      </w:r>
      <w:r w:rsidR="007071ED">
        <w:rPr>
          <w:rFonts w:ascii="Arial" w:hAnsi="Arial" w:cs="Arial"/>
          <w:sz w:val="24"/>
          <w:szCs w:val="24"/>
        </w:rPr>
        <w:t xml:space="preserve">A tribunal could argue that Capital Garden Centre Ltd did not consider appropriate guidance to support the claimant whilst they were considered to be underperforming. </w:t>
      </w:r>
    </w:p>
    <w:p w:rsidR="006B1256" w:rsidRDefault="00DF2582" w:rsidP="009330C8">
      <w:pPr>
        <w:rPr>
          <w:rFonts w:ascii="Arial" w:hAnsi="Arial" w:cs="Arial"/>
          <w:sz w:val="24"/>
          <w:szCs w:val="24"/>
        </w:rPr>
      </w:pPr>
      <w:r>
        <w:rPr>
          <w:rFonts w:ascii="Arial" w:hAnsi="Arial" w:cs="Arial"/>
          <w:sz w:val="24"/>
          <w:szCs w:val="24"/>
        </w:rPr>
        <w:t>Ayling et al (2013) argues that should the tribunal reach a decision in favour of the claimant and depending on the type of claim, the tribunal can award the following:</w:t>
      </w:r>
    </w:p>
    <w:p w:rsidR="00DF2582" w:rsidRDefault="00DF2582" w:rsidP="00DF2582">
      <w:pPr>
        <w:pStyle w:val="ListParagraph"/>
        <w:numPr>
          <w:ilvl w:val="0"/>
          <w:numId w:val="14"/>
        </w:numPr>
        <w:rPr>
          <w:rFonts w:ascii="Arial" w:hAnsi="Arial" w:cs="Arial"/>
          <w:sz w:val="24"/>
          <w:szCs w:val="24"/>
        </w:rPr>
      </w:pPr>
      <w:r>
        <w:rPr>
          <w:rFonts w:ascii="Arial" w:hAnsi="Arial" w:cs="Arial"/>
          <w:sz w:val="24"/>
          <w:szCs w:val="24"/>
        </w:rPr>
        <w:t>Reinstatement (whereby the employee gets their job back)</w:t>
      </w:r>
    </w:p>
    <w:p w:rsidR="00DF2582" w:rsidRDefault="00DF2582" w:rsidP="00DF2582">
      <w:pPr>
        <w:pStyle w:val="ListParagraph"/>
        <w:numPr>
          <w:ilvl w:val="0"/>
          <w:numId w:val="14"/>
        </w:numPr>
        <w:rPr>
          <w:rFonts w:ascii="Arial" w:hAnsi="Arial" w:cs="Arial"/>
          <w:sz w:val="24"/>
          <w:szCs w:val="24"/>
        </w:rPr>
      </w:pPr>
      <w:r>
        <w:rPr>
          <w:rFonts w:ascii="Arial" w:hAnsi="Arial" w:cs="Arial"/>
          <w:sz w:val="24"/>
          <w:szCs w:val="24"/>
        </w:rPr>
        <w:t>Re-engagement (the employee returns to the company in a new role)</w:t>
      </w:r>
    </w:p>
    <w:p w:rsidR="00DF2582" w:rsidRDefault="00DF2582" w:rsidP="00DF2582">
      <w:pPr>
        <w:pStyle w:val="ListParagraph"/>
        <w:numPr>
          <w:ilvl w:val="0"/>
          <w:numId w:val="14"/>
        </w:numPr>
        <w:rPr>
          <w:rFonts w:ascii="Arial" w:hAnsi="Arial" w:cs="Arial"/>
          <w:sz w:val="24"/>
          <w:szCs w:val="24"/>
        </w:rPr>
      </w:pPr>
      <w:r>
        <w:rPr>
          <w:rFonts w:ascii="Arial" w:hAnsi="Arial" w:cs="Arial"/>
          <w:sz w:val="24"/>
          <w:szCs w:val="24"/>
        </w:rPr>
        <w:t>Compensation</w:t>
      </w:r>
    </w:p>
    <w:p w:rsidR="00DF2582" w:rsidRDefault="00DF2582" w:rsidP="00DF2582">
      <w:pPr>
        <w:pStyle w:val="ListParagraph"/>
        <w:numPr>
          <w:ilvl w:val="0"/>
          <w:numId w:val="14"/>
        </w:numPr>
        <w:rPr>
          <w:rFonts w:ascii="Arial" w:hAnsi="Arial" w:cs="Arial"/>
          <w:sz w:val="24"/>
          <w:szCs w:val="24"/>
        </w:rPr>
      </w:pPr>
      <w:r>
        <w:rPr>
          <w:rFonts w:ascii="Arial" w:hAnsi="Arial" w:cs="Arial"/>
          <w:sz w:val="24"/>
          <w:szCs w:val="24"/>
        </w:rPr>
        <w:t>Payment of wages or monies due to the employee</w:t>
      </w:r>
    </w:p>
    <w:p w:rsidR="001C7306" w:rsidRDefault="00DF2582" w:rsidP="00DF2582">
      <w:pPr>
        <w:rPr>
          <w:rFonts w:ascii="Arial" w:hAnsi="Arial" w:cs="Arial"/>
          <w:sz w:val="24"/>
          <w:szCs w:val="24"/>
        </w:rPr>
      </w:pPr>
      <w:r>
        <w:rPr>
          <w:rFonts w:ascii="Arial" w:hAnsi="Arial" w:cs="Arial"/>
          <w:sz w:val="24"/>
          <w:szCs w:val="24"/>
        </w:rPr>
        <w:t>It is worth noting that both reinstatement and re</w:t>
      </w:r>
      <w:r w:rsidR="001C7306">
        <w:rPr>
          <w:rFonts w:ascii="Arial" w:hAnsi="Arial" w:cs="Arial"/>
          <w:sz w:val="24"/>
          <w:szCs w:val="24"/>
        </w:rPr>
        <w:t>-engagement decisions are rare.</w:t>
      </w:r>
    </w:p>
    <w:p w:rsidR="001C7306" w:rsidRDefault="006C4EE0" w:rsidP="00DF2582">
      <w:pPr>
        <w:rPr>
          <w:rFonts w:ascii="Arial" w:hAnsi="Arial" w:cs="Arial"/>
          <w:sz w:val="24"/>
          <w:szCs w:val="24"/>
        </w:rPr>
      </w:pPr>
      <w:r>
        <w:rPr>
          <w:rFonts w:ascii="Arial" w:hAnsi="Arial" w:cs="Arial"/>
          <w:sz w:val="24"/>
          <w:szCs w:val="24"/>
        </w:rPr>
        <w:t>All courts have a limit to the scale of any case that they process. An employment tribunal sets a maximum award from 6</w:t>
      </w:r>
      <w:r w:rsidRPr="006C4EE0">
        <w:rPr>
          <w:rFonts w:ascii="Arial" w:hAnsi="Arial" w:cs="Arial"/>
          <w:sz w:val="24"/>
          <w:szCs w:val="24"/>
          <w:vertAlign w:val="superscript"/>
        </w:rPr>
        <w:t>th</w:t>
      </w:r>
      <w:r>
        <w:rPr>
          <w:rFonts w:ascii="Arial" w:hAnsi="Arial" w:cs="Arial"/>
          <w:sz w:val="24"/>
          <w:szCs w:val="24"/>
        </w:rPr>
        <w:t xml:space="preserve"> April 2024 for claims relating to contract terms at £25,000 (CIPD, 2024</w:t>
      </w:r>
      <w:r w:rsidR="0002053D">
        <w:rPr>
          <w:rFonts w:ascii="Arial" w:hAnsi="Arial" w:cs="Arial"/>
          <w:sz w:val="24"/>
          <w:szCs w:val="24"/>
        </w:rPr>
        <w:t>b</w:t>
      </w:r>
      <w:r>
        <w:rPr>
          <w:rFonts w:ascii="Arial" w:hAnsi="Arial" w:cs="Arial"/>
          <w:sz w:val="24"/>
          <w:szCs w:val="24"/>
        </w:rPr>
        <w:t xml:space="preserve">, Legislation UK, 2024) </w:t>
      </w:r>
    </w:p>
    <w:p w:rsidR="000369F0" w:rsidRDefault="0002053D">
      <w:pPr>
        <w:rPr>
          <w:rFonts w:ascii="Arial" w:hAnsi="Arial" w:cs="Arial"/>
          <w:sz w:val="24"/>
          <w:szCs w:val="24"/>
        </w:rPr>
      </w:pPr>
      <w:r>
        <w:rPr>
          <w:rFonts w:ascii="Arial" w:hAnsi="Arial" w:cs="Arial"/>
          <w:sz w:val="24"/>
          <w:szCs w:val="24"/>
        </w:rPr>
        <w:t xml:space="preserve">The amount of potential award will very much </w:t>
      </w:r>
      <w:r w:rsidR="006A5C98">
        <w:rPr>
          <w:rFonts w:ascii="Arial" w:hAnsi="Arial" w:cs="Arial"/>
          <w:sz w:val="24"/>
          <w:szCs w:val="24"/>
        </w:rPr>
        <w:t xml:space="preserve">depend on the case in question and </w:t>
      </w:r>
      <w:r w:rsidR="00AE3022">
        <w:rPr>
          <w:rFonts w:ascii="Arial" w:hAnsi="Arial" w:cs="Arial"/>
          <w:sz w:val="24"/>
          <w:szCs w:val="24"/>
        </w:rPr>
        <w:t xml:space="preserve">factors associated with this. </w:t>
      </w:r>
      <w:r w:rsidR="00B25ACA">
        <w:rPr>
          <w:rFonts w:ascii="Arial" w:hAnsi="Arial" w:cs="Arial"/>
          <w:sz w:val="24"/>
          <w:szCs w:val="24"/>
        </w:rPr>
        <w:t>Should it be deemed b</w:t>
      </w:r>
      <w:r w:rsidR="001C7306">
        <w:rPr>
          <w:rFonts w:ascii="Arial" w:hAnsi="Arial" w:cs="Arial"/>
          <w:sz w:val="24"/>
          <w:szCs w:val="24"/>
        </w:rPr>
        <w:t>y th</w:t>
      </w:r>
      <w:r w:rsidR="00B25ACA">
        <w:rPr>
          <w:rFonts w:ascii="Arial" w:hAnsi="Arial" w:cs="Arial"/>
          <w:sz w:val="24"/>
          <w:szCs w:val="24"/>
        </w:rPr>
        <w:t>e tribunal that there is a case for disability discrimination, for example, it is worth noting that there is no cap on an</w:t>
      </w:r>
      <w:r w:rsidR="001E778F">
        <w:rPr>
          <w:rFonts w:ascii="Arial" w:hAnsi="Arial" w:cs="Arial"/>
          <w:sz w:val="24"/>
          <w:szCs w:val="24"/>
        </w:rPr>
        <w:t>y potential</w:t>
      </w:r>
      <w:r w:rsidR="00B25ACA">
        <w:rPr>
          <w:rFonts w:ascii="Arial" w:hAnsi="Arial" w:cs="Arial"/>
          <w:sz w:val="24"/>
          <w:szCs w:val="24"/>
        </w:rPr>
        <w:t xml:space="preserve"> award (CIPD, 2023</w:t>
      </w:r>
      <w:r w:rsidR="00442C6A">
        <w:rPr>
          <w:rFonts w:ascii="Arial" w:hAnsi="Arial" w:cs="Arial"/>
          <w:sz w:val="24"/>
          <w:szCs w:val="24"/>
        </w:rPr>
        <w:t>a</w:t>
      </w:r>
      <w:r w:rsidR="00B25ACA">
        <w:rPr>
          <w:rFonts w:ascii="Arial" w:hAnsi="Arial" w:cs="Arial"/>
          <w:sz w:val="24"/>
          <w:szCs w:val="24"/>
        </w:rPr>
        <w:t>).</w:t>
      </w:r>
      <w:r w:rsidR="005F0AA4">
        <w:rPr>
          <w:rFonts w:ascii="Arial" w:hAnsi="Arial" w:cs="Arial"/>
          <w:sz w:val="24"/>
          <w:szCs w:val="24"/>
        </w:rPr>
        <w:t xml:space="preserve"> Any compensation could be increased if injury to feelings and aggravated damages are factored into any claim. </w:t>
      </w:r>
    </w:p>
    <w:p w:rsidR="00B1420A" w:rsidRDefault="005F0AA4">
      <w:pPr>
        <w:rPr>
          <w:rFonts w:ascii="Arial" w:hAnsi="Arial" w:cs="Arial"/>
          <w:sz w:val="24"/>
          <w:szCs w:val="24"/>
        </w:rPr>
      </w:pPr>
      <w:r>
        <w:rPr>
          <w:rFonts w:ascii="Arial" w:hAnsi="Arial" w:cs="Arial"/>
          <w:sz w:val="24"/>
          <w:szCs w:val="24"/>
        </w:rPr>
        <w:t>CIPD (2023</w:t>
      </w:r>
      <w:r w:rsidR="00442C6A">
        <w:rPr>
          <w:rFonts w:ascii="Arial" w:hAnsi="Arial" w:cs="Arial"/>
          <w:sz w:val="24"/>
          <w:szCs w:val="24"/>
        </w:rPr>
        <w:t>a</w:t>
      </w:r>
      <w:r>
        <w:rPr>
          <w:rFonts w:ascii="Arial" w:hAnsi="Arial" w:cs="Arial"/>
          <w:sz w:val="24"/>
          <w:szCs w:val="24"/>
        </w:rPr>
        <w:t xml:space="preserve">) outlines that ACAS guidance encourages </w:t>
      </w:r>
      <w:r w:rsidR="0090457B">
        <w:rPr>
          <w:rFonts w:ascii="Arial" w:hAnsi="Arial" w:cs="Arial"/>
          <w:sz w:val="24"/>
          <w:szCs w:val="24"/>
        </w:rPr>
        <w:t xml:space="preserve">the achievement of </w:t>
      </w:r>
      <w:r>
        <w:rPr>
          <w:rFonts w:ascii="Arial" w:hAnsi="Arial" w:cs="Arial"/>
          <w:sz w:val="24"/>
          <w:szCs w:val="24"/>
        </w:rPr>
        <w:t xml:space="preserve">conciliated settlements both before and after a tribunal claim has been presented. </w:t>
      </w:r>
    </w:p>
    <w:p w:rsidR="00B1420A" w:rsidRPr="009C71FE" w:rsidRDefault="00B1420A" w:rsidP="00B1420A">
      <w:pPr>
        <w:rPr>
          <w:rFonts w:ascii="Arial" w:hAnsi="Arial" w:cs="Arial"/>
          <w:b/>
          <w:sz w:val="24"/>
          <w:szCs w:val="24"/>
        </w:rPr>
      </w:pPr>
      <w:r w:rsidRPr="009C71FE">
        <w:rPr>
          <w:rFonts w:ascii="Arial" w:hAnsi="Arial" w:cs="Arial"/>
          <w:sz w:val="24"/>
          <w:szCs w:val="24"/>
          <w:shd w:val="clear" w:color="auto" w:fill="FFFFFF"/>
        </w:rPr>
        <w:t xml:space="preserve">A settlement agreement is a legally binding contract used by employers to set out agreed terms and conditions to end an employment relationship or </w:t>
      </w:r>
      <w:r w:rsidR="009C71FE">
        <w:rPr>
          <w:rFonts w:ascii="Arial" w:hAnsi="Arial" w:cs="Arial"/>
          <w:sz w:val="24"/>
          <w:szCs w:val="24"/>
          <w:shd w:val="clear" w:color="auto" w:fill="FFFFFF"/>
        </w:rPr>
        <w:t xml:space="preserve">in this case, </w:t>
      </w:r>
      <w:r w:rsidRPr="009C71FE">
        <w:rPr>
          <w:rFonts w:ascii="Arial" w:hAnsi="Arial" w:cs="Arial"/>
          <w:sz w:val="24"/>
          <w:szCs w:val="24"/>
          <w:shd w:val="clear" w:color="auto" w:fill="FFFFFF"/>
        </w:rPr>
        <w:t>resolve a dispute. The employee will usually be offered payment in return for completing a settlement agreement and giving up their rights to bring about a claim against the employe</w:t>
      </w:r>
      <w:r w:rsidR="009C71FE">
        <w:rPr>
          <w:rFonts w:ascii="Arial" w:hAnsi="Arial" w:cs="Arial"/>
          <w:sz w:val="24"/>
          <w:szCs w:val="24"/>
          <w:shd w:val="clear" w:color="auto" w:fill="FFFFFF"/>
        </w:rPr>
        <w:t>r</w:t>
      </w:r>
      <w:r w:rsidRPr="009C71FE">
        <w:rPr>
          <w:rFonts w:ascii="Arial" w:hAnsi="Arial" w:cs="Arial"/>
          <w:sz w:val="24"/>
          <w:szCs w:val="24"/>
          <w:shd w:val="clear" w:color="auto" w:fill="FFFFFF"/>
        </w:rPr>
        <w:t xml:space="preserve"> (Thompsons Solicitors, 2020).</w:t>
      </w:r>
    </w:p>
    <w:p w:rsidR="005F0AA4" w:rsidRPr="005F0AA4" w:rsidRDefault="00907632">
      <w:pPr>
        <w:rPr>
          <w:rFonts w:ascii="Arial" w:hAnsi="Arial" w:cs="Arial"/>
          <w:sz w:val="24"/>
          <w:szCs w:val="24"/>
        </w:rPr>
      </w:pPr>
      <w:r>
        <w:rPr>
          <w:rFonts w:ascii="Arial" w:hAnsi="Arial" w:cs="Arial"/>
          <w:sz w:val="24"/>
          <w:szCs w:val="24"/>
        </w:rPr>
        <w:t xml:space="preserve">It would be recommended to </w:t>
      </w:r>
      <w:r w:rsidR="00B1420A">
        <w:rPr>
          <w:rFonts w:ascii="Arial" w:hAnsi="Arial" w:cs="Arial"/>
          <w:sz w:val="24"/>
          <w:szCs w:val="24"/>
        </w:rPr>
        <w:t>consider a settlement agreement to mutually resolve any dispute given that there are a number of factors that the tribunal could consider in this case, particularly in relation to the claimant having a disability (ACAS, 2018).</w:t>
      </w:r>
    </w:p>
    <w:p w:rsidR="000369F0" w:rsidRDefault="000369F0">
      <w:pPr>
        <w:rPr>
          <w:rFonts w:ascii="Arial" w:hAnsi="Arial" w:cs="Arial"/>
          <w:b/>
          <w:sz w:val="28"/>
          <w:szCs w:val="28"/>
        </w:rPr>
      </w:pPr>
    </w:p>
    <w:p w:rsidR="00156ABE" w:rsidRDefault="00156ABE">
      <w:pPr>
        <w:rPr>
          <w:rFonts w:ascii="Arial" w:hAnsi="Arial" w:cs="Arial"/>
          <w:b/>
          <w:sz w:val="28"/>
          <w:szCs w:val="28"/>
        </w:rPr>
      </w:pPr>
      <w:r>
        <w:rPr>
          <w:rFonts w:ascii="Arial" w:hAnsi="Arial" w:cs="Arial"/>
          <w:b/>
          <w:sz w:val="24"/>
          <w:szCs w:val="24"/>
          <w:u w:val="single"/>
        </w:rPr>
        <w:t>SECTION B</w:t>
      </w:r>
    </w:p>
    <w:p w:rsidR="00442C6A" w:rsidRDefault="00442C6A" w:rsidP="00156ABE">
      <w:pPr>
        <w:shd w:val="clear" w:color="auto" w:fill="FFFFFF"/>
        <w:spacing w:before="100" w:beforeAutospacing="1" w:after="100" w:afterAutospacing="1" w:line="240" w:lineRule="auto"/>
        <w:rPr>
          <w:rFonts w:ascii="Arial" w:eastAsia="Times New Roman" w:hAnsi="Arial" w:cs="Arial"/>
          <w:color w:val="202020"/>
          <w:sz w:val="24"/>
          <w:szCs w:val="24"/>
          <w:lang w:eastAsia="en-GB"/>
        </w:rPr>
      </w:pPr>
      <w:r>
        <w:rPr>
          <w:rFonts w:ascii="Arial" w:eastAsia="Times New Roman" w:hAnsi="Arial" w:cs="Arial"/>
          <w:color w:val="202020"/>
          <w:sz w:val="24"/>
          <w:szCs w:val="24"/>
          <w:lang w:eastAsia="en-GB"/>
        </w:rPr>
        <w:t xml:space="preserve">Section 139 (1) of the Employment Rights Act 1996 defines that an employee is dismissed by reason of redundancy if the dismissal is wholly or mainly a consequent of: </w:t>
      </w:r>
    </w:p>
    <w:p w:rsidR="00394978" w:rsidRDefault="00442C6A" w:rsidP="00394978">
      <w:pPr>
        <w:shd w:val="clear" w:color="auto" w:fill="FFFFFF"/>
        <w:spacing w:before="100" w:beforeAutospacing="1" w:after="100" w:afterAutospacing="1" w:line="240" w:lineRule="auto"/>
        <w:rPr>
          <w:rFonts w:ascii="Arial" w:hAnsi="Arial" w:cs="Arial"/>
          <w:sz w:val="24"/>
          <w:szCs w:val="24"/>
          <w:shd w:val="clear" w:color="auto" w:fill="FFFFFF"/>
        </w:rPr>
      </w:pPr>
      <w:r w:rsidRPr="00442C6A">
        <w:rPr>
          <w:rFonts w:ascii="Arial" w:hAnsi="Arial" w:cs="Arial"/>
          <w:i/>
          <w:sz w:val="24"/>
          <w:szCs w:val="24"/>
          <w:shd w:val="clear" w:color="auto" w:fill="FFFFFF"/>
        </w:rPr>
        <w:lastRenderedPageBreak/>
        <w:t>“</w:t>
      </w:r>
      <w:r w:rsidR="004C4766" w:rsidRPr="00442C6A">
        <w:rPr>
          <w:rFonts w:ascii="Arial" w:hAnsi="Arial" w:cs="Arial"/>
          <w:i/>
          <w:sz w:val="24"/>
          <w:szCs w:val="24"/>
          <w:shd w:val="clear" w:color="auto" w:fill="FFFFFF"/>
        </w:rPr>
        <w:t>The</w:t>
      </w:r>
      <w:r w:rsidRPr="00442C6A">
        <w:rPr>
          <w:rFonts w:ascii="Arial" w:hAnsi="Arial" w:cs="Arial"/>
          <w:i/>
          <w:sz w:val="24"/>
          <w:szCs w:val="24"/>
          <w:shd w:val="clear" w:color="auto" w:fill="FFFFFF"/>
        </w:rPr>
        <w:t xml:space="preserve"> fact that the requirements of that business for employees to carry out work of a particular kind in the place where the employee was employed, have ceased or diminished or are expected to cease or diminish”</w:t>
      </w:r>
      <w:r>
        <w:rPr>
          <w:rFonts w:ascii="Arial" w:hAnsi="Arial" w:cs="Arial"/>
          <w:i/>
          <w:sz w:val="24"/>
          <w:szCs w:val="24"/>
          <w:shd w:val="clear" w:color="auto" w:fill="FFFFFF"/>
        </w:rPr>
        <w:t xml:space="preserve"> </w:t>
      </w:r>
      <w:r w:rsidR="00394978">
        <w:rPr>
          <w:rFonts w:ascii="Arial" w:hAnsi="Arial" w:cs="Arial"/>
          <w:sz w:val="24"/>
          <w:szCs w:val="24"/>
          <w:shd w:val="clear" w:color="auto" w:fill="FFFFFF"/>
        </w:rPr>
        <w:t>(CIPD, 2023b).</w:t>
      </w:r>
    </w:p>
    <w:p w:rsidR="00DD38D3" w:rsidRDefault="003D5BF7"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CIPD (2023b) argues that when dismissing</w:t>
      </w:r>
      <w:r w:rsidR="00DD38D3">
        <w:rPr>
          <w:rFonts w:ascii="Arial" w:hAnsi="Arial" w:cs="Arial"/>
          <w:sz w:val="24"/>
          <w:szCs w:val="24"/>
          <w:shd w:val="clear" w:color="auto" w:fill="FFFFFF"/>
        </w:rPr>
        <w:t xml:space="preserve"> fairly for redundancy, you must establish that the role is genuinely being made redundant. This may be considered not the case in respect of Bob Davis, as you are proposing to transfer his dut</w:t>
      </w:r>
      <w:r w:rsidR="001D3E1C">
        <w:rPr>
          <w:rFonts w:ascii="Arial" w:hAnsi="Arial" w:cs="Arial"/>
          <w:sz w:val="24"/>
          <w:szCs w:val="24"/>
          <w:shd w:val="clear" w:color="auto" w:fill="FFFFFF"/>
        </w:rPr>
        <w:t>ies to the General Manager role and could bring a claim for unfair dismissal.</w:t>
      </w:r>
    </w:p>
    <w:p w:rsidR="00F12A6F" w:rsidRDefault="00F12A6F"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An employer should tell all employees as soon as possible that they are considering making redundancies and explain which roles are at risk, why the redundancies are required, how many redundancies are being considered and what they expect to happen next, in</w:t>
      </w:r>
      <w:r w:rsidR="008B1658">
        <w:rPr>
          <w:rFonts w:ascii="Arial" w:hAnsi="Arial" w:cs="Arial"/>
          <w:sz w:val="24"/>
          <w:szCs w:val="24"/>
          <w:shd w:val="clear" w:color="auto" w:fill="FFFFFF"/>
        </w:rPr>
        <w:t>cluding a consultation process. All employees at risk should receive in writing information in relation to the possibility of other options, including voluntary redundancy or suitable alternative employment as well as consultation plans (ACAS, 2024b).</w:t>
      </w:r>
    </w:p>
    <w:p w:rsidR="008B1658" w:rsidRDefault="008B1658"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All employees should be consulted with individually and advised why they are being made redundant</w:t>
      </w:r>
      <w:r w:rsidR="0081108E">
        <w:rPr>
          <w:rFonts w:ascii="Arial" w:hAnsi="Arial" w:cs="Arial"/>
          <w:sz w:val="24"/>
          <w:szCs w:val="24"/>
          <w:shd w:val="clear" w:color="auto" w:fill="FFFFFF"/>
        </w:rPr>
        <w:t xml:space="preserve"> and given a statutory right to be accompanied at any consultation meeting by a trade union official or work colleague</w:t>
      </w:r>
      <w:r>
        <w:rPr>
          <w:rFonts w:ascii="Arial" w:hAnsi="Arial" w:cs="Arial"/>
          <w:sz w:val="24"/>
          <w:szCs w:val="24"/>
          <w:shd w:val="clear" w:color="auto" w:fill="FFFFFF"/>
        </w:rPr>
        <w:t xml:space="preserve">. There is no rule </w:t>
      </w:r>
      <w:r w:rsidR="0031384C">
        <w:rPr>
          <w:rFonts w:ascii="Arial" w:hAnsi="Arial" w:cs="Arial"/>
          <w:sz w:val="24"/>
          <w:szCs w:val="24"/>
          <w:shd w:val="clear" w:color="auto" w:fill="FFFFFF"/>
        </w:rPr>
        <w:t>or time lim</w:t>
      </w:r>
      <w:r>
        <w:rPr>
          <w:rFonts w:ascii="Arial" w:hAnsi="Arial" w:cs="Arial"/>
          <w:sz w:val="24"/>
          <w:szCs w:val="24"/>
          <w:shd w:val="clear" w:color="auto" w:fill="FFFFFF"/>
        </w:rPr>
        <w:t xml:space="preserve">it on how you should carry out the consultation as </w:t>
      </w:r>
      <w:r w:rsidR="0031384C">
        <w:rPr>
          <w:rFonts w:ascii="Arial" w:hAnsi="Arial" w:cs="Arial"/>
          <w:sz w:val="24"/>
          <w:szCs w:val="24"/>
          <w:shd w:val="clear" w:color="auto" w:fill="FFFFFF"/>
        </w:rPr>
        <w:t xml:space="preserve">the company is considering </w:t>
      </w:r>
      <w:r>
        <w:rPr>
          <w:rFonts w:ascii="Arial" w:hAnsi="Arial" w:cs="Arial"/>
          <w:sz w:val="24"/>
          <w:szCs w:val="24"/>
          <w:shd w:val="clear" w:color="auto" w:fill="FFFFFF"/>
        </w:rPr>
        <w:t>under 19 redundancies</w:t>
      </w:r>
      <w:r w:rsidR="0031384C">
        <w:rPr>
          <w:rFonts w:ascii="Arial" w:hAnsi="Arial" w:cs="Arial"/>
          <w:sz w:val="24"/>
          <w:szCs w:val="24"/>
          <w:shd w:val="clear" w:color="auto" w:fill="FFFFFF"/>
        </w:rPr>
        <w:t xml:space="preserve"> (</w:t>
      </w:r>
      <w:r w:rsidR="0081108E">
        <w:rPr>
          <w:rFonts w:ascii="Arial" w:hAnsi="Arial" w:cs="Arial"/>
          <w:sz w:val="24"/>
          <w:szCs w:val="24"/>
          <w:shd w:val="clear" w:color="auto" w:fill="FFFFFF"/>
        </w:rPr>
        <w:t xml:space="preserve">CIPD, 2023, </w:t>
      </w:r>
      <w:r w:rsidR="0031384C">
        <w:rPr>
          <w:rFonts w:ascii="Arial" w:hAnsi="Arial" w:cs="Arial"/>
          <w:sz w:val="24"/>
          <w:szCs w:val="24"/>
          <w:shd w:val="clear" w:color="auto" w:fill="FFFFFF"/>
        </w:rPr>
        <w:t>UK Government, 2024).</w:t>
      </w:r>
    </w:p>
    <w:p w:rsidR="00394978" w:rsidRDefault="0081108E"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A</w:t>
      </w:r>
      <w:r w:rsidR="00394978">
        <w:rPr>
          <w:rFonts w:ascii="Arial" w:hAnsi="Arial" w:cs="Arial"/>
          <w:sz w:val="24"/>
          <w:szCs w:val="24"/>
          <w:shd w:val="clear" w:color="auto" w:fill="FFFFFF"/>
        </w:rPr>
        <w:t xml:space="preserve">CAS </w:t>
      </w:r>
      <w:r w:rsidR="008B1658">
        <w:rPr>
          <w:rFonts w:ascii="Arial" w:hAnsi="Arial" w:cs="Arial"/>
          <w:sz w:val="24"/>
          <w:szCs w:val="24"/>
          <w:shd w:val="clear" w:color="auto" w:fill="FFFFFF"/>
        </w:rPr>
        <w:t>(2024c</w:t>
      </w:r>
      <w:r w:rsidR="00394978">
        <w:rPr>
          <w:rFonts w:ascii="Arial" w:hAnsi="Arial" w:cs="Arial"/>
          <w:sz w:val="24"/>
          <w:szCs w:val="24"/>
          <w:shd w:val="clear" w:color="auto" w:fill="FFFFFF"/>
        </w:rPr>
        <w:t>) argues that before starting any redundancy process, consideration should be given to reduce or avoid redundancies by looking at possible other options for any employee affected. This could include:</w:t>
      </w:r>
    </w:p>
    <w:p w:rsidR="00394978" w:rsidRDefault="00394978" w:rsidP="00394978">
      <w:pPr>
        <w:pStyle w:val="ListParagraph"/>
        <w:numPr>
          <w:ilvl w:val="0"/>
          <w:numId w:val="20"/>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Offering voluntary redundancy</w:t>
      </w:r>
    </w:p>
    <w:p w:rsidR="00394978" w:rsidRDefault="00394978" w:rsidP="00394978">
      <w:pPr>
        <w:pStyle w:val="ListParagraph"/>
        <w:numPr>
          <w:ilvl w:val="0"/>
          <w:numId w:val="20"/>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Moving employees into other roles within the café</w:t>
      </w:r>
    </w:p>
    <w:p w:rsidR="00394978" w:rsidRDefault="00394978" w:rsidP="00394978">
      <w:pPr>
        <w:pStyle w:val="ListParagraph"/>
        <w:numPr>
          <w:ilvl w:val="0"/>
          <w:numId w:val="20"/>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Change in working hours</w:t>
      </w:r>
    </w:p>
    <w:p w:rsidR="003E24F7" w:rsidRDefault="00394978"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 xml:space="preserve">Any staff at risk of redundancy </w:t>
      </w:r>
      <w:r w:rsidR="003E24F7">
        <w:rPr>
          <w:rFonts w:ascii="Arial" w:hAnsi="Arial" w:cs="Arial"/>
          <w:sz w:val="24"/>
          <w:szCs w:val="24"/>
          <w:shd w:val="clear" w:color="auto" w:fill="FFFFFF"/>
        </w:rPr>
        <w:t>must be</w:t>
      </w:r>
      <w:r>
        <w:rPr>
          <w:rFonts w:ascii="Arial" w:hAnsi="Arial" w:cs="Arial"/>
          <w:sz w:val="24"/>
          <w:szCs w:val="24"/>
          <w:shd w:val="clear" w:color="auto" w:fill="FFFFFF"/>
        </w:rPr>
        <w:t xml:space="preserve"> offered suitable alter</w:t>
      </w:r>
      <w:r w:rsidR="003E24F7">
        <w:rPr>
          <w:rFonts w:ascii="Arial" w:hAnsi="Arial" w:cs="Arial"/>
          <w:sz w:val="24"/>
          <w:szCs w:val="24"/>
          <w:shd w:val="clear" w:color="auto" w:fill="FFFFFF"/>
        </w:rPr>
        <w:t xml:space="preserve">native employment if one is available and given the right to a four-week trial period within the role offered.  </w:t>
      </w:r>
      <w:r w:rsidR="00FB182A">
        <w:rPr>
          <w:rFonts w:ascii="Arial" w:hAnsi="Arial" w:cs="Arial"/>
          <w:sz w:val="24"/>
          <w:szCs w:val="24"/>
          <w:shd w:val="clear" w:color="auto" w:fill="FFFFFF"/>
        </w:rPr>
        <w:t xml:space="preserve">This will include offering them first refusal of any jobs created within food preparation. </w:t>
      </w:r>
    </w:p>
    <w:p w:rsidR="00515030" w:rsidRDefault="00515030"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Lewis et al (2023) relates to section 141 of the Employment Rights Act 1996 in respect of offering alternative employment. It is argued that an employer can make an offer in writing or not, to re-engage under a new contract, which should take effect either on the ending of the current contract or within four weeks. The following provisions apply to making an offer of alternative employment:</w:t>
      </w:r>
    </w:p>
    <w:p w:rsidR="00515030" w:rsidRDefault="00515030" w:rsidP="00515030">
      <w:pPr>
        <w:pStyle w:val="ListParagraph"/>
        <w:numPr>
          <w:ilvl w:val="0"/>
          <w:numId w:val="25"/>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The new or renewed contract terms and conditions do not differ;</w:t>
      </w:r>
    </w:p>
    <w:p w:rsidR="00515030" w:rsidRDefault="00515030" w:rsidP="00515030">
      <w:pPr>
        <w:pStyle w:val="ListParagraph"/>
        <w:numPr>
          <w:ilvl w:val="0"/>
          <w:numId w:val="25"/>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If the terms and conditions differ, wholly or partly but the offer establishes an offer of suitable employment;</w:t>
      </w:r>
    </w:p>
    <w:p w:rsidR="00515030" w:rsidRDefault="00515030" w:rsidP="00515030">
      <w:pPr>
        <w:pStyle w:val="ListParagraph"/>
        <w:numPr>
          <w:ilvl w:val="0"/>
          <w:numId w:val="25"/>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If in either case above, the employee unreasonably refuses an offer, they will not be entitled to a redundancy payment.</w:t>
      </w:r>
    </w:p>
    <w:p w:rsidR="00515030" w:rsidRPr="00515030" w:rsidRDefault="00515030"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 burden lies with the employer to prove both the suitability of the offer and the unreasonableness of the employee’s refusal. </w:t>
      </w:r>
      <w:r w:rsidR="008A5743">
        <w:rPr>
          <w:rFonts w:ascii="Arial" w:hAnsi="Arial" w:cs="Arial"/>
          <w:sz w:val="24"/>
          <w:szCs w:val="24"/>
          <w:shd w:val="clear" w:color="auto" w:fill="FFFFFF"/>
        </w:rPr>
        <w:t xml:space="preserve">The suitability of alternative work must be measured objectively, through a comparison of the terms on offer with those previously honoured. </w:t>
      </w:r>
    </w:p>
    <w:p w:rsidR="003E24F7" w:rsidRDefault="0081108E" w:rsidP="00394978">
      <w:pPr>
        <w:shd w:val="clear" w:color="auto" w:fill="FFFFFF"/>
        <w:spacing w:before="100" w:beforeAutospacing="1" w:after="100" w:afterAutospacing="1" w:line="240" w:lineRule="auto"/>
        <w:rPr>
          <w:rFonts w:ascii="Arial" w:hAnsi="Arial" w:cs="Arial"/>
          <w:i/>
          <w:sz w:val="24"/>
          <w:szCs w:val="24"/>
          <w:shd w:val="clear" w:color="auto" w:fill="FFFFFF"/>
        </w:rPr>
      </w:pPr>
      <w:r w:rsidRPr="0081108E">
        <w:rPr>
          <w:rFonts w:ascii="Arial" w:hAnsi="Arial" w:cs="Arial"/>
          <w:i/>
          <w:sz w:val="24"/>
          <w:szCs w:val="24"/>
          <w:shd w:val="clear" w:color="auto" w:fill="FFFFFF"/>
        </w:rPr>
        <w:t>Potential redundancy payment costs</w:t>
      </w:r>
    </w:p>
    <w:p w:rsidR="002C6EC5" w:rsidRDefault="002C6EC5"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 xml:space="preserve">CIPD (2023b) refers to any entitlement to a statutory redundancy payment, an employee must have been continuously employed for two years or more and been dismissed by reason of redundancy. </w:t>
      </w:r>
    </w:p>
    <w:p w:rsidR="00A96FFC" w:rsidRDefault="00A96FFC"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When calculating any statutory redundancy pay, the following are taken into consideration:</w:t>
      </w:r>
    </w:p>
    <w:p w:rsidR="00A96FFC" w:rsidRDefault="00A96FFC" w:rsidP="00A96FFC">
      <w:pPr>
        <w:pStyle w:val="ListParagraph"/>
        <w:numPr>
          <w:ilvl w:val="0"/>
          <w:numId w:val="24"/>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The employees age</w:t>
      </w:r>
    </w:p>
    <w:p w:rsidR="00A96FFC" w:rsidRDefault="00A96FFC" w:rsidP="00A96FFC">
      <w:pPr>
        <w:pStyle w:val="ListParagraph"/>
        <w:numPr>
          <w:ilvl w:val="0"/>
          <w:numId w:val="24"/>
        </w:num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How long they have worked for you</w:t>
      </w:r>
    </w:p>
    <w:p w:rsidR="00A43856" w:rsidRDefault="00A43856" w:rsidP="00394978">
      <w:pPr>
        <w:shd w:val="clear" w:color="auto" w:fill="FFFFFF"/>
        <w:spacing w:before="100" w:beforeAutospacing="1" w:after="100" w:afterAutospacing="1" w:line="240" w:lineRule="auto"/>
        <w:rPr>
          <w:rFonts w:ascii="Arial" w:hAnsi="Arial" w:cs="Arial"/>
          <w:sz w:val="24"/>
          <w:szCs w:val="24"/>
          <w:shd w:val="clear" w:color="auto" w:fill="FFFFFF"/>
        </w:rPr>
      </w:pPr>
      <w:r>
        <w:rPr>
          <w:rFonts w:ascii="Arial" w:hAnsi="Arial" w:cs="Arial"/>
          <w:sz w:val="24"/>
          <w:szCs w:val="24"/>
          <w:shd w:val="clear" w:color="auto" w:fill="FFFFFF"/>
        </w:rPr>
        <w:t>The following payments have been calculated taking into consideration that the maximum statutory pay for a week is £700</w:t>
      </w:r>
      <w:r w:rsidR="00A96FFC">
        <w:rPr>
          <w:rFonts w:ascii="Arial" w:hAnsi="Arial" w:cs="Arial"/>
          <w:sz w:val="24"/>
          <w:szCs w:val="24"/>
          <w:shd w:val="clear" w:color="auto" w:fill="FFFFFF"/>
        </w:rPr>
        <w:t>; t</w:t>
      </w:r>
      <w:r>
        <w:rPr>
          <w:rFonts w:ascii="Arial" w:hAnsi="Arial" w:cs="Arial"/>
          <w:sz w:val="24"/>
          <w:szCs w:val="24"/>
          <w:shd w:val="clear" w:color="auto" w:fill="FFFFFF"/>
        </w:rPr>
        <w:t>he maximum total statutory redundancy pay is £21,000</w:t>
      </w:r>
      <w:r w:rsidR="00A96FFC">
        <w:rPr>
          <w:rFonts w:ascii="Arial" w:hAnsi="Arial" w:cs="Arial"/>
          <w:sz w:val="24"/>
          <w:szCs w:val="24"/>
          <w:shd w:val="clear" w:color="auto" w:fill="FFFFFF"/>
        </w:rPr>
        <w:t xml:space="preserve"> and there is a cap at 20 years’ service</w:t>
      </w:r>
      <w:r>
        <w:rPr>
          <w:rFonts w:ascii="Arial" w:hAnsi="Arial" w:cs="Arial"/>
          <w:sz w:val="24"/>
          <w:szCs w:val="24"/>
          <w:shd w:val="clear" w:color="auto" w:fill="FFFFFF"/>
        </w:rPr>
        <w:t xml:space="preserve"> (ACAS, 2024c).</w:t>
      </w:r>
    </w:p>
    <w:p w:rsidR="002C6EC5" w:rsidRPr="002C6EC5" w:rsidRDefault="002C6EC5" w:rsidP="002C6EC5">
      <w:pPr>
        <w:shd w:val="clear" w:color="auto" w:fill="FFFFFF"/>
        <w:spacing w:before="100" w:beforeAutospacing="1" w:after="100" w:afterAutospacing="1" w:line="240" w:lineRule="auto"/>
        <w:rPr>
          <w:rFonts w:ascii="Arial" w:hAnsi="Arial" w:cs="Arial"/>
          <w:color w:val="0B0C0C"/>
          <w:sz w:val="24"/>
          <w:szCs w:val="24"/>
        </w:rPr>
      </w:pPr>
      <w:r w:rsidRPr="002C6EC5">
        <w:rPr>
          <w:rFonts w:ascii="Arial" w:hAnsi="Arial" w:cs="Arial"/>
          <w:b/>
          <w:sz w:val="24"/>
          <w:szCs w:val="24"/>
          <w:shd w:val="clear" w:color="auto" w:fill="FFFFFF"/>
        </w:rPr>
        <w:t>Bob Davis</w:t>
      </w:r>
      <w:r w:rsidR="00A43856">
        <w:rPr>
          <w:rFonts w:ascii="Arial" w:hAnsi="Arial" w:cs="Arial"/>
          <w:b/>
          <w:sz w:val="24"/>
          <w:szCs w:val="24"/>
          <w:shd w:val="clear" w:color="auto" w:fill="FFFFFF"/>
        </w:rPr>
        <w:t xml:space="preserve"> </w:t>
      </w:r>
      <w:r w:rsidR="00A96FFC">
        <w:rPr>
          <w:rFonts w:ascii="Arial" w:hAnsi="Arial" w:cs="Arial"/>
          <w:sz w:val="24"/>
          <w:szCs w:val="24"/>
          <w:shd w:val="clear" w:color="auto" w:fill="FFFFFF"/>
        </w:rPr>
        <w:t>would be</w:t>
      </w:r>
      <w:r w:rsidR="00A43856">
        <w:rPr>
          <w:rFonts w:ascii="Arial" w:hAnsi="Arial" w:cs="Arial"/>
          <w:sz w:val="24"/>
          <w:szCs w:val="24"/>
          <w:shd w:val="clear" w:color="auto" w:fill="FFFFFF"/>
        </w:rPr>
        <w:t xml:space="preserve"> entitled to a statutory redundancy payment of</w:t>
      </w:r>
      <w:r w:rsidRPr="002C6EC5">
        <w:rPr>
          <w:rFonts w:ascii="Arial" w:hAnsi="Arial" w:cs="Arial"/>
          <w:b/>
          <w:sz w:val="24"/>
          <w:szCs w:val="24"/>
          <w:shd w:val="clear" w:color="auto" w:fill="FFFFFF"/>
        </w:rPr>
        <w:t xml:space="preserve"> </w:t>
      </w:r>
      <w:r w:rsidRPr="002C6EC5">
        <w:rPr>
          <w:rFonts w:ascii="Arial" w:hAnsi="Arial" w:cs="Arial"/>
          <w:b/>
          <w:color w:val="0B0C0C"/>
          <w:sz w:val="24"/>
          <w:szCs w:val="24"/>
        </w:rPr>
        <w:t>£4,815</w:t>
      </w:r>
      <w:r w:rsidR="00A43856">
        <w:rPr>
          <w:rFonts w:ascii="Arial" w:hAnsi="Arial" w:cs="Arial"/>
          <w:b/>
          <w:color w:val="0B0C0C"/>
          <w:sz w:val="24"/>
          <w:szCs w:val="24"/>
        </w:rPr>
        <w:t>.</w:t>
      </w:r>
    </w:p>
    <w:p w:rsidR="002C6EC5" w:rsidRPr="002C6EC5" w:rsidRDefault="002C6EC5" w:rsidP="002C6EC5">
      <w:pPr>
        <w:shd w:val="clear" w:color="auto" w:fill="FFFFFF"/>
        <w:spacing w:before="100" w:beforeAutospacing="1" w:after="100" w:afterAutospacing="1" w:line="240" w:lineRule="auto"/>
        <w:rPr>
          <w:rFonts w:ascii="Arial" w:hAnsi="Arial" w:cs="Arial"/>
          <w:b/>
          <w:color w:val="0B0C0C"/>
          <w:sz w:val="24"/>
          <w:szCs w:val="24"/>
        </w:rPr>
      </w:pPr>
      <w:r w:rsidRPr="002C6EC5">
        <w:rPr>
          <w:rFonts w:ascii="Arial" w:hAnsi="Arial" w:cs="Arial"/>
          <w:b/>
          <w:color w:val="0B0C0C"/>
          <w:sz w:val="24"/>
          <w:szCs w:val="24"/>
        </w:rPr>
        <w:t>Daniel Barne</w:t>
      </w:r>
      <w:r w:rsidR="00A43856">
        <w:rPr>
          <w:rFonts w:ascii="Arial" w:hAnsi="Arial" w:cs="Arial"/>
          <w:b/>
          <w:color w:val="0B0C0C"/>
          <w:sz w:val="24"/>
          <w:szCs w:val="24"/>
        </w:rPr>
        <w:t xml:space="preserve">s </w:t>
      </w:r>
      <w:r w:rsidR="00A43856">
        <w:rPr>
          <w:rFonts w:ascii="Arial" w:hAnsi="Arial" w:cs="Arial"/>
          <w:color w:val="0B0C0C"/>
          <w:sz w:val="24"/>
          <w:szCs w:val="24"/>
        </w:rPr>
        <w:t>is not entitled to any statutory payment as he has n</w:t>
      </w:r>
      <w:r w:rsidRPr="002C6EC5">
        <w:rPr>
          <w:rFonts w:ascii="Arial" w:hAnsi="Arial" w:cs="Arial"/>
          <w:color w:val="0B0C0C"/>
          <w:sz w:val="24"/>
          <w:szCs w:val="24"/>
        </w:rPr>
        <w:t xml:space="preserve">ot attained two years’ </w:t>
      </w:r>
      <w:r w:rsidR="00A43856">
        <w:rPr>
          <w:rFonts w:ascii="Arial" w:hAnsi="Arial" w:cs="Arial"/>
          <w:color w:val="0B0C0C"/>
          <w:sz w:val="24"/>
          <w:szCs w:val="24"/>
        </w:rPr>
        <w:t xml:space="preserve">continuous </w:t>
      </w:r>
      <w:r w:rsidRPr="002C6EC5">
        <w:rPr>
          <w:rFonts w:ascii="Arial" w:hAnsi="Arial" w:cs="Arial"/>
          <w:color w:val="0B0C0C"/>
          <w:sz w:val="24"/>
          <w:szCs w:val="24"/>
        </w:rPr>
        <w:t>service</w:t>
      </w:r>
      <w:r w:rsidR="00A43856">
        <w:rPr>
          <w:rFonts w:ascii="Arial" w:hAnsi="Arial" w:cs="Arial"/>
          <w:color w:val="0B0C0C"/>
          <w:sz w:val="24"/>
          <w:szCs w:val="24"/>
        </w:rPr>
        <w:t>.</w:t>
      </w:r>
    </w:p>
    <w:p w:rsidR="002C6EC5" w:rsidRPr="002C6EC5" w:rsidRDefault="002C6EC5" w:rsidP="002C6EC5">
      <w:pPr>
        <w:shd w:val="clear" w:color="auto" w:fill="FFFFFF"/>
        <w:spacing w:before="100" w:beforeAutospacing="1" w:after="100" w:afterAutospacing="1" w:line="240" w:lineRule="auto"/>
        <w:rPr>
          <w:rFonts w:ascii="Arial" w:hAnsi="Arial" w:cs="Arial"/>
          <w:b/>
          <w:color w:val="0B0C0C"/>
          <w:sz w:val="24"/>
          <w:szCs w:val="24"/>
        </w:rPr>
      </w:pPr>
      <w:r w:rsidRPr="002C6EC5">
        <w:rPr>
          <w:rFonts w:ascii="Arial" w:hAnsi="Arial" w:cs="Arial"/>
          <w:b/>
          <w:color w:val="0B0C0C"/>
          <w:sz w:val="24"/>
          <w:szCs w:val="24"/>
        </w:rPr>
        <w:t>Jane Maddison</w:t>
      </w:r>
      <w:r w:rsidR="00A43856">
        <w:rPr>
          <w:rFonts w:ascii="Arial" w:hAnsi="Arial" w:cs="Arial"/>
          <w:b/>
          <w:color w:val="0B0C0C"/>
          <w:sz w:val="24"/>
          <w:szCs w:val="24"/>
        </w:rPr>
        <w:t xml:space="preserve"> </w:t>
      </w:r>
      <w:r w:rsidR="00A96FFC">
        <w:rPr>
          <w:rFonts w:ascii="Arial" w:hAnsi="Arial" w:cs="Arial"/>
          <w:color w:val="0B0C0C"/>
          <w:sz w:val="24"/>
          <w:szCs w:val="24"/>
        </w:rPr>
        <w:t xml:space="preserve">would be </w:t>
      </w:r>
      <w:r w:rsidR="00A43856">
        <w:rPr>
          <w:rFonts w:ascii="Arial" w:hAnsi="Arial" w:cs="Arial"/>
          <w:color w:val="0B0C0C"/>
          <w:sz w:val="24"/>
          <w:szCs w:val="24"/>
        </w:rPr>
        <w:t xml:space="preserve">entitled to a statutory redundancy payment of </w:t>
      </w:r>
      <w:r w:rsidRPr="002C6EC5">
        <w:rPr>
          <w:rFonts w:ascii="Arial" w:hAnsi="Arial" w:cs="Arial"/>
          <w:b/>
          <w:color w:val="0B0C0C"/>
          <w:sz w:val="24"/>
          <w:szCs w:val="24"/>
        </w:rPr>
        <w:t>£765</w:t>
      </w:r>
      <w:r w:rsidR="00A43856">
        <w:rPr>
          <w:rFonts w:ascii="Arial" w:hAnsi="Arial" w:cs="Arial"/>
          <w:b/>
          <w:color w:val="0B0C0C"/>
          <w:sz w:val="24"/>
          <w:szCs w:val="24"/>
        </w:rPr>
        <w:t>.</w:t>
      </w:r>
    </w:p>
    <w:p w:rsidR="002C6EC5" w:rsidRPr="002C6EC5" w:rsidRDefault="002C6EC5" w:rsidP="002C6EC5">
      <w:pPr>
        <w:shd w:val="clear" w:color="auto" w:fill="FFFFFF"/>
        <w:spacing w:before="100" w:beforeAutospacing="1" w:after="100" w:afterAutospacing="1" w:line="240" w:lineRule="auto"/>
        <w:rPr>
          <w:rFonts w:ascii="Arial" w:hAnsi="Arial" w:cs="Arial"/>
          <w:b/>
          <w:color w:val="0B0C0C"/>
          <w:sz w:val="24"/>
          <w:szCs w:val="24"/>
        </w:rPr>
      </w:pPr>
      <w:r w:rsidRPr="002C6EC5">
        <w:rPr>
          <w:rFonts w:ascii="Arial" w:hAnsi="Arial" w:cs="Arial"/>
          <w:b/>
          <w:color w:val="0B0C0C"/>
          <w:sz w:val="24"/>
          <w:szCs w:val="24"/>
        </w:rPr>
        <w:t xml:space="preserve">Steve Tyler </w:t>
      </w:r>
      <w:r w:rsidR="00A96FFC">
        <w:rPr>
          <w:rFonts w:ascii="Arial" w:hAnsi="Arial" w:cs="Arial"/>
          <w:color w:val="0B0C0C"/>
          <w:sz w:val="24"/>
          <w:szCs w:val="24"/>
        </w:rPr>
        <w:t>would be</w:t>
      </w:r>
      <w:r w:rsidR="00A43856">
        <w:rPr>
          <w:rFonts w:ascii="Arial" w:hAnsi="Arial" w:cs="Arial"/>
          <w:color w:val="0B0C0C"/>
          <w:sz w:val="24"/>
          <w:szCs w:val="24"/>
        </w:rPr>
        <w:t xml:space="preserve"> entitled to a statutory redundancy payment of </w:t>
      </w:r>
      <w:r w:rsidRPr="002C6EC5">
        <w:rPr>
          <w:rFonts w:ascii="Arial" w:hAnsi="Arial" w:cs="Arial"/>
          <w:b/>
          <w:color w:val="0B0C0C"/>
          <w:sz w:val="24"/>
          <w:szCs w:val="24"/>
        </w:rPr>
        <w:t>£4,180</w:t>
      </w:r>
      <w:r w:rsidR="00A43856">
        <w:rPr>
          <w:rFonts w:ascii="Arial" w:hAnsi="Arial" w:cs="Arial"/>
          <w:b/>
          <w:color w:val="0B0C0C"/>
          <w:sz w:val="24"/>
          <w:szCs w:val="24"/>
        </w:rPr>
        <w:t>.</w:t>
      </w:r>
    </w:p>
    <w:p w:rsidR="002C6EC5" w:rsidRDefault="002C6EC5" w:rsidP="002C6EC5">
      <w:pPr>
        <w:shd w:val="clear" w:color="auto" w:fill="FFFFFF"/>
        <w:spacing w:before="100" w:beforeAutospacing="1" w:after="100" w:afterAutospacing="1" w:line="240" w:lineRule="auto"/>
        <w:rPr>
          <w:rFonts w:ascii="Arial" w:hAnsi="Arial" w:cs="Arial"/>
          <w:color w:val="0B0C0C"/>
        </w:rPr>
      </w:pPr>
    </w:p>
    <w:p w:rsidR="002C6EC5" w:rsidRPr="002C6EC5" w:rsidRDefault="002C6EC5" w:rsidP="00394978">
      <w:pPr>
        <w:shd w:val="clear" w:color="auto" w:fill="FFFFFF"/>
        <w:spacing w:before="100" w:beforeAutospacing="1" w:after="100" w:afterAutospacing="1" w:line="240" w:lineRule="auto"/>
        <w:rPr>
          <w:rFonts w:ascii="Arial" w:hAnsi="Arial" w:cs="Arial"/>
          <w:b/>
          <w:sz w:val="24"/>
          <w:szCs w:val="24"/>
          <w:shd w:val="clear" w:color="auto" w:fill="FFFFFF"/>
        </w:rPr>
      </w:pPr>
    </w:p>
    <w:p w:rsidR="002C6EC5" w:rsidRPr="00394978" w:rsidRDefault="002C6EC5" w:rsidP="00394978">
      <w:pPr>
        <w:shd w:val="clear" w:color="auto" w:fill="FFFFFF"/>
        <w:spacing w:before="100" w:beforeAutospacing="1" w:after="100" w:afterAutospacing="1" w:line="240" w:lineRule="auto"/>
        <w:rPr>
          <w:rFonts w:ascii="Arial" w:hAnsi="Arial" w:cs="Arial"/>
          <w:sz w:val="24"/>
          <w:szCs w:val="24"/>
          <w:shd w:val="clear" w:color="auto" w:fill="FFFFFF"/>
        </w:rPr>
      </w:pPr>
    </w:p>
    <w:p w:rsidR="00394978" w:rsidRPr="00394978" w:rsidRDefault="00394978" w:rsidP="00394978">
      <w:pPr>
        <w:shd w:val="clear" w:color="auto" w:fill="FFFFFF"/>
        <w:spacing w:before="100" w:beforeAutospacing="1" w:after="100" w:afterAutospacing="1" w:line="240" w:lineRule="auto"/>
        <w:rPr>
          <w:rFonts w:ascii="Arial" w:hAnsi="Arial" w:cs="Arial"/>
          <w:sz w:val="24"/>
          <w:szCs w:val="24"/>
          <w:shd w:val="clear" w:color="auto" w:fill="FFFFFF"/>
        </w:rPr>
      </w:pPr>
    </w:p>
    <w:p w:rsidR="009330C8" w:rsidRDefault="009330C8">
      <w:pPr>
        <w:rPr>
          <w:rFonts w:ascii="Arial" w:hAnsi="Arial" w:cs="Arial"/>
          <w:b/>
          <w:sz w:val="28"/>
          <w:szCs w:val="28"/>
        </w:rPr>
      </w:pPr>
    </w:p>
    <w:p w:rsidR="009330C8" w:rsidRDefault="009330C8">
      <w:pPr>
        <w:rPr>
          <w:rFonts w:ascii="Arial" w:hAnsi="Arial" w:cs="Arial"/>
          <w:b/>
          <w:sz w:val="28"/>
          <w:szCs w:val="28"/>
        </w:rPr>
      </w:pPr>
    </w:p>
    <w:p w:rsidR="009330C8" w:rsidRDefault="009330C8">
      <w:pPr>
        <w:rPr>
          <w:rFonts w:ascii="Arial" w:hAnsi="Arial" w:cs="Arial"/>
          <w:b/>
          <w:sz w:val="28"/>
          <w:szCs w:val="28"/>
        </w:rPr>
      </w:pPr>
    </w:p>
    <w:p w:rsidR="009330C8" w:rsidRDefault="009330C8">
      <w:pPr>
        <w:rPr>
          <w:rFonts w:ascii="Arial" w:hAnsi="Arial" w:cs="Arial"/>
          <w:b/>
          <w:sz w:val="28"/>
          <w:szCs w:val="28"/>
        </w:rPr>
      </w:pPr>
    </w:p>
    <w:p w:rsidR="009330C8" w:rsidRDefault="009330C8">
      <w:pPr>
        <w:rPr>
          <w:rFonts w:ascii="Arial" w:hAnsi="Arial" w:cs="Arial"/>
          <w:b/>
          <w:sz w:val="28"/>
          <w:szCs w:val="28"/>
        </w:rPr>
      </w:pPr>
    </w:p>
    <w:p w:rsidR="009E0F51" w:rsidRDefault="009E0F51">
      <w:pPr>
        <w:rPr>
          <w:rFonts w:ascii="Arial" w:hAnsi="Arial" w:cs="Arial"/>
          <w:b/>
          <w:sz w:val="28"/>
          <w:szCs w:val="28"/>
        </w:rPr>
      </w:pPr>
    </w:p>
    <w:p w:rsidR="0012174A" w:rsidRDefault="0012174A" w:rsidP="008F16A4">
      <w:pPr>
        <w:rPr>
          <w:rFonts w:ascii="Arial" w:hAnsi="Arial" w:cs="Arial"/>
          <w:b/>
          <w:sz w:val="24"/>
          <w:szCs w:val="24"/>
        </w:rPr>
      </w:pPr>
    </w:p>
    <w:p w:rsidR="008F16A4" w:rsidRDefault="00944297" w:rsidP="008F16A4">
      <w:pPr>
        <w:rPr>
          <w:rFonts w:ascii="Arial" w:hAnsi="Arial" w:cs="Arial"/>
          <w:b/>
          <w:sz w:val="24"/>
          <w:szCs w:val="24"/>
        </w:rPr>
      </w:pPr>
      <w:r w:rsidRPr="00944297">
        <w:rPr>
          <w:rFonts w:ascii="Arial" w:hAnsi="Arial" w:cs="Arial"/>
          <w:b/>
          <w:sz w:val="24"/>
          <w:szCs w:val="24"/>
        </w:rPr>
        <w:lastRenderedPageBreak/>
        <w:t>References</w:t>
      </w:r>
    </w:p>
    <w:p w:rsidR="00B1420A" w:rsidRDefault="00B1420A" w:rsidP="00780C36">
      <w:pPr>
        <w:rPr>
          <w:rFonts w:ascii="Arial" w:hAnsi="Arial" w:cs="Arial"/>
        </w:rPr>
      </w:pPr>
      <w:r>
        <w:rPr>
          <w:rFonts w:ascii="Arial" w:hAnsi="Arial" w:cs="Arial"/>
        </w:rPr>
        <w:t xml:space="preserve">ACAS (2018) </w:t>
      </w:r>
      <w:r w:rsidRPr="00B1420A">
        <w:rPr>
          <w:rFonts w:ascii="Arial" w:hAnsi="Arial" w:cs="Arial"/>
          <w:i/>
        </w:rPr>
        <w:t xml:space="preserve">Settlement agreements guidance. </w:t>
      </w:r>
      <w:r>
        <w:rPr>
          <w:rFonts w:ascii="Arial" w:hAnsi="Arial" w:cs="Arial"/>
        </w:rPr>
        <w:t xml:space="preserve">Available at: </w:t>
      </w:r>
      <w:hyperlink r:id="rId7" w:history="1">
        <w:r w:rsidRPr="003F330F">
          <w:rPr>
            <w:rStyle w:val="Hyperlink"/>
            <w:rFonts w:ascii="Arial" w:hAnsi="Arial" w:cs="Arial"/>
          </w:rPr>
          <w:t>https://www.acas.org.uk/sites/default/files/2021-03/settlement-agreements.pdf</w:t>
        </w:r>
      </w:hyperlink>
      <w:r>
        <w:rPr>
          <w:rFonts w:ascii="Arial" w:hAnsi="Arial" w:cs="Arial"/>
        </w:rPr>
        <w:t xml:space="preserve"> (Accessed: 06 May 2024).</w:t>
      </w:r>
    </w:p>
    <w:p w:rsidR="00BC065E" w:rsidRDefault="00BC065E" w:rsidP="00780C36">
      <w:pPr>
        <w:rPr>
          <w:rFonts w:ascii="Arial" w:hAnsi="Arial" w:cs="Arial"/>
        </w:rPr>
      </w:pPr>
      <w:r>
        <w:rPr>
          <w:rFonts w:ascii="Arial" w:hAnsi="Arial" w:cs="Arial"/>
        </w:rPr>
        <w:t>ACAS (2023</w:t>
      </w:r>
      <w:r w:rsidR="00ED5CBB">
        <w:rPr>
          <w:rFonts w:ascii="Arial" w:hAnsi="Arial" w:cs="Arial"/>
        </w:rPr>
        <w:t>a</w:t>
      </w:r>
      <w:r>
        <w:rPr>
          <w:rFonts w:ascii="Arial" w:hAnsi="Arial" w:cs="Arial"/>
        </w:rPr>
        <w:t xml:space="preserve">) </w:t>
      </w:r>
      <w:r w:rsidRPr="00BC065E">
        <w:rPr>
          <w:rFonts w:ascii="Arial" w:hAnsi="Arial" w:cs="Arial"/>
          <w:i/>
        </w:rPr>
        <w:t>Talking about disability</w:t>
      </w:r>
      <w:r>
        <w:rPr>
          <w:rFonts w:ascii="Arial" w:hAnsi="Arial" w:cs="Arial"/>
        </w:rPr>
        <w:t xml:space="preserve">. Available at: </w:t>
      </w:r>
      <w:hyperlink r:id="rId8" w:anchor=":~:text=By%20law%2C%20nobody%20has%20to,to%20them%20or%20other%20people" w:history="1">
        <w:r w:rsidRPr="002F58A0">
          <w:rPr>
            <w:rStyle w:val="Hyperlink"/>
            <w:rFonts w:ascii="Arial" w:hAnsi="Arial" w:cs="Arial"/>
          </w:rPr>
          <w:t>https://www.acas.org.uk/supporting-disabled-people#:~:text=By%20law%2C%20nobody%20has%20to,to%20them%20or%20other%20people</w:t>
        </w:r>
      </w:hyperlink>
      <w:r>
        <w:rPr>
          <w:rFonts w:ascii="Arial" w:hAnsi="Arial" w:cs="Arial"/>
        </w:rPr>
        <w:t xml:space="preserve"> (Accessed: 24 April 2024).</w:t>
      </w:r>
    </w:p>
    <w:p w:rsidR="00ED5CBB" w:rsidRDefault="00ED5CBB" w:rsidP="00780C36">
      <w:pPr>
        <w:rPr>
          <w:rFonts w:ascii="Arial" w:hAnsi="Arial" w:cs="Arial"/>
        </w:rPr>
      </w:pPr>
      <w:r>
        <w:rPr>
          <w:rFonts w:ascii="Arial" w:hAnsi="Arial" w:cs="Arial"/>
        </w:rPr>
        <w:t xml:space="preserve">ACAS (2023b) </w:t>
      </w:r>
      <w:r w:rsidRPr="00ED5CBB">
        <w:rPr>
          <w:rFonts w:ascii="Arial" w:hAnsi="Arial" w:cs="Arial"/>
          <w:i/>
        </w:rPr>
        <w:t>Supporting disabled people at work: Capability and performance.</w:t>
      </w:r>
      <w:r>
        <w:rPr>
          <w:rFonts w:ascii="Arial" w:hAnsi="Arial" w:cs="Arial"/>
        </w:rPr>
        <w:t xml:space="preserve"> Available at: </w:t>
      </w:r>
      <w:hyperlink r:id="rId9" w:history="1">
        <w:r w:rsidRPr="00166820">
          <w:rPr>
            <w:rStyle w:val="Hyperlink"/>
            <w:rFonts w:ascii="Arial" w:hAnsi="Arial" w:cs="Arial"/>
          </w:rPr>
          <w:t>https://www.acas.org.uk/supporting-disabled-people/capability-and-performance-when-someone-is-disabled</w:t>
        </w:r>
      </w:hyperlink>
      <w:r>
        <w:rPr>
          <w:rFonts w:ascii="Arial" w:hAnsi="Arial" w:cs="Arial"/>
        </w:rPr>
        <w:t xml:space="preserve"> (Accessed: 03 May 2024).</w:t>
      </w:r>
    </w:p>
    <w:p w:rsidR="008F16A4" w:rsidRDefault="00291EAA" w:rsidP="00780C36">
      <w:pPr>
        <w:rPr>
          <w:rFonts w:ascii="Arial" w:hAnsi="Arial" w:cs="Arial"/>
        </w:rPr>
      </w:pPr>
      <w:r>
        <w:rPr>
          <w:rFonts w:ascii="Arial" w:hAnsi="Arial" w:cs="Arial"/>
        </w:rPr>
        <w:t>ACAS (2024</w:t>
      </w:r>
      <w:r w:rsidR="00394978">
        <w:rPr>
          <w:rFonts w:ascii="Arial" w:hAnsi="Arial" w:cs="Arial"/>
        </w:rPr>
        <w:t>a</w:t>
      </w:r>
      <w:r>
        <w:rPr>
          <w:rFonts w:ascii="Arial" w:hAnsi="Arial" w:cs="Arial"/>
        </w:rPr>
        <w:t xml:space="preserve">) </w:t>
      </w:r>
      <w:r w:rsidRPr="00291EAA">
        <w:rPr>
          <w:rFonts w:ascii="Arial" w:hAnsi="Arial" w:cs="Arial"/>
          <w:i/>
        </w:rPr>
        <w:t>What a disability means by law</w:t>
      </w:r>
      <w:r>
        <w:rPr>
          <w:rFonts w:ascii="Arial" w:hAnsi="Arial" w:cs="Arial"/>
        </w:rPr>
        <w:t xml:space="preserve">. Available at: </w:t>
      </w:r>
      <w:hyperlink r:id="rId10" w:history="1">
        <w:r w:rsidRPr="002F58A0">
          <w:rPr>
            <w:rStyle w:val="Hyperlink"/>
            <w:rFonts w:ascii="Arial" w:hAnsi="Arial" w:cs="Arial"/>
          </w:rPr>
          <w:t>https://www.acas.org.uk/what-disability-means-by-law</w:t>
        </w:r>
      </w:hyperlink>
      <w:r>
        <w:rPr>
          <w:rFonts w:ascii="Arial" w:hAnsi="Arial" w:cs="Arial"/>
        </w:rPr>
        <w:t xml:space="preserve"> (Accessed: 01 April 2024).</w:t>
      </w:r>
    </w:p>
    <w:p w:rsidR="008B1658" w:rsidRDefault="008B1658" w:rsidP="00780C36">
      <w:pPr>
        <w:rPr>
          <w:rFonts w:ascii="Arial" w:hAnsi="Arial" w:cs="Arial"/>
        </w:rPr>
      </w:pPr>
      <w:r>
        <w:rPr>
          <w:rFonts w:ascii="Arial" w:hAnsi="Arial" w:cs="Arial"/>
        </w:rPr>
        <w:t xml:space="preserve">ACAS (2024b) </w:t>
      </w:r>
      <w:r w:rsidRPr="008B1658">
        <w:rPr>
          <w:rFonts w:ascii="Arial" w:hAnsi="Arial" w:cs="Arial"/>
          <w:i/>
        </w:rPr>
        <w:t>Your rights during redundancy</w:t>
      </w:r>
      <w:r>
        <w:rPr>
          <w:rFonts w:ascii="Arial" w:hAnsi="Arial" w:cs="Arial"/>
        </w:rPr>
        <w:t xml:space="preserve">. Available at: </w:t>
      </w:r>
      <w:hyperlink r:id="rId11" w:history="1">
        <w:r w:rsidRPr="003F330F">
          <w:rPr>
            <w:rStyle w:val="Hyperlink"/>
            <w:rFonts w:ascii="Arial" w:hAnsi="Arial" w:cs="Arial"/>
          </w:rPr>
          <w:t>https://www.acas.org.uk/your-rights-during-redundancy</w:t>
        </w:r>
      </w:hyperlink>
      <w:r>
        <w:rPr>
          <w:rFonts w:ascii="Arial" w:hAnsi="Arial" w:cs="Arial"/>
        </w:rPr>
        <w:t xml:space="preserve"> (Accessed: 06 May 2024).</w:t>
      </w:r>
    </w:p>
    <w:p w:rsidR="00394978" w:rsidRDefault="008B1658" w:rsidP="00780C36">
      <w:pPr>
        <w:rPr>
          <w:rFonts w:ascii="Arial" w:hAnsi="Arial" w:cs="Arial"/>
        </w:rPr>
      </w:pPr>
      <w:r>
        <w:rPr>
          <w:rFonts w:ascii="Arial" w:hAnsi="Arial" w:cs="Arial"/>
        </w:rPr>
        <w:t>ACAS (2024c</w:t>
      </w:r>
      <w:r w:rsidR="00394978">
        <w:rPr>
          <w:rFonts w:ascii="Arial" w:hAnsi="Arial" w:cs="Arial"/>
        </w:rPr>
        <w:t xml:space="preserve">) </w:t>
      </w:r>
      <w:r w:rsidR="00394978" w:rsidRPr="00394978">
        <w:rPr>
          <w:rFonts w:ascii="Arial" w:hAnsi="Arial" w:cs="Arial"/>
          <w:i/>
        </w:rPr>
        <w:t>Managing staff redundancies.</w:t>
      </w:r>
      <w:r w:rsidR="00394978">
        <w:rPr>
          <w:rFonts w:ascii="Arial" w:hAnsi="Arial" w:cs="Arial"/>
        </w:rPr>
        <w:t xml:space="preserve"> Available at: </w:t>
      </w:r>
      <w:hyperlink r:id="rId12" w:history="1">
        <w:r w:rsidR="00394978" w:rsidRPr="003F330F">
          <w:rPr>
            <w:rStyle w:val="Hyperlink"/>
            <w:rFonts w:ascii="Arial" w:hAnsi="Arial" w:cs="Arial"/>
          </w:rPr>
          <w:t>https://www.acas.org.uk/manage-staff-redundancies</w:t>
        </w:r>
      </w:hyperlink>
      <w:r w:rsidR="00394978">
        <w:rPr>
          <w:rFonts w:ascii="Arial" w:hAnsi="Arial" w:cs="Arial"/>
        </w:rPr>
        <w:t xml:space="preserve"> (Accessed: 06 May 2024).</w:t>
      </w:r>
    </w:p>
    <w:p w:rsidR="000621C5" w:rsidRDefault="000621C5" w:rsidP="00780C36">
      <w:pPr>
        <w:rPr>
          <w:rFonts w:ascii="Arial" w:hAnsi="Arial" w:cs="Arial"/>
        </w:rPr>
      </w:pPr>
      <w:r>
        <w:rPr>
          <w:rFonts w:ascii="Arial" w:hAnsi="Arial" w:cs="Arial"/>
        </w:rPr>
        <w:t xml:space="preserve">AWH Solicitors (no date) </w:t>
      </w:r>
      <w:r w:rsidRPr="000621C5">
        <w:rPr>
          <w:rFonts w:ascii="Arial" w:hAnsi="Arial" w:cs="Arial"/>
          <w:i/>
        </w:rPr>
        <w:t>How to prove constructive dismissal</w:t>
      </w:r>
      <w:r>
        <w:rPr>
          <w:rFonts w:ascii="Arial" w:hAnsi="Arial" w:cs="Arial"/>
        </w:rPr>
        <w:t xml:space="preserve">. Available at: </w:t>
      </w:r>
      <w:hyperlink r:id="rId13" w:history="1">
        <w:r w:rsidRPr="002F58A0">
          <w:rPr>
            <w:rStyle w:val="Hyperlink"/>
            <w:rFonts w:ascii="Arial" w:hAnsi="Arial" w:cs="Arial"/>
          </w:rPr>
          <w:t>https://awhsolicitors.co.uk/articles/employment/proving-constructive-dismissal/</w:t>
        </w:r>
      </w:hyperlink>
      <w:r>
        <w:rPr>
          <w:rFonts w:ascii="Arial" w:hAnsi="Arial" w:cs="Arial"/>
        </w:rPr>
        <w:t xml:space="preserve"> (Accessed: 23 April 2024).</w:t>
      </w:r>
    </w:p>
    <w:p w:rsidR="009B16DA" w:rsidRDefault="009B16DA" w:rsidP="00780C36">
      <w:pPr>
        <w:rPr>
          <w:rFonts w:ascii="Arial" w:hAnsi="Arial" w:cs="Arial"/>
        </w:rPr>
      </w:pPr>
      <w:r>
        <w:rPr>
          <w:rFonts w:ascii="Arial" w:hAnsi="Arial" w:cs="Arial"/>
        </w:rPr>
        <w:t xml:space="preserve">Ayling, L., &amp; Suff, R. (2023) </w:t>
      </w:r>
      <w:r w:rsidRPr="009B16DA">
        <w:rPr>
          <w:rFonts w:ascii="Arial" w:hAnsi="Arial" w:cs="Arial"/>
          <w:i/>
        </w:rPr>
        <w:t>The role of employment tribunals</w:t>
      </w:r>
      <w:r>
        <w:rPr>
          <w:rFonts w:ascii="Arial" w:hAnsi="Arial" w:cs="Arial"/>
        </w:rPr>
        <w:t xml:space="preserve">. Available at: </w:t>
      </w:r>
      <w:hyperlink r:id="rId14" w:anchor=":~:text=Employment%20tribunals%20deal%20with%20claims,and%20unlawful%20deductions%20from%20wages" w:history="1">
        <w:r w:rsidRPr="00630447">
          <w:rPr>
            <w:rStyle w:val="Hyperlink"/>
            <w:rFonts w:ascii="Arial" w:hAnsi="Arial" w:cs="Arial"/>
          </w:rPr>
          <w:t>https://www.cipd.org/uk/knowledge/factsheets/tribunals-factsheet/#:~:text=Employment%20tribunals%20deal%20with%20claims,and%20unlawful%20deductions%20from%20wages</w:t>
        </w:r>
      </w:hyperlink>
      <w:r w:rsidRPr="009B16DA">
        <w:rPr>
          <w:rFonts w:ascii="Arial" w:hAnsi="Arial" w:cs="Arial"/>
        </w:rPr>
        <w:t>.</w:t>
      </w:r>
      <w:r>
        <w:rPr>
          <w:rFonts w:ascii="Arial" w:hAnsi="Arial" w:cs="Arial"/>
        </w:rPr>
        <w:t xml:space="preserve"> (Accessed: 02 May 2024).</w:t>
      </w:r>
    </w:p>
    <w:p w:rsidR="00F10D0D" w:rsidRDefault="00F10D0D" w:rsidP="00780C36">
      <w:pPr>
        <w:rPr>
          <w:rFonts w:ascii="Arial" w:hAnsi="Arial" w:cs="Arial"/>
        </w:rPr>
      </w:pPr>
      <w:r>
        <w:rPr>
          <w:rFonts w:ascii="Arial" w:hAnsi="Arial" w:cs="Arial"/>
        </w:rPr>
        <w:t xml:space="preserve">Baigey, E. (2023) </w:t>
      </w:r>
      <w:r w:rsidRPr="00F10D0D">
        <w:rPr>
          <w:rFonts w:ascii="Arial" w:hAnsi="Arial" w:cs="Arial"/>
          <w:i/>
        </w:rPr>
        <w:t>Constructive dismissal: Understanding your rights and remedies.</w:t>
      </w:r>
      <w:r>
        <w:rPr>
          <w:rFonts w:ascii="Arial" w:hAnsi="Arial" w:cs="Arial"/>
        </w:rPr>
        <w:t xml:space="preserve"> Available at: </w:t>
      </w:r>
      <w:hyperlink r:id="rId15" w:anchor=":~:text=Constructive%20dismissal%20cases%20are%20plentiful,once%20they%20reach%20Employment%20Tribunal" w:history="1">
        <w:r w:rsidRPr="002F58A0">
          <w:rPr>
            <w:rStyle w:val="Hyperlink"/>
            <w:rFonts w:ascii="Arial" w:hAnsi="Arial" w:cs="Arial"/>
          </w:rPr>
          <w:t>https://factorialhr.co.uk/blog/constructive-dismissal/#:~:text=Constructive%20dismissal%20cases%20are%20plentiful,once%20they%20reach%20Employment%20Tribunal</w:t>
        </w:r>
      </w:hyperlink>
      <w:r w:rsidRPr="00F10D0D">
        <w:rPr>
          <w:rFonts w:ascii="Arial" w:hAnsi="Arial" w:cs="Arial"/>
        </w:rPr>
        <w:t>.</w:t>
      </w:r>
      <w:r>
        <w:rPr>
          <w:rFonts w:ascii="Arial" w:hAnsi="Arial" w:cs="Arial"/>
        </w:rPr>
        <w:t xml:space="preserve"> (Accessed: 25 April 2024).</w:t>
      </w:r>
    </w:p>
    <w:p w:rsidR="00B25ACA" w:rsidRDefault="00B25ACA" w:rsidP="00780C36">
      <w:pPr>
        <w:rPr>
          <w:rFonts w:ascii="Arial" w:hAnsi="Arial" w:cs="Arial"/>
        </w:rPr>
      </w:pPr>
      <w:r>
        <w:rPr>
          <w:rFonts w:ascii="Arial" w:hAnsi="Arial" w:cs="Arial"/>
        </w:rPr>
        <w:t>CIPD (2023</w:t>
      </w:r>
      <w:r w:rsidR="00442C6A">
        <w:rPr>
          <w:rFonts w:ascii="Arial" w:hAnsi="Arial" w:cs="Arial"/>
        </w:rPr>
        <w:t>a</w:t>
      </w:r>
      <w:r>
        <w:rPr>
          <w:rFonts w:ascii="Arial" w:hAnsi="Arial" w:cs="Arial"/>
        </w:rPr>
        <w:t xml:space="preserve">) </w:t>
      </w:r>
      <w:r w:rsidRPr="00B25ACA">
        <w:rPr>
          <w:rFonts w:ascii="Arial" w:hAnsi="Arial" w:cs="Arial"/>
          <w:i/>
        </w:rPr>
        <w:t>Tribunal claims: UK employment law</w:t>
      </w:r>
      <w:r>
        <w:rPr>
          <w:rFonts w:ascii="Arial" w:hAnsi="Arial" w:cs="Arial"/>
        </w:rPr>
        <w:t xml:space="preserve">. Available at: </w:t>
      </w:r>
      <w:hyperlink r:id="rId16" w:history="1">
        <w:r w:rsidRPr="003F330F">
          <w:rPr>
            <w:rStyle w:val="Hyperlink"/>
            <w:rFonts w:ascii="Arial" w:hAnsi="Arial" w:cs="Arial"/>
          </w:rPr>
          <w:t>https://www.cipd.org/uk/knowledge/employment-law/tribunals/</w:t>
        </w:r>
      </w:hyperlink>
      <w:r>
        <w:rPr>
          <w:rFonts w:ascii="Arial" w:hAnsi="Arial" w:cs="Arial"/>
        </w:rPr>
        <w:t xml:space="preserve"> (Accessed: 06 May 2024).</w:t>
      </w:r>
    </w:p>
    <w:p w:rsidR="00442C6A" w:rsidRDefault="00442C6A" w:rsidP="00780C36">
      <w:pPr>
        <w:rPr>
          <w:rFonts w:ascii="Arial" w:hAnsi="Arial" w:cs="Arial"/>
        </w:rPr>
      </w:pPr>
      <w:r>
        <w:rPr>
          <w:rFonts w:ascii="Arial" w:hAnsi="Arial" w:cs="Arial"/>
        </w:rPr>
        <w:t xml:space="preserve">CIPD (2023b) </w:t>
      </w:r>
      <w:r w:rsidRPr="00442C6A">
        <w:rPr>
          <w:rFonts w:ascii="Arial" w:hAnsi="Arial" w:cs="Arial"/>
          <w:i/>
        </w:rPr>
        <w:t>Redundancy: UK employment law</w:t>
      </w:r>
      <w:r>
        <w:rPr>
          <w:rFonts w:ascii="Arial" w:hAnsi="Arial" w:cs="Arial"/>
        </w:rPr>
        <w:t xml:space="preserve">. Available at: </w:t>
      </w:r>
      <w:hyperlink r:id="rId17" w:history="1">
        <w:r w:rsidRPr="003F330F">
          <w:rPr>
            <w:rStyle w:val="Hyperlink"/>
            <w:rFonts w:ascii="Arial" w:hAnsi="Arial" w:cs="Arial"/>
          </w:rPr>
          <w:t>https://www.cipd.org/uk/knowledge/employment-law/redundancy/</w:t>
        </w:r>
      </w:hyperlink>
      <w:r>
        <w:rPr>
          <w:rFonts w:ascii="Arial" w:hAnsi="Arial" w:cs="Arial"/>
        </w:rPr>
        <w:t xml:space="preserve"> (Accessed: 06 May 2024).</w:t>
      </w:r>
    </w:p>
    <w:p w:rsidR="00597D1C" w:rsidRDefault="00597D1C" w:rsidP="00780C36">
      <w:pPr>
        <w:rPr>
          <w:rFonts w:ascii="Arial" w:hAnsi="Arial" w:cs="Arial"/>
        </w:rPr>
      </w:pPr>
      <w:r>
        <w:rPr>
          <w:rFonts w:ascii="Arial" w:hAnsi="Arial" w:cs="Arial"/>
        </w:rPr>
        <w:t>CIPD (2024</w:t>
      </w:r>
      <w:r w:rsidR="0002053D">
        <w:rPr>
          <w:rFonts w:ascii="Arial" w:hAnsi="Arial" w:cs="Arial"/>
        </w:rPr>
        <w:t>a</w:t>
      </w:r>
      <w:r>
        <w:rPr>
          <w:rFonts w:ascii="Arial" w:hAnsi="Arial" w:cs="Arial"/>
        </w:rPr>
        <w:t xml:space="preserve">) </w:t>
      </w:r>
      <w:r w:rsidRPr="0002053D">
        <w:rPr>
          <w:rFonts w:ascii="Arial" w:hAnsi="Arial" w:cs="Arial"/>
          <w:i/>
        </w:rPr>
        <w:t>Disability discrimination: UK employment law.</w:t>
      </w:r>
      <w:r>
        <w:rPr>
          <w:rFonts w:ascii="Arial" w:hAnsi="Arial" w:cs="Arial"/>
        </w:rPr>
        <w:t xml:space="preserve"> Available at: </w:t>
      </w:r>
      <w:hyperlink r:id="rId18" w:anchor="key-legal-principles" w:history="1">
        <w:r w:rsidRPr="002F58A0">
          <w:rPr>
            <w:rStyle w:val="Hyperlink"/>
            <w:rFonts w:ascii="Arial" w:hAnsi="Arial" w:cs="Arial"/>
          </w:rPr>
          <w:t>https://www.cipd.org/uk/knowledge/employment-law/disability-discrimination/#key-legal-principles</w:t>
        </w:r>
      </w:hyperlink>
      <w:r>
        <w:rPr>
          <w:rFonts w:ascii="Arial" w:hAnsi="Arial" w:cs="Arial"/>
        </w:rPr>
        <w:t xml:space="preserve"> (Accessed: 04 April 2024).</w:t>
      </w:r>
    </w:p>
    <w:p w:rsidR="0002053D" w:rsidRDefault="0002053D" w:rsidP="00780C36">
      <w:pPr>
        <w:rPr>
          <w:rFonts w:ascii="Arial" w:hAnsi="Arial" w:cs="Arial"/>
        </w:rPr>
      </w:pPr>
      <w:r>
        <w:rPr>
          <w:rFonts w:ascii="Arial" w:hAnsi="Arial" w:cs="Arial"/>
        </w:rPr>
        <w:t xml:space="preserve">CIPD (2024b) </w:t>
      </w:r>
      <w:r w:rsidRPr="0002053D">
        <w:rPr>
          <w:rFonts w:ascii="Arial" w:hAnsi="Arial" w:cs="Arial"/>
          <w:i/>
        </w:rPr>
        <w:t>UK statutory rates and compensation limits.</w:t>
      </w:r>
      <w:r>
        <w:rPr>
          <w:rFonts w:ascii="Arial" w:hAnsi="Arial" w:cs="Arial"/>
        </w:rPr>
        <w:t xml:space="preserve"> Available at: </w:t>
      </w:r>
      <w:hyperlink r:id="rId19" w:anchor="statutory-rates-for-england-scotland-and-wales" w:history="1">
        <w:r w:rsidRPr="00B3028C">
          <w:rPr>
            <w:rStyle w:val="Hyperlink"/>
            <w:rFonts w:ascii="Arial" w:hAnsi="Arial" w:cs="Arial"/>
          </w:rPr>
          <w:t>https://www.cipd.org/uk/knowledge/employment-law/statutory-rates/#statutory-rates-for-england-scotland-and-wales</w:t>
        </w:r>
      </w:hyperlink>
      <w:r>
        <w:rPr>
          <w:rFonts w:ascii="Arial" w:hAnsi="Arial" w:cs="Arial"/>
        </w:rPr>
        <w:t xml:space="preserve"> (Accessed: 02 May 2024).</w:t>
      </w:r>
    </w:p>
    <w:p w:rsidR="00DC38D6" w:rsidRDefault="00DC38D6" w:rsidP="00780C36">
      <w:pPr>
        <w:rPr>
          <w:rFonts w:ascii="Arial" w:hAnsi="Arial" w:cs="Arial"/>
          <w:color w:val="242424"/>
          <w:shd w:val="clear" w:color="auto" w:fill="FFFFFF"/>
        </w:rPr>
      </w:pPr>
      <w:r w:rsidRPr="00DC38D6">
        <w:rPr>
          <w:rFonts w:ascii="Arial" w:hAnsi="Arial" w:cs="Arial"/>
          <w:color w:val="242424"/>
          <w:shd w:val="clear" w:color="auto" w:fill="FFFFFF"/>
        </w:rPr>
        <w:t>Daniels, K. (2022) </w:t>
      </w:r>
      <w:r w:rsidRPr="00DC38D6">
        <w:rPr>
          <w:rFonts w:ascii="Arial" w:hAnsi="Arial" w:cs="Arial"/>
          <w:i/>
          <w:iCs/>
          <w:color w:val="242424"/>
          <w:shd w:val="clear" w:color="auto" w:fill="FFFFFF"/>
        </w:rPr>
        <w:t>Introduction to employment law: fundamentals for HR and business students</w:t>
      </w:r>
      <w:r w:rsidRPr="00DC38D6">
        <w:rPr>
          <w:rFonts w:ascii="Arial" w:hAnsi="Arial" w:cs="Arial"/>
          <w:color w:val="242424"/>
          <w:shd w:val="clear" w:color="auto" w:fill="FFFFFF"/>
        </w:rPr>
        <w:t>. 6</w:t>
      </w:r>
      <w:r w:rsidRPr="00DC38D6">
        <w:rPr>
          <w:rFonts w:ascii="Arial" w:hAnsi="Arial" w:cs="Arial"/>
          <w:color w:val="242424"/>
          <w:shd w:val="clear" w:color="auto" w:fill="FFFFFF"/>
          <w:vertAlign w:val="superscript"/>
        </w:rPr>
        <w:t>th</w:t>
      </w:r>
      <w:r w:rsidRPr="00DC38D6">
        <w:rPr>
          <w:rFonts w:ascii="Arial" w:hAnsi="Arial" w:cs="Arial"/>
          <w:color w:val="242424"/>
          <w:shd w:val="clear" w:color="auto" w:fill="FFFFFF"/>
        </w:rPr>
        <w:t xml:space="preserve"> edition. London: </w:t>
      </w:r>
      <w:proofErr w:type="spellStart"/>
      <w:r w:rsidRPr="00DC38D6">
        <w:rPr>
          <w:rFonts w:ascii="Arial" w:hAnsi="Arial" w:cs="Arial"/>
          <w:color w:val="242424"/>
          <w:shd w:val="clear" w:color="auto" w:fill="FFFFFF"/>
        </w:rPr>
        <w:t>Kogan</w:t>
      </w:r>
      <w:proofErr w:type="spellEnd"/>
      <w:r w:rsidRPr="00DC38D6">
        <w:rPr>
          <w:rFonts w:ascii="Arial" w:hAnsi="Arial" w:cs="Arial"/>
          <w:color w:val="242424"/>
          <w:shd w:val="clear" w:color="auto" w:fill="FFFFFF"/>
        </w:rPr>
        <w:t xml:space="preserve"> Page.</w:t>
      </w:r>
    </w:p>
    <w:p w:rsidR="00675914" w:rsidRPr="00DC38D6" w:rsidRDefault="00675914" w:rsidP="00780C36">
      <w:pPr>
        <w:rPr>
          <w:rFonts w:ascii="Arial" w:hAnsi="Arial" w:cs="Arial"/>
        </w:rPr>
      </w:pPr>
      <w:r>
        <w:rPr>
          <w:rFonts w:ascii="Arial" w:hAnsi="Arial" w:cs="Arial"/>
          <w:color w:val="242424"/>
          <w:shd w:val="clear" w:color="auto" w:fill="FFFFFF"/>
        </w:rPr>
        <w:lastRenderedPageBreak/>
        <w:t xml:space="preserve">Department for Business and Trade (2023) </w:t>
      </w:r>
      <w:proofErr w:type="gramStart"/>
      <w:r w:rsidRPr="00675914">
        <w:rPr>
          <w:rFonts w:ascii="Arial" w:hAnsi="Arial" w:cs="Arial"/>
          <w:i/>
          <w:color w:val="242424"/>
          <w:shd w:val="clear" w:color="auto" w:fill="FFFFFF"/>
        </w:rPr>
        <w:t>The</w:t>
      </w:r>
      <w:proofErr w:type="gramEnd"/>
      <w:r w:rsidRPr="00675914">
        <w:rPr>
          <w:rFonts w:ascii="Arial" w:hAnsi="Arial" w:cs="Arial"/>
          <w:i/>
          <w:color w:val="242424"/>
          <w:shd w:val="clear" w:color="auto" w:fill="FFFFFF"/>
        </w:rPr>
        <w:t xml:space="preserve"> Equality Act 2010 (Amendment) Regulations 2023. </w:t>
      </w:r>
      <w:r>
        <w:rPr>
          <w:rFonts w:ascii="Arial" w:hAnsi="Arial" w:cs="Arial"/>
          <w:color w:val="242424"/>
          <w:shd w:val="clear" w:color="auto" w:fill="FFFFFF"/>
        </w:rPr>
        <w:t xml:space="preserve">Available at: </w:t>
      </w:r>
      <w:hyperlink r:id="rId20" w:history="1">
        <w:r w:rsidRPr="0073467D">
          <w:rPr>
            <w:rStyle w:val="Hyperlink"/>
            <w:rFonts w:ascii="Arial" w:hAnsi="Arial" w:cs="Arial"/>
            <w:shd w:val="clear" w:color="auto" w:fill="FFFFFF"/>
          </w:rPr>
          <w:t>https://www.gov.uk/government/publications/the-equality-act-2010-amendment-regulations-2023</w:t>
        </w:r>
      </w:hyperlink>
      <w:r>
        <w:rPr>
          <w:rFonts w:ascii="Arial" w:hAnsi="Arial" w:cs="Arial"/>
          <w:color w:val="242424"/>
          <w:shd w:val="clear" w:color="auto" w:fill="FFFFFF"/>
        </w:rPr>
        <w:t xml:space="preserve"> (Accessed: 06 May 2024).</w:t>
      </w:r>
    </w:p>
    <w:p w:rsidR="00AD10D6" w:rsidRDefault="00AD10D6" w:rsidP="00780C36">
      <w:pPr>
        <w:rPr>
          <w:rFonts w:ascii="Arial" w:hAnsi="Arial" w:cs="Arial"/>
        </w:rPr>
      </w:pPr>
      <w:r>
        <w:rPr>
          <w:rFonts w:ascii="Arial" w:hAnsi="Arial" w:cs="Arial"/>
        </w:rPr>
        <w:t xml:space="preserve">Equality and Human Rights Commission (2018) </w:t>
      </w:r>
      <w:r w:rsidRPr="00AD10D6">
        <w:rPr>
          <w:rFonts w:ascii="Arial" w:hAnsi="Arial" w:cs="Arial"/>
          <w:i/>
        </w:rPr>
        <w:t>Disability discrimination</w:t>
      </w:r>
      <w:r>
        <w:rPr>
          <w:rFonts w:ascii="Arial" w:hAnsi="Arial" w:cs="Arial"/>
        </w:rPr>
        <w:t xml:space="preserve">. Available at: </w:t>
      </w:r>
      <w:hyperlink r:id="rId21" w:history="1">
        <w:r w:rsidRPr="002F58A0">
          <w:rPr>
            <w:rStyle w:val="Hyperlink"/>
            <w:rFonts w:ascii="Arial" w:hAnsi="Arial" w:cs="Arial"/>
          </w:rPr>
          <w:t>https://www.equalityhumanrights.com/equality/equality-act-2010/your-rights-under-equality-act-2010/disability-discrimination</w:t>
        </w:r>
      </w:hyperlink>
      <w:r>
        <w:rPr>
          <w:rFonts w:ascii="Arial" w:hAnsi="Arial" w:cs="Arial"/>
        </w:rPr>
        <w:t xml:space="preserve"> (Accessed: 01 April 2024).</w:t>
      </w:r>
    </w:p>
    <w:p w:rsidR="006A432E" w:rsidRDefault="006A432E" w:rsidP="006A432E">
      <w:pPr>
        <w:rPr>
          <w:rFonts w:ascii="Arial" w:hAnsi="Arial" w:cs="Arial"/>
        </w:rPr>
      </w:pPr>
      <w:r w:rsidRPr="006A432E">
        <w:rPr>
          <w:rFonts w:ascii="Arial" w:hAnsi="Arial" w:cs="Arial"/>
        </w:rPr>
        <w:t xml:space="preserve">Equality and Human Rights Commission (2011) </w:t>
      </w:r>
      <w:r w:rsidRPr="006A432E">
        <w:rPr>
          <w:rFonts w:ascii="Arial" w:hAnsi="Arial" w:cs="Arial"/>
          <w:i/>
        </w:rPr>
        <w:t xml:space="preserve">Equality Act 2010 Code of Practice - Employment Statutory Code of Practice. </w:t>
      </w:r>
      <w:r w:rsidRPr="006A432E">
        <w:rPr>
          <w:rFonts w:ascii="Arial" w:hAnsi="Arial" w:cs="Arial"/>
        </w:rPr>
        <w:t xml:space="preserve">Available at: </w:t>
      </w:r>
      <w:hyperlink r:id="rId22" w:history="1">
        <w:r w:rsidRPr="00E76056">
          <w:rPr>
            <w:rStyle w:val="Hyperlink"/>
            <w:rFonts w:ascii="Arial" w:hAnsi="Arial" w:cs="Arial"/>
          </w:rPr>
          <w:t>https://www.equalityhumanrights.com/sites/default/files/employercode.pdf</w:t>
        </w:r>
      </w:hyperlink>
      <w:r>
        <w:rPr>
          <w:rFonts w:ascii="Arial" w:hAnsi="Arial" w:cs="Arial"/>
          <w:color w:val="FF0000"/>
        </w:rPr>
        <w:t xml:space="preserve"> </w:t>
      </w:r>
      <w:r w:rsidRPr="006A432E">
        <w:rPr>
          <w:rFonts w:ascii="Arial" w:hAnsi="Arial" w:cs="Arial"/>
        </w:rPr>
        <w:t>(Accessed: 01 May 2024).</w:t>
      </w:r>
    </w:p>
    <w:p w:rsidR="003820D0" w:rsidRPr="003820D0" w:rsidRDefault="003820D0" w:rsidP="006A432E">
      <w:pPr>
        <w:rPr>
          <w:rFonts w:ascii="Arial" w:hAnsi="Arial" w:cs="Arial"/>
          <w:color w:val="FF0000"/>
        </w:rPr>
      </w:pPr>
      <w:r w:rsidRPr="003820D0">
        <w:rPr>
          <w:rFonts w:ascii="Arial" w:hAnsi="Arial" w:cs="Arial"/>
        </w:rPr>
        <w:t xml:space="preserve">Government Equalities Office (2015) </w:t>
      </w:r>
      <w:r w:rsidRPr="003820D0">
        <w:rPr>
          <w:rFonts w:ascii="Arial" w:hAnsi="Arial" w:cs="Arial"/>
          <w:i/>
        </w:rPr>
        <w:t>Equality Act 2010: guidance.</w:t>
      </w:r>
      <w:r>
        <w:rPr>
          <w:rFonts w:ascii="Arial" w:hAnsi="Arial" w:cs="Arial"/>
        </w:rPr>
        <w:t xml:space="preserve"> Available at: </w:t>
      </w:r>
      <w:hyperlink r:id="rId23" w:history="1">
        <w:r w:rsidRPr="00630447">
          <w:rPr>
            <w:rStyle w:val="Hyperlink"/>
            <w:rFonts w:ascii="Arial" w:hAnsi="Arial" w:cs="Arial"/>
          </w:rPr>
          <w:t>https://www.gov.uk/guidance/equality-act-2010-guidance</w:t>
        </w:r>
      </w:hyperlink>
      <w:r>
        <w:rPr>
          <w:rFonts w:ascii="Arial" w:hAnsi="Arial" w:cs="Arial"/>
        </w:rPr>
        <w:t xml:space="preserve"> (Accessed: 02 May 2024).</w:t>
      </w:r>
    </w:p>
    <w:p w:rsidR="009E0F51" w:rsidRDefault="009E0F51" w:rsidP="00780C36">
      <w:pPr>
        <w:rPr>
          <w:rFonts w:ascii="Arial" w:hAnsi="Arial" w:cs="Arial"/>
        </w:rPr>
      </w:pPr>
      <w:r>
        <w:rPr>
          <w:rFonts w:ascii="Arial" w:hAnsi="Arial" w:cs="Arial"/>
        </w:rPr>
        <w:t xml:space="preserve">HM Courts &amp; Tribunals Service (2024) </w:t>
      </w:r>
      <w:r w:rsidRPr="009E0F51">
        <w:rPr>
          <w:rFonts w:ascii="Arial" w:hAnsi="Arial" w:cs="Arial"/>
          <w:i/>
        </w:rPr>
        <w:t xml:space="preserve">Responding to an employment tribunal claim – details of a hearing to be sent (T423). </w:t>
      </w:r>
      <w:r>
        <w:rPr>
          <w:rFonts w:ascii="Arial" w:hAnsi="Arial" w:cs="Arial"/>
        </w:rPr>
        <w:t xml:space="preserve">Available at: </w:t>
      </w:r>
      <w:hyperlink r:id="rId24" w:history="1">
        <w:r w:rsidRPr="002F58A0">
          <w:rPr>
            <w:rStyle w:val="Hyperlink"/>
            <w:rFonts w:ascii="Arial" w:hAnsi="Arial" w:cs="Arial"/>
          </w:rPr>
          <w:t>https://www.gov.uk/government/publications/responding-to-a-claim-to-an-employment-tribunal-details-of-a-hearing-to-be-sent-t423</w:t>
        </w:r>
      </w:hyperlink>
      <w:r>
        <w:rPr>
          <w:rFonts w:ascii="Arial" w:hAnsi="Arial" w:cs="Arial"/>
        </w:rPr>
        <w:t xml:space="preserve"> (Accessed: 28 March 2024).</w:t>
      </w:r>
    </w:p>
    <w:p w:rsidR="001C7306" w:rsidRDefault="001C7306" w:rsidP="00780C36">
      <w:pPr>
        <w:rPr>
          <w:rFonts w:ascii="Arial" w:hAnsi="Arial" w:cs="Arial"/>
        </w:rPr>
      </w:pPr>
      <w:r>
        <w:rPr>
          <w:rFonts w:ascii="Arial" w:hAnsi="Arial" w:cs="Arial"/>
        </w:rPr>
        <w:t xml:space="preserve">Legislation UK (2024) </w:t>
      </w:r>
      <w:r w:rsidRPr="001C7306">
        <w:rPr>
          <w:rFonts w:ascii="Arial" w:hAnsi="Arial" w:cs="Arial"/>
          <w:i/>
        </w:rPr>
        <w:t>The Employment Rights (Increase of Limits) Order 2024.</w:t>
      </w:r>
      <w:r>
        <w:rPr>
          <w:rFonts w:ascii="Arial" w:hAnsi="Arial" w:cs="Arial"/>
        </w:rPr>
        <w:t xml:space="preserve"> Available at: </w:t>
      </w:r>
      <w:hyperlink r:id="rId25" w:history="1">
        <w:r w:rsidRPr="00630447">
          <w:rPr>
            <w:rStyle w:val="Hyperlink"/>
            <w:rFonts w:ascii="Arial" w:hAnsi="Arial" w:cs="Arial"/>
          </w:rPr>
          <w:t>https://www.legislation.gov.uk/uksi/2024/213/article/3/made?trk=article-ssr-frontend-pulse_little-text-block</w:t>
        </w:r>
      </w:hyperlink>
      <w:r>
        <w:rPr>
          <w:rFonts w:ascii="Arial" w:hAnsi="Arial" w:cs="Arial"/>
        </w:rPr>
        <w:t xml:space="preserve"> (Accessed: 02 May 2024).</w:t>
      </w:r>
    </w:p>
    <w:p w:rsidR="001C7306" w:rsidRDefault="001C7306" w:rsidP="00780C36">
      <w:pPr>
        <w:rPr>
          <w:rFonts w:ascii="Arial" w:hAnsi="Arial" w:cs="Arial"/>
        </w:rPr>
      </w:pPr>
      <w:r>
        <w:rPr>
          <w:rFonts w:ascii="Arial" w:hAnsi="Arial" w:cs="Arial"/>
        </w:rPr>
        <w:t xml:space="preserve">Legislation UK </w:t>
      </w:r>
      <w:r w:rsidR="00DF333F">
        <w:rPr>
          <w:rFonts w:ascii="Arial" w:hAnsi="Arial" w:cs="Arial"/>
        </w:rPr>
        <w:t xml:space="preserve">(2013) </w:t>
      </w:r>
      <w:r w:rsidR="00DF333F">
        <w:rPr>
          <w:rFonts w:ascii="Arial" w:hAnsi="Arial" w:cs="Arial"/>
          <w:i/>
        </w:rPr>
        <w:t xml:space="preserve">The Employment Tribunals (Constitution and Rules of Procedure) Regulations 2013. </w:t>
      </w:r>
      <w:r w:rsidR="00DF333F">
        <w:rPr>
          <w:rFonts w:ascii="Arial" w:hAnsi="Arial" w:cs="Arial"/>
        </w:rPr>
        <w:t xml:space="preserve">Available at: </w:t>
      </w:r>
      <w:hyperlink r:id="rId26" w:history="1">
        <w:r w:rsidR="00DF333F" w:rsidRPr="0009097A">
          <w:rPr>
            <w:rStyle w:val="Hyperlink"/>
            <w:rFonts w:ascii="Arial" w:hAnsi="Arial" w:cs="Arial"/>
          </w:rPr>
          <w:t>https://www.legislation.gov.uk/uksi/2013/1237/schedule/1/made</w:t>
        </w:r>
      </w:hyperlink>
      <w:r w:rsidR="00DF333F">
        <w:rPr>
          <w:rFonts w:ascii="Arial" w:hAnsi="Arial" w:cs="Arial"/>
        </w:rPr>
        <w:t xml:space="preserve"> (Accessed: 27 March 2024).</w:t>
      </w:r>
    </w:p>
    <w:p w:rsidR="0049098B" w:rsidRDefault="0049098B" w:rsidP="00780C36">
      <w:pPr>
        <w:rPr>
          <w:rFonts w:ascii="Arial" w:hAnsi="Arial" w:cs="Arial"/>
        </w:rPr>
      </w:pPr>
      <w:r>
        <w:rPr>
          <w:rFonts w:ascii="Arial" w:hAnsi="Arial" w:cs="Arial"/>
        </w:rPr>
        <w:t xml:space="preserve">Lewis, D., Sargeant, M., &amp; Schwab, B. (2023) </w:t>
      </w:r>
      <w:r w:rsidRPr="0049098B">
        <w:rPr>
          <w:rFonts w:ascii="Arial" w:hAnsi="Arial" w:cs="Arial"/>
          <w:i/>
        </w:rPr>
        <w:t>Employment law – the essentials</w:t>
      </w:r>
      <w:r>
        <w:rPr>
          <w:rFonts w:ascii="Arial" w:hAnsi="Arial" w:cs="Arial"/>
        </w:rPr>
        <w:t>. 16</w:t>
      </w:r>
      <w:r w:rsidRPr="0049098B">
        <w:rPr>
          <w:rFonts w:ascii="Arial" w:hAnsi="Arial" w:cs="Arial"/>
          <w:vertAlign w:val="superscript"/>
        </w:rPr>
        <w:t>th</w:t>
      </w:r>
      <w:r w:rsidR="00DC38D6">
        <w:rPr>
          <w:rFonts w:ascii="Arial" w:hAnsi="Arial" w:cs="Arial"/>
        </w:rPr>
        <w:t xml:space="preserve"> edn. London: Kogan Page</w:t>
      </w:r>
      <w:r>
        <w:rPr>
          <w:rFonts w:ascii="Arial" w:hAnsi="Arial" w:cs="Arial"/>
        </w:rPr>
        <w:t>.</w:t>
      </w:r>
    </w:p>
    <w:p w:rsidR="00BC065E" w:rsidRDefault="00BC065E" w:rsidP="00780C36">
      <w:pPr>
        <w:rPr>
          <w:rFonts w:ascii="Arial" w:hAnsi="Arial" w:cs="Arial"/>
        </w:rPr>
      </w:pPr>
      <w:r>
        <w:rPr>
          <w:rFonts w:ascii="Arial" w:hAnsi="Arial" w:cs="Arial"/>
        </w:rPr>
        <w:t xml:space="preserve">MIND (2023) </w:t>
      </w:r>
      <w:r w:rsidRPr="00BC065E">
        <w:rPr>
          <w:rFonts w:ascii="Arial" w:hAnsi="Arial" w:cs="Arial"/>
          <w:i/>
        </w:rPr>
        <w:t>Disability discrimination</w:t>
      </w:r>
      <w:r>
        <w:rPr>
          <w:rFonts w:ascii="Arial" w:hAnsi="Arial" w:cs="Arial"/>
        </w:rPr>
        <w:t xml:space="preserve">. Available at: </w:t>
      </w:r>
      <w:hyperlink r:id="rId27" w:history="1">
        <w:r w:rsidRPr="002F58A0">
          <w:rPr>
            <w:rStyle w:val="Hyperlink"/>
            <w:rFonts w:ascii="Arial" w:hAnsi="Arial" w:cs="Arial"/>
          </w:rPr>
          <w:t>https://www.mind.org.uk/information-support/legal-rights/disability-discrimination/reasonable-adjustments/</w:t>
        </w:r>
      </w:hyperlink>
      <w:r>
        <w:rPr>
          <w:rFonts w:ascii="Arial" w:hAnsi="Arial" w:cs="Arial"/>
        </w:rPr>
        <w:t xml:space="preserve"> (Accessed: 24 April 2024).</w:t>
      </w:r>
    </w:p>
    <w:p w:rsidR="00291EAA" w:rsidRDefault="00291EAA" w:rsidP="00291EAA">
      <w:pPr>
        <w:rPr>
          <w:rFonts w:ascii="Arial" w:hAnsi="Arial" w:cs="Arial"/>
        </w:rPr>
      </w:pPr>
      <w:r>
        <w:rPr>
          <w:rFonts w:ascii="Arial" w:hAnsi="Arial" w:cs="Arial"/>
        </w:rPr>
        <w:t xml:space="preserve">Morris, A. (2023) </w:t>
      </w:r>
      <w:r w:rsidRPr="008F16A4">
        <w:rPr>
          <w:rFonts w:ascii="Arial" w:hAnsi="Arial" w:cs="Arial"/>
          <w:i/>
        </w:rPr>
        <w:t>Failure to make reasonable adjustments</w:t>
      </w:r>
      <w:r>
        <w:rPr>
          <w:rFonts w:ascii="Arial" w:hAnsi="Arial" w:cs="Arial"/>
        </w:rPr>
        <w:t xml:space="preserve">. Available at: </w:t>
      </w:r>
      <w:hyperlink r:id="rId28" w:history="1">
        <w:r w:rsidRPr="002F58A0">
          <w:rPr>
            <w:rStyle w:val="Hyperlink"/>
            <w:rFonts w:ascii="Arial" w:hAnsi="Arial" w:cs="Arial"/>
          </w:rPr>
          <w:t>https://www.davidsonmorris.com/failure-to-make-reasonable-adjustments/</w:t>
        </w:r>
      </w:hyperlink>
      <w:r>
        <w:rPr>
          <w:rFonts w:ascii="Arial" w:hAnsi="Arial" w:cs="Arial"/>
        </w:rPr>
        <w:t xml:space="preserve"> (Accessed: 29 March 2024).</w:t>
      </w:r>
    </w:p>
    <w:p w:rsidR="00AD10D6" w:rsidRDefault="00AD10D6" w:rsidP="00291EAA">
      <w:pPr>
        <w:rPr>
          <w:rFonts w:ascii="Arial" w:hAnsi="Arial" w:cs="Arial"/>
        </w:rPr>
      </w:pPr>
      <w:r>
        <w:rPr>
          <w:rFonts w:ascii="Arial" w:hAnsi="Arial" w:cs="Arial"/>
        </w:rPr>
        <w:t xml:space="preserve">Stander (2022) </w:t>
      </w:r>
      <w:r w:rsidRPr="00AD10D6">
        <w:rPr>
          <w:rFonts w:ascii="Arial" w:hAnsi="Arial" w:cs="Arial"/>
          <w:i/>
        </w:rPr>
        <w:t>What’s the latest in disability discrimination tribunal cases?</w:t>
      </w:r>
      <w:r>
        <w:rPr>
          <w:rFonts w:ascii="Arial" w:hAnsi="Arial" w:cs="Arial"/>
        </w:rPr>
        <w:t xml:space="preserve"> Available at: </w:t>
      </w:r>
      <w:hyperlink r:id="rId29" w:history="1">
        <w:r w:rsidRPr="002F58A0">
          <w:rPr>
            <w:rStyle w:val="Hyperlink"/>
            <w:rFonts w:ascii="Arial" w:hAnsi="Arial" w:cs="Arial"/>
          </w:rPr>
          <w:t>https://www.peoplemanagement.co.uk/article/1795415/whats-latest-disability-discrimination-tribunal-cases</w:t>
        </w:r>
      </w:hyperlink>
      <w:r>
        <w:rPr>
          <w:rFonts w:ascii="Arial" w:hAnsi="Arial" w:cs="Arial"/>
        </w:rPr>
        <w:t xml:space="preserve"> (Accessed: 08 April 2024).</w:t>
      </w:r>
    </w:p>
    <w:p w:rsidR="004858B2" w:rsidRDefault="004858B2" w:rsidP="00291EAA">
      <w:pPr>
        <w:rPr>
          <w:rFonts w:ascii="Arial" w:hAnsi="Arial" w:cs="Arial"/>
        </w:rPr>
      </w:pPr>
      <w:r>
        <w:rPr>
          <w:rFonts w:ascii="Arial" w:hAnsi="Arial" w:cs="Arial"/>
        </w:rPr>
        <w:t xml:space="preserve">Tahamtani, S. (2020) </w:t>
      </w:r>
      <w:r w:rsidRPr="004858B2">
        <w:rPr>
          <w:rFonts w:ascii="Arial" w:hAnsi="Arial" w:cs="Arial"/>
          <w:i/>
        </w:rPr>
        <w:t xml:space="preserve">Constructive dismissal: Lack of support can be a breach of contract. </w:t>
      </w:r>
      <w:r>
        <w:rPr>
          <w:rFonts w:ascii="Arial" w:hAnsi="Arial" w:cs="Arial"/>
        </w:rPr>
        <w:t xml:space="preserve">Available at: </w:t>
      </w:r>
      <w:hyperlink r:id="rId30" w:history="1">
        <w:r w:rsidRPr="002F58A0">
          <w:rPr>
            <w:rStyle w:val="Hyperlink"/>
            <w:rFonts w:ascii="Arial" w:hAnsi="Arial" w:cs="Arial"/>
          </w:rPr>
          <w:t>https://www.clarionsolicitors.com/articles/constructive-dismissal-lack-of-support-can-be-a-breach-of-contract</w:t>
        </w:r>
      </w:hyperlink>
      <w:r>
        <w:rPr>
          <w:rFonts w:ascii="Arial" w:hAnsi="Arial" w:cs="Arial"/>
        </w:rPr>
        <w:t xml:space="preserve"> (Accessed: 24 April 2024).</w:t>
      </w:r>
    </w:p>
    <w:p w:rsidR="00B1420A" w:rsidRDefault="00B1420A" w:rsidP="00291EAA">
      <w:pPr>
        <w:rPr>
          <w:rFonts w:ascii="Arial" w:hAnsi="Arial" w:cs="Arial"/>
        </w:rPr>
      </w:pPr>
      <w:r>
        <w:rPr>
          <w:rFonts w:ascii="Arial" w:hAnsi="Arial" w:cs="Arial"/>
        </w:rPr>
        <w:t xml:space="preserve">Thompsons Solicitors (2020) </w:t>
      </w:r>
      <w:r w:rsidRPr="00B1420A">
        <w:rPr>
          <w:rFonts w:ascii="Arial" w:hAnsi="Arial" w:cs="Arial"/>
          <w:i/>
        </w:rPr>
        <w:t>A guide to negotiating a settlement agreement.</w:t>
      </w:r>
      <w:r>
        <w:rPr>
          <w:rFonts w:ascii="Arial" w:hAnsi="Arial" w:cs="Arial"/>
        </w:rPr>
        <w:t xml:space="preserve"> Available at: </w:t>
      </w:r>
      <w:hyperlink r:id="rId31" w:history="1">
        <w:r w:rsidRPr="003F330F">
          <w:rPr>
            <w:rStyle w:val="Hyperlink"/>
            <w:rFonts w:ascii="Arial" w:hAnsi="Arial" w:cs="Arial"/>
          </w:rPr>
          <w:t>https://www.thompsons.law/support/legal-guides/a-guide-to-negotiating-a-settlement-agreement</w:t>
        </w:r>
      </w:hyperlink>
      <w:r>
        <w:rPr>
          <w:rFonts w:ascii="Arial" w:hAnsi="Arial" w:cs="Arial"/>
        </w:rPr>
        <w:t xml:space="preserve"> (Accessed: 06 May 2024).</w:t>
      </w:r>
    </w:p>
    <w:p w:rsidR="0031384C" w:rsidRDefault="0031384C" w:rsidP="00291EAA">
      <w:pPr>
        <w:rPr>
          <w:rFonts w:ascii="Arial" w:hAnsi="Arial" w:cs="Arial"/>
        </w:rPr>
      </w:pPr>
      <w:r>
        <w:rPr>
          <w:rFonts w:ascii="Arial" w:hAnsi="Arial" w:cs="Arial"/>
        </w:rPr>
        <w:t xml:space="preserve">UK Government (2024) </w:t>
      </w:r>
      <w:r w:rsidRPr="0031384C">
        <w:rPr>
          <w:rFonts w:ascii="Arial" w:hAnsi="Arial" w:cs="Arial"/>
          <w:i/>
        </w:rPr>
        <w:t>Redundancy: your rights.</w:t>
      </w:r>
      <w:r>
        <w:rPr>
          <w:rFonts w:ascii="Arial" w:hAnsi="Arial" w:cs="Arial"/>
        </w:rPr>
        <w:t xml:space="preserve"> Available at: </w:t>
      </w:r>
      <w:hyperlink r:id="rId32" w:history="1">
        <w:r w:rsidRPr="003F330F">
          <w:rPr>
            <w:rStyle w:val="Hyperlink"/>
            <w:rFonts w:ascii="Arial" w:hAnsi="Arial" w:cs="Arial"/>
          </w:rPr>
          <w:t>https://www.gov.uk/redundancy-your-rights</w:t>
        </w:r>
      </w:hyperlink>
      <w:r>
        <w:rPr>
          <w:rFonts w:ascii="Arial" w:hAnsi="Arial" w:cs="Arial"/>
        </w:rPr>
        <w:t xml:space="preserve"> (Accessed: 06 May 2024).</w:t>
      </w:r>
    </w:p>
    <w:p w:rsidR="005E0D79" w:rsidRDefault="005E0D79" w:rsidP="00291EAA">
      <w:pPr>
        <w:rPr>
          <w:rFonts w:ascii="Arial" w:hAnsi="Arial" w:cs="Arial"/>
        </w:rPr>
      </w:pPr>
      <w:proofErr w:type="spellStart"/>
      <w:r>
        <w:rPr>
          <w:rFonts w:ascii="Arial" w:hAnsi="Arial" w:cs="Arial"/>
        </w:rPr>
        <w:lastRenderedPageBreak/>
        <w:t>XpertHR</w:t>
      </w:r>
      <w:proofErr w:type="spellEnd"/>
      <w:r>
        <w:rPr>
          <w:rFonts w:ascii="Arial" w:hAnsi="Arial" w:cs="Arial"/>
        </w:rPr>
        <w:t xml:space="preserve"> (2023) </w:t>
      </w:r>
      <w:r w:rsidRPr="005E0D79">
        <w:rPr>
          <w:rFonts w:ascii="Arial" w:hAnsi="Arial" w:cs="Arial"/>
          <w:i/>
        </w:rPr>
        <w:t>Employment law cases</w:t>
      </w:r>
      <w:r>
        <w:rPr>
          <w:rFonts w:ascii="Arial" w:hAnsi="Arial" w:cs="Arial"/>
        </w:rPr>
        <w:t xml:space="preserve">. Available at: </w:t>
      </w:r>
      <w:hyperlink r:id="rId33" w:history="1">
        <w:r w:rsidRPr="002F58A0">
          <w:rPr>
            <w:rStyle w:val="Hyperlink"/>
            <w:rFonts w:ascii="Arial" w:hAnsi="Arial" w:cs="Arial"/>
          </w:rPr>
          <w:t>https://hrcentre.uk.brightmine.com/employment-law-cases/disability-ecj-guidance-on-reduction-in-working-hours-as-an-adjustment-for-disabled-workers/151812/</w:t>
        </w:r>
      </w:hyperlink>
      <w:r>
        <w:rPr>
          <w:rFonts w:ascii="Arial" w:hAnsi="Arial" w:cs="Arial"/>
        </w:rPr>
        <w:t xml:space="preserve"> (Accessed: 24 April 2024).</w:t>
      </w:r>
    </w:p>
    <w:sectPr w:rsidR="005E0D79" w:rsidSect="000369F0">
      <w:headerReference w:type="default" r:id="rId34"/>
      <w:pgSz w:w="11906" w:h="16838"/>
      <w:pgMar w:top="993"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623" w:rsidRDefault="00AA4623" w:rsidP="000369F0">
      <w:pPr>
        <w:spacing w:after="0" w:line="240" w:lineRule="auto"/>
      </w:pPr>
      <w:r>
        <w:separator/>
      </w:r>
    </w:p>
  </w:endnote>
  <w:endnote w:type="continuationSeparator" w:id="0">
    <w:p w:rsidR="00AA4623" w:rsidRDefault="00AA4623" w:rsidP="00036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623" w:rsidRDefault="00AA4623" w:rsidP="000369F0">
      <w:pPr>
        <w:spacing w:after="0" w:line="240" w:lineRule="auto"/>
      </w:pPr>
      <w:r>
        <w:separator/>
      </w:r>
    </w:p>
  </w:footnote>
  <w:footnote w:type="continuationSeparator" w:id="0">
    <w:p w:rsidR="00AA4623" w:rsidRDefault="00AA4623" w:rsidP="00036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623" w:rsidRDefault="00AA4623">
    <w:pPr>
      <w:pStyle w:val="Header"/>
    </w:pPr>
  </w:p>
  <w:p w:rsidR="00AA4623" w:rsidRDefault="00AA4623">
    <w:pPr>
      <w:pStyle w:val="Header"/>
    </w:pPr>
  </w:p>
  <w:p w:rsidR="00AA4623" w:rsidRDefault="00AA4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3CE3"/>
    <w:multiLevelType w:val="hybridMultilevel"/>
    <w:tmpl w:val="3354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63624"/>
    <w:multiLevelType w:val="hybridMultilevel"/>
    <w:tmpl w:val="40EAE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A568B"/>
    <w:multiLevelType w:val="multilevel"/>
    <w:tmpl w:val="C2FC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C45E7E"/>
    <w:multiLevelType w:val="hybridMultilevel"/>
    <w:tmpl w:val="9A8E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E1FBC"/>
    <w:multiLevelType w:val="hybridMultilevel"/>
    <w:tmpl w:val="4B6AA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E506B"/>
    <w:multiLevelType w:val="hybridMultilevel"/>
    <w:tmpl w:val="991C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C34D6"/>
    <w:multiLevelType w:val="multilevel"/>
    <w:tmpl w:val="822E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472B8"/>
    <w:multiLevelType w:val="multilevel"/>
    <w:tmpl w:val="BFD2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D357B"/>
    <w:multiLevelType w:val="multilevel"/>
    <w:tmpl w:val="CF2C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96384"/>
    <w:multiLevelType w:val="multilevel"/>
    <w:tmpl w:val="1A02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944013"/>
    <w:multiLevelType w:val="hybridMultilevel"/>
    <w:tmpl w:val="EAA0B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70713F"/>
    <w:multiLevelType w:val="hybridMultilevel"/>
    <w:tmpl w:val="D77423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117A41"/>
    <w:multiLevelType w:val="hybridMultilevel"/>
    <w:tmpl w:val="C416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34778"/>
    <w:multiLevelType w:val="multilevel"/>
    <w:tmpl w:val="0142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3B468B"/>
    <w:multiLevelType w:val="hybridMultilevel"/>
    <w:tmpl w:val="EC3C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F1CCA"/>
    <w:multiLevelType w:val="hybridMultilevel"/>
    <w:tmpl w:val="6D28F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397E74"/>
    <w:multiLevelType w:val="multilevel"/>
    <w:tmpl w:val="FDAC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8F287F"/>
    <w:multiLevelType w:val="hybridMultilevel"/>
    <w:tmpl w:val="8954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7398A"/>
    <w:multiLevelType w:val="hybridMultilevel"/>
    <w:tmpl w:val="7BE6C7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A7CFA"/>
    <w:multiLevelType w:val="multilevel"/>
    <w:tmpl w:val="8D52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E4242"/>
    <w:multiLevelType w:val="multilevel"/>
    <w:tmpl w:val="38BA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EB328C"/>
    <w:multiLevelType w:val="hybridMultilevel"/>
    <w:tmpl w:val="BB56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F47FF5"/>
    <w:multiLevelType w:val="hybridMultilevel"/>
    <w:tmpl w:val="C0761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F2795A"/>
    <w:multiLevelType w:val="hybridMultilevel"/>
    <w:tmpl w:val="8832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72A4D"/>
    <w:multiLevelType w:val="hybridMultilevel"/>
    <w:tmpl w:val="330A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15"/>
  </w:num>
  <w:num w:numId="4">
    <w:abstractNumId w:val="8"/>
  </w:num>
  <w:num w:numId="5">
    <w:abstractNumId w:val="21"/>
  </w:num>
  <w:num w:numId="6">
    <w:abstractNumId w:val="1"/>
  </w:num>
  <w:num w:numId="7">
    <w:abstractNumId w:val="12"/>
  </w:num>
  <w:num w:numId="8">
    <w:abstractNumId w:val="19"/>
  </w:num>
  <w:num w:numId="9">
    <w:abstractNumId w:val="18"/>
  </w:num>
  <w:num w:numId="10">
    <w:abstractNumId w:val="11"/>
  </w:num>
  <w:num w:numId="11">
    <w:abstractNumId w:val="23"/>
  </w:num>
  <w:num w:numId="12">
    <w:abstractNumId w:val="4"/>
  </w:num>
  <w:num w:numId="13">
    <w:abstractNumId w:val="0"/>
  </w:num>
  <w:num w:numId="14">
    <w:abstractNumId w:val="3"/>
  </w:num>
  <w:num w:numId="15">
    <w:abstractNumId w:val="17"/>
  </w:num>
  <w:num w:numId="16">
    <w:abstractNumId w:val="20"/>
  </w:num>
  <w:num w:numId="17">
    <w:abstractNumId w:val="16"/>
  </w:num>
  <w:num w:numId="18">
    <w:abstractNumId w:val="6"/>
  </w:num>
  <w:num w:numId="19">
    <w:abstractNumId w:val="7"/>
  </w:num>
  <w:num w:numId="20">
    <w:abstractNumId w:val="14"/>
  </w:num>
  <w:num w:numId="21">
    <w:abstractNumId w:val="9"/>
  </w:num>
  <w:num w:numId="22">
    <w:abstractNumId w:val="13"/>
  </w:num>
  <w:num w:numId="23">
    <w:abstractNumId w:val="2"/>
  </w:num>
  <w:num w:numId="24">
    <w:abstractNumId w:val="2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F4B"/>
    <w:rsid w:val="0000078F"/>
    <w:rsid w:val="00003ACE"/>
    <w:rsid w:val="00010F5D"/>
    <w:rsid w:val="00012D66"/>
    <w:rsid w:val="00012EA5"/>
    <w:rsid w:val="00017330"/>
    <w:rsid w:val="0002053D"/>
    <w:rsid w:val="0002158D"/>
    <w:rsid w:val="00022707"/>
    <w:rsid w:val="000273F8"/>
    <w:rsid w:val="00031BA2"/>
    <w:rsid w:val="00032ABC"/>
    <w:rsid w:val="00036115"/>
    <w:rsid w:val="000363E7"/>
    <w:rsid w:val="000369F0"/>
    <w:rsid w:val="00036DE4"/>
    <w:rsid w:val="00040A3E"/>
    <w:rsid w:val="00047EE1"/>
    <w:rsid w:val="000508F8"/>
    <w:rsid w:val="000516CF"/>
    <w:rsid w:val="0005667A"/>
    <w:rsid w:val="000621C5"/>
    <w:rsid w:val="0006369C"/>
    <w:rsid w:val="0006397A"/>
    <w:rsid w:val="00066FDE"/>
    <w:rsid w:val="0007006D"/>
    <w:rsid w:val="0007139C"/>
    <w:rsid w:val="00072D98"/>
    <w:rsid w:val="00074144"/>
    <w:rsid w:val="000764EA"/>
    <w:rsid w:val="000816E9"/>
    <w:rsid w:val="00085BEE"/>
    <w:rsid w:val="00090635"/>
    <w:rsid w:val="000A290B"/>
    <w:rsid w:val="000A77D0"/>
    <w:rsid w:val="000A7EB7"/>
    <w:rsid w:val="000B1E3B"/>
    <w:rsid w:val="000B3113"/>
    <w:rsid w:val="000B3E57"/>
    <w:rsid w:val="000B6A37"/>
    <w:rsid w:val="000B7ED1"/>
    <w:rsid w:val="000C079C"/>
    <w:rsid w:val="000C3371"/>
    <w:rsid w:val="000C5B44"/>
    <w:rsid w:val="000D0364"/>
    <w:rsid w:val="000D2DC6"/>
    <w:rsid w:val="000D2E03"/>
    <w:rsid w:val="000E035B"/>
    <w:rsid w:val="000E0648"/>
    <w:rsid w:val="000E0BE0"/>
    <w:rsid w:val="000E260F"/>
    <w:rsid w:val="000F3D6D"/>
    <w:rsid w:val="000F43CD"/>
    <w:rsid w:val="001009E3"/>
    <w:rsid w:val="00107833"/>
    <w:rsid w:val="0012174A"/>
    <w:rsid w:val="00122720"/>
    <w:rsid w:val="00123809"/>
    <w:rsid w:val="00130A2B"/>
    <w:rsid w:val="0013562B"/>
    <w:rsid w:val="001425A1"/>
    <w:rsid w:val="00145933"/>
    <w:rsid w:val="001469E6"/>
    <w:rsid w:val="001507ED"/>
    <w:rsid w:val="00156ABE"/>
    <w:rsid w:val="00156D34"/>
    <w:rsid w:val="00156D81"/>
    <w:rsid w:val="00166796"/>
    <w:rsid w:val="00170C59"/>
    <w:rsid w:val="0017525F"/>
    <w:rsid w:val="00196555"/>
    <w:rsid w:val="001A3E82"/>
    <w:rsid w:val="001A5047"/>
    <w:rsid w:val="001A567B"/>
    <w:rsid w:val="001A659C"/>
    <w:rsid w:val="001C147C"/>
    <w:rsid w:val="001C4114"/>
    <w:rsid w:val="001C6858"/>
    <w:rsid w:val="001C6DFD"/>
    <w:rsid w:val="001C7306"/>
    <w:rsid w:val="001D0BF7"/>
    <w:rsid w:val="001D3163"/>
    <w:rsid w:val="001D3BF0"/>
    <w:rsid w:val="001D3E1C"/>
    <w:rsid w:val="001D3E8A"/>
    <w:rsid w:val="001D4019"/>
    <w:rsid w:val="001E4E13"/>
    <w:rsid w:val="001E60FF"/>
    <w:rsid w:val="001E778F"/>
    <w:rsid w:val="001F3022"/>
    <w:rsid w:val="001F7B88"/>
    <w:rsid w:val="00206537"/>
    <w:rsid w:val="00206F04"/>
    <w:rsid w:val="002113A6"/>
    <w:rsid w:val="0021374B"/>
    <w:rsid w:val="00215AD9"/>
    <w:rsid w:val="002207F4"/>
    <w:rsid w:val="00221AEF"/>
    <w:rsid w:val="00222460"/>
    <w:rsid w:val="00230357"/>
    <w:rsid w:val="002465DF"/>
    <w:rsid w:val="00247D9B"/>
    <w:rsid w:val="0025158B"/>
    <w:rsid w:val="00253047"/>
    <w:rsid w:val="002550FE"/>
    <w:rsid w:val="0026102A"/>
    <w:rsid w:val="00261358"/>
    <w:rsid w:val="00272502"/>
    <w:rsid w:val="0027317D"/>
    <w:rsid w:val="00275C76"/>
    <w:rsid w:val="00276B20"/>
    <w:rsid w:val="00282254"/>
    <w:rsid w:val="00291EAA"/>
    <w:rsid w:val="002A6B40"/>
    <w:rsid w:val="002B1AE9"/>
    <w:rsid w:val="002B241D"/>
    <w:rsid w:val="002B475C"/>
    <w:rsid w:val="002B49E7"/>
    <w:rsid w:val="002C399B"/>
    <w:rsid w:val="002C425E"/>
    <w:rsid w:val="002C443E"/>
    <w:rsid w:val="002C6EC5"/>
    <w:rsid w:val="002D2E2B"/>
    <w:rsid w:val="002D447B"/>
    <w:rsid w:val="002E24CB"/>
    <w:rsid w:val="002E31A7"/>
    <w:rsid w:val="002E3A61"/>
    <w:rsid w:val="002E5C20"/>
    <w:rsid w:val="002F00FF"/>
    <w:rsid w:val="002F17D1"/>
    <w:rsid w:val="002F6A9A"/>
    <w:rsid w:val="0030776C"/>
    <w:rsid w:val="00313198"/>
    <w:rsid w:val="0031384C"/>
    <w:rsid w:val="00313F2F"/>
    <w:rsid w:val="00316960"/>
    <w:rsid w:val="00316DED"/>
    <w:rsid w:val="003200E5"/>
    <w:rsid w:val="00323A02"/>
    <w:rsid w:val="003244EB"/>
    <w:rsid w:val="003278D5"/>
    <w:rsid w:val="0033028A"/>
    <w:rsid w:val="00330FA4"/>
    <w:rsid w:val="00331564"/>
    <w:rsid w:val="00340CB0"/>
    <w:rsid w:val="00341DD4"/>
    <w:rsid w:val="00354E32"/>
    <w:rsid w:val="0035780A"/>
    <w:rsid w:val="00360FD2"/>
    <w:rsid w:val="00366554"/>
    <w:rsid w:val="00372546"/>
    <w:rsid w:val="0037661F"/>
    <w:rsid w:val="00381253"/>
    <w:rsid w:val="003820D0"/>
    <w:rsid w:val="00382C65"/>
    <w:rsid w:val="003835EB"/>
    <w:rsid w:val="00383EEE"/>
    <w:rsid w:val="003900E7"/>
    <w:rsid w:val="003923D7"/>
    <w:rsid w:val="00393C2F"/>
    <w:rsid w:val="00394978"/>
    <w:rsid w:val="003949BB"/>
    <w:rsid w:val="0039765A"/>
    <w:rsid w:val="003A19F7"/>
    <w:rsid w:val="003A273B"/>
    <w:rsid w:val="003A33CD"/>
    <w:rsid w:val="003A5B2B"/>
    <w:rsid w:val="003A70A8"/>
    <w:rsid w:val="003B6E5C"/>
    <w:rsid w:val="003D33F5"/>
    <w:rsid w:val="003D52DB"/>
    <w:rsid w:val="003D5BF7"/>
    <w:rsid w:val="003E130F"/>
    <w:rsid w:val="003E24F7"/>
    <w:rsid w:val="003E297F"/>
    <w:rsid w:val="003E2EB8"/>
    <w:rsid w:val="003F1467"/>
    <w:rsid w:val="003F1FC0"/>
    <w:rsid w:val="003F2285"/>
    <w:rsid w:val="003F3C39"/>
    <w:rsid w:val="00404174"/>
    <w:rsid w:val="00404256"/>
    <w:rsid w:val="004075A8"/>
    <w:rsid w:val="00416809"/>
    <w:rsid w:val="00417345"/>
    <w:rsid w:val="00431D01"/>
    <w:rsid w:val="0043757A"/>
    <w:rsid w:val="00442C6A"/>
    <w:rsid w:val="00446F88"/>
    <w:rsid w:val="004519FD"/>
    <w:rsid w:val="00454B0E"/>
    <w:rsid w:val="00461FCD"/>
    <w:rsid w:val="0046298C"/>
    <w:rsid w:val="004654CA"/>
    <w:rsid w:val="004706A4"/>
    <w:rsid w:val="00477E14"/>
    <w:rsid w:val="004821F1"/>
    <w:rsid w:val="00484F4B"/>
    <w:rsid w:val="00484F4F"/>
    <w:rsid w:val="004858B2"/>
    <w:rsid w:val="004870B7"/>
    <w:rsid w:val="0049098B"/>
    <w:rsid w:val="00492C61"/>
    <w:rsid w:val="004A3BC6"/>
    <w:rsid w:val="004B0FFD"/>
    <w:rsid w:val="004B20CC"/>
    <w:rsid w:val="004B7477"/>
    <w:rsid w:val="004C2748"/>
    <w:rsid w:val="004C2DB6"/>
    <w:rsid w:val="004C4766"/>
    <w:rsid w:val="004D1AE5"/>
    <w:rsid w:val="004D6650"/>
    <w:rsid w:val="004E0096"/>
    <w:rsid w:val="004E0DB3"/>
    <w:rsid w:val="004E6BCC"/>
    <w:rsid w:val="004F0C6A"/>
    <w:rsid w:val="004F3AB8"/>
    <w:rsid w:val="004F4645"/>
    <w:rsid w:val="004F4782"/>
    <w:rsid w:val="004F7174"/>
    <w:rsid w:val="0050645F"/>
    <w:rsid w:val="00512833"/>
    <w:rsid w:val="005134E7"/>
    <w:rsid w:val="00514042"/>
    <w:rsid w:val="0051496F"/>
    <w:rsid w:val="00515030"/>
    <w:rsid w:val="005208DE"/>
    <w:rsid w:val="00520CB9"/>
    <w:rsid w:val="00525F83"/>
    <w:rsid w:val="00526AC1"/>
    <w:rsid w:val="00531608"/>
    <w:rsid w:val="0053332C"/>
    <w:rsid w:val="0053776E"/>
    <w:rsid w:val="005402DB"/>
    <w:rsid w:val="00540FAF"/>
    <w:rsid w:val="00554FD9"/>
    <w:rsid w:val="0056120F"/>
    <w:rsid w:val="0056173C"/>
    <w:rsid w:val="0056233C"/>
    <w:rsid w:val="00563F53"/>
    <w:rsid w:val="0056508D"/>
    <w:rsid w:val="00565CE1"/>
    <w:rsid w:val="00566F3A"/>
    <w:rsid w:val="0057249B"/>
    <w:rsid w:val="0057777A"/>
    <w:rsid w:val="00593DBB"/>
    <w:rsid w:val="00597D1C"/>
    <w:rsid w:val="005A6343"/>
    <w:rsid w:val="005A7DCB"/>
    <w:rsid w:val="005B4AE4"/>
    <w:rsid w:val="005B5632"/>
    <w:rsid w:val="005B605C"/>
    <w:rsid w:val="005B7636"/>
    <w:rsid w:val="005C03EB"/>
    <w:rsid w:val="005C0F8E"/>
    <w:rsid w:val="005C2086"/>
    <w:rsid w:val="005C46B1"/>
    <w:rsid w:val="005D1B49"/>
    <w:rsid w:val="005D36F6"/>
    <w:rsid w:val="005D6A16"/>
    <w:rsid w:val="005E0D79"/>
    <w:rsid w:val="005E27B3"/>
    <w:rsid w:val="005E2AED"/>
    <w:rsid w:val="005E2E94"/>
    <w:rsid w:val="005E3BB1"/>
    <w:rsid w:val="005F0AA4"/>
    <w:rsid w:val="005F465B"/>
    <w:rsid w:val="005F4A46"/>
    <w:rsid w:val="005F685F"/>
    <w:rsid w:val="005F7DD5"/>
    <w:rsid w:val="00600ADC"/>
    <w:rsid w:val="00604F31"/>
    <w:rsid w:val="00611E12"/>
    <w:rsid w:val="006140A0"/>
    <w:rsid w:val="00614D68"/>
    <w:rsid w:val="00620C46"/>
    <w:rsid w:val="00636508"/>
    <w:rsid w:val="00644D94"/>
    <w:rsid w:val="00646057"/>
    <w:rsid w:val="0066438F"/>
    <w:rsid w:val="00665858"/>
    <w:rsid w:val="006677F0"/>
    <w:rsid w:val="00674881"/>
    <w:rsid w:val="00675914"/>
    <w:rsid w:val="00675BEC"/>
    <w:rsid w:val="006771B7"/>
    <w:rsid w:val="00677DC7"/>
    <w:rsid w:val="00680FA0"/>
    <w:rsid w:val="00693750"/>
    <w:rsid w:val="006954ED"/>
    <w:rsid w:val="006963D4"/>
    <w:rsid w:val="006A026E"/>
    <w:rsid w:val="006A432E"/>
    <w:rsid w:val="006A5C98"/>
    <w:rsid w:val="006B1256"/>
    <w:rsid w:val="006B5F16"/>
    <w:rsid w:val="006C4EE0"/>
    <w:rsid w:val="006C5DE1"/>
    <w:rsid w:val="006D14EB"/>
    <w:rsid w:val="006D170C"/>
    <w:rsid w:val="006D3F68"/>
    <w:rsid w:val="006D73D7"/>
    <w:rsid w:val="006E0007"/>
    <w:rsid w:val="006E6BF9"/>
    <w:rsid w:val="006F18EB"/>
    <w:rsid w:val="006F2B01"/>
    <w:rsid w:val="006F4E40"/>
    <w:rsid w:val="006F5702"/>
    <w:rsid w:val="006F720F"/>
    <w:rsid w:val="007071ED"/>
    <w:rsid w:val="00711FF9"/>
    <w:rsid w:val="00714196"/>
    <w:rsid w:val="007141C3"/>
    <w:rsid w:val="0072134B"/>
    <w:rsid w:val="00721C31"/>
    <w:rsid w:val="00726580"/>
    <w:rsid w:val="0072699C"/>
    <w:rsid w:val="007449CF"/>
    <w:rsid w:val="00744B1E"/>
    <w:rsid w:val="00746AC5"/>
    <w:rsid w:val="007633F8"/>
    <w:rsid w:val="0076563A"/>
    <w:rsid w:val="00780C36"/>
    <w:rsid w:val="00783A65"/>
    <w:rsid w:val="00784ABA"/>
    <w:rsid w:val="00784EBE"/>
    <w:rsid w:val="00794045"/>
    <w:rsid w:val="007941D8"/>
    <w:rsid w:val="007A087E"/>
    <w:rsid w:val="007A620A"/>
    <w:rsid w:val="007B2D36"/>
    <w:rsid w:val="007C02DF"/>
    <w:rsid w:val="007C2838"/>
    <w:rsid w:val="007C3916"/>
    <w:rsid w:val="007C3F95"/>
    <w:rsid w:val="007D05A2"/>
    <w:rsid w:val="007D2F61"/>
    <w:rsid w:val="007D333E"/>
    <w:rsid w:val="007D6676"/>
    <w:rsid w:val="007D6CDD"/>
    <w:rsid w:val="007D7DCC"/>
    <w:rsid w:val="007D7F70"/>
    <w:rsid w:val="007E3DC5"/>
    <w:rsid w:val="007E5B39"/>
    <w:rsid w:val="007E6AFC"/>
    <w:rsid w:val="007F0F24"/>
    <w:rsid w:val="007F5BF3"/>
    <w:rsid w:val="007F7EC2"/>
    <w:rsid w:val="00801AB4"/>
    <w:rsid w:val="008046C8"/>
    <w:rsid w:val="0081108E"/>
    <w:rsid w:val="00811276"/>
    <w:rsid w:val="0081169E"/>
    <w:rsid w:val="00813F08"/>
    <w:rsid w:val="00825B2C"/>
    <w:rsid w:val="00826013"/>
    <w:rsid w:val="00827544"/>
    <w:rsid w:val="00830C93"/>
    <w:rsid w:val="00836DE0"/>
    <w:rsid w:val="008376BB"/>
    <w:rsid w:val="00840FEC"/>
    <w:rsid w:val="00846265"/>
    <w:rsid w:val="0085014B"/>
    <w:rsid w:val="00855436"/>
    <w:rsid w:val="0085545C"/>
    <w:rsid w:val="00855646"/>
    <w:rsid w:val="0086179C"/>
    <w:rsid w:val="00861987"/>
    <w:rsid w:val="00864B78"/>
    <w:rsid w:val="00864F04"/>
    <w:rsid w:val="00866B8E"/>
    <w:rsid w:val="00867BFC"/>
    <w:rsid w:val="00872004"/>
    <w:rsid w:val="008859CF"/>
    <w:rsid w:val="008944D9"/>
    <w:rsid w:val="0089593B"/>
    <w:rsid w:val="0089648D"/>
    <w:rsid w:val="008A3AA4"/>
    <w:rsid w:val="008A413F"/>
    <w:rsid w:val="008A5743"/>
    <w:rsid w:val="008B1658"/>
    <w:rsid w:val="008B509A"/>
    <w:rsid w:val="008C08D4"/>
    <w:rsid w:val="008C0C80"/>
    <w:rsid w:val="008C25A7"/>
    <w:rsid w:val="008C3DDD"/>
    <w:rsid w:val="008D1E1D"/>
    <w:rsid w:val="008D39C7"/>
    <w:rsid w:val="008D407F"/>
    <w:rsid w:val="008E085D"/>
    <w:rsid w:val="008E16B3"/>
    <w:rsid w:val="008E49DC"/>
    <w:rsid w:val="008E4B91"/>
    <w:rsid w:val="008E6194"/>
    <w:rsid w:val="008F16A4"/>
    <w:rsid w:val="008F2251"/>
    <w:rsid w:val="0090122B"/>
    <w:rsid w:val="0090457B"/>
    <w:rsid w:val="00907369"/>
    <w:rsid w:val="00907632"/>
    <w:rsid w:val="009108BC"/>
    <w:rsid w:val="00911D54"/>
    <w:rsid w:val="0091215F"/>
    <w:rsid w:val="00914A65"/>
    <w:rsid w:val="009158DF"/>
    <w:rsid w:val="00916388"/>
    <w:rsid w:val="0091681E"/>
    <w:rsid w:val="009214B5"/>
    <w:rsid w:val="00925333"/>
    <w:rsid w:val="009330C8"/>
    <w:rsid w:val="00944297"/>
    <w:rsid w:val="009456B1"/>
    <w:rsid w:val="00951BEC"/>
    <w:rsid w:val="00953FEB"/>
    <w:rsid w:val="00960933"/>
    <w:rsid w:val="00961C6C"/>
    <w:rsid w:val="0096241C"/>
    <w:rsid w:val="00970B70"/>
    <w:rsid w:val="00982769"/>
    <w:rsid w:val="00982BAF"/>
    <w:rsid w:val="00983FC6"/>
    <w:rsid w:val="0098590B"/>
    <w:rsid w:val="009904A2"/>
    <w:rsid w:val="00991224"/>
    <w:rsid w:val="009A3D5D"/>
    <w:rsid w:val="009B1136"/>
    <w:rsid w:val="009B16DA"/>
    <w:rsid w:val="009B3777"/>
    <w:rsid w:val="009B47D4"/>
    <w:rsid w:val="009B67A1"/>
    <w:rsid w:val="009C5BAE"/>
    <w:rsid w:val="009C71FE"/>
    <w:rsid w:val="009D1956"/>
    <w:rsid w:val="009D73E7"/>
    <w:rsid w:val="009E02C4"/>
    <w:rsid w:val="009E0634"/>
    <w:rsid w:val="009E0F51"/>
    <w:rsid w:val="009E2C10"/>
    <w:rsid w:val="009E5C52"/>
    <w:rsid w:val="009E6514"/>
    <w:rsid w:val="009F145E"/>
    <w:rsid w:val="009F3175"/>
    <w:rsid w:val="00A00808"/>
    <w:rsid w:val="00A06082"/>
    <w:rsid w:val="00A0623B"/>
    <w:rsid w:val="00A11AA5"/>
    <w:rsid w:val="00A12D64"/>
    <w:rsid w:val="00A23067"/>
    <w:rsid w:val="00A2467C"/>
    <w:rsid w:val="00A2670C"/>
    <w:rsid w:val="00A34838"/>
    <w:rsid w:val="00A34B48"/>
    <w:rsid w:val="00A37ABD"/>
    <w:rsid w:val="00A37D71"/>
    <w:rsid w:val="00A41EEC"/>
    <w:rsid w:val="00A43856"/>
    <w:rsid w:val="00A57AB8"/>
    <w:rsid w:val="00A639F2"/>
    <w:rsid w:val="00A65029"/>
    <w:rsid w:val="00A72717"/>
    <w:rsid w:val="00A922AA"/>
    <w:rsid w:val="00A96FFC"/>
    <w:rsid w:val="00AA3707"/>
    <w:rsid w:val="00AA4623"/>
    <w:rsid w:val="00AA46AC"/>
    <w:rsid w:val="00AA6F3D"/>
    <w:rsid w:val="00AA7B65"/>
    <w:rsid w:val="00AB1E1F"/>
    <w:rsid w:val="00AB5F00"/>
    <w:rsid w:val="00AB7F01"/>
    <w:rsid w:val="00AC1C78"/>
    <w:rsid w:val="00AC3ED6"/>
    <w:rsid w:val="00AD10D6"/>
    <w:rsid w:val="00AD24DA"/>
    <w:rsid w:val="00AD53AC"/>
    <w:rsid w:val="00AE116C"/>
    <w:rsid w:val="00AE3022"/>
    <w:rsid w:val="00AE5D4A"/>
    <w:rsid w:val="00AF6E73"/>
    <w:rsid w:val="00B04D5F"/>
    <w:rsid w:val="00B11C90"/>
    <w:rsid w:val="00B12546"/>
    <w:rsid w:val="00B137CC"/>
    <w:rsid w:val="00B1420A"/>
    <w:rsid w:val="00B1614A"/>
    <w:rsid w:val="00B17BC6"/>
    <w:rsid w:val="00B25ACA"/>
    <w:rsid w:val="00B26957"/>
    <w:rsid w:val="00B31985"/>
    <w:rsid w:val="00B31D28"/>
    <w:rsid w:val="00B32F03"/>
    <w:rsid w:val="00B33F08"/>
    <w:rsid w:val="00B40A73"/>
    <w:rsid w:val="00B44016"/>
    <w:rsid w:val="00B4527E"/>
    <w:rsid w:val="00B461AB"/>
    <w:rsid w:val="00B47528"/>
    <w:rsid w:val="00B51DFF"/>
    <w:rsid w:val="00B600C7"/>
    <w:rsid w:val="00B626D0"/>
    <w:rsid w:val="00B63208"/>
    <w:rsid w:val="00B65157"/>
    <w:rsid w:val="00B76F33"/>
    <w:rsid w:val="00B82130"/>
    <w:rsid w:val="00B82806"/>
    <w:rsid w:val="00B83039"/>
    <w:rsid w:val="00B9079D"/>
    <w:rsid w:val="00B90D96"/>
    <w:rsid w:val="00B93325"/>
    <w:rsid w:val="00B9493A"/>
    <w:rsid w:val="00B95B02"/>
    <w:rsid w:val="00B97D9F"/>
    <w:rsid w:val="00BA16AB"/>
    <w:rsid w:val="00BA54A8"/>
    <w:rsid w:val="00BA5C85"/>
    <w:rsid w:val="00BA5DFC"/>
    <w:rsid w:val="00BA6EF5"/>
    <w:rsid w:val="00BB16B8"/>
    <w:rsid w:val="00BB4CA7"/>
    <w:rsid w:val="00BB6576"/>
    <w:rsid w:val="00BC065E"/>
    <w:rsid w:val="00BC2107"/>
    <w:rsid w:val="00BC5AFF"/>
    <w:rsid w:val="00BC7694"/>
    <w:rsid w:val="00BD2914"/>
    <w:rsid w:val="00BD60AC"/>
    <w:rsid w:val="00BE3CA4"/>
    <w:rsid w:val="00BE428A"/>
    <w:rsid w:val="00BE60D4"/>
    <w:rsid w:val="00BE7F5D"/>
    <w:rsid w:val="00BF0C03"/>
    <w:rsid w:val="00BF4A84"/>
    <w:rsid w:val="00BF6BDE"/>
    <w:rsid w:val="00C03FE5"/>
    <w:rsid w:val="00C04C44"/>
    <w:rsid w:val="00C111A9"/>
    <w:rsid w:val="00C112B2"/>
    <w:rsid w:val="00C20170"/>
    <w:rsid w:val="00C2610D"/>
    <w:rsid w:val="00C327BE"/>
    <w:rsid w:val="00C41319"/>
    <w:rsid w:val="00C438D4"/>
    <w:rsid w:val="00C5240E"/>
    <w:rsid w:val="00C55135"/>
    <w:rsid w:val="00C57832"/>
    <w:rsid w:val="00C57DBC"/>
    <w:rsid w:val="00C63586"/>
    <w:rsid w:val="00C72C41"/>
    <w:rsid w:val="00C75648"/>
    <w:rsid w:val="00C761B3"/>
    <w:rsid w:val="00C76FFF"/>
    <w:rsid w:val="00C83C79"/>
    <w:rsid w:val="00C91E7B"/>
    <w:rsid w:val="00CA1847"/>
    <w:rsid w:val="00CA2FEF"/>
    <w:rsid w:val="00CA6DF6"/>
    <w:rsid w:val="00CB1A4F"/>
    <w:rsid w:val="00CB35BB"/>
    <w:rsid w:val="00CB4290"/>
    <w:rsid w:val="00CB5C22"/>
    <w:rsid w:val="00CB6768"/>
    <w:rsid w:val="00CB761E"/>
    <w:rsid w:val="00CB7AC1"/>
    <w:rsid w:val="00CC20B4"/>
    <w:rsid w:val="00CC2794"/>
    <w:rsid w:val="00CD6EBF"/>
    <w:rsid w:val="00CE0616"/>
    <w:rsid w:val="00CE2C98"/>
    <w:rsid w:val="00CE392D"/>
    <w:rsid w:val="00CF0A1C"/>
    <w:rsid w:val="00CF2695"/>
    <w:rsid w:val="00CF33EA"/>
    <w:rsid w:val="00CF368C"/>
    <w:rsid w:val="00CF5EC8"/>
    <w:rsid w:val="00D0337F"/>
    <w:rsid w:val="00D04CAE"/>
    <w:rsid w:val="00D06625"/>
    <w:rsid w:val="00D07CDF"/>
    <w:rsid w:val="00D21EE7"/>
    <w:rsid w:val="00D26965"/>
    <w:rsid w:val="00D324B5"/>
    <w:rsid w:val="00D3537B"/>
    <w:rsid w:val="00D35B9E"/>
    <w:rsid w:val="00D4578E"/>
    <w:rsid w:val="00D54821"/>
    <w:rsid w:val="00D64AB3"/>
    <w:rsid w:val="00D6735C"/>
    <w:rsid w:val="00D70E14"/>
    <w:rsid w:val="00D74765"/>
    <w:rsid w:val="00D775E7"/>
    <w:rsid w:val="00D8075B"/>
    <w:rsid w:val="00D8088B"/>
    <w:rsid w:val="00D84E80"/>
    <w:rsid w:val="00DA6677"/>
    <w:rsid w:val="00DB0AFE"/>
    <w:rsid w:val="00DB60B6"/>
    <w:rsid w:val="00DC090D"/>
    <w:rsid w:val="00DC38D6"/>
    <w:rsid w:val="00DC7B60"/>
    <w:rsid w:val="00DC7EBB"/>
    <w:rsid w:val="00DD0A9A"/>
    <w:rsid w:val="00DD1F3E"/>
    <w:rsid w:val="00DD38D3"/>
    <w:rsid w:val="00DF22F8"/>
    <w:rsid w:val="00DF2582"/>
    <w:rsid w:val="00DF318E"/>
    <w:rsid w:val="00DF333F"/>
    <w:rsid w:val="00E02B43"/>
    <w:rsid w:val="00E02D88"/>
    <w:rsid w:val="00E059E6"/>
    <w:rsid w:val="00E104B9"/>
    <w:rsid w:val="00E15FB0"/>
    <w:rsid w:val="00E16DB3"/>
    <w:rsid w:val="00E173D0"/>
    <w:rsid w:val="00E22929"/>
    <w:rsid w:val="00E24D90"/>
    <w:rsid w:val="00E3041F"/>
    <w:rsid w:val="00E3291D"/>
    <w:rsid w:val="00E33C2C"/>
    <w:rsid w:val="00E36574"/>
    <w:rsid w:val="00E41F08"/>
    <w:rsid w:val="00E424EF"/>
    <w:rsid w:val="00E456F9"/>
    <w:rsid w:val="00E52D33"/>
    <w:rsid w:val="00E52EA7"/>
    <w:rsid w:val="00E548FE"/>
    <w:rsid w:val="00E60F2B"/>
    <w:rsid w:val="00E633DA"/>
    <w:rsid w:val="00E71CEF"/>
    <w:rsid w:val="00E81736"/>
    <w:rsid w:val="00E83CF9"/>
    <w:rsid w:val="00E91D6F"/>
    <w:rsid w:val="00E95FD6"/>
    <w:rsid w:val="00EA1DB8"/>
    <w:rsid w:val="00EA6741"/>
    <w:rsid w:val="00EC2B95"/>
    <w:rsid w:val="00EC5D6C"/>
    <w:rsid w:val="00EC62B1"/>
    <w:rsid w:val="00ED118F"/>
    <w:rsid w:val="00ED11F6"/>
    <w:rsid w:val="00ED2E5A"/>
    <w:rsid w:val="00ED5CBB"/>
    <w:rsid w:val="00ED7ADF"/>
    <w:rsid w:val="00EE3827"/>
    <w:rsid w:val="00EE61B8"/>
    <w:rsid w:val="00EE6CE2"/>
    <w:rsid w:val="00EF0C61"/>
    <w:rsid w:val="00EF26CC"/>
    <w:rsid w:val="00F04CA1"/>
    <w:rsid w:val="00F052C6"/>
    <w:rsid w:val="00F06794"/>
    <w:rsid w:val="00F10D0D"/>
    <w:rsid w:val="00F12A6F"/>
    <w:rsid w:val="00F14818"/>
    <w:rsid w:val="00F14BFC"/>
    <w:rsid w:val="00F17724"/>
    <w:rsid w:val="00F21153"/>
    <w:rsid w:val="00F212B5"/>
    <w:rsid w:val="00F30E13"/>
    <w:rsid w:val="00F31FD6"/>
    <w:rsid w:val="00F34C1E"/>
    <w:rsid w:val="00F3785E"/>
    <w:rsid w:val="00F43016"/>
    <w:rsid w:val="00F4404C"/>
    <w:rsid w:val="00F55290"/>
    <w:rsid w:val="00F55DBB"/>
    <w:rsid w:val="00F57E31"/>
    <w:rsid w:val="00F63000"/>
    <w:rsid w:val="00F70E4C"/>
    <w:rsid w:val="00F86BD2"/>
    <w:rsid w:val="00F93871"/>
    <w:rsid w:val="00F960B9"/>
    <w:rsid w:val="00FA6FA7"/>
    <w:rsid w:val="00FB182A"/>
    <w:rsid w:val="00FC58A0"/>
    <w:rsid w:val="00FC6DD0"/>
    <w:rsid w:val="00FC73C6"/>
    <w:rsid w:val="00FE3F10"/>
    <w:rsid w:val="00FE63FE"/>
    <w:rsid w:val="00FF4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D60D822"/>
  <w15:chartTrackingRefBased/>
  <w15:docId w15:val="{025371B3-1417-4D43-A500-D3F75352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E0F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C6E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4F4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4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F4B"/>
    <w:pPr>
      <w:ind w:left="720"/>
      <w:contextualSpacing/>
    </w:pPr>
  </w:style>
  <w:style w:type="paragraph" w:styleId="Header">
    <w:name w:val="header"/>
    <w:basedOn w:val="Normal"/>
    <w:link w:val="HeaderChar"/>
    <w:uiPriority w:val="99"/>
    <w:unhideWhenUsed/>
    <w:rsid w:val="00036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9F0"/>
  </w:style>
  <w:style w:type="paragraph" w:styleId="Footer">
    <w:name w:val="footer"/>
    <w:basedOn w:val="Normal"/>
    <w:link w:val="FooterChar"/>
    <w:uiPriority w:val="99"/>
    <w:unhideWhenUsed/>
    <w:rsid w:val="00036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9F0"/>
  </w:style>
  <w:style w:type="character" w:styleId="Hyperlink">
    <w:name w:val="Hyperlink"/>
    <w:basedOn w:val="DefaultParagraphFont"/>
    <w:uiPriority w:val="99"/>
    <w:unhideWhenUsed/>
    <w:rsid w:val="006F2B01"/>
    <w:rPr>
      <w:color w:val="0563C1" w:themeColor="hyperlink"/>
      <w:u w:val="single"/>
    </w:rPr>
  </w:style>
  <w:style w:type="character" w:styleId="FollowedHyperlink">
    <w:name w:val="FollowedHyperlink"/>
    <w:basedOn w:val="DefaultParagraphFont"/>
    <w:uiPriority w:val="99"/>
    <w:semiHidden/>
    <w:unhideWhenUsed/>
    <w:rsid w:val="00B31985"/>
    <w:rPr>
      <w:color w:val="954F72" w:themeColor="followedHyperlink"/>
      <w:u w:val="single"/>
    </w:rPr>
  </w:style>
  <w:style w:type="character" w:styleId="Strong">
    <w:name w:val="Strong"/>
    <w:basedOn w:val="DefaultParagraphFont"/>
    <w:uiPriority w:val="22"/>
    <w:qFormat/>
    <w:rsid w:val="00DA6677"/>
    <w:rPr>
      <w:b/>
      <w:bCs/>
    </w:rPr>
  </w:style>
  <w:style w:type="character" w:styleId="Emphasis">
    <w:name w:val="Emphasis"/>
    <w:basedOn w:val="DefaultParagraphFont"/>
    <w:uiPriority w:val="20"/>
    <w:qFormat/>
    <w:rsid w:val="004F4645"/>
    <w:rPr>
      <w:i/>
      <w:iCs/>
    </w:rPr>
  </w:style>
  <w:style w:type="character" w:customStyle="1" w:styleId="cskcde">
    <w:name w:val="cskcde"/>
    <w:basedOn w:val="DefaultParagraphFont"/>
    <w:rsid w:val="00811276"/>
  </w:style>
  <w:style w:type="character" w:customStyle="1" w:styleId="hgkelc">
    <w:name w:val="hgkelc"/>
    <w:basedOn w:val="DefaultParagraphFont"/>
    <w:rsid w:val="00811276"/>
  </w:style>
  <w:style w:type="paragraph" w:styleId="BalloonText">
    <w:name w:val="Balloon Text"/>
    <w:basedOn w:val="Normal"/>
    <w:link w:val="BalloonTextChar"/>
    <w:uiPriority w:val="99"/>
    <w:semiHidden/>
    <w:unhideWhenUsed/>
    <w:rsid w:val="002E2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4CB"/>
    <w:rPr>
      <w:rFonts w:ascii="Segoe UI" w:hAnsi="Segoe UI" w:cs="Segoe UI"/>
      <w:sz w:val="18"/>
      <w:szCs w:val="18"/>
    </w:rPr>
  </w:style>
  <w:style w:type="character" w:customStyle="1" w:styleId="Heading1Char">
    <w:name w:val="Heading 1 Char"/>
    <w:basedOn w:val="DefaultParagraphFont"/>
    <w:link w:val="Heading1"/>
    <w:uiPriority w:val="9"/>
    <w:rsid w:val="009E0F51"/>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8110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108E"/>
  </w:style>
  <w:style w:type="character" w:customStyle="1" w:styleId="eop">
    <w:name w:val="eop"/>
    <w:basedOn w:val="DefaultParagraphFont"/>
    <w:rsid w:val="0081108E"/>
  </w:style>
  <w:style w:type="character" w:customStyle="1" w:styleId="Heading2Char">
    <w:name w:val="Heading 2 Char"/>
    <w:basedOn w:val="DefaultParagraphFont"/>
    <w:link w:val="Heading2"/>
    <w:uiPriority w:val="9"/>
    <w:semiHidden/>
    <w:rsid w:val="002C6EC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6233">
      <w:bodyDiv w:val="1"/>
      <w:marLeft w:val="0"/>
      <w:marRight w:val="0"/>
      <w:marTop w:val="0"/>
      <w:marBottom w:val="0"/>
      <w:divBdr>
        <w:top w:val="none" w:sz="0" w:space="0" w:color="auto"/>
        <w:left w:val="none" w:sz="0" w:space="0" w:color="auto"/>
        <w:bottom w:val="none" w:sz="0" w:space="0" w:color="auto"/>
        <w:right w:val="none" w:sz="0" w:space="0" w:color="auto"/>
      </w:divBdr>
      <w:divsChild>
        <w:div w:id="1170945958">
          <w:marLeft w:val="0"/>
          <w:marRight w:val="0"/>
          <w:marTop w:val="480"/>
          <w:marBottom w:val="480"/>
          <w:divBdr>
            <w:top w:val="none" w:sz="0" w:space="0" w:color="auto"/>
            <w:left w:val="single" w:sz="48" w:space="12" w:color="B1B4B6"/>
            <w:bottom w:val="none" w:sz="0" w:space="0" w:color="auto"/>
            <w:right w:val="none" w:sz="0" w:space="0" w:color="auto"/>
          </w:divBdr>
        </w:div>
      </w:divsChild>
    </w:div>
    <w:div w:id="278949163">
      <w:bodyDiv w:val="1"/>
      <w:marLeft w:val="0"/>
      <w:marRight w:val="0"/>
      <w:marTop w:val="0"/>
      <w:marBottom w:val="0"/>
      <w:divBdr>
        <w:top w:val="none" w:sz="0" w:space="0" w:color="auto"/>
        <w:left w:val="none" w:sz="0" w:space="0" w:color="auto"/>
        <w:bottom w:val="none" w:sz="0" w:space="0" w:color="auto"/>
        <w:right w:val="none" w:sz="0" w:space="0" w:color="auto"/>
      </w:divBdr>
    </w:div>
    <w:div w:id="382870952">
      <w:bodyDiv w:val="1"/>
      <w:marLeft w:val="0"/>
      <w:marRight w:val="0"/>
      <w:marTop w:val="0"/>
      <w:marBottom w:val="0"/>
      <w:divBdr>
        <w:top w:val="none" w:sz="0" w:space="0" w:color="auto"/>
        <w:left w:val="none" w:sz="0" w:space="0" w:color="auto"/>
        <w:bottom w:val="none" w:sz="0" w:space="0" w:color="auto"/>
        <w:right w:val="none" w:sz="0" w:space="0" w:color="auto"/>
      </w:divBdr>
    </w:div>
    <w:div w:id="445269460">
      <w:bodyDiv w:val="1"/>
      <w:marLeft w:val="0"/>
      <w:marRight w:val="0"/>
      <w:marTop w:val="0"/>
      <w:marBottom w:val="0"/>
      <w:divBdr>
        <w:top w:val="none" w:sz="0" w:space="0" w:color="auto"/>
        <w:left w:val="none" w:sz="0" w:space="0" w:color="auto"/>
        <w:bottom w:val="none" w:sz="0" w:space="0" w:color="auto"/>
        <w:right w:val="none" w:sz="0" w:space="0" w:color="auto"/>
      </w:divBdr>
    </w:div>
    <w:div w:id="488835642">
      <w:bodyDiv w:val="1"/>
      <w:marLeft w:val="0"/>
      <w:marRight w:val="0"/>
      <w:marTop w:val="0"/>
      <w:marBottom w:val="0"/>
      <w:divBdr>
        <w:top w:val="none" w:sz="0" w:space="0" w:color="auto"/>
        <w:left w:val="none" w:sz="0" w:space="0" w:color="auto"/>
        <w:bottom w:val="none" w:sz="0" w:space="0" w:color="auto"/>
        <w:right w:val="none" w:sz="0" w:space="0" w:color="auto"/>
      </w:divBdr>
    </w:div>
    <w:div w:id="637958912">
      <w:bodyDiv w:val="1"/>
      <w:marLeft w:val="0"/>
      <w:marRight w:val="0"/>
      <w:marTop w:val="0"/>
      <w:marBottom w:val="0"/>
      <w:divBdr>
        <w:top w:val="none" w:sz="0" w:space="0" w:color="auto"/>
        <w:left w:val="none" w:sz="0" w:space="0" w:color="auto"/>
        <w:bottom w:val="none" w:sz="0" w:space="0" w:color="auto"/>
        <w:right w:val="none" w:sz="0" w:space="0" w:color="auto"/>
      </w:divBdr>
    </w:div>
    <w:div w:id="655455536">
      <w:bodyDiv w:val="1"/>
      <w:marLeft w:val="0"/>
      <w:marRight w:val="0"/>
      <w:marTop w:val="0"/>
      <w:marBottom w:val="0"/>
      <w:divBdr>
        <w:top w:val="none" w:sz="0" w:space="0" w:color="auto"/>
        <w:left w:val="none" w:sz="0" w:space="0" w:color="auto"/>
        <w:bottom w:val="none" w:sz="0" w:space="0" w:color="auto"/>
        <w:right w:val="none" w:sz="0" w:space="0" w:color="auto"/>
      </w:divBdr>
    </w:div>
    <w:div w:id="725835482">
      <w:bodyDiv w:val="1"/>
      <w:marLeft w:val="0"/>
      <w:marRight w:val="0"/>
      <w:marTop w:val="0"/>
      <w:marBottom w:val="0"/>
      <w:divBdr>
        <w:top w:val="none" w:sz="0" w:space="0" w:color="auto"/>
        <w:left w:val="none" w:sz="0" w:space="0" w:color="auto"/>
        <w:bottom w:val="none" w:sz="0" w:space="0" w:color="auto"/>
        <w:right w:val="none" w:sz="0" w:space="0" w:color="auto"/>
      </w:divBdr>
    </w:div>
    <w:div w:id="728455689">
      <w:bodyDiv w:val="1"/>
      <w:marLeft w:val="0"/>
      <w:marRight w:val="0"/>
      <w:marTop w:val="0"/>
      <w:marBottom w:val="0"/>
      <w:divBdr>
        <w:top w:val="none" w:sz="0" w:space="0" w:color="auto"/>
        <w:left w:val="none" w:sz="0" w:space="0" w:color="auto"/>
        <w:bottom w:val="none" w:sz="0" w:space="0" w:color="auto"/>
        <w:right w:val="none" w:sz="0" w:space="0" w:color="auto"/>
      </w:divBdr>
    </w:div>
    <w:div w:id="805928070">
      <w:bodyDiv w:val="1"/>
      <w:marLeft w:val="0"/>
      <w:marRight w:val="0"/>
      <w:marTop w:val="0"/>
      <w:marBottom w:val="0"/>
      <w:divBdr>
        <w:top w:val="none" w:sz="0" w:space="0" w:color="auto"/>
        <w:left w:val="none" w:sz="0" w:space="0" w:color="auto"/>
        <w:bottom w:val="none" w:sz="0" w:space="0" w:color="auto"/>
        <w:right w:val="none" w:sz="0" w:space="0" w:color="auto"/>
      </w:divBdr>
    </w:div>
    <w:div w:id="829249112">
      <w:bodyDiv w:val="1"/>
      <w:marLeft w:val="0"/>
      <w:marRight w:val="0"/>
      <w:marTop w:val="0"/>
      <w:marBottom w:val="0"/>
      <w:divBdr>
        <w:top w:val="none" w:sz="0" w:space="0" w:color="auto"/>
        <w:left w:val="none" w:sz="0" w:space="0" w:color="auto"/>
        <w:bottom w:val="none" w:sz="0" w:space="0" w:color="auto"/>
        <w:right w:val="none" w:sz="0" w:space="0" w:color="auto"/>
      </w:divBdr>
    </w:div>
    <w:div w:id="1088230726">
      <w:bodyDiv w:val="1"/>
      <w:marLeft w:val="0"/>
      <w:marRight w:val="0"/>
      <w:marTop w:val="0"/>
      <w:marBottom w:val="0"/>
      <w:divBdr>
        <w:top w:val="none" w:sz="0" w:space="0" w:color="auto"/>
        <w:left w:val="none" w:sz="0" w:space="0" w:color="auto"/>
        <w:bottom w:val="none" w:sz="0" w:space="0" w:color="auto"/>
        <w:right w:val="none" w:sz="0" w:space="0" w:color="auto"/>
      </w:divBdr>
    </w:div>
    <w:div w:id="1088231964">
      <w:bodyDiv w:val="1"/>
      <w:marLeft w:val="0"/>
      <w:marRight w:val="0"/>
      <w:marTop w:val="0"/>
      <w:marBottom w:val="0"/>
      <w:divBdr>
        <w:top w:val="none" w:sz="0" w:space="0" w:color="auto"/>
        <w:left w:val="none" w:sz="0" w:space="0" w:color="auto"/>
        <w:bottom w:val="none" w:sz="0" w:space="0" w:color="auto"/>
        <w:right w:val="none" w:sz="0" w:space="0" w:color="auto"/>
      </w:divBdr>
    </w:div>
    <w:div w:id="1250624519">
      <w:bodyDiv w:val="1"/>
      <w:marLeft w:val="0"/>
      <w:marRight w:val="0"/>
      <w:marTop w:val="0"/>
      <w:marBottom w:val="0"/>
      <w:divBdr>
        <w:top w:val="none" w:sz="0" w:space="0" w:color="auto"/>
        <w:left w:val="none" w:sz="0" w:space="0" w:color="auto"/>
        <w:bottom w:val="none" w:sz="0" w:space="0" w:color="auto"/>
        <w:right w:val="none" w:sz="0" w:space="0" w:color="auto"/>
      </w:divBdr>
      <w:divsChild>
        <w:div w:id="510605990">
          <w:marLeft w:val="0"/>
          <w:marRight w:val="0"/>
          <w:marTop w:val="0"/>
          <w:marBottom w:val="0"/>
          <w:divBdr>
            <w:top w:val="none" w:sz="0" w:space="0" w:color="auto"/>
            <w:left w:val="none" w:sz="0" w:space="0" w:color="auto"/>
            <w:bottom w:val="none" w:sz="0" w:space="0" w:color="auto"/>
            <w:right w:val="none" w:sz="0" w:space="0" w:color="auto"/>
          </w:divBdr>
          <w:divsChild>
            <w:div w:id="1554123574">
              <w:marLeft w:val="0"/>
              <w:marRight w:val="0"/>
              <w:marTop w:val="0"/>
              <w:marBottom w:val="0"/>
              <w:divBdr>
                <w:top w:val="none" w:sz="0" w:space="0" w:color="auto"/>
                <w:left w:val="none" w:sz="0" w:space="0" w:color="auto"/>
                <w:bottom w:val="none" w:sz="0" w:space="0" w:color="auto"/>
                <w:right w:val="none" w:sz="0" w:space="0" w:color="auto"/>
              </w:divBdr>
              <w:divsChild>
                <w:div w:id="148407807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1547384">
          <w:marLeft w:val="0"/>
          <w:marRight w:val="0"/>
          <w:marTop w:val="0"/>
          <w:marBottom w:val="0"/>
          <w:divBdr>
            <w:top w:val="none" w:sz="0" w:space="0" w:color="auto"/>
            <w:left w:val="none" w:sz="0" w:space="0" w:color="auto"/>
            <w:bottom w:val="none" w:sz="0" w:space="0" w:color="auto"/>
            <w:right w:val="none" w:sz="0" w:space="0" w:color="auto"/>
          </w:divBdr>
          <w:divsChild>
            <w:div w:id="2069456662">
              <w:marLeft w:val="0"/>
              <w:marRight w:val="0"/>
              <w:marTop w:val="0"/>
              <w:marBottom w:val="0"/>
              <w:divBdr>
                <w:top w:val="none" w:sz="0" w:space="0" w:color="auto"/>
                <w:left w:val="none" w:sz="0" w:space="0" w:color="auto"/>
                <w:bottom w:val="none" w:sz="0" w:space="0" w:color="auto"/>
                <w:right w:val="none" w:sz="0" w:space="0" w:color="auto"/>
              </w:divBdr>
              <w:divsChild>
                <w:div w:id="37316165">
                  <w:marLeft w:val="0"/>
                  <w:marRight w:val="0"/>
                  <w:marTop w:val="0"/>
                  <w:marBottom w:val="0"/>
                  <w:divBdr>
                    <w:top w:val="none" w:sz="0" w:space="0" w:color="auto"/>
                    <w:left w:val="none" w:sz="0" w:space="0" w:color="auto"/>
                    <w:bottom w:val="none" w:sz="0" w:space="0" w:color="auto"/>
                    <w:right w:val="none" w:sz="0" w:space="0" w:color="auto"/>
                  </w:divBdr>
                  <w:divsChild>
                    <w:div w:id="1413888047">
                      <w:marLeft w:val="0"/>
                      <w:marRight w:val="0"/>
                      <w:marTop w:val="0"/>
                      <w:marBottom w:val="0"/>
                      <w:divBdr>
                        <w:top w:val="none" w:sz="0" w:space="0" w:color="auto"/>
                        <w:left w:val="none" w:sz="0" w:space="0" w:color="auto"/>
                        <w:bottom w:val="none" w:sz="0" w:space="0" w:color="auto"/>
                        <w:right w:val="none" w:sz="0" w:space="0" w:color="auto"/>
                      </w:divBdr>
                      <w:divsChild>
                        <w:div w:id="2038853215">
                          <w:marLeft w:val="0"/>
                          <w:marRight w:val="0"/>
                          <w:marTop w:val="0"/>
                          <w:marBottom w:val="0"/>
                          <w:divBdr>
                            <w:top w:val="none" w:sz="0" w:space="0" w:color="auto"/>
                            <w:left w:val="none" w:sz="0" w:space="0" w:color="auto"/>
                            <w:bottom w:val="none" w:sz="0" w:space="0" w:color="auto"/>
                            <w:right w:val="none" w:sz="0" w:space="0" w:color="auto"/>
                          </w:divBdr>
                          <w:divsChild>
                            <w:div w:id="29918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264862">
      <w:bodyDiv w:val="1"/>
      <w:marLeft w:val="0"/>
      <w:marRight w:val="0"/>
      <w:marTop w:val="0"/>
      <w:marBottom w:val="0"/>
      <w:divBdr>
        <w:top w:val="none" w:sz="0" w:space="0" w:color="auto"/>
        <w:left w:val="none" w:sz="0" w:space="0" w:color="auto"/>
        <w:bottom w:val="none" w:sz="0" w:space="0" w:color="auto"/>
        <w:right w:val="none" w:sz="0" w:space="0" w:color="auto"/>
      </w:divBdr>
    </w:div>
    <w:div w:id="1818647870">
      <w:bodyDiv w:val="1"/>
      <w:marLeft w:val="0"/>
      <w:marRight w:val="0"/>
      <w:marTop w:val="0"/>
      <w:marBottom w:val="0"/>
      <w:divBdr>
        <w:top w:val="none" w:sz="0" w:space="0" w:color="auto"/>
        <w:left w:val="none" w:sz="0" w:space="0" w:color="auto"/>
        <w:bottom w:val="none" w:sz="0" w:space="0" w:color="auto"/>
        <w:right w:val="none" w:sz="0" w:space="0" w:color="auto"/>
      </w:divBdr>
    </w:div>
    <w:div w:id="1844735765">
      <w:bodyDiv w:val="1"/>
      <w:marLeft w:val="0"/>
      <w:marRight w:val="0"/>
      <w:marTop w:val="0"/>
      <w:marBottom w:val="0"/>
      <w:divBdr>
        <w:top w:val="none" w:sz="0" w:space="0" w:color="auto"/>
        <w:left w:val="none" w:sz="0" w:space="0" w:color="auto"/>
        <w:bottom w:val="none" w:sz="0" w:space="0" w:color="auto"/>
        <w:right w:val="none" w:sz="0" w:space="0" w:color="auto"/>
      </w:divBdr>
    </w:div>
    <w:div w:id="2081440772">
      <w:bodyDiv w:val="1"/>
      <w:marLeft w:val="0"/>
      <w:marRight w:val="0"/>
      <w:marTop w:val="0"/>
      <w:marBottom w:val="0"/>
      <w:divBdr>
        <w:top w:val="none" w:sz="0" w:space="0" w:color="auto"/>
        <w:left w:val="none" w:sz="0" w:space="0" w:color="auto"/>
        <w:bottom w:val="none" w:sz="0" w:space="0" w:color="auto"/>
        <w:right w:val="none" w:sz="0" w:space="0" w:color="auto"/>
      </w:divBdr>
    </w:div>
    <w:div w:id="214087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upporting-disabled-people" TargetMode="External"/><Relationship Id="rId13" Type="http://schemas.openxmlformats.org/officeDocument/2006/relationships/hyperlink" Target="https://awhsolicitors.co.uk/articles/employment/proving-constructive-dismissal/" TargetMode="External"/><Relationship Id="rId18" Type="http://schemas.openxmlformats.org/officeDocument/2006/relationships/hyperlink" Target="https://www.cipd.org/uk/knowledge/employment-law/disability-discrimination/" TargetMode="External"/><Relationship Id="rId26" Type="http://schemas.openxmlformats.org/officeDocument/2006/relationships/hyperlink" Target="https://www.legislation.gov.uk/uksi/2013/1237/schedule/1/made" TargetMode="External"/><Relationship Id="rId3" Type="http://schemas.openxmlformats.org/officeDocument/2006/relationships/settings" Target="settings.xml"/><Relationship Id="rId21" Type="http://schemas.openxmlformats.org/officeDocument/2006/relationships/hyperlink" Target="https://www.equalityhumanrights.com/equality/equality-act-2010/your-rights-under-equality-act-2010/disability-discrimination" TargetMode="External"/><Relationship Id="rId34" Type="http://schemas.openxmlformats.org/officeDocument/2006/relationships/header" Target="header1.xml"/><Relationship Id="rId7" Type="http://schemas.openxmlformats.org/officeDocument/2006/relationships/hyperlink" Target="https://www.acas.org.uk/sites/default/files/2021-03/settlement-agreements.pdf" TargetMode="External"/><Relationship Id="rId12" Type="http://schemas.openxmlformats.org/officeDocument/2006/relationships/hyperlink" Target="https://www.acas.org.uk/manage-staff-redundancies" TargetMode="External"/><Relationship Id="rId17" Type="http://schemas.openxmlformats.org/officeDocument/2006/relationships/hyperlink" Target="https://www.cipd.org/uk/knowledge/employment-law/redundancy/" TargetMode="External"/><Relationship Id="rId25" Type="http://schemas.openxmlformats.org/officeDocument/2006/relationships/hyperlink" Target="https://www.legislation.gov.uk/uksi/2024/213/article/3/made?trk=article-ssr-frontend-pulse_little-text-block" TargetMode="External"/><Relationship Id="rId33" Type="http://schemas.openxmlformats.org/officeDocument/2006/relationships/hyperlink" Target="https://hrcentre.uk.brightmine.com/employment-law-cases/disability-ecj-guidance-on-reduction-in-working-hours-as-an-adjustment-for-disabled-workers/151812/" TargetMode="External"/><Relationship Id="rId2" Type="http://schemas.openxmlformats.org/officeDocument/2006/relationships/styles" Target="styles.xml"/><Relationship Id="rId16" Type="http://schemas.openxmlformats.org/officeDocument/2006/relationships/hyperlink" Target="https://www.cipd.org/uk/knowledge/employment-law/tribunals/" TargetMode="External"/><Relationship Id="rId20" Type="http://schemas.openxmlformats.org/officeDocument/2006/relationships/hyperlink" Target="https://www.gov.uk/government/publications/the-equality-act-2010-amendment-regulations-2023" TargetMode="External"/><Relationship Id="rId29" Type="http://schemas.openxmlformats.org/officeDocument/2006/relationships/hyperlink" Target="https://www.peoplemanagement.co.uk/article/1795415/whats-latest-disability-discrimination-tribunal-ca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your-rights-during-redundancy" TargetMode="External"/><Relationship Id="rId24" Type="http://schemas.openxmlformats.org/officeDocument/2006/relationships/hyperlink" Target="https://www.gov.uk/government/publications/responding-to-a-claim-to-an-employment-tribunal-details-of-a-hearing-to-be-sent-t423" TargetMode="External"/><Relationship Id="rId32" Type="http://schemas.openxmlformats.org/officeDocument/2006/relationships/hyperlink" Target="https://www.gov.uk/redundancy-your-rights" TargetMode="External"/><Relationship Id="rId5" Type="http://schemas.openxmlformats.org/officeDocument/2006/relationships/footnotes" Target="footnotes.xml"/><Relationship Id="rId15" Type="http://schemas.openxmlformats.org/officeDocument/2006/relationships/hyperlink" Target="https://factorialhr.co.uk/blog/constructive-dismissal/" TargetMode="External"/><Relationship Id="rId23" Type="http://schemas.openxmlformats.org/officeDocument/2006/relationships/hyperlink" Target="https://www.gov.uk/guidance/equality-act-2010-guidance" TargetMode="External"/><Relationship Id="rId28" Type="http://schemas.openxmlformats.org/officeDocument/2006/relationships/hyperlink" Target="https://www.davidsonmorris.com/failure-to-make-reasonable-adjustments/" TargetMode="External"/><Relationship Id="rId36" Type="http://schemas.openxmlformats.org/officeDocument/2006/relationships/theme" Target="theme/theme1.xml"/><Relationship Id="rId10" Type="http://schemas.openxmlformats.org/officeDocument/2006/relationships/hyperlink" Target="https://www.acas.org.uk/what-disability-means-by-law" TargetMode="External"/><Relationship Id="rId19" Type="http://schemas.openxmlformats.org/officeDocument/2006/relationships/hyperlink" Target="https://www.cipd.org/uk/knowledge/employment-law/statutory-rates/" TargetMode="External"/><Relationship Id="rId31" Type="http://schemas.openxmlformats.org/officeDocument/2006/relationships/hyperlink" Target="https://www.thompsons.law/support/legal-guides/a-guide-to-negotiating-a-settlement-agreement" TargetMode="External"/><Relationship Id="rId4" Type="http://schemas.openxmlformats.org/officeDocument/2006/relationships/webSettings" Target="webSettings.xml"/><Relationship Id="rId9" Type="http://schemas.openxmlformats.org/officeDocument/2006/relationships/hyperlink" Target="https://www.acas.org.uk/supporting-disabled-people/capability-and-performance-when-someone-is-disabled" TargetMode="External"/><Relationship Id="rId14" Type="http://schemas.openxmlformats.org/officeDocument/2006/relationships/hyperlink" Target="https://www.cipd.org/uk/knowledge/factsheets/tribunals-factsheet/" TargetMode="External"/><Relationship Id="rId22" Type="http://schemas.openxmlformats.org/officeDocument/2006/relationships/hyperlink" Target="https://www.equalityhumanrights.com/sites/default/files/employercode.pdf" TargetMode="External"/><Relationship Id="rId27" Type="http://schemas.openxmlformats.org/officeDocument/2006/relationships/hyperlink" Target="https://www.mind.org.uk/information-support/legal-rights/disability-discrimination/reasonable-adjustments/" TargetMode="External"/><Relationship Id="rId30" Type="http://schemas.openxmlformats.org/officeDocument/2006/relationships/hyperlink" Target="https://www.clarionsolicitors.com/articles/constructive-dismissal-lack-of-support-can-be-a-breach-of-contrac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12</Pages>
  <Words>4091</Words>
  <Characters>23320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131</cp:revision>
  <dcterms:created xsi:type="dcterms:W3CDTF">2024-02-20T14:32:00Z</dcterms:created>
  <dcterms:modified xsi:type="dcterms:W3CDTF">2024-05-07T14:00:00Z</dcterms:modified>
</cp:coreProperties>
</file>