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1760D" w14:textId="01757F45" w:rsidR="002A1D40" w:rsidRDefault="00BC68DC"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Pr>
          <w:rFonts w:ascii="Times New Roman" w:eastAsia="Times New Roman" w:hAnsi="Times New Roman" w:cs="Times New Roman"/>
          <w:b/>
          <w:bCs/>
          <w:color w:val="000000"/>
          <w:kern w:val="0"/>
          <w:sz w:val="22"/>
          <w:szCs w:val="22"/>
          <w14:ligatures w14:val="none"/>
        </w:rPr>
        <w:t xml:space="preserve">Student Name: Kiran Begum </w:t>
      </w:r>
    </w:p>
    <w:p w14:paraId="01E08C1B" w14:textId="5A5769A2" w:rsidR="00BC68DC" w:rsidRDefault="00BC68DC"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Pr>
          <w:rFonts w:ascii="Times New Roman" w:eastAsia="Times New Roman" w:hAnsi="Times New Roman" w:cs="Times New Roman"/>
          <w:b/>
          <w:bCs/>
          <w:color w:val="000000"/>
          <w:kern w:val="0"/>
          <w:sz w:val="22"/>
          <w:szCs w:val="22"/>
          <w14:ligatures w14:val="none"/>
        </w:rPr>
        <w:t>Student ID Number</w:t>
      </w:r>
      <w:r w:rsidR="00E41459">
        <w:rPr>
          <w:rFonts w:ascii="Times New Roman" w:eastAsia="Times New Roman" w:hAnsi="Times New Roman" w:cs="Times New Roman"/>
          <w:b/>
          <w:bCs/>
          <w:color w:val="000000"/>
          <w:kern w:val="0"/>
          <w:sz w:val="22"/>
          <w:szCs w:val="22"/>
          <w14:ligatures w14:val="none"/>
        </w:rPr>
        <w:t>:</w:t>
      </w:r>
    </w:p>
    <w:p w14:paraId="5324A73E" w14:textId="4976CA55" w:rsidR="00EE24BC" w:rsidRDefault="00EE24BC"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Pr>
          <w:rFonts w:ascii="Times New Roman" w:eastAsia="Times New Roman" w:hAnsi="Times New Roman" w:cs="Times New Roman"/>
          <w:b/>
          <w:bCs/>
          <w:color w:val="000000"/>
          <w:kern w:val="0"/>
          <w:sz w:val="22"/>
          <w:szCs w:val="22"/>
          <w14:ligatures w14:val="none"/>
        </w:rPr>
        <w:t xml:space="preserve">Programme: </w:t>
      </w:r>
      <w:r w:rsidR="00D01CBE">
        <w:rPr>
          <w:rFonts w:ascii="Times New Roman" w:eastAsia="Times New Roman" w:hAnsi="Times New Roman" w:cs="Times New Roman"/>
          <w:b/>
          <w:bCs/>
          <w:color w:val="000000"/>
          <w:kern w:val="0"/>
          <w:sz w:val="22"/>
          <w:szCs w:val="22"/>
          <w14:ligatures w14:val="none"/>
        </w:rPr>
        <w:t xml:space="preserve">BA (Hons) Business Management </w:t>
      </w:r>
    </w:p>
    <w:p w14:paraId="68B827F1" w14:textId="67364A49" w:rsidR="00BC68DC" w:rsidRDefault="00BC68DC"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Pr>
          <w:rFonts w:ascii="Times New Roman" w:eastAsia="Times New Roman" w:hAnsi="Times New Roman" w:cs="Times New Roman"/>
          <w:b/>
          <w:bCs/>
          <w:color w:val="000000"/>
          <w:kern w:val="0"/>
          <w:sz w:val="22"/>
          <w:szCs w:val="22"/>
          <w14:ligatures w14:val="none"/>
        </w:rPr>
        <w:t>Module</w:t>
      </w:r>
      <w:r w:rsidR="00E41459">
        <w:rPr>
          <w:rFonts w:ascii="Times New Roman" w:eastAsia="Times New Roman" w:hAnsi="Times New Roman" w:cs="Times New Roman"/>
          <w:b/>
          <w:bCs/>
          <w:color w:val="000000"/>
          <w:kern w:val="0"/>
          <w:sz w:val="22"/>
          <w:szCs w:val="22"/>
          <w14:ligatures w14:val="none"/>
        </w:rPr>
        <w:t>:</w:t>
      </w:r>
      <w:r w:rsidR="00EE24BC">
        <w:rPr>
          <w:rFonts w:ascii="Times New Roman" w:eastAsia="Times New Roman" w:hAnsi="Times New Roman" w:cs="Times New Roman"/>
          <w:b/>
          <w:bCs/>
          <w:color w:val="000000"/>
          <w:kern w:val="0"/>
          <w:sz w:val="22"/>
          <w:szCs w:val="22"/>
          <w14:ligatures w14:val="none"/>
        </w:rPr>
        <w:t xml:space="preserve"> Global Business Environment </w:t>
      </w:r>
    </w:p>
    <w:p w14:paraId="15CF8D84" w14:textId="0CB79A55" w:rsidR="00E41459" w:rsidRDefault="00E41459"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Pr>
          <w:rFonts w:ascii="Times New Roman" w:eastAsia="Times New Roman" w:hAnsi="Times New Roman" w:cs="Times New Roman"/>
          <w:b/>
          <w:bCs/>
          <w:color w:val="000000"/>
          <w:kern w:val="0"/>
          <w:sz w:val="22"/>
          <w:szCs w:val="22"/>
          <w14:ligatures w14:val="none"/>
        </w:rPr>
        <w:t>Module Code: LCBB4016</w:t>
      </w:r>
    </w:p>
    <w:p w14:paraId="3111E9E9" w14:textId="77777777" w:rsidR="002A1D40" w:rsidRDefault="002A1D40"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p>
    <w:p w14:paraId="265971BE" w14:textId="5D627842" w:rsidR="002A1D40" w:rsidRDefault="00F91CCC"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sidRPr="00F91CCC">
        <w:rPr>
          <w:rFonts w:ascii="Times New Roman" w:eastAsia="Times New Roman" w:hAnsi="Times New Roman" w:cs="Times New Roman"/>
          <w:b/>
          <w:bCs/>
          <w:color w:val="000000"/>
          <w:kern w:val="0"/>
          <w:sz w:val="22"/>
          <w:szCs w:val="22"/>
          <w14:ligatures w14:val="none"/>
        </w:rPr>
        <w:t>Global Forces and Their Impact on Unilever’s International Strategy and Operations</w:t>
      </w:r>
    </w:p>
    <w:p w14:paraId="39584363" w14:textId="17475375" w:rsidR="007F060D" w:rsidRPr="007F060D" w:rsidRDefault="007F060D"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Introduction</w:t>
      </w:r>
    </w:p>
    <w:p w14:paraId="0A1E0A67"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Globalisation describes the increasing integration of markets, economies and societies through trade, technology and investment flows. It shapes how multinational enterprises (MNEs) coordinate operations, compete internationally and adapt to global trends (Gereffi, 2018). Although recent global events have exposed vulnerabilities in global systems, globalisation remains a major driver of international business strategy.</w:t>
      </w:r>
    </w:p>
    <w:p w14:paraId="3D81D84D" w14:textId="3EAD8401"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This essay examines how contemporary global forces</w:t>
      </w:r>
      <w:r w:rsidR="00D43D92">
        <w:rPr>
          <w:rFonts w:ascii="Times New Roman" w:hAnsi="Times New Roman" w:cs="Times New Roman"/>
          <w:color w:val="000000"/>
          <w:kern w:val="0"/>
          <w:sz w:val="22"/>
          <w:szCs w:val="22"/>
          <w14:ligatures w14:val="none"/>
        </w:rPr>
        <w:t xml:space="preserve"> </w:t>
      </w:r>
      <w:r w:rsidRPr="007F060D">
        <w:rPr>
          <w:rFonts w:ascii="Times New Roman" w:hAnsi="Times New Roman" w:cs="Times New Roman"/>
          <w:color w:val="000000"/>
          <w:kern w:val="0"/>
          <w:sz w:val="22"/>
          <w:szCs w:val="22"/>
          <w14:ligatures w14:val="none"/>
        </w:rPr>
        <w:t>rapid artificial intelligence (AI) adoption, geopolitical supply chain disruptions and rising sustainability demands</w:t>
      </w:r>
      <w:r w:rsidR="00D43D92">
        <w:rPr>
          <w:rFonts w:ascii="Times New Roman" w:hAnsi="Times New Roman" w:cs="Times New Roman"/>
          <w:color w:val="000000"/>
          <w:kern w:val="0"/>
          <w:sz w:val="22"/>
          <w:szCs w:val="22"/>
          <w14:ligatures w14:val="none"/>
        </w:rPr>
        <w:t xml:space="preserve"> </w:t>
      </w:r>
      <w:r w:rsidRPr="007F060D">
        <w:rPr>
          <w:rFonts w:ascii="Times New Roman" w:hAnsi="Times New Roman" w:cs="Times New Roman"/>
          <w:color w:val="000000"/>
          <w:kern w:val="0"/>
          <w:sz w:val="22"/>
          <w:szCs w:val="22"/>
          <w14:ligatures w14:val="none"/>
        </w:rPr>
        <w:t>affect </w:t>
      </w:r>
      <w:r w:rsidRPr="007F060D">
        <w:rPr>
          <w:rFonts w:ascii="Times New Roman" w:hAnsi="Times New Roman" w:cs="Times New Roman"/>
          <w:b/>
          <w:bCs/>
          <w:color w:val="000000"/>
          <w:kern w:val="0"/>
          <w:sz w:val="22"/>
          <w:szCs w:val="22"/>
          <w14:ligatures w14:val="none"/>
        </w:rPr>
        <w:t>Unilever</w:t>
      </w:r>
      <w:r w:rsidRPr="007F060D">
        <w:rPr>
          <w:rFonts w:ascii="Times New Roman" w:hAnsi="Times New Roman" w:cs="Times New Roman"/>
          <w:color w:val="000000"/>
          <w:kern w:val="0"/>
          <w:sz w:val="22"/>
          <w:szCs w:val="22"/>
          <w14:ligatures w14:val="none"/>
        </w:rPr>
        <w:t>, a UK-based multinational consumer goods company operating in more than 190 countries. The purpose of this essay is to critically analyse the opportunities and challenges these global forces create for Unilever and evaluate their impact on the organisation’s strategy, innovation, operations and competitiveness. Finally, practical recommendations will be presented to support Unilever’s long-term success in the global market.</w:t>
      </w:r>
    </w:p>
    <w:p w14:paraId="3953D55E" w14:textId="65FF915F" w:rsidR="007F060D" w:rsidRPr="007F060D" w:rsidRDefault="007F060D" w:rsidP="007F060D">
      <w:pPr>
        <w:spacing w:after="0" w:line="240" w:lineRule="auto"/>
        <w:rPr>
          <w:rFonts w:ascii="Times New Roman" w:eastAsia="Times New Roman" w:hAnsi="Times New Roman" w:cs="Times New Roman"/>
          <w:kern w:val="0"/>
          <w:sz w:val="22"/>
          <w:szCs w:val="22"/>
          <w14:ligatures w14:val="none"/>
        </w:rPr>
      </w:pPr>
    </w:p>
    <w:p w14:paraId="602D575B" w14:textId="77777777" w:rsidR="007F060D" w:rsidRPr="007F060D" w:rsidRDefault="007F060D"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Opportunities and Challenges Created by Global Forces</w:t>
      </w:r>
    </w:p>
    <w:p w14:paraId="467D2097"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1. Artificial Intelligence (AI)</w:t>
      </w:r>
    </w:p>
    <w:p w14:paraId="49581539"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AI adoption presents several significant opportunities for Unilever. One of the most important benefits is improved supply chain optimisation. AI can enhance forecasting accuracy, reduce waste and support data-driven decision-making (Choi, Wallace and Wang, 2018). Unilever’s operations rely on large-scale, complex supply chains, and the company has already integrated AI into factory optimisation and demand prediction, achieving cost savings and efficiency improvements (Unilever, 2023).</w:t>
      </w:r>
    </w:p>
    <w:p w14:paraId="533319C7"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AI also enhances consumer insight and marketing capabilities. AI-driven analytics support real-time segmentation and personalised advertising, enabling consumer goods firms to respond more effectively to customer preferences (Davenport and Ronanki, 2018). For brands such as Dove and Ben &amp; Jerry’s, this increases the ability to tailor campaigns to regional markets, strengthening brand loyalty.</w:t>
      </w:r>
    </w:p>
    <w:p w14:paraId="6A70BA9C"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 xml:space="preserve">However, AI also creates challenges. Ethical concerns, data privacy issues and potential algorithmic bias require strong governance systems (Brkan and Bonnet, 2020). Unilever operates across diverse regulatory environments, meaning compliance with data protection laws such as GDPR is essential. </w:t>
      </w:r>
      <w:r w:rsidRPr="007F060D">
        <w:rPr>
          <w:rFonts w:ascii="Times New Roman" w:hAnsi="Times New Roman" w:cs="Times New Roman"/>
          <w:color w:val="000000"/>
          <w:kern w:val="0"/>
          <w:sz w:val="22"/>
          <w:szCs w:val="22"/>
          <w14:ligatures w14:val="none"/>
        </w:rPr>
        <w:lastRenderedPageBreak/>
        <w:t>Additionally, the global shortage of digital and AI talent intensifies competition for skilled workers (World Economic Forum, 2023), challenging Unilever’s ability to scale AI initiatives.</w:t>
      </w:r>
    </w:p>
    <w:p w14:paraId="01B3F247" w14:textId="63AE5CCE" w:rsidR="007F060D" w:rsidRPr="007F060D" w:rsidRDefault="007F060D" w:rsidP="007F060D">
      <w:pPr>
        <w:spacing w:after="0" w:line="240" w:lineRule="auto"/>
        <w:rPr>
          <w:rFonts w:ascii="Times New Roman" w:eastAsia="Times New Roman" w:hAnsi="Times New Roman" w:cs="Times New Roman"/>
          <w:kern w:val="0"/>
          <w:sz w:val="22"/>
          <w:szCs w:val="22"/>
          <w14:ligatures w14:val="none"/>
        </w:rPr>
      </w:pPr>
    </w:p>
    <w:p w14:paraId="6F624E14"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2. Geopolitical Tensions and Supply Chain Disruptions</w:t>
      </w:r>
    </w:p>
    <w:p w14:paraId="295A4FA1" w14:textId="5A9056A8"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Recent global events such as Red Sea shipping disruptions, rising US</w:t>
      </w:r>
      <w:r w:rsidR="00C03586">
        <w:rPr>
          <w:rFonts w:ascii="Times New Roman" w:hAnsi="Times New Roman" w:cs="Times New Roman"/>
          <w:color w:val="000000"/>
          <w:kern w:val="0"/>
          <w:sz w:val="22"/>
          <w:szCs w:val="22"/>
          <w14:ligatures w14:val="none"/>
        </w:rPr>
        <w:t>/</w:t>
      </w:r>
      <w:r w:rsidRPr="007F060D">
        <w:rPr>
          <w:rFonts w:ascii="Times New Roman" w:hAnsi="Times New Roman" w:cs="Times New Roman"/>
          <w:color w:val="000000"/>
          <w:kern w:val="0"/>
          <w:sz w:val="22"/>
          <w:szCs w:val="22"/>
          <w14:ligatures w14:val="none"/>
        </w:rPr>
        <w:t>China tensions and uncertainties concerning China</w:t>
      </w:r>
      <w:r w:rsidR="00C03586">
        <w:rPr>
          <w:rFonts w:ascii="Times New Roman" w:hAnsi="Times New Roman" w:cs="Times New Roman"/>
          <w:color w:val="000000"/>
          <w:kern w:val="0"/>
          <w:sz w:val="22"/>
          <w:szCs w:val="22"/>
          <w14:ligatures w14:val="none"/>
        </w:rPr>
        <w:t>/</w:t>
      </w:r>
      <w:r w:rsidRPr="007F060D">
        <w:rPr>
          <w:rFonts w:ascii="Times New Roman" w:hAnsi="Times New Roman" w:cs="Times New Roman"/>
          <w:color w:val="000000"/>
          <w:kern w:val="0"/>
          <w:sz w:val="22"/>
          <w:szCs w:val="22"/>
          <w14:ligatures w14:val="none"/>
        </w:rPr>
        <w:t>Taiwan have significantly affected global trade routes and supply chain reliability.</w:t>
      </w:r>
    </w:p>
    <w:p w14:paraId="08AD8F5C"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These geopolitical conditions offer some opportunities. Companies are increasingly diversifying sourcing and manufacturing locations, creating more resilient value chains (Kilpatrick, 2021). Unilever has begun shifting towards regionalised supply chains, which can reduce dependence on any one country and allow the company to respond more quickly to disruptions.</w:t>
      </w:r>
    </w:p>
    <w:p w14:paraId="056174EC"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Nearshoring and regionalisation can also support sustainability priorities by shortening transport distances and reducing emissions (Srai and Harrington, 2021). This aligns with Unilever’s broader sustainability strategy.</w:t>
      </w:r>
    </w:p>
    <w:p w14:paraId="06CF3391"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Nevertheless, the challenges are considerable. Red Sea disruptions have increased shipping times, insurance costs and logistical complexity across global markets. This directly affects Unilever’s ability to supply fast-moving consumer goods efficiently, particularly in Africa, the Middle East and Asia. Geopolitical tensions also threaten global semiconductor supply chains. As Unilever increases automation through digital manufacturing and AI, semiconductor shortages could delay technology upgrades or disrupt production.</w:t>
      </w:r>
    </w:p>
    <w:p w14:paraId="55F9ED22" w14:textId="66F9A1E8" w:rsidR="007F060D" w:rsidRPr="007F060D" w:rsidRDefault="007F060D" w:rsidP="007F060D">
      <w:pPr>
        <w:spacing w:after="0" w:line="240" w:lineRule="auto"/>
        <w:rPr>
          <w:rFonts w:ascii="Times New Roman" w:eastAsia="Times New Roman" w:hAnsi="Times New Roman" w:cs="Times New Roman"/>
          <w:kern w:val="0"/>
          <w:sz w:val="22"/>
          <w:szCs w:val="22"/>
          <w14:ligatures w14:val="none"/>
        </w:rPr>
      </w:pPr>
    </w:p>
    <w:p w14:paraId="700B18AD"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3. Sustainability Demands and the EU CSRD</w:t>
      </w:r>
    </w:p>
    <w:p w14:paraId="74BE9131"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The EU Corporate Sustainability Reporting Directive (CSRD) introduces stringent requirements for environmental, social and governance (ESG) disclosures for large companies operating in the EU. This regulatory force creates both opportunities and challenges for Unilever.</w:t>
      </w:r>
    </w:p>
    <w:p w14:paraId="4DD4F7AA"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In terms of opportunities, strong sustainability performance differentiates companies in competitive markets. Evidence shows that transparent sustainability reporting enhances corporate reputation and builds consumer trust (Hah and Freeman, 2014). Because Unilever has historically invested in sustainability programmes, it is well positioned to meet many of the new CSRD requirements and potentially outperform competitors.</w:t>
      </w:r>
    </w:p>
    <w:p w14:paraId="7E2E2020"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In addition, comprehensive ESG data increases investor confidence by reducing concerns about greenwashing and improving accountability (Kolk, 2021). This may support Unilever’s attractiveness to global investors.</w:t>
      </w:r>
    </w:p>
    <w:p w14:paraId="4A9376FE"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However, compliance with CSRD presents significant challenges. The directive requires detailed environmental and social metrics, which are difficult to collect across complex global supply chains (EY, 2023). Unilever’s wide supplier network increases administrative cost and reporting complexity. Moreover, stronger sustainability reporting may expose areas where Unilever continues to face criticism, such as its dependence on plastic packaging.</w:t>
      </w:r>
    </w:p>
    <w:p w14:paraId="1648C26C" w14:textId="11C524CA" w:rsidR="007F060D" w:rsidRPr="007F060D" w:rsidRDefault="007F060D" w:rsidP="007F060D">
      <w:pPr>
        <w:spacing w:after="0" w:line="240" w:lineRule="auto"/>
        <w:rPr>
          <w:rFonts w:ascii="Times New Roman" w:eastAsia="Times New Roman" w:hAnsi="Times New Roman" w:cs="Times New Roman"/>
          <w:kern w:val="0"/>
          <w:sz w:val="22"/>
          <w:szCs w:val="22"/>
          <w14:ligatures w14:val="none"/>
        </w:rPr>
      </w:pPr>
    </w:p>
    <w:p w14:paraId="00575C0A" w14:textId="77777777" w:rsidR="007F060D" w:rsidRPr="007F060D" w:rsidRDefault="007F060D"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Impact of Global Forces on Unilever’s Strategy and Competitiveness</w:t>
      </w:r>
    </w:p>
    <w:p w14:paraId="3272A4F4"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lastRenderedPageBreak/>
        <w:t>Market Positioning</w:t>
      </w:r>
    </w:p>
    <w:p w14:paraId="732EFCC1"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AI adoption supports Unilever’s premium market positioning by enabling personalised marketing and data-driven strategies that enhance consumer engagement. Sustainability regulations also strengthen Unilever’s image as an ethical company. Yet geopolitical disruptions threaten product availability and cost competitiveness in emerging markets, where affordability and supply stability are critical.</w:t>
      </w:r>
    </w:p>
    <w:p w14:paraId="6CA377B7"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Innovation Strategy</w:t>
      </w:r>
    </w:p>
    <w:p w14:paraId="56348E35"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AI accelerates product development. For instance, AI-based R&amp;D tools help companies test product formulations more efficiently (Ghosh, 2022). This allows Unilever to respond quickly to changing consumer preferences globally. However, disruptions in global supply chains could delay access to key ingredients or digital technologies, slowing innovation progress.</w:t>
      </w:r>
    </w:p>
    <w:p w14:paraId="3940624B"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Talent Management</w:t>
      </w:r>
    </w:p>
    <w:p w14:paraId="7607A552"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AI and sustainability transformations require specialised skills, such as data analytics, digital engineering and ESG reporting expertise. Research predicts significant shortages in these areas (Deloitte, 2023). Unilever must therefore enhance global talent development and retention efforts to maintain its competitive advantage.</w:t>
      </w:r>
    </w:p>
    <w:p w14:paraId="1E5E1EF8"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Overall Competitiveness</w:t>
      </w:r>
    </w:p>
    <w:p w14:paraId="1BD6E464"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The combined effects of AI, geopolitical tensions and sustainability regulations create a mixed impact. While technology adoption and sustainability leadership strengthen long-term competitiveness, short-term pressures—such as compliance costs and supply chain risks—may affect profitability. Managing these trade-offs effectively is essential for Unilever’s future success.</w:t>
      </w:r>
    </w:p>
    <w:p w14:paraId="1E049112" w14:textId="53211540" w:rsidR="007F060D" w:rsidRPr="007F060D" w:rsidRDefault="007F060D" w:rsidP="007F060D">
      <w:pPr>
        <w:spacing w:after="0" w:line="240" w:lineRule="auto"/>
        <w:rPr>
          <w:rFonts w:ascii="Times New Roman" w:eastAsia="Times New Roman" w:hAnsi="Times New Roman" w:cs="Times New Roman"/>
          <w:kern w:val="0"/>
          <w:sz w:val="22"/>
          <w:szCs w:val="22"/>
          <w14:ligatures w14:val="none"/>
        </w:rPr>
      </w:pPr>
    </w:p>
    <w:p w14:paraId="303E109E" w14:textId="77777777" w:rsidR="007F060D" w:rsidRPr="007F060D" w:rsidRDefault="007F060D"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Strategic Recommendations</w:t>
      </w:r>
    </w:p>
    <w:p w14:paraId="58105643"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1. Strengthen Supply Chain Resilience Using Regionalisation and Digital Twins</w:t>
      </w:r>
    </w:p>
    <w:p w14:paraId="05CA3284" w14:textId="4B2A78E5"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Unilever should expand its regionalisation strategy to mitigate geopolitical risks. In addition, implementing digital twin technologies</w:t>
      </w:r>
      <w:r w:rsidR="00C03586">
        <w:rPr>
          <w:rFonts w:ascii="Times New Roman" w:hAnsi="Times New Roman" w:cs="Times New Roman"/>
          <w:color w:val="000000"/>
          <w:kern w:val="0"/>
          <w:sz w:val="22"/>
          <w:szCs w:val="22"/>
          <w14:ligatures w14:val="none"/>
        </w:rPr>
        <w:t xml:space="preserve"> </w:t>
      </w:r>
      <w:r w:rsidRPr="007F060D">
        <w:rPr>
          <w:rFonts w:ascii="Times New Roman" w:hAnsi="Times New Roman" w:cs="Times New Roman"/>
          <w:color w:val="000000"/>
          <w:kern w:val="0"/>
          <w:sz w:val="22"/>
          <w:szCs w:val="22"/>
          <w14:ligatures w14:val="none"/>
        </w:rPr>
        <w:t>virtual replicas of supply chains</w:t>
      </w:r>
      <w:r w:rsidR="00C03586">
        <w:rPr>
          <w:rFonts w:ascii="Times New Roman" w:hAnsi="Times New Roman" w:cs="Times New Roman"/>
          <w:color w:val="000000"/>
          <w:kern w:val="0"/>
          <w:sz w:val="22"/>
          <w:szCs w:val="22"/>
          <w14:ligatures w14:val="none"/>
        </w:rPr>
        <w:t xml:space="preserve"> </w:t>
      </w:r>
      <w:r w:rsidRPr="007F060D">
        <w:rPr>
          <w:rFonts w:ascii="Times New Roman" w:hAnsi="Times New Roman" w:cs="Times New Roman"/>
          <w:color w:val="000000"/>
          <w:kern w:val="0"/>
          <w:sz w:val="22"/>
          <w:szCs w:val="22"/>
          <w14:ligatures w14:val="none"/>
        </w:rPr>
        <w:t>can enhance scenario planning, forecasting and disruption management. Digital twins have been shown to significantly improve supply chain resilience (Ivanov and Dolgui, 2021).</w:t>
      </w:r>
    </w:p>
    <w:p w14:paraId="3900B431"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2. Increase AI Investment with Strong Ethical Governance</w:t>
      </w:r>
    </w:p>
    <w:p w14:paraId="6B0D8527"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To maximise AI’s benefits while reducing risks, Unilever should invest in advanced predictive models, AI-enabled manufacturing and automated planning systems. Alongside this, the company must strengthen its ethical AI frameworks to ensure transparency and compliance across regions.</w:t>
      </w:r>
    </w:p>
    <w:p w14:paraId="00BA22B5"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3. Develop a Unified ESG Data Platform for CSRD Compliance</w:t>
      </w:r>
    </w:p>
    <w:p w14:paraId="7FD21EB1"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A centralised digital system for collecting, analysing and reporting ESG data will reduce CSRD compliance burdens. Unilever should also engage suppliers in training programmes to improve the accuracy of Scope 3 emissions data, a major CSRD requirement.</w:t>
      </w:r>
    </w:p>
    <w:p w14:paraId="3AF05B32"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4. Enhance Global Talent Pipelines for AI and Sustainability Skills</w:t>
      </w:r>
    </w:p>
    <w:p w14:paraId="31E76BF3"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lastRenderedPageBreak/>
        <w:t>Unilever should develop partnerships with universities, invest in internal reskilling programmes and expand global graduate recruitment to address talent shortages in AI, data science and sustainability fields.</w:t>
      </w:r>
    </w:p>
    <w:p w14:paraId="16251A81" w14:textId="77777777" w:rsidR="007F060D" w:rsidRPr="007F060D" w:rsidRDefault="007F060D" w:rsidP="007F060D">
      <w:pPr>
        <w:spacing w:before="100" w:beforeAutospacing="1" w:after="100" w:afterAutospacing="1" w:line="240" w:lineRule="auto"/>
        <w:outlineLvl w:val="2"/>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5. Accelerate Innovation in Sustainable Packaging and Circular Solutions</w:t>
      </w:r>
    </w:p>
    <w:p w14:paraId="28767672"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Unilever should prioritise biodegradable materials, refill stations and reusable packaging models. These innovations will reduce regulatory risk, enhance environmental performance and strengthen competitive differentiation.</w:t>
      </w:r>
    </w:p>
    <w:p w14:paraId="63AAB400" w14:textId="3739171C" w:rsidR="007F060D" w:rsidRPr="007F060D" w:rsidRDefault="007F060D" w:rsidP="007F060D">
      <w:pPr>
        <w:spacing w:after="0" w:line="240" w:lineRule="auto"/>
        <w:rPr>
          <w:rFonts w:ascii="Times New Roman" w:eastAsia="Times New Roman" w:hAnsi="Times New Roman" w:cs="Times New Roman"/>
          <w:kern w:val="0"/>
          <w:sz w:val="22"/>
          <w:szCs w:val="22"/>
          <w14:ligatures w14:val="none"/>
        </w:rPr>
      </w:pPr>
    </w:p>
    <w:p w14:paraId="26C853DF" w14:textId="77777777" w:rsidR="007F060D" w:rsidRPr="007F060D" w:rsidRDefault="007F060D" w:rsidP="007F060D">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14:ligatures w14:val="none"/>
        </w:rPr>
      </w:pPr>
      <w:r w:rsidRPr="007F060D">
        <w:rPr>
          <w:rFonts w:ascii="Times New Roman" w:eastAsia="Times New Roman" w:hAnsi="Times New Roman" w:cs="Times New Roman"/>
          <w:b/>
          <w:bCs/>
          <w:color w:val="000000"/>
          <w:kern w:val="0"/>
          <w:sz w:val="22"/>
          <w:szCs w:val="22"/>
          <w14:ligatures w14:val="none"/>
        </w:rPr>
        <w:t>Conclusion</w:t>
      </w:r>
    </w:p>
    <w:p w14:paraId="6E464CC1"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In an increasingly complex global environment, multinational companies must adapt quickly to technological, geopolitical and sustainability pressures. For Unilever, AI adoption provides significant opportunities to enhance efficiency and innovation, while geopolitical disruptions and new sustainability regulations present both risks and incentives for strategic improvement. Understanding these global forces is crucial for shaping effective international business strategies. By strengthening supply chain resilience, expanding AI capabilities, improving ESG reporting systems and investing in talent, Unilever can successfully navigate global challenges and reinforce its long-term competitive position.</w:t>
      </w:r>
    </w:p>
    <w:p w14:paraId="19FB718A" w14:textId="0751968E" w:rsidR="007F060D" w:rsidRPr="007F060D" w:rsidRDefault="007F060D" w:rsidP="007F060D">
      <w:pPr>
        <w:spacing w:after="0" w:line="240" w:lineRule="auto"/>
        <w:rPr>
          <w:rFonts w:ascii="Times New Roman" w:eastAsia="Times New Roman" w:hAnsi="Times New Roman" w:cs="Times New Roman"/>
          <w:kern w:val="0"/>
          <w:sz w:val="22"/>
          <w:szCs w:val="22"/>
          <w14:ligatures w14:val="none"/>
        </w:rPr>
      </w:pPr>
    </w:p>
    <w:p w14:paraId="5E3F847C" w14:textId="7E39B7EA" w:rsidR="007F060D" w:rsidRPr="007F060D" w:rsidRDefault="007F060D" w:rsidP="007F060D">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14:ligatures w14:val="none"/>
        </w:rPr>
      </w:pPr>
      <w:r w:rsidRPr="007F060D">
        <w:rPr>
          <w:rFonts w:ascii="Times New Roman" w:eastAsia="Times New Roman" w:hAnsi="Times New Roman" w:cs="Times New Roman"/>
          <w:b/>
          <w:bCs/>
          <w:color w:val="000000"/>
          <w:kern w:val="36"/>
          <w:sz w:val="22"/>
          <w:szCs w:val="22"/>
          <w14:ligatures w14:val="none"/>
        </w:rPr>
        <w:t xml:space="preserve">Reference List </w:t>
      </w:r>
    </w:p>
    <w:p w14:paraId="45CA8295"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Brkan, M. and Bonnet, G. (2020) ‘Legal and ethical governance of artificial intelligence’, </w:t>
      </w:r>
      <w:r w:rsidRPr="007F060D">
        <w:rPr>
          <w:rFonts w:ascii="Times New Roman" w:hAnsi="Times New Roman" w:cs="Times New Roman"/>
          <w:i/>
          <w:iCs/>
          <w:color w:val="000000"/>
          <w:kern w:val="0"/>
          <w:sz w:val="22"/>
          <w:szCs w:val="22"/>
          <w14:ligatures w14:val="none"/>
        </w:rPr>
        <w:t>Computer Law &amp; Security Review</w:t>
      </w:r>
      <w:r w:rsidRPr="007F060D">
        <w:rPr>
          <w:rFonts w:ascii="Times New Roman" w:hAnsi="Times New Roman" w:cs="Times New Roman"/>
          <w:color w:val="000000"/>
          <w:kern w:val="0"/>
          <w:sz w:val="22"/>
          <w:szCs w:val="22"/>
          <w14:ligatures w14:val="none"/>
        </w:rPr>
        <w:t>, 36, 105373.</w:t>
      </w:r>
    </w:p>
    <w:p w14:paraId="05005970"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Choi, T.M., Wallace, S.W. and Wang, Y. (2018) ‘Big data analytics in operations management’, </w:t>
      </w:r>
      <w:r w:rsidRPr="007F060D">
        <w:rPr>
          <w:rFonts w:ascii="Times New Roman" w:hAnsi="Times New Roman" w:cs="Times New Roman"/>
          <w:i/>
          <w:iCs/>
          <w:color w:val="000000"/>
          <w:kern w:val="0"/>
          <w:sz w:val="22"/>
          <w:szCs w:val="22"/>
          <w14:ligatures w14:val="none"/>
        </w:rPr>
        <w:t>Production and Operations Management</w:t>
      </w:r>
      <w:r w:rsidRPr="007F060D">
        <w:rPr>
          <w:rFonts w:ascii="Times New Roman" w:hAnsi="Times New Roman" w:cs="Times New Roman"/>
          <w:color w:val="000000"/>
          <w:kern w:val="0"/>
          <w:sz w:val="22"/>
          <w:szCs w:val="22"/>
          <w14:ligatures w14:val="none"/>
        </w:rPr>
        <w:t>, 27(10), pp.1868–1883.</w:t>
      </w:r>
    </w:p>
    <w:p w14:paraId="7973BFDA"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Davenport, T.H. and Ronanki, R. (2018) ‘Artificial intelligence for the real world’, </w:t>
      </w:r>
      <w:r w:rsidRPr="007F060D">
        <w:rPr>
          <w:rFonts w:ascii="Times New Roman" w:hAnsi="Times New Roman" w:cs="Times New Roman"/>
          <w:i/>
          <w:iCs/>
          <w:color w:val="000000"/>
          <w:kern w:val="0"/>
          <w:sz w:val="22"/>
          <w:szCs w:val="22"/>
          <w14:ligatures w14:val="none"/>
        </w:rPr>
        <w:t>Harvard Business Review</w:t>
      </w:r>
      <w:r w:rsidRPr="007F060D">
        <w:rPr>
          <w:rFonts w:ascii="Times New Roman" w:hAnsi="Times New Roman" w:cs="Times New Roman"/>
          <w:color w:val="000000"/>
          <w:kern w:val="0"/>
          <w:sz w:val="22"/>
          <w:szCs w:val="22"/>
          <w14:ligatures w14:val="none"/>
        </w:rPr>
        <w:t>, 96(1), pp.108–116.</w:t>
      </w:r>
    </w:p>
    <w:p w14:paraId="689407CD"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Deloitte (2023) </w:t>
      </w:r>
      <w:r w:rsidRPr="007F060D">
        <w:rPr>
          <w:rFonts w:ascii="Times New Roman" w:hAnsi="Times New Roman" w:cs="Times New Roman"/>
          <w:i/>
          <w:iCs/>
          <w:color w:val="000000"/>
          <w:kern w:val="0"/>
          <w:sz w:val="22"/>
          <w:szCs w:val="22"/>
          <w14:ligatures w14:val="none"/>
        </w:rPr>
        <w:t>2023 Global Human Capital Trends</w:t>
      </w:r>
      <w:r w:rsidRPr="007F060D">
        <w:rPr>
          <w:rFonts w:ascii="Times New Roman" w:hAnsi="Times New Roman" w:cs="Times New Roman"/>
          <w:color w:val="000000"/>
          <w:kern w:val="0"/>
          <w:sz w:val="22"/>
          <w:szCs w:val="22"/>
          <w14:ligatures w14:val="none"/>
        </w:rPr>
        <w:t>. London: Deloitte.</w:t>
      </w:r>
    </w:p>
    <w:p w14:paraId="11FC3C2F"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EY (Ernst &amp; Young) (2023) </w:t>
      </w:r>
      <w:r w:rsidRPr="007F060D">
        <w:rPr>
          <w:rFonts w:ascii="Times New Roman" w:hAnsi="Times New Roman" w:cs="Times New Roman"/>
          <w:i/>
          <w:iCs/>
          <w:color w:val="000000"/>
          <w:kern w:val="0"/>
          <w:sz w:val="22"/>
          <w:szCs w:val="22"/>
          <w14:ligatures w14:val="none"/>
        </w:rPr>
        <w:t>EU Corporate Sustainability Reporting Directive: Implications for Multinationals</w:t>
      </w:r>
      <w:r w:rsidRPr="007F060D">
        <w:rPr>
          <w:rFonts w:ascii="Times New Roman" w:hAnsi="Times New Roman" w:cs="Times New Roman"/>
          <w:color w:val="000000"/>
          <w:kern w:val="0"/>
          <w:sz w:val="22"/>
          <w:szCs w:val="22"/>
          <w14:ligatures w14:val="none"/>
        </w:rPr>
        <w:t>. London: EY.</w:t>
      </w:r>
    </w:p>
    <w:p w14:paraId="149DA274"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Gereffi, G. (2018) </w:t>
      </w:r>
      <w:r w:rsidRPr="007F060D">
        <w:rPr>
          <w:rFonts w:ascii="Times New Roman" w:hAnsi="Times New Roman" w:cs="Times New Roman"/>
          <w:i/>
          <w:iCs/>
          <w:color w:val="000000"/>
          <w:kern w:val="0"/>
          <w:sz w:val="22"/>
          <w:szCs w:val="22"/>
          <w14:ligatures w14:val="none"/>
        </w:rPr>
        <w:t>Global Value Chains and Development: Redefining the Contours of 21st Century Capitalism</w:t>
      </w:r>
      <w:r w:rsidRPr="007F060D">
        <w:rPr>
          <w:rFonts w:ascii="Times New Roman" w:hAnsi="Times New Roman" w:cs="Times New Roman"/>
          <w:color w:val="000000"/>
          <w:kern w:val="0"/>
          <w:sz w:val="22"/>
          <w:szCs w:val="22"/>
          <w14:ligatures w14:val="none"/>
        </w:rPr>
        <w:t>. Cambridge: Cambridge University Press.</w:t>
      </w:r>
    </w:p>
    <w:p w14:paraId="7E6E0BA3"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Ghosh, S. (2022) ‘AI-driven innovation in consumer goods’, </w:t>
      </w:r>
      <w:r w:rsidRPr="007F060D">
        <w:rPr>
          <w:rFonts w:ascii="Times New Roman" w:hAnsi="Times New Roman" w:cs="Times New Roman"/>
          <w:i/>
          <w:iCs/>
          <w:color w:val="000000"/>
          <w:kern w:val="0"/>
          <w:sz w:val="22"/>
          <w:szCs w:val="22"/>
          <w14:ligatures w14:val="none"/>
        </w:rPr>
        <w:t>Journal of Business Research</w:t>
      </w:r>
      <w:r w:rsidRPr="007F060D">
        <w:rPr>
          <w:rFonts w:ascii="Times New Roman" w:hAnsi="Times New Roman" w:cs="Times New Roman"/>
          <w:color w:val="000000"/>
          <w:kern w:val="0"/>
          <w:sz w:val="22"/>
          <w:szCs w:val="22"/>
          <w14:ligatures w14:val="none"/>
        </w:rPr>
        <w:t>, 139, pp.1202–1214.</w:t>
      </w:r>
    </w:p>
    <w:p w14:paraId="5EC161B3"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Hah, K. and Freeman, S. (2014) ‘Multinational enterprises and corporate social responsibility: Institutional pressures and responses’, </w:t>
      </w:r>
      <w:r w:rsidRPr="007F060D">
        <w:rPr>
          <w:rFonts w:ascii="Times New Roman" w:hAnsi="Times New Roman" w:cs="Times New Roman"/>
          <w:i/>
          <w:iCs/>
          <w:color w:val="000000"/>
          <w:kern w:val="0"/>
          <w:sz w:val="22"/>
          <w:szCs w:val="22"/>
          <w14:ligatures w14:val="none"/>
        </w:rPr>
        <w:t>Journal of Business Ethics</w:t>
      </w:r>
      <w:r w:rsidRPr="007F060D">
        <w:rPr>
          <w:rFonts w:ascii="Times New Roman" w:hAnsi="Times New Roman" w:cs="Times New Roman"/>
          <w:color w:val="000000"/>
          <w:kern w:val="0"/>
          <w:sz w:val="22"/>
          <w:szCs w:val="22"/>
          <w14:ligatures w14:val="none"/>
        </w:rPr>
        <w:t>, 122(2), pp.257–272.</w:t>
      </w:r>
    </w:p>
    <w:p w14:paraId="3BCE090A"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Ivanov, D. and Dolgui, A. (2021) ‘A digital supply chain twin for managing disruptions and resilience’, </w:t>
      </w:r>
      <w:r w:rsidRPr="007F060D">
        <w:rPr>
          <w:rFonts w:ascii="Times New Roman" w:hAnsi="Times New Roman" w:cs="Times New Roman"/>
          <w:i/>
          <w:iCs/>
          <w:color w:val="000000"/>
          <w:kern w:val="0"/>
          <w:sz w:val="22"/>
          <w:szCs w:val="22"/>
          <w14:ligatures w14:val="none"/>
        </w:rPr>
        <w:t>International Journal of Production Research</w:t>
      </w:r>
      <w:r w:rsidRPr="007F060D">
        <w:rPr>
          <w:rFonts w:ascii="Times New Roman" w:hAnsi="Times New Roman" w:cs="Times New Roman"/>
          <w:color w:val="000000"/>
          <w:kern w:val="0"/>
          <w:sz w:val="22"/>
          <w:szCs w:val="22"/>
          <w14:ligatures w14:val="none"/>
        </w:rPr>
        <w:t>, 59(12), pp.372–392.</w:t>
      </w:r>
    </w:p>
    <w:p w14:paraId="6A3D8585"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lastRenderedPageBreak/>
        <w:t>Kilpatrick, J. (2021) </w:t>
      </w:r>
      <w:r w:rsidRPr="007F060D">
        <w:rPr>
          <w:rFonts w:ascii="Times New Roman" w:hAnsi="Times New Roman" w:cs="Times New Roman"/>
          <w:i/>
          <w:iCs/>
          <w:color w:val="000000"/>
          <w:kern w:val="0"/>
          <w:sz w:val="22"/>
          <w:szCs w:val="22"/>
          <w14:ligatures w14:val="none"/>
        </w:rPr>
        <w:t>Global Supply Chain Resilience Report</w:t>
      </w:r>
      <w:r w:rsidRPr="007F060D">
        <w:rPr>
          <w:rFonts w:ascii="Times New Roman" w:hAnsi="Times New Roman" w:cs="Times New Roman"/>
          <w:color w:val="000000"/>
          <w:kern w:val="0"/>
          <w:sz w:val="22"/>
          <w:szCs w:val="22"/>
          <w14:ligatures w14:val="none"/>
        </w:rPr>
        <w:t>. London: PwC.</w:t>
      </w:r>
    </w:p>
    <w:p w14:paraId="553824B2"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Kolk, A. (2021) ‘Sustainability reporting and regulation: Moving towards global standards’, </w:t>
      </w:r>
      <w:r w:rsidRPr="007F060D">
        <w:rPr>
          <w:rFonts w:ascii="Times New Roman" w:hAnsi="Times New Roman" w:cs="Times New Roman"/>
          <w:i/>
          <w:iCs/>
          <w:color w:val="000000"/>
          <w:kern w:val="0"/>
          <w:sz w:val="22"/>
          <w:szCs w:val="22"/>
          <w14:ligatures w14:val="none"/>
        </w:rPr>
        <w:t>Business Strategy and the Environment</w:t>
      </w:r>
      <w:r w:rsidRPr="007F060D">
        <w:rPr>
          <w:rFonts w:ascii="Times New Roman" w:hAnsi="Times New Roman" w:cs="Times New Roman"/>
          <w:color w:val="000000"/>
          <w:kern w:val="0"/>
          <w:sz w:val="22"/>
          <w:szCs w:val="22"/>
          <w14:ligatures w14:val="none"/>
        </w:rPr>
        <w:t>, 30(7), pp.3193–3205.</w:t>
      </w:r>
    </w:p>
    <w:p w14:paraId="65E49149"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Srai, J.S. and Harrington, T.S. (2021) ‘Advanced supply chain planning in uncertain times’, </w:t>
      </w:r>
      <w:r w:rsidRPr="007F060D">
        <w:rPr>
          <w:rFonts w:ascii="Times New Roman" w:hAnsi="Times New Roman" w:cs="Times New Roman"/>
          <w:i/>
          <w:iCs/>
          <w:color w:val="000000"/>
          <w:kern w:val="0"/>
          <w:sz w:val="22"/>
          <w:szCs w:val="22"/>
          <w14:ligatures w14:val="none"/>
        </w:rPr>
        <w:t>International Journal of Operations &amp; Production Management</w:t>
      </w:r>
      <w:r w:rsidRPr="007F060D">
        <w:rPr>
          <w:rFonts w:ascii="Times New Roman" w:hAnsi="Times New Roman" w:cs="Times New Roman"/>
          <w:color w:val="000000"/>
          <w:kern w:val="0"/>
          <w:sz w:val="22"/>
          <w:szCs w:val="22"/>
          <w14:ligatures w14:val="none"/>
        </w:rPr>
        <w:t>, 41(1), pp.57–79.</w:t>
      </w:r>
    </w:p>
    <w:p w14:paraId="0CA68872"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Unilever (2023) </w:t>
      </w:r>
      <w:r w:rsidRPr="007F060D">
        <w:rPr>
          <w:rFonts w:ascii="Times New Roman" w:hAnsi="Times New Roman" w:cs="Times New Roman"/>
          <w:i/>
          <w:iCs/>
          <w:color w:val="000000"/>
          <w:kern w:val="0"/>
          <w:sz w:val="22"/>
          <w:szCs w:val="22"/>
          <w14:ligatures w14:val="none"/>
        </w:rPr>
        <w:t>Annual Report and Accounts 2023</w:t>
      </w:r>
      <w:r w:rsidRPr="007F060D">
        <w:rPr>
          <w:rFonts w:ascii="Times New Roman" w:hAnsi="Times New Roman" w:cs="Times New Roman"/>
          <w:color w:val="000000"/>
          <w:kern w:val="0"/>
          <w:sz w:val="22"/>
          <w:szCs w:val="22"/>
          <w14:ligatures w14:val="none"/>
        </w:rPr>
        <w:t>. London: Unilever PLC.</w:t>
      </w:r>
    </w:p>
    <w:p w14:paraId="6BCD389B" w14:textId="77777777" w:rsidR="007F060D" w:rsidRPr="007F060D" w:rsidRDefault="007F060D" w:rsidP="007F060D">
      <w:pPr>
        <w:spacing w:before="100" w:beforeAutospacing="1" w:after="100" w:afterAutospacing="1" w:line="240" w:lineRule="auto"/>
        <w:rPr>
          <w:rFonts w:ascii="Times New Roman" w:hAnsi="Times New Roman" w:cs="Times New Roman"/>
          <w:color w:val="000000"/>
          <w:kern w:val="0"/>
          <w:sz w:val="22"/>
          <w:szCs w:val="22"/>
          <w14:ligatures w14:val="none"/>
        </w:rPr>
      </w:pPr>
      <w:r w:rsidRPr="007F060D">
        <w:rPr>
          <w:rFonts w:ascii="Times New Roman" w:hAnsi="Times New Roman" w:cs="Times New Roman"/>
          <w:color w:val="000000"/>
          <w:kern w:val="0"/>
          <w:sz w:val="22"/>
          <w:szCs w:val="22"/>
          <w14:ligatures w14:val="none"/>
        </w:rPr>
        <w:t>World Economic Forum (2023) </w:t>
      </w:r>
      <w:r w:rsidRPr="007F060D">
        <w:rPr>
          <w:rFonts w:ascii="Times New Roman" w:hAnsi="Times New Roman" w:cs="Times New Roman"/>
          <w:i/>
          <w:iCs/>
          <w:color w:val="000000"/>
          <w:kern w:val="0"/>
          <w:sz w:val="22"/>
          <w:szCs w:val="22"/>
          <w14:ligatures w14:val="none"/>
        </w:rPr>
        <w:t>The Future of Jobs Report 2023</w:t>
      </w:r>
      <w:r w:rsidRPr="007F060D">
        <w:rPr>
          <w:rFonts w:ascii="Times New Roman" w:hAnsi="Times New Roman" w:cs="Times New Roman"/>
          <w:color w:val="000000"/>
          <w:kern w:val="0"/>
          <w:sz w:val="22"/>
          <w:szCs w:val="22"/>
          <w14:ligatures w14:val="none"/>
        </w:rPr>
        <w:t>. Geneva: World Economic Forum.</w:t>
      </w:r>
    </w:p>
    <w:p w14:paraId="42B05D98" w14:textId="77777777" w:rsidR="007F060D" w:rsidRPr="007F060D" w:rsidRDefault="007F060D">
      <w:pPr>
        <w:rPr>
          <w:rFonts w:ascii="Times New Roman" w:hAnsi="Times New Roman" w:cs="Times New Roman"/>
          <w:sz w:val="22"/>
          <w:szCs w:val="22"/>
        </w:rPr>
      </w:pPr>
    </w:p>
    <w:sectPr w:rsidR="007F060D" w:rsidRPr="007F0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0D"/>
    <w:rsid w:val="00162446"/>
    <w:rsid w:val="002A1D40"/>
    <w:rsid w:val="007F060D"/>
    <w:rsid w:val="00981A23"/>
    <w:rsid w:val="00BC68DC"/>
    <w:rsid w:val="00C03586"/>
    <w:rsid w:val="00D01CBE"/>
    <w:rsid w:val="00D14BEC"/>
    <w:rsid w:val="00D43D92"/>
    <w:rsid w:val="00E41459"/>
    <w:rsid w:val="00ED773B"/>
    <w:rsid w:val="00EE24BC"/>
    <w:rsid w:val="00F91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1D2D0C"/>
  <w15:chartTrackingRefBased/>
  <w15:docId w15:val="{9A3A3D45-5B57-8B41-8F44-499E54D6A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6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F06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F06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06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06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06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6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6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6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6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06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06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06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06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06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6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6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60D"/>
    <w:rPr>
      <w:rFonts w:eastAsiaTheme="majorEastAsia" w:cstheme="majorBidi"/>
      <w:color w:val="272727" w:themeColor="text1" w:themeTint="D8"/>
    </w:rPr>
  </w:style>
  <w:style w:type="paragraph" w:styleId="Title">
    <w:name w:val="Title"/>
    <w:basedOn w:val="Normal"/>
    <w:next w:val="Normal"/>
    <w:link w:val="TitleChar"/>
    <w:uiPriority w:val="10"/>
    <w:qFormat/>
    <w:rsid w:val="007F06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6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6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6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60D"/>
    <w:pPr>
      <w:spacing w:before="160"/>
      <w:jc w:val="center"/>
    </w:pPr>
    <w:rPr>
      <w:i/>
      <w:iCs/>
      <w:color w:val="404040" w:themeColor="text1" w:themeTint="BF"/>
    </w:rPr>
  </w:style>
  <w:style w:type="character" w:customStyle="1" w:styleId="QuoteChar">
    <w:name w:val="Quote Char"/>
    <w:basedOn w:val="DefaultParagraphFont"/>
    <w:link w:val="Quote"/>
    <w:uiPriority w:val="29"/>
    <w:rsid w:val="007F060D"/>
    <w:rPr>
      <w:i/>
      <w:iCs/>
      <w:color w:val="404040" w:themeColor="text1" w:themeTint="BF"/>
    </w:rPr>
  </w:style>
  <w:style w:type="paragraph" w:styleId="ListParagraph">
    <w:name w:val="List Paragraph"/>
    <w:basedOn w:val="Normal"/>
    <w:uiPriority w:val="34"/>
    <w:qFormat/>
    <w:rsid w:val="007F060D"/>
    <w:pPr>
      <w:ind w:left="720"/>
      <w:contextualSpacing/>
    </w:pPr>
  </w:style>
  <w:style w:type="character" w:styleId="IntenseEmphasis">
    <w:name w:val="Intense Emphasis"/>
    <w:basedOn w:val="DefaultParagraphFont"/>
    <w:uiPriority w:val="21"/>
    <w:qFormat/>
    <w:rsid w:val="007F060D"/>
    <w:rPr>
      <w:i/>
      <w:iCs/>
      <w:color w:val="2F5496" w:themeColor="accent1" w:themeShade="BF"/>
    </w:rPr>
  </w:style>
  <w:style w:type="paragraph" w:styleId="IntenseQuote">
    <w:name w:val="Intense Quote"/>
    <w:basedOn w:val="Normal"/>
    <w:next w:val="Normal"/>
    <w:link w:val="IntenseQuoteChar"/>
    <w:uiPriority w:val="30"/>
    <w:qFormat/>
    <w:rsid w:val="007F06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60D"/>
    <w:rPr>
      <w:i/>
      <w:iCs/>
      <w:color w:val="2F5496" w:themeColor="accent1" w:themeShade="BF"/>
    </w:rPr>
  </w:style>
  <w:style w:type="character" w:styleId="IntenseReference">
    <w:name w:val="Intense Reference"/>
    <w:basedOn w:val="DefaultParagraphFont"/>
    <w:uiPriority w:val="32"/>
    <w:qFormat/>
    <w:rsid w:val="007F060D"/>
    <w:rPr>
      <w:b/>
      <w:bCs/>
      <w:smallCaps/>
      <w:color w:val="2F5496" w:themeColor="accent1" w:themeShade="BF"/>
      <w:spacing w:val="5"/>
    </w:rPr>
  </w:style>
  <w:style w:type="character" w:styleId="Strong">
    <w:name w:val="Strong"/>
    <w:basedOn w:val="DefaultParagraphFont"/>
    <w:uiPriority w:val="22"/>
    <w:qFormat/>
    <w:rsid w:val="007F060D"/>
    <w:rPr>
      <w:b/>
      <w:bCs/>
    </w:rPr>
  </w:style>
  <w:style w:type="paragraph" w:styleId="NormalWeb">
    <w:name w:val="Normal (Web)"/>
    <w:basedOn w:val="Normal"/>
    <w:uiPriority w:val="99"/>
    <w:semiHidden/>
    <w:unhideWhenUsed/>
    <w:rsid w:val="007F060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F060D"/>
  </w:style>
  <w:style w:type="character" w:styleId="Emphasis">
    <w:name w:val="Emphasis"/>
    <w:basedOn w:val="DefaultParagraphFont"/>
    <w:uiPriority w:val="20"/>
    <w:qFormat/>
    <w:rsid w:val="007F060D"/>
    <w:rPr>
      <w:i/>
      <w:iCs/>
    </w:rPr>
  </w:style>
  <w:style w:type="paragraph" w:customStyle="1" w:styleId="s13">
    <w:name w:val="s13"/>
    <w:basedOn w:val="Normal"/>
    <w:rsid w:val="00ED773B"/>
    <w:pPr>
      <w:spacing w:before="100" w:beforeAutospacing="1" w:after="100" w:afterAutospacing="1" w:line="240" w:lineRule="auto"/>
    </w:pPr>
    <w:rPr>
      <w:rFonts w:ascii="Times New Roman" w:hAnsi="Times New Roman" w:cs="Times New Roman"/>
      <w:kern w:val="0"/>
      <w14:ligatures w14:val="none"/>
    </w:rPr>
  </w:style>
  <w:style w:type="character" w:customStyle="1" w:styleId="s12">
    <w:name w:val="s12"/>
    <w:basedOn w:val="DefaultParagraphFont"/>
    <w:rsid w:val="00ED7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1688</Words>
  <Characters>9623</Characters>
  <Application>Microsoft Office Word</Application>
  <DocSecurity>0</DocSecurity>
  <Lines>80</Lines>
  <Paragraphs>22</Paragraphs>
  <ScaleCrop>false</ScaleCrop>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Begum (2106720)</dc:creator>
  <cp:keywords/>
  <dc:description/>
  <cp:lastModifiedBy>Kiran Begum (2106720)</cp:lastModifiedBy>
  <cp:revision>14</cp:revision>
  <dcterms:created xsi:type="dcterms:W3CDTF">2025-11-27T21:57:00Z</dcterms:created>
  <dcterms:modified xsi:type="dcterms:W3CDTF">2025-11-27T22:08:00Z</dcterms:modified>
</cp:coreProperties>
</file>