
<file path=[Content_Types].xml><?xml version="1.0" encoding="utf-8"?>
<Types xmlns="http://schemas.openxmlformats.org/package/2006/content-types">
  <Default Extension="xml" ContentType="application/xml"/>
  <Default Extension="gif" ContentType="image/gi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991F244"/>
    <w:p w14:paraId="5991F245">
      <w:pPr>
        <w:spacing w:before="240" w:after="240"/>
        <w:jc w:val="center"/>
        <w:rPr>
          <w:b/>
          <w:bCs/>
          <w:sz w:val="44"/>
          <w:szCs w:val="44"/>
        </w:rPr>
      </w:pPr>
      <w:r>
        <w:rPr>
          <w:lang w:eastAsia="en-GB"/>
        </w:rPr>
        <w:drawing>
          <wp:inline distT="114300" distB="114300" distL="114300" distR="114300">
            <wp:extent cx="4420235" cy="2222500"/>
            <wp:effectExtent l="0" t="0" r="12065" b="0"/>
            <wp:docPr id="2053460297" name="image1.gif"/>
            <wp:cNvGraphicFramePr/>
            <a:graphic xmlns:a="http://schemas.openxmlformats.org/drawingml/2006/main">
              <a:graphicData uri="http://schemas.openxmlformats.org/drawingml/2006/picture">
                <pic:pic xmlns:pic="http://schemas.openxmlformats.org/drawingml/2006/picture">
                  <pic:nvPicPr>
                    <pic:cNvPr id="2053460297" name="image1.gif"/>
                    <pic:cNvPicPr preferRelativeResize="0"/>
                  </pic:nvPicPr>
                  <pic:blipFill>
                    <a:blip r:embed="rId12"/>
                    <a:srcRect/>
                    <a:stretch>
                      <a:fillRect/>
                    </a:stretch>
                  </pic:blipFill>
                  <pic:spPr>
                    <a:xfrm>
                      <a:off x="0" y="0"/>
                      <a:ext cx="4420235" cy="2222500"/>
                    </a:xfrm>
                    <a:prstGeom prst="rect">
                      <a:avLst/>
                    </a:prstGeom>
                  </pic:spPr>
                </pic:pic>
              </a:graphicData>
            </a:graphic>
          </wp:inline>
        </w:drawing>
      </w:r>
    </w:p>
    <w:p w14:paraId="5991F246">
      <w:pPr>
        <w:rPr>
          <w:b/>
          <w:bCs/>
          <w:sz w:val="44"/>
          <w:szCs w:val="44"/>
        </w:rPr>
      </w:pPr>
      <w:r>
        <w:rPr>
          <w:b/>
          <w:bCs/>
          <w:sz w:val="44"/>
          <w:szCs w:val="44"/>
        </w:rPr>
        <w:t>Master of Business Administration</w:t>
      </w:r>
    </w:p>
    <w:p w14:paraId="5991F247">
      <w:pPr>
        <w:spacing w:before="240" w:after="240"/>
        <w:jc w:val="center"/>
        <w:rPr>
          <w:b/>
          <w:bCs/>
          <w:sz w:val="32"/>
          <w:szCs w:val="32"/>
        </w:rPr>
      </w:pPr>
    </w:p>
    <w:p w14:paraId="5991F248">
      <w:pPr>
        <w:jc w:val="left"/>
        <w:rPr>
          <w:b/>
          <w:bCs/>
          <w:sz w:val="28"/>
          <w:szCs w:val="28"/>
          <w:lang w:val="en-IN"/>
        </w:rPr>
      </w:pPr>
      <w:r>
        <w:rPr>
          <w:b/>
          <w:bCs/>
          <w:sz w:val="28"/>
          <w:szCs w:val="28"/>
        </w:rPr>
        <w:t xml:space="preserve">Student Name:  </w:t>
      </w:r>
      <w:r>
        <w:rPr>
          <w:b/>
          <w:bCs/>
          <w:sz w:val="28"/>
          <w:szCs w:val="28"/>
          <w:lang w:val="en-IN"/>
        </w:rPr>
        <w:t>Prajapati Vishal Sureshkumar</w:t>
      </w:r>
    </w:p>
    <w:p w14:paraId="5991F249">
      <w:pPr>
        <w:jc w:val="left"/>
        <w:rPr>
          <w:b/>
          <w:bCs/>
          <w:sz w:val="28"/>
          <w:szCs w:val="28"/>
          <w:lang w:val="en-IN"/>
        </w:rPr>
      </w:pPr>
      <w:r>
        <w:rPr>
          <w:b/>
          <w:bCs/>
          <w:sz w:val="28"/>
          <w:szCs w:val="28"/>
        </w:rPr>
        <w:t>Student Number:  2</w:t>
      </w:r>
      <w:r>
        <w:rPr>
          <w:b/>
          <w:bCs/>
          <w:sz w:val="28"/>
          <w:szCs w:val="28"/>
          <w:lang w:val="en-IN"/>
        </w:rPr>
        <w:t>428336</w:t>
      </w:r>
    </w:p>
    <w:p w14:paraId="5991F24A">
      <w:pPr>
        <w:jc w:val="left"/>
        <w:rPr>
          <w:b/>
          <w:bCs/>
          <w:sz w:val="28"/>
          <w:szCs w:val="28"/>
          <w:lang w:val="en-IN"/>
        </w:rPr>
      </w:pPr>
      <w:r>
        <w:rPr>
          <w:b/>
          <w:bCs/>
          <w:sz w:val="28"/>
          <w:szCs w:val="28"/>
        </w:rPr>
        <w:t>Course Name:</w:t>
      </w:r>
      <w:r>
        <w:rPr>
          <w:sz w:val="28"/>
          <w:szCs w:val="28"/>
        </w:rPr>
        <w:t xml:space="preserve">  </w:t>
      </w:r>
      <w:r>
        <w:rPr>
          <w:b/>
          <w:bCs/>
          <w:sz w:val="28"/>
          <w:szCs w:val="28"/>
          <w:lang w:val="en-IN"/>
        </w:rPr>
        <w:t>Dissertation</w:t>
      </w:r>
    </w:p>
    <w:p w14:paraId="5991F24B">
      <w:pPr>
        <w:jc w:val="left"/>
        <w:rPr>
          <w:b/>
          <w:sz w:val="28"/>
          <w:szCs w:val="28"/>
          <w:lang w:val="en-IN"/>
        </w:rPr>
      </w:pPr>
      <w:r>
        <w:rPr>
          <w:b/>
          <w:bCs/>
          <w:color w:val="0D0D0D" w:themeColor="text1" w:themeTint="F2"/>
          <w:sz w:val="28"/>
          <w:szCs w:val="28"/>
          <w14:textFill>
            <w14:solidFill>
              <w14:schemeClr w14:val="tx1">
                <w14:lumMod w14:val="95000"/>
                <w14:lumOff w14:val="5000"/>
              </w14:schemeClr>
            </w14:solidFill>
          </w14:textFill>
        </w:rPr>
        <w:t>Title:</w:t>
      </w:r>
      <w:r>
        <w:rPr>
          <w:b/>
          <w:bCs/>
          <w:i/>
          <w:iCs/>
          <w:color w:val="0D0D0D" w:themeColor="text1" w:themeTint="F2"/>
          <w:sz w:val="28"/>
          <w:szCs w:val="28"/>
          <w14:textFill>
            <w14:solidFill>
              <w14:schemeClr w14:val="tx1">
                <w14:lumMod w14:val="95000"/>
                <w14:lumOff w14:val="5000"/>
              </w14:schemeClr>
            </w14:solidFill>
          </w14:textFill>
        </w:rPr>
        <w:t xml:space="preserve"> </w:t>
      </w:r>
      <w:r>
        <w:rPr>
          <w:b/>
          <w:sz w:val="28"/>
          <w:szCs w:val="28"/>
        </w:rPr>
        <w:t>T</w:t>
      </w:r>
      <w:r>
        <w:rPr>
          <w:b/>
          <w:sz w:val="28"/>
          <w:szCs w:val="28"/>
          <w:lang w:val="en-IN"/>
        </w:rPr>
        <w:t>he role of AI in predictive marketing in recycling and material recovery</w:t>
      </w:r>
    </w:p>
    <w:p w14:paraId="5991F24C">
      <w:pPr>
        <w:jc w:val="left"/>
        <w:rPr>
          <w:b/>
          <w:bCs/>
          <w:sz w:val="28"/>
          <w:szCs w:val="28"/>
          <w:lang w:val="en-IN"/>
        </w:rPr>
      </w:pPr>
      <w:r>
        <w:rPr>
          <w:b/>
          <w:bCs/>
          <w:sz w:val="28"/>
          <w:szCs w:val="28"/>
        </w:rPr>
        <w:t xml:space="preserve">Module code: </w:t>
      </w:r>
      <w:r>
        <w:rPr>
          <w:b/>
          <w:bCs/>
          <w:sz w:val="28"/>
          <w:szCs w:val="28"/>
          <w:lang w:val="en-IN"/>
        </w:rPr>
        <w:t>LCMB7035</w:t>
      </w:r>
      <w:r>
        <w:rPr>
          <w:b/>
          <w:bCs/>
          <w:sz w:val="28"/>
          <w:szCs w:val="28"/>
          <w:lang w:val="en-IN"/>
        </w:rPr>
        <w:tab/>
      </w:r>
      <w:r>
        <w:rPr>
          <w:b/>
          <w:bCs/>
          <w:sz w:val="28"/>
          <w:szCs w:val="28"/>
          <w:lang w:val="en-IN"/>
        </w:rPr>
        <w:tab/>
      </w:r>
      <w:r>
        <w:rPr>
          <w:b/>
          <w:bCs/>
          <w:sz w:val="28"/>
          <w:szCs w:val="28"/>
          <w:lang w:val="en-IN"/>
        </w:rPr>
        <w:tab/>
      </w:r>
      <w:r>
        <w:rPr>
          <w:b/>
          <w:bCs/>
          <w:sz w:val="28"/>
          <w:szCs w:val="28"/>
          <w:lang w:val="en-IN"/>
        </w:rPr>
        <w:t xml:space="preserve"> </w:t>
      </w:r>
    </w:p>
    <w:p w14:paraId="5991F24D">
      <w:pPr>
        <w:pStyle w:val="2"/>
        <w:keepNext w:val="0"/>
        <w:keepLines w:val="0"/>
        <w:shd w:val="clear" w:color="auto" w:fill="FFFFFF"/>
        <w:spacing w:before="0" w:after="40" w:line="370" w:lineRule="atLeast"/>
        <w:jc w:val="left"/>
        <w:rPr>
          <w:i/>
          <w:iCs/>
          <w:sz w:val="28"/>
          <w:szCs w:val="28"/>
          <w:lang w:val="en-IN"/>
        </w:rPr>
      </w:pPr>
      <w:r>
        <w:rPr>
          <w:sz w:val="28"/>
          <w:szCs w:val="28"/>
        </w:rPr>
        <w:t>Supervisor Name</w:t>
      </w:r>
      <w:r>
        <w:rPr>
          <w:i/>
          <w:iCs/>
          <w:sz w:val="28"/>
          <w:szCs w:val="28"/>
        </w:rPr>
        <w:t xml:space="preserve">:  </w:t>
      </w:r>
      <w:r>
        <w:rPr>
          <w:rFonts w:hint="default"/>
          <w:i w:val="0"/>
          <w:iCs w:val="0"/>
          <w:sz w:val="28"/>
          <w:szCs w:val="28"/>
          <w:lang w:val="en-IN"/>
        </w:rPr>
        <w:t>Dr</w:t>
      </w:r>
      <w:r>
        <w:rPr>
          <w:rFonts w:hint="default"/>
          <w:i/>
          <w:iCs/>
          <w:sz w:val="28"/>
          <w:szCs w:val="28"/>
          <w:lang w:val="en-IN"/>
        </w:rPr>
        <w:t xml:space="preserve">. </w:t>
      </w:r>
      <w:r>
        <w:rPr>
          <w:rFonts w:eastAsia="Segoe UI"/>
          <w:color w:val="242424"/>
          <w:sz w:val="28"/>
          <w:szCs w:val="28"/>
          <w:shd w:val="clear" w:color="auto" w:fill="FFFFFF"/>
        </w:rPr>
        <w:t>Shengfeng Mei</w:t>
      </w:r>
      <w:r>
        <w:rPr>
          <w:i/>
          <w:iCs/>
          <w:sz w:val="28"/>
          <w:szCs w:val="28"/>
        </w:rPr>
        <w:tab/>
      </w:r>
    </w:p>
    <w:p w14:paraId="5991F24E">
      <w:pPr>
        <w:jc w:val="left"/>
        <w:rPr>
          <w:b/>
          <w:bCs/>
          <w:sz w:val="28"/>
          <w:szCs w:val="28"/>
        </w:rPr>
      </w:pPr>
      <w:r>
        <w:rPr>
          <w:b/>
          <w:bCs/>
          <w:sz w:val="28"/>
          <w:szCs w:val="28"/>
        </w:rPr>
        <w:t xml:space="preserve">Term: </w:t>
      </w:r>
      <w:r>
        <w:rPr>
          <w:b/>
          <w:bCs/>
          <w:sz w:val="28"/>
          <w:szCs w:val="28"/>
          <w:lang w:val="en-IN"/>
        </w:rPr>
        <w:t>October</w:t>
      </w:r>
      <w:r>
        <w:rPr>
          <w:b/>
          <w:bCs/>
          <w:sz w:val="28"/>
          <w:szCs w:val="28"/>
        </w:rPr>
        <w:t xml:space="preserve"> 2025</w:t>
      </w:r>
    </w:p>
    <w:p w14:paraId="5991F24F">
      <w:pPr>
        <w:jc w:val="left"/>
        <w:rPr>
          <w:b/>
          <w:bCs/>
          <w:sz w:val="28"/>
          <w:szCs w:val="28"/>
          <w:lang w:val="en-IN"/>
        </w:rPr>
      </w:pPr>
      <w:r>
        <w:rPr>
          <w:b/>
          <w:bCs/>
          <w:sz w:val="28"/>
          <w:szCs w:val="28"/>
        </w:rPr>
        <w:t>Word count: 1</w:t>
      </w:r>
      <w:r>
        <w:rPr>
          <w:b/>
          <w:bCs/>
          <w:sz w:val="28"/>
          <w:szCs w:val="28"/>
          <w:lang w:val="en-IN"/>
        </w:rPr>
        <w:t>5246</w:t>
      </w:r>
    </w:p>
    <w:p w14:paraId="5991F250">
      <w:pPr>
        <w:spacing w:before="240" w:after="240"/>
        <w:rPr>
          <w:b/>
          <w:bCs/>
          <w:sz w:val="28"/>
          <w:szCs w:val="28"/>
          <w:lang w:val="en-IN"/>
        </w:rPr>
      </w:pPr>
      <w:r>
        <w:rPr>
          <w:b/>
          <w:bCs/>
          <w:sz w:val="28"/>
          <w:szCs w:val="28"/>
        </w:rPr>
        <w:t xml:space="preserve">Submission deadline: </w:t>
      </w:r>
      <w:r>
        <w:rPr>
          <w:b/>
          <w:bCs/>
          <w:sz w:val="28"/>
          <w:szCs w:val="28"/>
          <w:lang w:val="en-IN"/>
        </w:rPr>
        <w:t>3</w:t>
      </w:r>
      <w:r>
        <w:rPr>
          <w:b/>
          <w:bCs/>
          <w:sz w:val="28"/>
          <w:szCs w:val="28"/>
          <w:vertAlign w:val="superscript"/>
          <w:lang w:val="en-IN"/>
        </w:rPr>
        <w:t>rd</w:t>
      </w:r>
      <w:r>
        <w:rPr>
          <w:b/>
          <w:bCs/>
          <w:sz w:val="28"/>
          <w:szCs w:val="28"/>
          <w:lang w:val="en-IN"/>
        </w:rPr>
        <w:t xml:space="preserve"> February 2026</w:t>
      </w:r>
    </w:p>
    <w:p w14:paraId="5991F251">
      <w:pPr>
        <w:spacing w:before="240" w:after="240"/>
        <w:rPr>
          <w:b/>
          <w:bCs/>
        </w:rPr>
      </w:pPr>
    </w:p>
    <w:p w14:paraId="5991F252">
      <w:pPr>
        <w:spacing w:before="240" w:after="240"/>
        <w:rPr>
          <w:b/>
          <w:bCs/>
        </w:rPr>
      </w:pPr>
    </w:p>
    <w:p w14:paraId="5991F253">
      <w:pPr>
        <w:spacing w:before="240" w:after="240"/>
        <w:rPr>
          <w:b/>
          <w:bCs/>
        </w:rPr>
      </w:pPr>
    </w:p>
    <w:p w14:paraId="5991F254">
      <w:pPr>
        <w:spacing w:before="240" w:after="240"/>
        <w:jc w:val="center"/>
        <w:rPr>
          <w:b/>
          <w:bCs/>
        </w:rPr>
      </w:pPr>
      <w:r>
        <w:rPr>
          <w:b/>
          <w:bCs/>
        </w:rPr>
        <w:t xml:space="preserve">Acknowledgement </w:t>
      </w:r>
    </w:p>
    <w:p w14:paraId="5991F255">
      <w:pPr>
        <w:spacing w:before="240" w:after="240"/>
      </w:pPr>
      <w:r>
        <w:t>I acknowledge that delving into qualitative articles have contributed towards enhancing the quality of the research. I extend my thanks to the university professional</w:t>
      </w:r>
      <w:r>
        <w:rPr>
          <w:lang w:val="en-IN"/>
        </w:rPr>
        <w:t xml:space="preserve"> </w:t>
      </w:r>
      <w:r>
        <w:rPr>
          <w:rFonts w:hint="default"/>
          <w:b/>
          <w:bCs/>
          <w:lang w:val="en-IN"/>
        </w:rPr>
        <w:t xml:space="preserve">Dr. </w:t>
      </w:r>
      <w:r>
        <w:rPr>
          <w:b/>
          <w:bCs/>
          <w:lang w:val="en-IN"/>
        </w:rPr>
        <w:t>Shengfeng mei</w:t>
      </w:r>
      <w:r>
        <w:t xml:space="preserve"> helped me in this study. I would also like to thank our module leader</w:t>
      </w:r>
      <w:r>
        <w:rPr>
          <w:lang w:val="en-IN"/>
        </w:rPr>
        <w:t xml:space="preserve"> (</w:t>
      </w:r>
      <w:r>
        <w:rPr>
          <w:rStyle w:val="17"/>
          <w:rFonts w:eastAsia="Segoe UI"/>
          <w:color w:val="1D2125"/>
          <w:shd w:val="clear" w:color="auto" w:fill="FFFFFF"/>
        </w:rPr>
        <w:t>Dr</w:t>
      </w:r>
      <w:r>
        <w:rPr>
          <w:rStyle w:val="17"/>
          <w:rFonts w:hint="default" w:eastAsia="Segoe UI"/>
          <w:color w:val="1D2125"/>
          <w:shd w:val="clear" w:color="auto" w:fill="FFFFFF"/>
          <w:lang w:val="en-IN"/>
        </w:rPr>
        <w:t>.</w:t>
      </w:r>
      <w:r>
        <w:rPr>
          <w:rStyle w:val="17"/>
          <w:rFonts w:eastAsia="Segoe UI"/>
          <w:color w:val="1D2125"/>
          <w:shd w:val="clear" w:color="auto" w:fill="FFFFFF"/>
        </w:rPr>
        <w:t xml:space="preserve"> Jia Mia</w:t>
      </w:r>
      <w:r>
        <w:rPr>
          <w:rStyle w:val="17"/>
          <w:rFonts w:eastAsia="Segoe UI"/>
          <w:color w:val="1D2125"/>
          <w:shd w:val="clear" w:color="auto" w:fill="FFFFFF"/>
          <w:lang w:val="en-IN"/>
        </w:rPr>
        <w:t>o</w:t>
      </w:r>
      <w:r>
        <w:rPr>
          <w:rStyle w:val="17"/>
          <w:rFonts w:eastAsia="Segoe UI"/>
          <w:color w:val="1D2125"/>
          <w:sz w:val="20"/>
          <w:szCs w:val="20"/>
          <w:shd w:val="clear" w:color="auto" w:fill="FFFFFF"/>
          <w:lang w:val="en-IN"/>
        </w:rPr>
        <w:t>)</w:t>
      </w:r>
      <w:r>
        <w:t xml:space="preserve"> for providing me with the opportunity to carry out this study. I am thankful to all the professional individuals including my lecturers, supervisors, module coordinators and my peers for supporting me with motivation to conduct this study. Your willingness to share insights into predictive marketing and recycling processes was vital to the successful completion of this research. </w:t>
      </w:r>
    </w:p>
    <w:p w14:paraId="5991F256">
      <w:pPr>
        <w:spacing w:before="240" w:after="240"/>
        <w:rPr>
          <w:b/>
          <w:bCs/>
          <w:i/>
          <w:iCs/>
        </w:rPr>
      </w:pPr>
    </w:p>
    <w:p w14:paraId="5991F257">
      <w:pPr>
        <w:spacing w:before="240" w:after="240"/>
      </w:pPr>
    </w:p>
    <w:p w14:paraId="5991F258">
      <w:pPr>
        <w:spacing w:before="240" w:after="240"/>
      </w:pPr>
    </w:p>
    <w:p w14:paraId="5991F259">
      <w:pPr>
        <w:rPr>
          <w:b/>
          <w:bCs/>
        </w:rPr>
      </w:pPr>
      <w:r>
        <w:br w:type="page"/>
      </w:r>
    </w:p>
    <w:p w14:paraId="5991F25A">
      <w:pPr>
        <w:jc w:val="center"/>
        <w:rPr>
          <w:b/>
          <w:bCs/>
        </w:rPr>
      </w:pPr>
      <w:r>
        <w:rPr>
          <w:b/>
          <w:bCs/>
        </w:rPr>
        <w:t>Abstract</w:t>
      </w:r>
    </w:p>
    <w:p w14:paraId="5991F25B">
      <w:r>
        <w:t>The organisations seeking for analysing material usage patterns need to invest on AI models’ training for optimising the predictive analytics systems. This significant number of finances is required in ensuring seamless material recovery and recycling. Organisations require to audit incumbent cybersecurity provisions along with operational capabilities that require additional finances for establishing the digital infrastructure. The statement means that absence of AI's ability in interpreting incomplete data induces risks for predicting the possibility of reducing waste accumulation.</w:t>
      </w:r>
    </w:p>
    <w:p w14:paraId="5991F25C">
      <w:r>
        <w:t xml:space="preserve">The inclusion and exclusion critter has been significant for delving into credible literature that could enhance the validation of the findings. The research strategy focused on the possibility of determining the number of articles from relevant databases for further segregation. </w:t>
      </w:r>
    </w:p>
    <w:p w14:paraId="5991F25D">
      <w:r>
        <w:t xml:space="preserve">The chapter 3 critically evaluates the role of Artificial Intelligence (AI) in predictive marketing to enhance recycling and material recovery through an analysis of 12 peer-reviewed journal articles. The findings of chapter 3 demonstrate that AI technologies, including machine learning and IoT, provide scalable feasibility for automated waste sorting and identifying target consumers with high predictive accuracy. However, the integration of these frameworks faces significant challenges, including inconsistent data distributions, lack of digital infrastructure, high implementation costs, and workforce skill shortages. Synthesis of the findings and results has been carried out in the discussion section for justifying the results with reliability and validity of the results, aligned with the research questions. </w:t>
      </w:r>
    </w:p>
    <w:p w14:paraId="5991F25E">
      <w:r>
        <w:t>In chapter four, AI-powered predictive marketing has a lot of promise to improve material recovery and recycling participation. However, the effectiveness of AI-based predictive marketing relies on organisational preparedness, strategic investment, and appropriate data governance. The recommendations have focused on improving the ability of material recovery and recyclability where the strategies can be useful for identifying patterns of waste accumulation by customers after using relevant products that can be significant for the manufacturers in altering the method of using material. As a result, the expenses on producing additional materials can be reduced to a significant extent and the rates of recovering/recycling materials can be enhanced.</w:t>
      </w:r>
    </w:p>
    <w:p w14:paraId="5991F25F">
      <w:bookmarkStart w:id="0" w:name="_heading=h.u2nn59qmvotk" w:colFirst="0" w:colLast="0"/>
      <w:bookmarkEnd w:id="0"/>
      <w:r>
        <w:br w:type="page"/>
      </w:r>
    </w:p>
    <w:p w14:paraId="5991F260">
      <w:pPr>
        <w:keepNext/>
        <w:keepLines/>
        <w:spacing w:before="240" w:after="0" w:line="259" w:lineRule="auto"/>
        <w:jc w:val="center"/>
        <w:rPr>
          <w:b/>
          <w:bCs/>
          <w:color w:val="000000"/>
        </w:rPr>
      </w:pPr>
      <w:r>
        <w:rPr>
          <w:b/>
          <w:bCs/>
          <w:color w:val="000000"/>
        </w:rPr>
        <w:t>Table of Contents</w:t>
      </w:r>
    </w:p>
    <w:sdt>
      <w:sdtPr>
        <w:id w:val="1091715925"/>
        <w:docPartObj>
          <w:docPartGallery w:val="Table of Contents"/>
          <w:docPartUnique/>
        </w:docPartObj>
      </w:sdtPr>
      <w:sdtContent>
        <w:p w14:paraId="5991F261">
          <w:pPr>
            <w:pStyle w:val="21"/>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TOC \h \u \z \t "Heading 1,1,Heading 2,2,Heading 3,3,"</w:instrText>
          </w:r>
          <w:r>
            <w:fldChar w:fldCharType="separate"/>
          </w:r>
          <w:r>
            <w:fldChar w:fldCharType="begin"/>
          </w:r>
          <w:r>
            <w:instrText xml:space="preserve"> HYPERLINK \l "_Toc219739478" </w:instrText>
          </w:r>
          <w:r>
            <w:fldChar w:fldCharType="separate"/>
          </w:r>
          <w:r>
            <w:rPr>
              <w:rStyle w:val="15"/>
            </w:rPr>
            <w:t>Chapter 1: Introduction</w:t>
          </w:r>
          <w:r>
            <w:tab/>
          </w:r>
          <w:r>
            <w:fldChar w:fldCharType="begin"/>
          </w:r>
          <w:r>
            <w:instrText xml:space="preserve"> PAGEREF _Toc219739478 \h </w:instrText>
          </w:r>
          <w:r>
            <w:fldChar w:fldCharType="separate"/>
          </w:r>
          <w:r>
            <w:t>8</w:t>
          </w:r>
          <w:r>
            <w:fldChar w:fldCharType="end"/>
          </w:r>
          <w:r>
            <w:fldChar w:fldCharType="end"/>
          </w:r>
        </w:p>
        <w:p w14:paraId="5991F262">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"_Toc219739479" </w:instrText>
          </w:r>
          <w:r>
            <w:fldChar w:fldCharType="separate"/>
          </w:r>
          <w:r>
            <w:rPr>
              <w:rStyle w:val="15"/>
            </w:rPr>
            <w:t>1.1 Overview</w:t>
          </w:r>
          <w:r>
            <w:tab/>
          </w:r>
          <w:r>
            <w:fldChar w:fldCharType="begin"/>
          </w:r>
          <w:r>
            <w:instrText xml:space="preserve"> PAGEREF _Toc219739479 \h </w:instrText>
          </w:r>
          <w:r>
            <w:fldChar w:fldCharType="separate"/>
          </w:r>
          <w:r>
            <w:t>8</w:t>
          </w:r>
          <w:r>
            <w:fldChar w:fldCharType="end"/>
          </w:r>
          <w:r>
            <w:fldChar w:fldCharType="end"/>
          </w:r>
        </w:p>
        <w:p w14:paraId="5991F263">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"_Toc219739480" </w:instrText>
          </w:r>
          <w:r>
            <w:fldChar w:fldCharType="separate"/>
          </w:r>
          <w:r>
            <w:rPr>
              <w:rStyle w:val="15"/>
            </w:rPr>
            <w:t>1.2 Background Study</w:t>
          </w:r>
          <w:r>
            <w:tab/>
          </w:r>
          <w:r>
            <w:fldChar w:fldCharType="begin"/>
          </w:r>
          <w:r>
            <w:instrText xml:space="preserve"> PAGEREF _Toc219739480 \h </w:instrText>
          </w:r>
          <w:r>
            <w:fldChar w:fldCharType="separate"/>
          </w:r>
          <w:r>
            <w:t>8</w:t>
          </w:r>
          <w:r>
            <w:fldChar w:fldCharType="end"/>
          </w:r>
          <w:r>
            <w:fldChar w:fldCharType="end"/>
          </w:r>
        </w:p>
        <w:p w14:paraId="5991F264">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"_Toc219739481" </w:instrText>
          </w:r>
          <w:r>
            <w:fldChar w:fldCharType="separate"/>
          </w:r>
          <w:r>
            <w:rPr>
              <w:rStyle w:val="15"/>
            </w:rPr>
            <w:t>1.3 Problem Statement</w:t>
          </w:r>
          <w:r>
            <w:tab/>
          </w:r>
          <w:r>
            <w:fldChar w:fldCharType="begin"/>
          </w:r>
          <w:r>
            <w:instrText xml:space="preserve"> PAGEREF _Toc219739481 \h </w:instrText>
          </w:r>
          <w:r>
            <w:fldChar w:fldCharType="separate"/>
          </w:r>
          <w:r>
            <w:t>12</w:t>
          </w:r>
          <w:r>
            <w:fldChar w:fldCharType="end"/>
          </w:r>
          <w:r>
            <w:fldChar w:fldCharType="end"/>
          </w:r>
        </w:p>
        <w:p w14:paraId="5991F265">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"_Toc219739482" </w:instrText>
          </w:r>
          <w:r>
            <w:fldChar w:fldCharType="separate"/>
          </w:r>
          <w:r>
            <w:rPr>
              <w:rStyle w:val="15"/>
            </w:rPr>
            <w:t>1.4 Aim and Objectives</w:t>
          </w:r>
          <w:r>
            <w:tab/>
          </w:r>
          <w:r>
            <w:fldChar w:fldCharType="begin"/>
          </w:r>
          <w:r>
            <w:instrText xml:space="preserve"> PAGEREF _Toc219739482 \h </w:instrText>
          </w:r>
          <w:r>
            <w:fldChar w:fldCharType="separate"/>
          </w:r>
          <w:r>
            <w:t>12</w:t>
          </w:r>
          <w:r>
            <w:fldChar w:fldCharType="end"/>
          </w:r>
          <w:r>
            <w:fldChar w:fldCharType="end"/>
          </w:r>
        </w:p>
        <w:p w14:paraId="5991F266">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"_Toc219739483" </w:instrText>
          </w:r>
          <w:r>
            <w:fldChar w:fldCharType="separate"/>
          </w:r>
          <w:r>
            <w:rPr>
              <w:rStyle w:val="15"/>
            </w:rPr>
            <w:t>1.5 Research Rationale</w:t>
          </w:r>
          <w:r>
            <w:tab/>
          </w:r>
          <w:r>
            <w:fldChar w:fldCharType="begin"/>
          </w:r>
          <w:r>
            <w:instrText xml:space="preserve"> PAGEREF _Toc219739483 \h </w:instrText>
          </w:r>
          <w:r>
            <w:fldChar w:fldCharType="separate"/>
          </w:r>
          <w:r>
            <w:t>13</w:t>
          </w:r>
          <w:r>
            <w:fldChar w:fldCharType="end"/>
          </w:r>
          <w:r>
            <w:fldChar w:fldCharType="end"/>
          </w:r>
        </w:p>
        <w:p w14:paraId="5991F267">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"_Toc219739484" </w:instrText>
          </w:r>
          <w:r>
            <w:fldChar w:fldCharType="separate"/>
          </w:r>
          <w:r>
            <w:rPr>
              <w:rStyle w:val="15"/>
            </w:rPr>
            <w:t>1.6 Research Questions</w:t>
          </w:r>
          <w:r>
            <w:tab/>
          </w:r>
          <w:r>
            <w:fldChar w:fldCharType="begin"/>
          </w:r>
          <w:r>
            <w:instrText xml:space="preserve"> PAGEREF _Toc219739484 \h </w:instrText>
          </w:r>
          <w:r>
            <w:fldChar w:fldCharType="separate"/>
          </w:r>
          <w:r>
            <w:t>13</w:t>
          </w:r>
          <w:r>
            <w:fldChar w:fldCharType="end"/>
          </w:r>
          <w:r>
            <w:fldChar w:fldCharType="end"/>
          </w:r>
        </w:p>
        <w:p w14:paraId="5991F268">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"_Toc219739485" </w:instrText>
          </w:r>
          <w:r>
            <w:fldChar w:fldCharType="separate"/>
          </w:r>
          <w:r>
            <w:rPr>
              <w:rStyle w:val="15"/>
            </w:rPr>
            <w:t>1.7 Research Significance</w:t>
          </w:r>
          <w:r>
            <w:tab/>
          </w:r>
          <w:r>
            <w:fldChar w:fldCharType="begin"/>
          </w:r>
          <w:r>
            <w:instrText xml:space="preserve"> PAGEREF _Toc219739485 \h </w:instrText>
          </w:r>
          <w:r>
            <w:fldChar w:fldCharType="separate"/>
          </w:r>
          <w:r>
            <w:t>14</w:t>
          </w:r>
          <w:r>
            <w:fldChar w:fldCharType="end"/>
          </w:r>
          <w:r>
            <w:fldChar w:fldCharType="end"/>
          </w:r>
        </w:p>
        <w:p w14:paraId="5991F269">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"_Toc219739486" </w:instrText>
          </w:r>
          <w:r>
            <w:fldChar w:fldCharType="separate"/>
          </w:r>
          <w:r>
            <w:rPr>
              <w:rStyle w:val="15"/>
            </w:rPr>
            <w:t>1.8 Main Findings from the SLR</w:t>
          </w:r>
          <w:r>
            <w:tab/>
          </w:r>
          <w:r>
            <w:fldChar w:fldCharType="begin"/>
          </w:r>
          <w:r>
            <w:instrText xml:space="preserve"> PAGEREF _Toc219739486 \h </w:instrText>
          </w:r>
          <w:r>
            <w:fldChar w:fldCharType="separate"/>
          </w:r>
          <w:r>
            <w:t>15</w:t>
          </w:r>
          <w:r>
            <w:fldChar w:fldCharType="end"/>
          </w:r>
          <w:r>
            <w:fldChar w:fldCharType="end"/>
          </w:r>
        </w:p>
        <w:p w14:paraId="5991F26A">
          <w:pPr>
            <w:pStyle w:val="21"/>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"_Toc219739487" </w:instrText>
          </w:r>
          <w:r>
            <w:fldChar w:fldCharType="separate"/>
          </w:r>
          <w:r>
            <w:rPr>
              <w:rStyle w:val="15"/>
            </w:rPr>
            <w:t>Chapter 2: Methods-search strategy</w:t>
          </w:r>
          <w:r>
            <w:tab/>
          </w:r>
          <w:r>
            <w:fldChar w:fldCharType="begin"/>
          </w:r>
          <w:r>
            <w:instrText xml:space="preserve"> PAGEREF _Toc219739487 \h </w:instrText>
          </w:r>
          <w:r>
            <w:fldChar w:fldCharType="separate"/>
          </w:r>
          <w:r>
            <w:t>16</w:t>
          </w:r>
          <w:r>
            <w:fldChar w:fldCharType="end"/>
          </w:r>
          <w:r>
            <w:fldChar w:fldCharType="end"/>
          </w:r>
        </w:p>
        <w:p w14:paraId="5991F26B">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"_Toc219739488" </w:instrText>
          </w:r>
          <w:r>
            <w:fldChar w:fldCharType="separate"/>
          </w:r>
          <w:r>
            <w:rPr>
              <w:rStyle w:val="15"/>
            </w:rPr>
            <w:t>2.1 Introduction</w:t>
          </w:r>
          <w:r>
            <w:tab/>
          </w:r>
          <w:r>
            <w:fldChar w:fldCharType="begin"/>
          </w:r>
          <w:r>
            <w:instrText xml:space="preserve"> PAGEREF _Toc219739488 \h </w:instrText>
          </w:r>
          <w:r>
            <w:fldChar w:fldCharType="separate"/>
          </w:r>
          <w:r>
            <w:t>16</w:t>
          </w:r>
          <w:r>
            <w:fldChar w:fldCharType="end"/>
          </w:r>
          <w:r>
            <w:fldChar w:fldCharType="end"/>
          </w:r>
        </w:p>
        <w:p w14:paraId="5991F26C">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"_Toc219739489" </w:instrText>
          </w:r>
          <w:r>
            <w:fldChar w:fldCharType="separate"/>
          </w:r>
          <w:r>
            <w:rPr>
              <w:rStyle w:val="15"/>
            </w:rPr>
            <w:t>2.2 Research philosophy and design</w:t>
          </w:r>
          <w:r>
            <w:tab/>
          </w:r>
          <w:r>
            <w:fldChar w:fldCharType="begin"/>
          </w:r>
          <w:r>
            <w:instrText xml:space="preserve"> PAGEREF _Toc219739489 \h </w:instrText>
          </w:r>
          <w:r>
            <w:fldChar w:fldCharType="separate"/>
          </w:r>
          <w:r>
            <w:t>16</w:t>
          </w:r>
          <w:r>
            <w:fldChar w:fldCharType="end"/>
          </w:r>
          <w:r>
            <w:fldChar w:fldCharType="end"/>
          </w:r>
        </w:p>
        <w:p w14:paraId="5991F26D">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"_Toc219739490" </w:instrText>
          </w:r>
          <w:r>
            <w:fldChar w:fldCharType="separate"/>
          </w:r>
          <w:r>
            <w:rPr>
              <w:rStyle w:val="15"/>
            </w:rPr>
            <w:t>2.3 PRISMA</w:t>
          </w:r>
          <w:r>
            <w:tab/>
          </w:r>
          <w:r>
            <w:fldChar w:fldCharType="begin"/>
          </w:r>
          <w:r>
            <w:instrText xml:space="preserve"> PAGEREF _Toc219739490 \h </w:instrText>
          </w:r>
          <w:r>
            <w:fldChar w:fldCharType="separate"/>
          </w:r>
          <w:r>
            <w:t>18</w:t>
          </w:r>
          <w:r>
            <w:fldChar w:fldCharType="end"/>
          </w:r>
          <w:r>
            <w:fldChar w:fldCharType="end"/>
          </w:r>
        </w:p>
        <w:p w14:paraId="5991F26E">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"_Toc219739491" </w:instrText>
          </w:r>
          <w:r>
            <w:fldChar w:fldCharType="separate"/>
          </w:r>
          <w:r>
            <w:rPr>
              <w:rStyle w:val="15"/>
            </w:rPr>
            <w:t>2.3.1 Summary of the method</w:t>
          </w:r>
          <w:r>
            <w:tab/>
          </w:r>
          <w:r>
            <w:fldChar w:fldCharType="begin"/>
          </w:r>
          <w:r>
            <w:instrText xml:space="preserve"> PAGEREF _Toc219739491 \h </w:instrText>
          </w:r>
          <w:r>
            <w:fldChar w:fldCharType="separate"/>
          </w:r>
          <w:r>
            <w:t>19</w:t>
          </w:r>
          <w:r>
            <w:fldChar w:fldCharType="end"/>
          </w:r>
          <w:r>
            <w:fldChar w:fldCharType="end"/>
          </w:r>
        </w:p>
        <w:p w14:paraId="5991F26F">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"_Toc219739492" </w:instrText>
          </w:r>
          <w:r>
            <w:fldChar w:fldCharType="separate"/>
          </w:r>
          <w:r>
            <w:rPr>
              <w:rStyle w:val="15"/>
            </w:rPr>
            <w:t>2.3.2 Feasibility of using PRISMA</w:t>
          </w:r>
          <w:r>
            <w:tab/>
          </w:r>
          <w:r>
            <w:fldChar w:fldCharType="begin"/>
          </w:r>
          <w:r>
            <w:instrText xml:space="preserve"> PAGEREF _Toc219739492 \h </w:instrText>
          </w:r>
          <w:r>
            <w:fldChar w:fldCharType="separate"/>
          </w:r>
          <w:r>
            <w:t>20</w:t>
          </w:r>
          <w:r>
            <w:fldChar w:fldCharType="end"/>
          </w:r>
          <w:r>
            <w:fldChar w:fldCharType="end"/>
          </w:r>
        </w:p>
        <w:p w14:paraId="5991F270">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"_Toc219739493" </w:instrText>
          </w:r>
          <w:r>
            <w:fldChar w:fldCharType="separate"/>
          </w:r>
          <w:r>
            <w:rPr>
              <w:rStyle w:val="15"/>
            </w:rPr>
            <w:t>2.4 Inclusion and Exclusion criteria</w:t>
          </w:r>
          <w:r>
            <w:tab/>
          </w:r>
          <w:r>
            <w:fldChar w:fldCharType="begin"/>
          </w:r>
          <w:r>
            <w:instrText xml:space="preserve"> PAGEREF _Toc219739493 \h </w:instrText>
          </w:r>
          <w:r>
            <w:fldChar w:fldCharType="separate"/>
          </w:r>
          <w:r>
            <w:t>20</w:t>
          </w:r>
          <w:r>
            <w:fldChar w:fldCharType="end"/>
          </w:r>
          <w:r>
            <w:fldChar w:fldCharType="end"/>
          </w:r>
        </w:p>
        <w:p w14:paraId="5991F271">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"_Toc219739494" </w:instrText>
          </w:r>
          <w:r>
            <w:fldChar w:fldCharType="separate"/>
          </w:r>
          <w:r>
            <w:rPr>
              <w:rStyle w:val="15"/>
            </w:rPr>
            <w:t>2.5 Research strategy and approach</w:t>
          </w:r>
          <w:r>
            <w:tab/>
          </w:r>
          <w:r>
            <w:fldChar w:fldCharType="begin"/>
          </w:r>
          <w:r>
            <w:instrText xml:space="preserve"> PAGEREF _Toc219739494 \h </w:instrText>
          </w:r>
          <w:r>
            <w:fldChar w:fldCharType="separate"/>
          </w:r>
          <w:r>
            <w:t>21</w:t>
          </w:r>
          <w:r>
            <w:fldChar w:fldCharType="end"/>
          </w:r>
          <w:r>
            <w:fldChar w:fldCharType="end"/>
          </w:r>
        </w:p>
        <w:p w14:paraId="5991F272">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"_Toc219739495" </w:instrText>
          </w:r>
          <w:r>
            <w:fldChar w:fldCharType="separate"/>
          </w:r>
          <w:r>
            <w:rPr>
              <w:rStyle w:val="15"/>
            </w:rPr>
            <w:t>2.5.1 Research strategy using Boolean operators</w:t>
          </w:r>
          <w:r>
            <w:tab/>
          </w:r>
          <w:r>
            <w:fldChar w:fldCharType="begin"/>
          </w:r>
          <w:r>
            <w:instrText xml:space="preserve"> PAGEREF _Toc219739495 \h </w:instrText>
          </w:r>
          <w:r>
            <w:fldChar w:fldCharType="separate"/>
          </w:r>
          <w:r>
            <w:t>21</w:t>
          </w:r>
          <w:r>
            <w:fldChar w:fldCharType="end"/>
          </w:r>
          <w:r>
            <w:fldChar w:fldCharType="end"/>
          </w:r>
        </w:p>
        <w:p w14:paraId="5991F273">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"_Toc219739496" </w:instrText>
          </w:r>
          <w:r>
            <w:fldChar w:fldCharType="separate"/>
          </w:r>
          <w:r>
            <w:rPr>
              <w:rStyle w:val="15"/>
            </w:rPr>
            <w:t>2.5.2 Research approach</w:t>
          </w:r>
          <w:r>
            <w:tab/>
          </w:r>
          <w:r>
            <w:fldChar w:fldCharType="begin"/>
          </w:r>
          <w:r>
            <w:instrText xml:space="preserve"> PAGEREF _Toc219739496 \h </w:instrText>
          </w:r>
          <w:r>
            <w:fldChar w:fldCharType="separate"/>
          </w:r>
          <w:r>
            <w:t>22</w:t>
          </w:r>
          <w:r>
            <w:fldChar w:fldCharType="end"/>
          </w:r>
          <w:r>
            <w:fldChar w:fldCharType="end"/>
          </w:r>
        </w:p>
        <w:p w14:paraId="5991F274">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"_Toc219739497" </w:instrText>
          </w:r>
          <w:r>
            <w:fldChar w:fldCharType="separate"/>
          </w:r>
          <w:r>
            <w:rPr>
              <w:rStyle w:val="15"/>
            </w:rPr>
            <w:t>2.6 Data collection method and analysis</w:t>
          </w:r>
          <w:r>
            <w:tab/>
          </w:r>
          <w:r>
            <w:fldChar w:fldCharType="begin"/>
          </w:r>
          <w:r>
            <w:instrText xml:space="preserve"> PAGEREF _Toc219739497 \h </w:instrText>
          </w:r>
          <w:r>
            <w:fldChar w:fldCharType="separate"/>
          </w:r>
          <w:r>
            <w:t>23</w:t>
          </w:r>
          <w:r>
            <w:fldChar w:fldCharType="end"/>
          </w:r>
          <w:r>
            <w:fldChar w:fldCharType="end"/>
          </w:r>
        </w:p>
        <w:p w14:paraId="5991F275">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"_Toc219739498" </w:instrText>
          </w:r>
          <w:r>
            <w:fldChar w:fldCharType="separate"/>
          </w:r>
          <w:r>
            <w:rPr>
              <w:rStyle w:val="15"/>
            </w:rPr>
            <w:t>2.6.1 Data collection method</w:t>
          </w:r>
          <w:r>
            <w:tab/>
          </w:r>
          <w:r>
            <w:fldChar w:fldCharType="begin"/>
          </w:r>
          <w:r>
            <w:instrText xml:space="preserve"> PAGEREF _Toc219739498 \h </w:instrText>
          </w:r>
          <w:r>
            <w:fldChar w:fldCharType="separate"/>
          </w:r>
          <w:r>
            <w:t>23</w:t>
          </w:r>
          <w:r>
            <w:fldChar w:fldCharType="end"/>
          </w:r>
          <w:r>
            <w:fldChar w:fldCharType="end"/>
          </w:r>
        </w:p>
        <w:p w14:paraId="5991F276">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"_Toc219739499" </w:instrText>
          </w:r>
          <w:r>
            <w:fldChar w:fldCharType="separate"/>
          </w:r>
          <w:r>
            <w:rPr>
              <w:rStyle w:val="15"/>
            </w:rPr>
            <w:t>2.6.2 Data analysis</w:t>
          </w:r>
          <w:r>
            <w:tab/>
          </w:r>
          <w:r>
            <w:fldChar w:fldCharType="begin"/>
          </w:r>
          <w:r>
            <w:instrText xml:space="preserve"> PAGEREF _Toc219739499 \h </w:instrText>
          </w:r>
          <w:r>
            <w:fldChar w:fldCharType="separate"/>
          </w:r>
          <w:r>
            <w:t>23</w:t>
          </w:r>
          <w:r>
            <w:fldChar w:fldCharType="end"/>
          </w:r>
          <w:r>
            <w:fldChar w:fldCharType="end"/>
          </w:r>
        </w:p>
        <w:p w14:paraId="5991F277">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"_Toc219739500" </w:instrText>
          </w:r>
          <w:r>
            <w:fldChar w:fldCharType="separate"/>
          </w:r>
          <w:r>
            <w:rPr>
              <w:rStyle w:val="15"/>
            </w:rPr>
            <w:t>2.7 Sampling and technique</w:t>
          </w:r>
          <w:r>
            <w:tab/>
          </w:r>
          <w:r>
            <w:fldChar w:fldCharType="begin"/>
          </w:r>
          <w:r>
            <w:instrText xml:space="preserve"> PAGEREF _Toc219739500 \h </w:instrText>
          </w:r>
          <w:r>
            <w:fldChar w:fldCharType="separate"/>
          </w:r>
          <w:r>
            <w:t>24</w:t>
          </w:r>
          <w:r>
            <w:fldChar w:fldCharType="end"/>
          </w:r>
          <w:r>
            <w:fldChar w:fldCharType="end"/>
          </w:r>
        </w:p>
        <w:p w14:paraId="5991F278">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"_Toc219739501" </w:instrText>
          </w:r>
          <w:r>
            <w:fldChar w:fldCharType="separate"/>
          </w:r>
          <w:r>
            <w:rPr>
              <w:rStyle w:val="15"/>
            </w:rPr>
            <w:t>2.8 Methodological limitation</w:t>
          </w:r>
          <w:r>
            <w:tab/>
          </w:r>
          <w:r>
            <w:fldChar w:fldCharType="begin"/>
          </w:r>
          <w:r>
            <w:instrText xml:space="preserve"> PAGEREF _Toc219739501 \h </w:instrText>
          </w:r>
          <w:r>
            <w:fldChar w:fldCharType="separate"/>
          </w:r>
          <w:r>
            <w:t>24</w:t>
          </w:r>
          <w:r>
            <w:fldChar w:fldCharType="end"/>
          </w:r>
          <w:r>
            <w:fldChar w:fldCharType="end"/>
          </w:r>
        </w:p>
        <w:p w14:paraId="5991F279">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"_Toc219739502" </w:instrText>
          </w:r>
          <w:r>
            <w:fldChar w:fldCharType="separate"/>
          </w:r>
          <w:r>
            <w:rPr>
              <w:rStyle w:val="15"/>
            </w:rPr>
            <w:t>2.9 Summary</w:t>
          </w:r>
          <w:r>
            <w:tab/>
          </w:r>
          <w:r>
            <w:fldChar w:fldCharType="begin"/>
          </w:r>
          <w:r>
            <w:instrText xml:space="preserve"> PAGEREF _Toc219739502 \h </w:instrText>
          </w:r>
          <w:r>
            <w:fldChar w:fldCharType="separate"/>
          </w:r>
          <w:r>
            <w:t>25</w:t>
          </w:r>
          <w:r>
            <w:fldChar w:fldCharType="end"/>
          </w:r>
          <w:r>
            <w:fldChar w:fldCharType="end"/>
          </w:r>
        </w:p>
        <w:p w14:paraId="5991F27A">
          <w:pPr>
            <w:pStyle w:val="21"/>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"_Toc219739503" </w:instrText>
          </w:r>
          <w:r>
            <w:fldChar w:fldCharType="separate"/>
          </w:r>
          <w:r>
            <w:rPr>
              <w:rStyle w:val="15"/>
            </w:rPr>
            <w:t>Chapter 3: Findings and Discussion</w:t>
          </w:r>
          <w:r>
            <w:tab/>
          </w:r>
          <w:r>
            <w:fldChar w:fldCharType="begin"/>
          </w:r>
          <w:r>
            <w:instrText xml:space="preserve"> PAGEREF _Toc219739503 \h </w:instrText>
          </w:r>
          <w:r>
            <w:fldChar w:fldCharType="separate"/>
          </w:r>
          <w:r>
            <w:t>26</w:t>
          </w:r>
          <w:r>
            <w:fldChar w:fldCharType="end"/>
          </w:r>
          <w:r>
            <w:fldChar w:fldCharType="end"/>
          </w:r>
        </w:p>
        <w:p w14:paraId="5991F27B">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"_Toc219739504" </w:instrText>
          </w:r>
          <w:r>
            <w:fldChar w:fldCharType="separate"/>
          </w:r>
          <w:r>
            <w:rPr>
              <w:rStyle w:val="15"/>
            </w:rPr>
            <w:t>3.1 Chapter introduction</w:t>
          </w:r>
          <w:r>
            <w:tab/>
          </w:r>
          <w:r>
            <w:fldChar w:fldCharType="begin"/>
          </w:r>
          <w:r>
            <w:instrText xml:space="preserve"> PAGEREF _Toc219739504 \h </w:instrText>
          </w:r>
          <w:r>
            <w:fldChar w:fldCharType="separate"/>
          </w:r>
          <w:r>
            <w:t>26</w:t>
          </w:r>
          <w:r>
            <w:fldChar w:fldCharType="end"/>
          </w:r>
          <w:r>
            <w:fldChar w:fldCharType="end"/>
          </w:r>
        </w:p>
        <w:p w14:paraId="5991F27C">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"_Toc219739505" </w:instrText>
          </w:r>
          <w:r>
            <w:fldChar w:fldCharType="separate"/>
          </w:r>
          <w:r>
            <w:rPr>
              <w:rStyle w:val="15"/>
            </w:rPr>
            <w:t>3.2 Thematic Analysis</w:t>
          </w:r>
          <w:r>
            <w:tab/>
          </w:r>
          <w:r>
            <w:fldChar w:fldCharType="begin"/>
          </w:r>
          <w:r>
            <w:instrText xml:space="preserve"> PAGEREF _Toc219739505 \h </w:instrText>
          </w:r>
          <w:r>
            <w:fldChar w:fldCharType="separate"/>
          </w:r>
          <w:r>
            <w:t>26</w:t>
          </w:r>
          <w:r>
            <w:fldChar w:fldCharType="end"/>
          </w:r>
          <w:r>
            <w:fldChar w:fldCharType="end"/>
          </w:r>
        </w:p>
        <w:p w14:paraId="5991F27D">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"_Toc219739506" </w:instrText>
          </w:r>
          <w:r>
            <w:fldChar w:fldCharType="separate"/>
          </w:r>
          <w:r>
            <w:rPr>
              <w:rStyle w:val="15"/>
            </w:rPr>
            <w:t>3.2.1 Theme 1: The feasibility of AI technologies for supporting predictive marketing to promote recycling and material recovery</w:t>
          </w:r>
          <w:r>
            <w:tab/>
          </w:r>
          <w:r>
            <w:fldChar w:fldCharType="begin"/>
          </w:r>
          <w:r>
            <w:instrText xml:space="preserve"> PAGEREF _Toc219739506 \h </w:instrText>
          </w:r>
          <w:r>
            <w:fldChar w:fldCharType="separate"/>
          </w:r>
          <w:r>
            <w:t>26</w:t>
          </w:r>
          <w:r>
            <w:fldChar w:fldCharType="end"/>
          </w:r>
          <w:r>
            <w:fldChar w:fldCharType="end"/>
          </w:r>
        </w:p>
        <w:p w14:paraId="5991F27E">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"_Toc219739507" </w:instrText>
          </w:r>
          <w:r>
            <w:fldChar w:fldCharType="separate"/>
          </w:r>
          <w:r>
            <w:rPr>
              <w:rStyle w:val="15"/>
            </w:rPr>
            <w:t>3.2.2 Theme 2: Challenges in integrating AI into predictive marketing frameworks for recycling and material recovery</w:t>
          </w:r>
          <w:r>
            <w:tab/>
          </w:r>
          <w:r>
            <w:fldChar w:fldCharType="begin"/>
          </w:r>
          <w:r>
            <w:instrText xml:space="preserve"> PAGEREF _Toc219739507 \h </w:instrText>
          </w:r>
          <w:r>
            <w:fldChar w:fldCharType="separate"/>
          </w:r>
          <w:r>
            <w:t>29</w:t>
          </w:r>
          <w:r>
            <w:fldChar w:fldCharType="end"/>
          </w:r>
          <w:r>
            <w:fldChar w:fldCharType="end"/>
          </w:r>
        </w:p>
        <w:p w14:paraId="5991F27F">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"_Toc219739508" </w:instrText>
          </w:r>
          <w:r>
            <w:fldChar w:fldCharType="separate"/>
          </w:r>
          <w:r>
            <w:rPr>
              <w:rStyle w:val="15"/>
            </w:rPr>
            <w:t>3.2.3 Theme 3-Strategies in increasing customer engagement and promoting higher recycling participation through AI-driven predictive marketing</w:t>
          </w:r>
          <w:r>
            <w:tab/>
          </w:r>
          <w:r>
            <w:fldChar w:fldCharType="begin"/>
          </w:r>
          <w:r>
            <w:instrText xml:space="preserve"> PAGEREF _Toc219739508 \h </w:instrText>
          </w:r>
          <w:r>
            <w:fldChar w:fldCharType="separate"/>
          </w:r>
          <w:r>
            <w:t>32</w:t>
          </w:r>
          <w:r>
            <w:fldChar w:fldCharType="end"/>
          </w:r>
          <w:r>
            <w:fldChar w:fldCharType="end"/>
          </w:r>
        </w:p>
        <w:p w14:paraId="5991F280">
          <w:pPr>
            <w:pStyle w:val="23"/>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"_Toc219739509" </w:instrText>
          </w:r>
          <w:r>
            <w:fldChar w:fldCharType="separate"/>
          </w:r>
          <w:r>
            <w:rPr>
              <w:rStyle w:val="15"/>
            </w:rPr>
            <w:t>3.2.4 Theme 4- Effectiveness of AI-powered predictive models for behavioural assessment towards regarding recycling and material recovery</w:t>
          </w:r>
          <w:r>
            <w:tab/>
          </w:r>
          <w:r>
            <w:fldChar w:fldCharType="begin"/>
          </w:r>
          <w:r>
            <w:instrText xml:space="preserve"> PAGEREF _Toc219739509 \h </w:instrText>
          </w:r>
          <w:r>
            <w:fldChar w:fldCharType="separate"/>
          </w:r>
          <w:r>
            <w:t>35</w:t>
          </w:r>
          <w:r>
            <w:fldChar w:fldCharType="end"/>
          </w:r>
          <w:r>
            <w:fldChar w:fldCharType="end"/>
          </w:r>
        </w:p>
        <w:p w14:paraId="5991F281">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"_Toc219739510" </w:instrText>
          </w:r>
          <w:r>
            <w:fldChar w:fldCharType="separate"/>
          </w:r>
          <w:r>
            <w:rPr>
              <w:rStyle w:val="15"/>
            </w:rPr>
            <w:t>3.3 Numerical Analysis</w:t>
          </w:r>
          <w:r>
            <w:tab/>
          </w:r>
          <w:r>
            <w:fldChar w:fldCharType="begin"/>
          </w:r>
          <w:r>
            <w:instrText xml:space="preserve"> PAGEREF _Toc219739510 \h </w:instrText>
          </w:r>
          <w:r>
            <w:fldChar w:fldCharType="separate"/>
          </w:r>
          <w:r>
            <w:t>53</w:t>
          </w:r>
          <w:r>
            <w:fldChar w:fldCharType="end"/>
          </w:r>
          <w:r>
            <w:fldChar w:fldCharType="end"/>
          </w:r>
        </w:p>
        <w:p w14:paraId="5991F282">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"_Toc219739511" </w:instrText>
          </w:r>
          <w:r>
            <w:fldChar w:fldCharType="separate"/>
          </w:r>
          <w:r>
            <w:rPr>
              <w:rStyle w:val="15"/>
            </w:rPr>
            <w:t>3.3 Discussion</w:t>
          </w:r>
          <w:r>
            <w:tab/>
          </w:r>
          <w:r>
            <w:fldChar w:fldCharType="begin"/>
          </w:r>
          <w:r>
            <w:instrText xml:space="preserve"> PAGEREF _Toc219739511 \h </w:instrText>
          </w:r>
          <w:r>
            <w:fldChar w:fldCharType="separate"/>
          </w:r>
          <w:r>
            <w:t>54</w:t>
          </w:r>
          <w:r>
            <w:fldChar w:fldCharType="end"/>
          </w:r>
          <w:r>
            <w:fldChar w:fldCharType="end"/>
          </w:r>
        </w:p>
        <w:p w14:paraId="5991F283">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"_Toc219739512" </w:instrText>
          </w:r>
          <w:r>
            <w:fldChar w:fldCharType="separate"/>
          </w:r>
          <w:r>
            <w:rPr>
              <w:rStyle w:val="15"/>
            </w:rPr>
            <w:t>3.4 Chapter Summary</w:t>
          </w:r>
          <w:r>
            <w:tab/>
          </w:r>
          <w:r>
            <w:fldChar w:fldCharType="begin"/>
          </w:r>
          <w:r>
            <w:instrText xml:space="preserve"> PAGEREF _Toc219739512 \h </w:instrText>
          </w:r>
          <w:r>
            <w:fldChar w:fldCharType="separate"/>
          </w:r>
          <w:r>
            <w:t>60</w:t>
          </w:r>
          <w:r>
            <w:fldChar w:fldCharType="end"/>
          </w:r>
          <w:r>
            <w:fldChar w:fldCharType="end"/>
          </w:r>
        </w:p>
        <w:p w14:paraId="5991F284">
          <w:pPr>
            <w:pStyle w:val="21"/>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"_Toc219739513" </w:instrText>
          </w:r>
          <w:r>
            <w:fldChar w:fldCharType="separate"/>
          </w:r>
          <w:r>
            <w:rPr>
              <w:rStyle w:val="15"/>
            </w:rPr>
            <w:t>Chapter 4: Implications, Limitations, and Future Research Directions</w:t>
          </w:r>
          <w:r>
            <w:tab/>
          </w:r>
          <w:r>
            <w:fldChar w:fldCharType="begin"/>
          </w:r>
          <w:r>
            <w:instrText xml:space="preserve"> PAGEREF _Toc219739513 \h </w:instrText>
          </w:r>
          <w:r>
            <w:fldChar w:fldCharType="separate"/>
          </w:r>
          <w:r>
            <w:t>62</w:t>
          </w:r>
          <w:r>
            <w:fldChar w:fldCharType="end"/>
          </w:r>
          <w:r>
            <w:fldChar w:fldCharType="end"/>
          </w:r>
        </w:p>
        <w:p w14:paraId="5991F285">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"_Toc219739514" </w:instrText>
          </w:r>
          <w:r>
            <w:fldChar w:fldCharType="separate"/>
          </w:r>
          <w:r>
            <w:rPr>
              <w:rStyle w:val="15"/>
            </w:rPr>
            <w:t>4.1 Implications</w:t>
          </w:r>
          <w:r>
            <w:tab/>
          </w:r>
          <w:r>
            <w:fldChar w:fldCharType="begin"/>
          </w:r>
          <w:r>
            <w:instrText xml:space="preserve"> PAGEREF _Toc219739514 \h </w:instrText>
          </w:r>
          <w:r>
            <w:fldChar w:fldCharType="separate"/>
          </w:r>
          <w:r>
            <w:t>62</w:t>
          </w:r>
          <w:r>
            <w:fldChar w:fldCharType="end"/>
          </w:r>
          <w:r>
            <w:fldChar w:fldCharType="end"/>
          </w:r>
        </w:p>
        <w:p w14:paraId="5991F286">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"_Toc219739515" </w:instrText>
          </w:r>
          <w:r>
            <w:fldChar w:fldCharType="separate"/>
          </w:r>
          <w:r>
            <w:rPr>
              <w:rStyle w:val="15"/>
            </w:rPr>
            <w:t>4.2 Linking Findings with Research Objectives</w:t>
          </w:r>
          <w:r>
            <w:tab/>
          </w:r>
          <w:r>
            <w:fldChar w:fldCharType="begin"/>
          </w:r>
          <w:r>
            <w:instrText xml:space="preserve"> PAGEREF _Toc219739515 \h </w:instrText>
          </w:r>
          <w:r>
            <w:fldChar w:fldCharType="separate"/>
          </w:r>
          <w:r>
            <w:t>62</w:t>
          </w:r>
          <w:r>
            <w:fldChar w:fldCharType="end"/>
          </w:r>
          <w:r>
            <w:fldChar w:fldCharType="end"/>
          </w:r>
        </w:p>
        <w:p w14:paraId="5991F287">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"_Toc219739516" </w:instrText>
          </w:r>
          <w:r>
            <w:fldChar w:fldCharType="separate"/>
          </w:r>
          <w:r>
            <w:rPr>
              <w:rStyle w:val="15"/>
            </w:rPr>
            <w:t>4.3 Recommendations</w:t>
          </w:r>
          <w:r>
            <w:tab/>
          </w:r>
          <w:r>
            <w:fldChar w:fldCharType="begin"/>
          </w:r>
          <w:r>
            <w:instrText xml:space="preserve"> PAGEREF _Toc219739516 \h </w:instrText>
          </w:r>
          <w:r>
            <w:fldChar w:fldCharType="separate"/>
          </w:r>
          <w:r>
            <w:t>63</w:t>
          </w:r>
          <w:r>
            <w:fldChar w:fldCharType="end"/>
          </w:r>
          <w:r>
            <w:fldChar w:fldCharType="end"/>
          </w:r>
        </w:p>
        <w:p w14:paraId="5991F288">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"_Toc219739517" </w:instrText>
          </w:r>
          <w:r>
            <w:fldChar w:fldCharType="separate"/>
          </w:r>
          <w:r>
            <w:rPr>
              <w:rStyle w:val="15"/>
            </w:rPr>
            <w:t>4.4 Limitations of the study</w:t>
          </w:r>
          <w:r>
            <w:tab/>
          </w:r>
          <w:r>
            <w:fldChar w:fldCharType="begin"/>
          </w:r>
          <w:r>
            <w:instrText xml:space="preserve"> PAGEREF _Toc219739517 \h </w:instrText>
          </w:r>
          <w:r>
            <w:fldChar w:fldCharType="separate"/>
          </w:r>
          <w:r>
            <w:t>65</w:t>
          </w:r>
          <w:r>
            <w:fldChar w:fldCharType="end"/>
          </w:r>
          <w:r>
            <w:fldChar w:fldCharType="end"/>
          </w:r>
        </w:p>
        <w:p w14:paraId="5991F289">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"_Toc219739518" </w:instrText>
          </w:r>
          <w:r>
            <w:fldChar w:fldCharType="separate"/>
          </w:r>
          <w:r>
            <w:rPr>
              <w:rStyle w:val="15"/>
            </w:rPr>
            <w:t>4.5 Future Research Direction</w:t>
          </w:r>
          <w:r>
            <w:tab/>
          </w:r>
          <w:r>
            <w:fldChar w:fldCharType="begin"/>
          </w:r>
          <w:r>
            <w:instrText xml:space="preserve"> PAGEREF _Toc219739518 \h </w:instrText>
          </w:r>
          <w:r>
            <w:fldChar w:fldCharType="separate"/>
          </w:r>
          <w:r>
            <w:t>65</w:t>
          </w:r>
          <w:r>
            <w:fldChar w:fldCharType="end"/>
          </w:r>
          <w:r>
            <w:fldChar w:fldCharType="end"/>
          </w:r>
        </w:p>
        <w:p w14:paraId="5991F28A">
          <w:pPr>
            <w:pStyle w:val="21"/>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"_Toc219739519" </w:instrText>
          </w:r>
          <w:r>
            <w:fldChar w:fldCharType="separate"/>
          </w:r>
          <w:r>
            <w:rPr>
              <w:rStyle w:val="15"/>
            </w:rPr>
            <w:t>Chapter 5: Conclusion</w:t>
          </w:r>
          <w:r>
            <w:tab/>
          </w:r>
          <w:r>
            <w:fldChar w:fldCharType="begin"/>
          </w:r>
          <w:r>
            <w:instrText xml:space="preserve"> PAGEREF _Toc219739519 \h </w:instrText>
          </w:r>
          <w:r>
            <w:fldChar w:fldCharType="separate"/>
          </w:r>
          <w:r>
            <w:t>66</w:t>
          </w:r>
          <w:r>
            <w:fldChar w:fldCharType="end"/>
          </w:r>
          <w:r>
            <w:fldChar w:fldCharType="end"/>
          </w:r>
        </w:p>
        <w:p w14:paraId="5991F28B">
          <w:pPr>
            <w:pStyle w:val="22"/>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"_Toc219739520" </w:instrText>
          </w:r>
          <w:r>
            <w:fldChar w:fldCharType="separate"/>
          </w:r>
          <w:r>
            <w:rPr>
              <w:rStyle w:val="15"/>
            </w:rPr>
            <w:t>5.1 Conclusion</w:t>
          </w:r>
          <w:r>
            <w:tab/>
          </w:r>
          <w:r>
            <w:fldChar w:fldCharType="begin"/>
          </w:r>
          <w:r>
            <w:instrText xml:space="preserve"> PAGEREF _Toc219739520 \h </w:instrText>
          </w:r>
          <w:r>
            <w:fldChar w:fldCharType="separate"/>
          </w:r>
          <w:r>
            <w:t>66</w:t>
          </w:r>
          <w:r>
            <w:fldChar w:fldCharType="end"/>
          </w:r>
          <w:r>
            <w:fldChar w:fldCharType="end"/>
          </w:r>
        </w:p>
        <w:p w14:paraId="5991F28C">
          <w:pPr>
            <w:pStyle w:val="21"/>
            <w:tabs>
              <w:tab w:val="right" w:leader="dot" w:pos="9019"/>
            </w:tabs>
            <w:spacing w:before="0" w:after="0"/>
            <w:rPr>
              <w:rFonts w:asciiTheme="minorHAnsi" w:hAnsiTheme="minorHAnsi" w:eastAsiaTheme="minorEastAsia" w:cstheme="minorBidi"/>
              <w:sz w:val="22"/>
              <w:szCs w:val="22"/>
              <w:lang w:eastAsia="en-GB"/>
            </w:rPr>
          </w:pPr>
          <w:r>
            <w:fldChar w:fldCharType="begin"/>
          </w:r>
          <w:r>
            <w:instrText xml:space="preserve"> HYPERLINK \l "_Toc219739521" </w:instrText>
          </w:r>
          <w:r>
            <w:fldChar w:fldCharType="separate"/>
          </w:r>
          <w:r>
            <w:rPr>
              <w:rStyle w:val="15"/>
            </w:rPr>
            <w:t>References</w:t>
          </w:r>
          <w:r>
            <w:tab/>
          </w:r>
          <w:r>
            <w:fldChar w:fldCharType="begin"/>
          </w:r>
          <w:r>
            <w:instrText xml:space="preserve"> PAGEREF _Toc219739521 \h </w:instrText>
          </w:r>
          <w:r>
            <w:fldChar w:fldCharType="separate"/>
          </w:r>
          <w:r>
            <w:t>68</w:t>
          </w:r>
          <w:r>
            <w:fldChar w:fldCharType="end"/>
          </w:r>
          <w:r>
            <w:fldChar w:fldCharType="end"/>
          </w:r>
        </w:p>
        <w:p w14:paraId="5991F28D">
          <w:r>
            <w:fldChar w:fldCharType="end"/>
          </w:r>
        </w:p>
      </w:sdtContent>
    </w:sdt>
    <w:p w14:paraId="5991F28E">
      <w:pPr>
        <w:rPr>
          <w:b/>
          <w:bCs/>
        </w:rPr>
      </w:pPr>
      <w:r>
        <w:rPr>
          <w:b/>
          <w:bCs/>
        </w:rPr>
        <w:br w:type="page"/>
      </w:r>
    </w:p>
    <w:p w14:paraId="5991F28F">
      <w:pPr>
        <w:jc w:val="center"/>
        <w:rPr>
          <w:b/>
          <w:bCs/>
        </w:rPr>
      </w:pPr>
      <w:r>
        <w:rPr>
          <w:b/>
          <w:bCs/>
        </w:rPr>
        <w:t xml:space="preserve">List of Figures </w:t>
      </w:r>
    </w:p>
    <w:p w14:paraId="5991F290">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TOC \h \z \t "Heading 4" \c "Figure" </w:instrText>
      </w:r>
      <w:r>
        <w:fldChar w:fldCharType="separate"/>
      </w:r>
      <w:r>
        <w:fldChar w:fldCharType="begin"/>
      </w:r>
      <w:r>
        <w:instrText xml:space="preserve"> HYPERLINK \l "_Toc219739522" </w:instrText>
      </w:r>
      <w:r>
        <w:fldChar w:fldCharType="separate"/>
      </w:r>
      <w:r>
        <w:rPr>
          <w:rStyle w:val="15"/>
        </w:rPr>
        <w:t>Figure 1.1: Global municipal solid waste project in trends</w:t>
      </w:r>
      <w:r>
        <w:tab/>
      </w:r>
      <w:r>
        <w:fldChar w:fldCharType="begin"/>
      </w:r>
      <w:r>
        <w:instrText xml:space="preserve"> PAGEREF _Toc219739522 \h </w:instrText>
      </w:r>
      <w:r>
        <w:fldChar w:fldCharType="separate"/>
      </w:r>
      <w:r>
        <w:t>8</w:t>
      </w:r>
      <w:r>
        <w:fldChar w:fldCharType="end"/>
      </w:r>
      <w:r>
        <w:fldChar w:fldCharType="end"/>
      </w:r>
    </w:p>
    <w:p w14:paraId="5991F291">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"_Toc219739523" </w:instrText>
      </w:r>
      <w:r>
        <w:fldChar w:fldCharType="separate"/>
      </w:r>
      <w:r>
        <w:rPr>
          <w:rStyle w:val="15"/>
        </w:rPr>
        <w:t>Figure 1.2: European Union’s municipal water generation from 2013 to 2023</w:t>
      </w:r>
      <w:r>
        <w:tab/>
      </w:r>
      <w:r>
        <w:fldChar w:fldCharType="begin"/>
      </w:r>
      <w:r>
        <w:instrText xml:space="preserve"> PAGEREF _Toc219739523 \h </w:instrText>
      </w:r>
      <w:r>
        <w:fldChar w:fldCharType="separate"/>
      </w:r>
      <w:r>
        <w:t>10</w:t>
      </w:r>
      <w:r>
        <w:fldChar w:fldCharType="end"/>
      </w:r>
      <w:r>
        <w:fldChar w:fldCharType="end"/>
      </w:r>
    </w:p>
    <w:p w14:paraId="5991F292">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"_Toc219739524" </w:instrText>
      </w:r>
      <w:r>
        <w:fldChar w:fldCharType="separate"/>
      </w:r>
      <w:r>
        <w:rPr>
          <w:rStyle w:val="15"/>
        </w:rPr>
        <w:t>Figure 2.1: PRISMA Flowchart</w:t>
      </w:r>
      <w:r>
        <w:tab/>
      </w:r>
      <w:r>
        <w:fldChar w:fldCharType="begin"/>
      </w:r>
      <w:r>
        <w:instrText xml:space="preserve"> PAGEREF _Toc219739524 \h </w:instrText>
      </w:r>
      <w:r>
        <w:fldChar w:fldCharType="separate"/>
      </w:r>
      <w:r>
        <w:t>17</w:t>
      </w:r>
      <w:r>
        <w:fldChar w:fldCharType="end"/>
      </w:r>
      <w:r>
        <w:fldChar w:fldCharType="end"/>
      </w:r>
    </w:p>
    <w:p w14:paraId="5991F293">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"_Toc219739525" </w:instrText>
      </w:r>
      <w:r>
        <w:fldChar w:fldCharType="separate"/>
      </w:r>
      <w:r>
        <w:rPr>
          <w:rStyle w:val="15"/>
        </w:rPr>
        <w:t>Figure 3.1: Role of AI based mechanical, thermochemical and biological process of plastic recycling</w:t>
      </w:r>
      <w:r>
        <w:tab/>
      </w:r>
      <w:r>
        <w:fldChar w:fldCharType="begin"/>
      </w:r>
      <w:r>
        <w:instrText xml:space="preserve"> PAGEREF _Toc219739525 \h </w:instrText>
      </w:r>
      <w:r>
        <w:fldChar w:fldCharType="separate"/>
      </w:r>
      <w:r>
        <w:t>27</w:t>
      </w:r>
      <w:r>
        <w:fldChar w:fldCharType="end"/>
      </w:r>
      <w:r>
        <w:fldChar w:fldCharType="end"/>
      </w:r>
    </w:p>
    <w:p w14:paraId="5991F294">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"_Toc219739526" </w:instrText>
      </w:r>
      <w:r>
        <w:fldChar w:fldCharType="separate"/>
      </w:r>
      <w:r>
        <w:rPr>
          <w:rStyle w:val="15"/>
        </w:rPr>
        <w:t>Figure 3.2: AI based Smart Garbage Classification Dataset</w:t>
      </w:r>
      <w:r>
        <w:tab/>
      </w:r>
      <w:r>
        <w:fldChar w:fldCharType="begin"/>
      </w:r>
      <w:r>
        <w:instrText xml:space="preserve"> PAGEREF _Toc219739526 \h </w:instrText>
      </w:r>
      <w:r>
        <w:fldChar w:fldCharType="separate"/>
      </w:r>
      <w:r>
        <w:t>28</w:t>
      </w:r>
      <w:r>
        <w:fldChar w:fldCharType="end"/>
      </w:r>
      <w:r>
        <w:fldChar w:fldCharType="end"/>
      </w:r>
    </w:p>
    <w:p w14:paraId="5991F295">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"_Toc219739527" </w:instrText>
      </w:r>
      <w:r>
        <w:fldChar w:fldCharType="separate"/>
      </w:r>
      <w:r>
        <w:rPr>
          <w:rStyle w:val="15"/>
        </w:rPr>
        <w:t>Figure 3.3: Lithium Ion Battery Recycling rate</w:t>
      </w:r>
      <w:r>
        <w:tab/>
      </w:r>
      <w:r>
        <w:fldChar w:fldCharType="begin"/>
      </w:r>
      <w:r>
        <w:instrText xml:space="preserve"> PAGEREF _Toc219739527 \h </w:instrText>
      </w:r>
      <w:r>
        <w:fldChar w:fldCharType="separate"/>
      </w:r>
      <w:r>
        <w:t>29</w:t>
      </w:r>
      <w:r>
        <w:fldChar w:fldCharType="end"/>
      </w:r>
      <w:r>
        <w:fldChar w:fldCharType="end"/>
      </w:r>
    </w:p>
    <w:p w14:paraId="5991F296">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"_Toc219739528" </w:instrText>
      </w:r>
      <w:r>
        <w:fldChar w:fldCharType="separate"/>
      </w:r>
      <w:r>
        <w:rPr>
          <w:rStyle w:val="15"/>
        </w:rPr>
        <w:t>Figure 3.3 AI-based Smart Waste Management</w:t>
      </w:r>
      <w:r>
        <w:tab/>
      </w:r>
      <w:r>
        <w:fldChar w:fldCharType="begin"/>
      </w:r>
      <w:r>
        <w:instrText xml:space="preserve"> PAGEREF _Toc219739528 \h </w:instrText>
      </w:r>
      <w:r>
        <w:fldChar w:fldCharType="separate"/>
      </w:r>
      <w:r>
        <w:t>35</w:t>
      </w:r>
      <w:r>
        <w:fldChar w:fldCharType="end"/>
      </w:r>
      <w:r>
        <w:fldChar w:fldCharType="end"/>
      </w:r>
    </w:p>
    <w:p w14:paraId="5991F297">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"_Toc219739529" </w:instrText>
      </w:r>
      <w:r>
        <w:fldChar w:fldCharType="separate"/>
      </w:r>
      <w:r>
        <w:rPr>
          <w:rStyle w:val="15"/>
        </w:rPr>
        <w:t>Figure 3.4 GarbageLife Cycle Production</w:t>
      </w:r>
      <w:r>
        <w:tab/>
      </w:r>
      <w:r>
        <w:fldChar w:fldCharType="begin"/>
      </w:r>
      <w:r>
        <w:instrText xml:space="preserve"> PAGEREF _Toc219739529 \h </w:instrText>
      </w:r>
      <w:r>
        <w:fldChar w:fldCharType="separate"/>
      </w:r>
      <w:r>
        <w:t>36</w:t>
      </w:r>
      <w:r>
        <w:fldChar w:fldCharType="end"/>
      </w:r>
      <w:r>
        <w:fldChar w:fldCharType="end"/>
      </w:r>
    </w:p>
    <w:p w14:paraId="5991F298">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"_Toc219739530" </w:instrText>
      </w:r>
      <w:r>
        <w:fldChar w:fldCharType="separate"/>
      </w:r>
      <w:r>
        <w:rPr>
          <w:rStyle w:val="15"/>
        </w:rPr>
        <w:t>Figure 3.5: Numerical Graph of chosen papers</w:t>
      </w:r>
      <w:r>
        <w:tab/>
      </w:r>
      <w:r>
        <w:fldChar w:fldCharType="begin"/>
      </w:r>
      <w:r>
        <w:instrText xml:space="preserve"> PAGEREF _Toc219739530 \h </w:instrText>
      </w:r>
      <w:r>
        <w:fldChar w:fldCharType="separate"/>
      </w:r>
      <w:r>
        <w:t>53</w:t>
      </w:r>
      <w:r>
        <w:fldChar w:fldCharType="end"/>
      </w:r>
      <w:r>
        <w:fldChar w:fldCharType="end"/>
      </w:r>
    </w:p>
    <w:p w14:paraId="5991F299">
      <w:pPr>
        <w:rPr>
          <w:b/>
          <w:bCs/>
        </w:rPr>
      </w:pPr>
      <w:r>
        <w:fldChar w:fldCharType="end"/>
      </w:r>
      <w:r>
        <w:br w:type="page"/>
      </w:r>
    </w:p>
    <w:p w14:paraId="5991F29A">
      <w:pPr>
        <w:jc w:val="center"/>
        <w:rPr>
          <w:b/>
          <w:bCs/>
        </w:rPr>
      </w:pPr>
      <w:r>
        <w:rPr>
          <w:b/>
          <w:bCs/>
        </w:rPr>
        <w:t xml:space="preserve">List of Tables </w:t>
      </w:r>
    </w:p>
    <w:p w14:paraId="5991F29B">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TOC \h \z \t "Heading 5" \c "Table" </w:instrText>
      </w:r>
      <w:r>
        <w:fldChar w:fldCharType="separate"/>
      </w:r>
      <w:r>
        <w:fldChar w:fldCharType="begin"/>
      </w:r>
      <w:r>
        <w:instrText xml:space="preserve"> HYPERLINK \l "_Toc219739531" </w:instrText>
      </w:r>
      <w:r>
        <w:fldChar w:fldCharType="separate"/>
      </w:r>
      <w:r>
        <w:rPr>
          <w:rStyle w:val="15"/>
        </w:rPr>
        <w:t>Table 2.1: Key steps of PRISMA for this study</w:t>
      </w:r>
      <w:r>
        <w:tab/>
      </w:r>
      <w:r>
        <w:fldChar w:fldCharType="begin"/>
      </w:r>
      <w:r>
        <w:instrText xml:space="preserve"> PAGEREF _Toc219739531 \h </w:instrText>
      </w:r>
      <w:r>
        <w:fldChar w:fldCharType="separate"/>
      </w:r>
      <w:r>
        <w:t>18</w:t>
      </w:r>
      <w:r>
        <w:fldChar w:fldCharType="end"/>
      </w:r>
      <w:r>
        <w:fldChar w:fldCharType="end"/>
      </w:r>
    </w:p>
    <w:p w14:paraId="5991F29C">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"_Toc219739532" </w:instrText>
      </w:r>
      <w:r>
        <w:fldChar w:fldCharType="separate"/>
      </w:r>
      <w:r>
        <w:rPr>
          <w:rStyle w:val="15"/>
        </w:rPr>
        <w:t>Table 2.2: Inclusion and Exclusion criteria</w:t>
      </w:r>
      <w:r>
        <w:tab/>
      </w:r>
      <w:r>
        <w:fldChar w:fldCharType="begin"/>
      </w:r>
      <w:r>
        <w:instrText xml:space="preserve"> PAGEREF _Toc219739532 \h </w:instrText>
      </w:r>
      <w:r>
        <w:fldChar w:fldCharType="separate"/>
      </w:r>
      <w:r>
        <w:t>20</w:t>
      </w:r>
      <w:r>
        <w:fldChar w:fldCharType="end"/>
      </w:r>
      <w:r>
        <w:fldChar w:fldCharType="end"/>
      </w:r>
    </w:p>
    <w:p w14:paraId="5991F29D">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"_Toc219739533" </w:instrText>
      </w:r>
      <w:r>
        <w:fldChar w:fldCharType="separate"/>
      </w:r>
      <w:r>
        <w:rPr>
          <w:rStyle w:val="15"/>
        </w:rPr>
        <w:t>Table 2.3: “Boolean operators”</w:t>
      </w:r>
      <w:r>
        <w:tab/>
      </w:r>
      <w:r>
        <w:fldChar w:fldCharType="begin"/>
      </w:r>
      <w:r>
        <w:instrText xml:space="preserve"> PAGEREF _Toc219739533 \h </w:instrText>
      </w:r>
      <w:r>
        <w:fldChar w:fldCharType="separate"/>
      </w:r>
      <w:r>
        <w:t>21</w:t>
      </w:r>
      <w:r>
        <w:fldChar w:fldCharType="end"/>
      </w:r>
      <w:r>
        <w:fldChar w:fldCharType="end"/>
      </w:r>
    </w:p>
    <w:p w14:paraId="5991F29E">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"_Toc219739534" </w:instrText>
      </w:r>
      <w:r>
        <w:fldChar w:fldCharType="separate"/>
      </w:r>
      <w:r>
        <w:rPr>
          <w:rStyle w:val="15"/>
        </w:rPr>
        <w:t>Table 3.2: Thematic Table</w:t>
      </w:r>
      <w:r>
        <w:tab/>
      </w:r>
      <w:r>
        <w:fldChar w:fldCharType="begin"/>
      </w:r>
      <w:r>
        <w:instrText xml:space="preserve"> PAGEREF _Toc219739534 \h </w:instrText>
      </w:r>
      <w:r>
        <w:fldChar w:fldCharType="separate"/>
      </w:r>
      <w:r>
        <w:t>52</w:t>
      </w:r>
      <w:r>
        <w:fldChar w:fldCharType="end"/>
      </w:r>
      <w:r>
        <w:fldChar w:fldCharType="end"/>
      </w:r>
    </w:p>
    <w:p w14:paraId="5991F29F">
      <w:pPr>
        <w:pStyle w:val="19"/>
        <w:tabs>
          <w:tab w:val="right" w:leader="dot" w:pos="9019"/>
        </w:tabs>
        <w:spacing w:before="0"/>
        <w:rPr>
          <w:rFonts w:asciiTheme="minorHAnsi" w:hAnsiTheme="minorHAnsi" w:eastAsiaTheme="minorEastAsia" w:cstheme="minorBidi"/>
          <w:sz w:val="22"/>
          <w:szCs w:val="22"/>
          <w:lang w:eastAsia="en-GB"/>
        </w:rPr>
      </w:pPr>
      <w:r>
        <w:fldChar w:fldCharType="begin"/>
      </w:r>
      <w:r>
        <w:instrText xml:space="preserve"> HYPERLINK \l "_Toc219739535" </w:instrText>
      </w:r>
      <w:r>
        <w:fldChar w:fldCharType="separate"/>
      </w:r>
      <w:r>
        <w:rPr>
          <w:rStyle w:val="15"/>
        </w:rPr>
        <w:t>Table 3.3: Articles Details Table</w:t>
      </w:r>
      <w:r>
        <w:tab/>
      </w:r>
      <w:r>
        <w:fldChar w:fldCharType="begin"/>
      </w:r>
      <w:r>
        <w:instrText xml:space="preserve"> PAGEREF _Toc219739535 \h </w:instrText>
      </w:r>
      <w:r>
        <w:fldChar w:fldCharType="separate"/>
      </w:r>
      <w:r>
        <w:t>52</w:t>
      </w:r>
      <w:r>
        <w:fldChar w:fldCharType="end"/>
      </w:r>
      <w:r>
        <w:fldChar w:fldCharType="end"/>
      </w:r>
    </w:p>
    <w:p w14:paraId="5991F2A0">
      <w:pPr>
        <w:spacing w:before="0"/>
        <w:rPr>
          <w:b/>
          <w:bCs/>
        </w:rPr>
      </w:pPr>
      <w:r>
        <w:fldChar w:fldCharType="end"/>
      </w:r>
      <w:r>
        <w:br w:type="page"/>
      </w:r>
    </w:p>
    <w:p w14:paraId="5991F2A1">
      <w:pPr>
        <w:pStyle w:val="2"/>
        <w:rPr>
          <w:b/>
          <w:bCs/>
          <w:color w:val="FF0000"/>
          <w:highlight w:val="none"/>
        </w:rPr>
      </w:pPr>
      <w:bookmarkStart w:id="1" w:name="_Toc219739478"/>
      <w:r>
        <w:rPr>
          <w:b/>
          <w:bCs/>
          <w:color w:val="FF0000"/>
          <w:highlight w:val="none"/>
        </w:rPr>
        <w:t>Chapter 1: Introduction</w:t>
      </w:r>
      <w:bookmarkEnd w:id="1"/>
    </w:p>
    <w:p w14:paraId="5991F2A2">
      <w:pPr>
        <w:pStyle w:val="3"/>
      </w:pPr>
      <w:bookmarkStart w:id="2" w:name="_Toc219739479"/>
      <w:r>
        <w:t>1.1 Overview</w:t>
      </w:r>
      <w:bookmarkEnd w:id="2"/>
    </w:p>
    <w:p w14:paraId="5991F2A3">
      <w:r>
        <w:t>This chapter is regarded as the introduction to the dissertation, and it reveals how AI will help to predict marketing in terms of recycling and material recovery. It talks about how AI can be used to streamline the management of resources to achieve greater sustainability. The chapter has research aims, objectives, and questions, which were to review the effects of AI application on the consumer behaviours, recycling strategies and to address the challenges of integration. The reasoning behind the study underlines the increasing waste threat, where AI is the solution to the enhancement of waste management and retrieving of the materials. The chapter provides the basis upon which the study analyses predictive marketing by AI.</w:t>
      </w:r>
    </w:p>
    <w:p w14:paraId="5991F2A4">
      <w:pPr>
        <w:pStyle w:val="3"/>
      </w:pPr>
      <w:bookmarkStart w:id="3" w:name="_Toc219739480"/>
      <w:r>
        <w:t>1.2 Background Study</w:t>
      </w:r>
      <w:bookmarkEnd w:id="3"/>
    </w:p>
    <w:p w14:paraId="5991F2A5">
      <w:r>
        <w:t>The comprehensive research on the use of AI in predictive marketing-related to recycling and material recovery. The growing world generation of waste is a major concern to environmental sustainability. The amount of municipal solid waste in the world is projected to grow to 3.8 billion tonnes by 2050 thus increasing 56% compared to the year 2020 (Unep, 2025). This sudden increase in the level of waste production poses a pressing demand to find effective waste management and recycling options. To deal with this issue, AI is important as it can streamline resources and improve their sustainability.</w:t>
      </w:r>
    </w:p>
    <w:p w14:paraId="5991F2A6">
      <w:r>
        <w:t xml:space="preserve">Predictive marketing has proven to be unbelievable when it comes to AI technologies. AI is able to study past historical data to predict the waste production trends and consumption. Using AI, companies will be able to refine their marketing approaches and gain increased recovery rates on the materials. The AI-based predictive models assist companies in determining the behaviours, predicting the recycle processes, and resource management in a way that is more efficient (Faiz </w:t>
      </w:r>
      <w:r>
        <w:rPr>
          <w:i/>
          <w:iCs/>
        </w:rPr>
        <w:t>et al</w:t>
      </w:r>
      <w:r>
        <w:t>. 2024). Big data analytics and machine learning as well as optimization algorithms drive these forecasting models, allowing companies to make the right decision based on the pattern of consumption by customers.</w:t>
      </w:r>
    </w:p>
    <w:p w14:paraId="5991F2A7">
      <w:r>
        <w:t xml:space="preserve">Roland Watson is correct in suggesting that AI can be useful in predictive marketing beyond waste management. It enhances the circular economy through the enhancement of material recovery and recycling. Artificial intelligence helps to increase the recyclability of materials by analysing the trends and patterns in consumer behaviours (Noman </w:t>
      </w:r>
      <w:r>
        <w:rPr>
          <w:i/>
          <w:iCs/>
        </w:rPr>
        <w:t>et al</w:t>
      </w:r>
      <w:r>
        <w:t>. 2022). AI assists companies in planning recycling procedures that support the reduction of waste quantities and creation of environmentally friendly products by predicting the demand of green materials. The capability of AI to automate the process and maximize the recycling plan can help redefine the industries and assist in reaching sustainability objectives.</w:t>
      </w:r>
    </w:p>
    <w:p w14:paraId="5991F2A8">
      <w:pPr>
        <w:jc w:val="center"/>
      </w:pPr>
      <w:r>
        <w:rPr>
          <w:lang w:eastAsia="en-GB"/>
        </w:rPr>
        <w:drawing>
          <wp:inline distT="0" distB="0" distL="0" distR="0">
            <wp:extent cx="5013960" cy="2400300"/>
            <wp:effectExtent l="38100" t="38100" r="38100" b="38100"/>
            <wp:docPr id="2053460300" name="image2.png" descr="A graph of blue rectangular bars&#10;&#10;AI-generated content may be incorrect."/>
            <wp:cNvGraphicFramePr/>
            <a:graphic xmlns:a="http://schemas.openxmlformats.org/drawingml/2006/main">
              <a:graphicData uri="http://schemas.openxmlformats.org/drawingml/2006/picture">
                <pic:pic xmlns:pic="http://schemas.openxmlformats.org/drawingml/2006/picture">
                  <pic:nvPicPr>
                    <pic:cNvPr id="2053460300" name="image2.png" descr="A graph of blue rectangular bars&#10;&#10;AI-generated content may be incorrect."/>
                    <pic:cNvPicPr preferRelativeResize="0"/>
                  </pic:nvPicPr>
                  <pic:blipFill>
                    <a:blip r:embed="rId13"/>
                    <a:srcRect/>
                    <a:stretch>
                      <a:fillRect/>
                    </a:stretch>
                  </pic:blipFill>
                  <pic:spPr>
                    <a:xfrm>
                      <a:off x="0" y="0"/>
                      <a:ext cx="5013960" cy="2400300"/>
                    </a:xfrm>
                    <a:prstGeom prst="rect">
                      <a:avLst/>
                    </a:prstGeom>
                    <a:ln w="38100">
                      <a:solidFill>
                        <a:srgbClr val="000000"/>
                      </a:solidFill>
                      <a:prstDash val="solid"/>
                    </a:ln>
                  </pic:spPr>
                </pic:pic>
              </a:graphicData>
            </a:graphic>
          </wp:inline>
        </w:drawing>
      </w:r>
    </w:p>
    <w:p w14:paraId="5991F2A9">
      <w:pPr>
        <w:pStyle w:val="5"/>
      </w:pPr>
      <w:bookmarkStart w:id="4" w:name="_heading=h.e2lgg9ksa3h" w:colFirst="0" w:colLast="0"/>
      <w:bookmarkEnd w:id="4"/>
      <w:bookmarkStart w:id="5" w:name="_Toc219739522"/>
      <w:r>
        <w:t>Figure 1.1: Global municipal solid waste project in trends</w:t>
      </w:r>
      <w:bookmarkEnd w:id="5"/>
    </w:p>
    <w:p w14:paraId="5991F2AA">
      <w:pPr>
        <w:jc w:val="center"/>
      </w:pPr>
      <w:r>
        <w:t>(Source: Unep, 2025).</w:t>
      </w:r>
    </w:p>
    <w:p w14:paraId="5991F2AB">
      <w:r>
        <w:t>A number of challenges exist in the integration of AI in the recycling and material recovery. Production of unstructured data is one of the key obstacles. The ability to generate synthetic data is a major challenge, which interferes with the performance of AI-based predictive algorithms. The effectiveness of AI systems in analysing the patterns of consumer behaviours and waste generation is inhibited by poor-quality data (Islam, 2025). Nevertheless, AI technologies, like the Big Data Predictive Analysis (BDPA), provide the solution to these difficulties. BDPA provides superior data management and allows making more precise predictions and increases the efficiency of the recycling processes, in general.</w:t>
      </w:r>
    </w:p>
    <w:p w14:paraId="5991F2AC">
      <w:r>
        <w:t xml:space="preserve">Other than such technological difficulties, businesses have hurdles regarding the implementation of AI. Most organisations are yet to embrace the full integration of AI in operation because they have fears regarding the cost, complexity, and training needs (Felemban </w:t>
      </w:r>
      <w:r>
        <w:rPr>
          <w:i/>
          <w:iCs/>
        </w:rPr>
        <w:t>et al</w:t>
      </w:r>
      <w:r>
        <w:t>. 2024). To overcome these barriers, there should be an unambiguous appreciation of the benefits of AI and the possibility that long-term sustainability would be improved. Waste reduction, better recycling processes, and consumer encouragement are the processes that AI can help companies achieve, rendering it a necessity in companies trying to fulfil sustainability goals.</w:t>
      </w:r>
    </w:p>
    <w:p w14:paraId="5991F2AD">
      <w:r>
        <w:t>The background research indicates the increased significance of AI in predictive marketing to recycle and recover materials. The AI technologies do not only optimize resource management, they promote sustainable waste management (Lakhouit, 2025). With the growing waste issues in the world, AI gives organizations the chance to be more efficient and greener in their practice by being more environmentally friendly. The study issue is the ways AI can be used to optimize recycling, better consumer behaviours, and help companies to reach their sustainability objectives. Finally, the implementation of AI in predictive marketing practices has a bright chance of solving the problem of global wastes.</w:t>
      </w:r>
    </w:p>
    <w:p w14:paraId="5991F2AE">
      <w:pPr>
        <w:spacing w:before="0" w:after="0"/>
        <w:rPr>
          <w:color w:val="000000"/>
        </w:rPr>
      </w:pPr>
      <w:r>
        <w:rPr>
          <w:color w:val="000000"/>
        </w:rPr>
        <w:t>The recent evidence on the global level also strengthens the necessity to introduce the concept of artificial intelligence to the framework of predictive marketing aimed at recycling and recovering materials. Bano (2024) denoted that the waste produced worldwide stands at over 3.01 billion tonnes per year, and at least 33% of the waste is not being disposed of in a safe and environmentally friendly way. The high-income nations are the major contributors to the waste total across the globe, which signifies the substantial contribution towards environmental degradation and inefficient waste management. This implies that their consumption patterns are disproportionate and thus need behavioural interventions through data collection. The Municipal waste generation in the European Union was recorded to 513 kg/capita/year, with the recycling rate at 48% per year (Eurostat, 2025). This highlights one of the key indicators of the lack of efficiency in consumer engagement and waste diversion in Europe and across the globe.</w:t>
      </w:r>
    </w:p>
    <w:p w14:paraId="5991F2AF">
      <w:pPr>
        <w:spacing w:before="0" w:after="0"/>
        <w:jc w:val="center"/>
        <w:rPr>
          <w:color w:val="000000"/>
        </w:rPr>
      </w:pPr>
      <w:r>
        <w:rPr>
          <w:color w:val="000000"/>
          <w:lang w:eastAsia="en-GB"/>
        </w:rPr>
        <w:drawing>
          <wp:inline distT="114300" distB="114300" distL="114300" distR="114300">
            <wp:extent cx="5671820" cy="3686175"/>
            <wp:effectExtent l="12700" t="12700" r="12700" b="12700"/>
            <wp:docPr id="2053460299" name="image7.png"/>
            <wp:cNvGraphicFramePr/>
            <a:graphic xmlns:a="http://schemas.openxmlformats.org/drawingml/2006/main">
              <a:graphicData uri="http://schemas.openxmlformats.org/drawingml/2006/picture">
                <pic:pic xmlns:pic="http://schemas.openxmlformats.org/drawingml/2006/picture">
                  <pic:nvPicPr>
                    <pic:cNvPr id="2053460299" name="image7.png"/>
                    <pic:cNvPicPr preferRelativeResize="0"/>
                  </pic:nvPicPr>
                  <pic:blipFill>
                    <a:blip r:embed="rId14"/>
                    <a:srcRect/>
                    <a:stretch>
                      <a:fillRect/>
                    </a:stretch>
                  </pic:blipFill>
                  <pic:spPr>
                    <a:xfrm>
                      <a:off x="0" y="0"/>
                      <a:ext cx="5672138" cy="3686175"/>
                    </a:xfrm>
                    <a:prstGeom prst="rect">
                      <a:avLst/>
                    </a:prstGeom>
                    <a:ln w="12700">
                      <a:solidFill>
                        <a:srgbClr val="000000"/>
                      </a:solidFill>
                      <a:prstDash val="solid"/>
                    </a:ln>
                  </pic:spPr>
                </pic:pic>
              </a:graphicData>
            </a:graphic>
          </wp:inline>
        </w:drawing>
      </w:r>
    </w:p>
    <w:p w14:paraId="5991F2B0">
      <w:pPr>
        <w:pStyle w:val="5"/>
      </w:pPr>
      <w:bookmarkStart w:id="6" w:name="_heading=h.wgijouxbbtxl" w:colFirst="0" w:colLast="0"/>
      <w:bookmarkEnd w:id="6"/>
      <w:bookmarkStart w:id="7" w:name="_Toc219739523"/>
      <w:r>
        <w:t>Figure 1.2: European Union’s municipal water generation from 2013 to 2023</w:t>
      </w:r>
      <w:bookmarkEnd w:id="7"/>
    </w:p>
    <w:p w14:paraId="5991F2B1">
      <w:pPr>
        <w:spacing w:before="0" w:after="0"/>
        <w:jc w:val="center"/>
        <w:rPr>
          <w:color w:val="000000"/>
        </w:rPr>
      </w:pPr>
      <w:r>
        <w:rPr>
          <w:color w:val="000000"/>
        </w:rPr>
        <w:t>(Source: Eurostat, 2025)</w:t>
      </w:r>
    </w:p>
    <w:p w14:paraId="5991F2B2">
      <w:pPr>
        <w:spacing w:before="0" w:after="0"/>
        <w:rPr>
          <w:color w:val="000000"/>
        </w:rPr>
      </w:pPr>
      <w:r>
        <w:rPr>
          <w:color w:val="000000"/>
        </w:rPr>
        <w:t xml:space="preserve">Predictive marketing that is guided by artificial intelligence provides quantifiable solutions to the correction of these inefficiencies. Linde </w:t>
      </w:r>
      <w:r>
        <w:rPr>
          <w:i/>
          <w:iCs/>
          <w:color w:val="000000"/>
        </w:rPr>
        <w:t>et al.</w:t>
      </w:r>
      <w:r>
        <w:rPr>
          <w:color w:val="000000"/>
        </w:rPr>
        <w:t xml:space="preserve"> (2024) annotated that AI assisted waste sorting and recovery systems can enhance the efficiency of the Material Recovery Facility (MRF) by 20-30% with more efficient contamination and demand forecasting. It has been further inferred that a 10% increase in the global recycling rates would allow cutting landfill emissions by more than 300 million tonnes of CO2-equivalent every year. The above statistics emphasise the importance of aligning predictive marketing with AIs behavioural analytics to the environment.</w:t>
      </w:r>
    </w:p>
    <w:p w14:paraId="5991F2B3">
      <w:pPr>
        <w:spacing w:before="0" w:after="0"/>
        <w:rPr>
          <w:color w:val="000000"/>
        </w:rPr>
      </w:pPr>
      <w:r>
        <w:rPr>
          <w:color w:val="000000"/>
        </w:rPr>
        <w:t>The economic benefits of AI-powered consumer analytics are also quite tangible. Machine learning-based data-driven sustainability campaigns led to a 15-25% consumer engagement in recycling programs in the retail and packaging industry (Edwards, 2025). Besides, predictive analytics saved operational costs of waste management by streamlining collection schedules and material demand forecasting. The results of such outcomes validate the idea that AI-based predictive marketing does not only contribute to environmental sustainability, but also enhances cost efficiency and circular economy performance of organisations. Taken together, these real-life annotations prove that AI is not something that is only theorised but a viable and data-supported aiding tool of the facilitation of better recycling behaviour and more efficient material recovery. It also promotes sustainable resource management at both organisational and global scales.</w:t>
      </w:r>
    </w:p>
    <w:p w14:paraId="5991F2B4">
      <w:pPr>
        <w:pStyle w:val="3"/>
      </w:pPr>
      <w:bookmarkStart w:id="8" w:name="_Toc219739481"/>
      <w:r>
        <w:t>1.3 Problem Statement</w:t>
      </w:r>
      <w:bookmarkEnd w:id="8"/>
    </w:p>
    <w:p w14:paraId="5991F2B5">
      <w:r>
        <w:t xml:space="preserve">The increasing amount of waste across the world poses severe problems when it comes to recycling and recovery of material and in fact, several organisations have difficulties in streamlining these activities in the most effective way. The current recycling plans do not possess accurate predictions of the consumer behaviour and the trends in waste generation and can therefore do very little planning to ensure sustainable interventions. Though AI has the capability to provide its advanced predictive features, its implementation is still lacking because of the data quality problem, barrier to its implementation, and lack of organisational knowledge (Alvinger </w:t>
      </w:r>
      <w:r>
        <w:rPr>
          <w:i/>
          <w:iCs/>
        </w:rPr>
        <w:t>et al</w:t>
      </w:r>
      <w:r>
        <w:t>. 2025). This is the gap that does not allow companies to use AI-facilitated predictive marketing to its fullest capacity to increase recycling effectiveness and optimize material recoveries.</w:t>
      </w:r>
    </w:p>
    <w:p w14:paraId="5991F2B6">
      <w:pPr>
        <w:pStyle w:val="3"/>
      </w:pPr>
      <w:bookmarkStart w:id="9" w:name="_Toc219739482"/>
      <w:r>
        <w:t>1.4 Aim and Objectives</w:t>
      </w:r>
      <w:bookmarkEnd w:id="9"/>
    </w:p>
    <w:p w14:paraId="5991F2B7">
      <w:pPr>
        <w:rPr>
          <w:b/>
          <w:bCs/>
          <w:i/>
          <w:iCs/>
          <w:u w:val="single"/>
        </w:rPr>
      </w:pPr>
      <w:r>
        <w:rPr>
          <w:b/>
          <w:bCs/>
          <w:i/>
          <w:iCs/>
          <w:u w:val="single"/>
        </w:rPr>
        <w:t>Research Aim</w:t>
      </w:r>
    </w:p>
    <w:p w14:paraId="5991F2B8">
      <w:r>
        <w:t>This research aims to analyse how artificial intelligence enhances predictive marketing for improving recycling performance and strengthening material recovery across sustainability-focused industries.</w:t>
      </w:r>
    </w:p>
    <w:p w14:paraId="5991F2B9">
      <w:pPr>
        <w:rPr>
          <w:b/>
          <w:bCs/>
          <w:i/>
          <w:iCs/>
          <w:u w:val="single"/>
        </w:rPr>
      </w:pPr>
      <w:r>
        <w:rPr>
          <w:b/>
          <w:bCs/>
          <w:i/>
          <w:iCs/>
          <w:u w:val="single"/>
        </w:rPr>
        <w:t>Research Objectives</w:t>
      </w:r>
    </w:p>
    <w:p w14:paraId="5991F2BA">
      <w:pPr>
        <w:numPr>
          <w:ilvl w:val="0"/>
          <w:numId w:val="1"/>
        </w:numPr>
        <w:spacing w:after="0"/>
      </w:pPr>
      <w:r>
        <w:t>To examine the feasibility of artificial intelligence technologies in strengthening predictive marketing strategies within recycling operations and material recovery processes across diverse industries.</w:t>
      </w:r>
    </w:p>
    <w:p w14:paraId="5991F2BB">
      <w:pPr>
        <w:numPr>
          <w:ilvl w:val="0"/>
          <w:numId w:val="1"/>
        </w:numPr>
        <w:spacing w:before="0" w:after="0"/>
      </w:pPr>
      <w:r>
        <w:t>To evaluate the effectiveness of AI-powered predictive models in understanding consumer behaviour patterns influencing recycling participation and sustainable material usage decisions.</w:t>
      </w:r>
    </w:p>
    <w:p w14:paraId="5991F2BC">
      <w:pPr>
        <w:numPr>
          <w:ilvl w:val="0"/>
          <w:numId w:val="1"/>
        </w:numPr>
        <w:spacing w:before="0" w:after="0"/>
      </w:pPr>
      <w:r>
        <w:t>To investigate key challenges organisations, encounter when integrating AI systems into predictive marketing frameworks for recycling improvement and material recovery enhancement.</w:t>
      </w:r>
    </w:p>
    <w:p w14:paraId="5991F2BD">
      <w:pPr>
        <w:numPr>
          <w:ilvl w:val="0"/>
          <w:numId w:val="1"/>
        </w:numPr>
        <w:spacing w:before="0"/>
      </w:pPr>
      <w:r>
        <w:t>To explore strategies that utilise AI-driven predictive marketing to increase customer engagement and promote higher recycling participation rates within various consumer segments.</w:t>
      </w:r>
    </w:p>
    <w:p w14:paraId="5991F2BE">
      <w:pPr>
        <w:pStyle w:val="3"/>
      </w:pPr>
      <w:bookmarkStart w:id="10" w:name="_Toc219739483"/>
      <w:r>
        <w:t>1.5 Research Rationale</w:t>
      </w:r>
      <w:bookmarkEnd w:id="10"/>
    </w:p>
    <w:p w14:paraId="5991F2BF">
      <w:pPr>
        <w:rPr>
          <w:b/>
          <w:bCs/>
          <w:i/>
          <w:iCs/>
          <w:u w:val="single"/>
        </w:rPr>
      </w:pPr>
      <w:r>
        <w:rPr>
          <w:b/>
          <w:bCs/>
          <w:i/>
          <w:iCs/>
          <w:u w:val="single"/>
        </w:rPr>
        <w:t>What is the issue?</w:t>
      </w:r>
    </w:p>
    <w:p w14:paraId="5991F2C0">
      <w:r>
        <w:t>The topic relates to the dynamically increasing amounts of waste produced in the world that put strain on the effectiveness of recycling. Urban waste will be 3.8 billion tonnes in 2050 (Unep, 2025). This puts more pressure on recycling systems. Predictive marketing through AI is not exploited fully to make accurate predictions. Poor waste disposal is still experienced in various industries.</w:t>
      </w:r>
    </w:p>
    <w:p w14:paraId="5991F2C1">
      <w:pPr>
        <w:rPr>
          <w:b/>
          <w:bCs/>
          <w:i/>
          <w:iCs/>
          <w:u w:val="single"/>
        </w:rPr>
      </w:pPr>
      <w:r>
        <w:rPr>
          <w:b/>
          <w:bCs/>
          <w:i/>
          <w:iCs/>
          <w:u w:val="single"/>
        </w:rPr>
        <w:t>Why is the issue?</w:t>
      </w:r>
    </w:p>
    <w:p w14:paraId="5991F2C2">
      <w:r>
        <w:t>The problem occurs due to the lack of effective tools in predicting consumption patterns by the organisations. The models of AI demand structured data, which is often unavailable to a great number of companies. Artificial data leads to erroneousness. Low levels of technology in use are a barrier to optimisation. The inefficiencies of recycling using material streams. Corporations find it difficult to know the behaviours of the consumers.</w:t>
      </w:r>
    </w:p>
    <w:p w14:paraId="5991F2C3">
      <w:pPr>
        <w:rPr>
          <w:b/>
          <w:bCs/>
          <w:i/>
          <w:iCs/>
          <w:u w:val="single"/>
        </w:rPr>
      </w:pPr>
      <w:r>
        <w:rPr>
          <w:b/>
          <w:bCs/>
          <w:i/>
          <w:iCs/>
          <w:u w:val="single"/>
        </w:rPr>
        <w:t>Why is the issue now?</w:t>
      </w:r>
    </w:p>
    <w:p w14:paraId="5991F2C4">
      <w:r>
        <w:t>The problem arises at this point since the global waste grows 56% when compared to 2020 and requires immediate solutions (Unep, 2025). The firms are put under strains by sustainability policies. AI technologies become more accessible, disclosing gaps in adoption. Predictive systems are urgently required in the strategy. The rising environmental issues are an aspect that needs enhanced recycling and material recovery.</w:t>
      </w:r>
    </w:p>
    <w:p w14:paraId="5991F2C5">
      <w:pPr>
        <w:pStyle w:val="3"/>
      </w:pPr>
      <w:bookmarkStart w:id="11" w:name="_Toc219739484"/>
      <w:r>
        <w:t>1.6 Research Questions</w:t>
      </w:r>
      <w:bookmarkEnd w:id="11"/>
    </w:p>
    <w:p w14:paraId="5991F2C6">
      <w:r>
        <w:rPr>
          <w:b/>
          <w:bCs/>
          <w:i/>
          <w:iCs/>
          <w:u w:val="single"/>
        </w:rPr>
        <w:t>Research Question 1:</w:t>
      </w:r>
    </w:p>
    <w:p w14:paraId="5991F2C7">
      <w:r>
        <w:t>How do artificial intelligence technologies contribute to the improvement of predictive marketing strategies in recycling systems and material recovery environments?</w:t>
      </w:r>
    </w:p>
    <w:p w14:paraId="5991F2C8">
      <w:pPr>
        <w:rPr>
          <w:b/>
          <w:bCs/>
          <w:i/>
          <w:iCs/>
          <w:u w:val="single"/>
        </w:rPr>
      </w:pPr>
      <w:r>
        <w:rPr>
          <w:b/>
          <w:bCs/>
          <w:i/>
          <w:iCs/>
          <w:u w:val="single"/>
        </w:rPr>
        <w:t>Research Question 2:</w:t>
      </w:r>
    </w:p>
    <w:p w14:paraId="5991F2C9">
      <w:r>
        <w:t>How effective are AI-based predictive models in analysing consumer behavioural trends that influence recycling decisions and sustainable material usage patterns?</w:t>
      </w:r>
    </w:p>
    <w:p w14:paraId="5991F2CA">
      <w:pPr>
        <w:rPr>
          <w:b/>
          <w:bCs/>
          <w:i/>
          <w:iCs/>
          <w:u w:val="single"/>
        </w:rPr>
      </w:pPr>
      <w:r>
        <w:rPr>
          <w:b/>
          <w:bCs/>
          <w:i/>
          <w:iCs/>
          <w:u w:val="single"/>
        </w:rPr>
        <w:t>Research Question 3:</w:t>
      </w:r>
    </w:p>
    <w:p w14:paraId="5991F2CB">
      <w:r>
        <w:t>What challenges arise when organisations aim to implement AI tools for predictive marketing within recycling contexts and material recovery frameworks?</w:t>
      </w:r>
    </w:p>
    <w:p w14:paraId="5991F2CC">
      <w:pPr>
        <w:rPr>
          <w:b/>
          <w:bCs/>
          <w:i/>
          <w:iCs/>
          <w:u w:val="single"/>
        </w:rPr>
      </w:pPr>
      <w:r>
        <w:rPr>
          <w:b/>
          <w:bCs/>
          <w:i/>
          <w:iCs/>
          <w:u w:val="single"/>
        </w:rPr>
        <w:t>Research Question 4:</w:t>
      </w:r>
    </w:p>
    <w:p w14:paraId="5991F2CD">
      <w:r>
        <w:t>What strategies effectively leverage AI-driven predictive marketing to increase consumer engagement and strengthen recycling participation across diverse user groups?</w:t>
      </w:r>
    </w:p>
    <w:p w14:paraId="5991F2CE">
      <w:pPr>
        <w:pStyle w:val="3"/>
      </w:pPr>
      <w:bookmarkStart w:id="12" w:name="_Toc219739485"/>
      <w:r>
        <w:t>1.7 Research Significance</w:t>
      </w:r>
      <w:bookmarkEnd w:id="12"/>
    </w:p>
    <w:p w14:paraId="5991F2CF">
      <w:r>
        <w:t xml:space="preserve">This study is both valuable and relevant as it supports the idea of artificial intelligence and predictive marketing which is being reinforced in terms of the recycling and recovery of materials. The research makes a contribution to the existing academic literature as it fills the gap in current literature since there is a lack of empirical findings exploring the direct effect of AI on consumer recycling behaviour and material recovery results (Alimi </w:t>
      </w:r>
      <w:r>
        <w:rPr>
          <w:i/>
          <w:iCs/>
        </w:rPr>
        <w:t>et al</w:t>
      </w:r>
      <w:r>
        <w:t>. 2025). It gives an organized explanation of AI practicality, efficiency, and constraints in industries that follow a sustainability approach and gives a clear idea of how predictive models are used to guide decision making concerning waste management.</w:t>
      </w:r>
    </w:p>
    <w:p w14:paraId="5991F2D0">
      <w:r>
        <w:t>The study also has value to organisations that would like to incorporate AI-based insights into operational strategies. The study aids companies in predicting waste generation patterns by examining predictive abilities, predicting their needs during recycling and developing more specific sustainability programmes. This helps in better resource allocation and also enhances a greater degree of recycling by consumers.</w:t>
      </w:r>
    </w:p>
    <w:p w14:paraId="5991F2D1">
      <w:r>
        <w:t>The value of the research to policymakers is its focus on data-driven environmental governance. The study findings can inform the strategic planning, reinforce the policy on a circular economy, and promote the overall successful adoption of technology. AI has an enormous transformative power in the development of sustainable waste management, advocacy of practical challenges, and global environmental goals, which the research offers a comprehensive vision.</w:t>
      </w:r>
    </w:p>
    <w:p w14:paraId="5991F2D2">
      <w:pPr>
        <w:pStyle w:val="3"/>
      </w:pPr>
      <w:bookmarkStart w:id="13" w:name="_Toc219739486"/>
      <w:r>
        <w:rPr>
          <w:color w:val="1F1F1F"/>
        </w:rPr>
        <w:t>1.8 Main Findings from the SLR</w:t>
      </w:r>
      <w:bookmarkEnd w:id="13"/>
    </w:p>
    <w:p w14:paraId="5991F2D3">
      <w:pPr>
        <w:rPr>
          <w:color w:val="000000" w:themeColor="text1"/>
          <w14:textFill>
            <w14:solidFill>
              <w14:schemeClr w14:val="tx1"/>
            </w14:solidFill>
          </w14:textFill>
        </w:rPr>
      </w:pPr>
      <w:r>
        <w:rPr>
          <w:color w:val="000000" w:themeColor="text1"/>
          <w14:textFill>
            <w14:solidFill>
              <w14:schemeClr w14:val="tx1"/>
            </w14:solidFill>
          </w14:textFill>
        </w:rPr>
        <w:t xml:space="preserve">Answering the 1st research question, it can be stated that in recycling systems, AI enhances predictive marketing by the ability to make predictions based on data, segmentation, and targeting. Machine learning, big data analytics, and optimisation algorithms are AIs technologies that increase the capacity of organisations to forecast the trends and patterns of waste generation, material demand, and recycling flows (Faiz </w:t>
      </w:r>
      <w:r>
        <w:rPr>
          <w:i/>
          <w:iCs/>
          <w:color w:val="000000" w:themeColor="text1"/>
          <w14:textFill>
            <w14:solidFill>
              <w14:schemeClr w14:val="tx1"/>
            </w14:solidFill>
          </w14:textFill>
        </w:rPr>
        <w:t>et al</w:t>
      </w:r>
      <w:r>
        <w:rPr>
          <w:color w:val="000000" w:themeColor="text1"/>
          <w14:textFill>
            <w14:solidFill>
              <w14:schemeClr w14:val="tx1"/>
            </w14:solidFill>
          </w14:textFill>
        </w:rPr>
        <w:t>. 2024). The 2nd research question answers that the tools will enable better planning of the recycling process and marketing interventions. The AI predictive models can also be useful in studying the consumer behavioural trends by recognising the patterns in consumption, disposal, and responsiveness towards sustainability campaigns. This enhances knowledge on the aspects of changes in the recycling participation and aids in the development of individualised, timely, and convincing marketing plans to promote sustainable use of materials.</w:t>
      </w:r>
    </w:p>
    <w:p w14:paraId="3C1B94FE">
      <w:pPr>
        <w:rPr>
          <w:color w:val="000000" w:themeColor="text1"/>
          <w14:textFill>
            <w14:solidFill>
              <w14:schemeClr w14:val="tx1"/>
            </w14:solidFill>
          </w14:textFill>
        </w:rPr>
      </w:pPr>
      <w:r>
        <w:rPr>
          <w:color w:val="000000" w:themeColor="text1"/>
          <w14:textFill>
            <w14:solidFill>
              <w14:schemeClr w14:val="tx1"/>
            </w14:solidFill>
          </w14:textFill>
        </w:rPr>
        <w:t xml:space="preserve">Nevertheless, answering the 3rd research question it can be stated that there are several issues that organisations encounter in the use of AI tools in predictive marketing as applied to recycling situations. The main obstacles are low quality of data, absence of organised data sets, high cost of implementation, system complexity and low technical skills. Adoption is also limited by ethical issues and organisational resistance to technological change (Alvinger </w:t>
      </w:r>
      <w:r>
        <w:rPr>
          <w:i/>
          <w:iCs/>
          <w:color w:val="000000" w:themeColor="text1"/>
          <w14:textFill>
            <w14:solidFill>
              <w14:schemeClr w14:val="tx1"/>
            </w14:solidFill>
          </w14:textFill>
        </w:rPr>
        <w:t>et al</w:t>
      </w:r>
      <w:r>
        <w:rPr>
          <w:color w:val="000000" w:themeColor="text1"/>
          <w14:textFill>
            <w14:solidFill>
              <w14:schemeClr w14:val="tx1"/>
            </w14:solidFill>
          </w14:textFill>
        </w:rPr>
        <w:t>. 2025). The 4th question answers that among the effective strategies that can help resolve these concerns, one can note the need to invest into data infrastructure, use scalable AI solutions, and add AI insights to consumer engagement campaigns. Predictive marketing can be AI-powered with the use of behavioural analytics, incentives, and individualised communication to drive more individuals to recycle regardless of their audience segments and contribute to the recovery of materials and the material circular economy goals.</w:t>
      </w:r>
    </w:p>
    <w:p w14:paraId="44F3DBE2">
      <w:pPr>
        <w:rPr>
          <w:color w:val="000000" w:themeColor="text1"/>
          <w14:textFill>
            <w14:solidFill>
              <w14:schemeClr w14:val="tx1"/>
            </w14:solidFill>
          </w14:textFill>
        </w:rPr>
      </w:pPr>
    </w:p>
    <w:p w14:paraId="5991F2D4">
      <w:pPr>
        <w:rPr>
          <w:color w:val="FF0000"/>
        </w:rPr>
      </w:pPr>
      <w:r>
        <w:rPr>
          <w:rFonts w:hint="default"/>
          <w:lang w:val="en-IN"/>
        </w:rPr>
        <w:t xml:space="preserve"> </w:t>
      </w:r>
      <w:r>
        <w:br w:type="page"/>
      </w:r>
    </w:p>
    <w:p w14:paraId="5991F2D5">
      <w:pPr>
        <w:pStyle w:val="2"/>
        <w:rPr>
          <w:lang w:val="en-IN"/>
        </w:rPr>
      </w:pPr>
      <w:bookmarkStart w:id="14" w:name="_Toc219739487"/>
      <w:r>
        <w:rPr>
          <w:color w:val="FF0000"/>
        </w:rPr>
        <w:t xml:space="preserve">Chapter 2: </w:t>
      </w:r>
      <w:bookmarkEnd w:id="14"/>
      <w:r>
        <w:rPr>
          <w:color w:val="FF0000"/>
          <w:lang w:val="en-IN"/>
        </w:rPr>
        <w:t>Research Methodology</w:t>
      </w:r>
    </w:p>
    <w:p w14:paraId="5991F2D6">
      <w:pPr>
        <w:pStyle w:val="3"/>
      </w:pPr>
      <w:bookmarkStart w:id="15" w:name="_Toc219739488"/>
      <w:r>
        <w:rPr>
          <w:color w:val="1F1F1F"/>
        </w:rPr>
        <w:t>2.1 Introduction</w:t>
      </w:r>
      <w:bookmarkEnd w:id="15"/>
    </w:p>
    <w:p w14:paraId="5991F2D7">
      <w:pPr>
        <w:spacing w:before="0" w:after="0"/>
        <w:rPr>
          <w:color w:val="000000"/>
        </w:rPr>
      </w:pPr>
      <w:r>
        <w:rPr>
          <w:color w:val="000000"/>
        </w:rPr>
        <w:t>This chapter demonstrates the theoretical framework used to implement a systematic literature review of the value of the artificial intelligence of predictive marketing in recycling and material recovery. Since the topic of the study is interdisciplinary, requiring a combination of artificial intelligence, consumer behaviour, sustainability and waste management, this is necessary to use a structured and transparent research approach. The chapter defines all the research philosophy, research design, and article selection process that guarantee academic rigour and reproducibility. The systematic search strategy was used to find 12 peer-reviewed journal articles that were published within the past five years. The PRISMA framework was used to direct the identification of articles, screening, and inclusion. This research methodology allows synthesising high-quality evidence, critical analysis, and the findings should be based on believable academic research that is relevant to the aims of the research.</w:t>
      </w:r>
    </w:p>
    <w:p w14:paraId="5991F2D8">
      <w:pPr>
        <w:pStyle w:val="3"/>
      </w:pPr>
      <w:bookmarkStart w:id="16" w:name="_Toc219739489"/>
      <w:r>
        <w:rPr>
          <w:color w:val="1F1F1F"/>
        </w:rPr>
        <w:t>2.2 Research philosophy and design</w:t>
      </w:r>
      <w:bookmarkEnd w:id="16"/>
    </w:p>
    <w:p w14:paraId="5991F2D9">
      <w:pPr>
        <w:spacing w:before="0" w:after="0"/>
        <w:rPr>
          <w:color w:val="000000"/>
        </w:rPr>
      </w:pPr>
      <w:r>
        <w:rPr>
          <w:color w:val="000000"/>
        </w:rPr>
        <w:t>The study follows an</w:t>
      </w:r>
      <w:r>
        <w:rPr>
          <w:b/>
          <w:bCs/>
          <w:i/>
          <w:iCs/>
          <w:color w:val="000000"/>
        </w:rPr>
        <w:t xml:space="preserve"> interpretivism research philosophy</w:t>
      </w:r>
      <w:r>
        <w:rPr>
          <w:color w:val="000000"/>
        </w:rPr>
        <w:t xml:space="preserve"> that is concerned with the meaning, perspectives and interpretations that are found within the social and organisational situations. Pervin and Mokhtar (2022) denoted that interpretivism research philosophy derives from subjective meaning understanding, social realities and experiences, analysing such based on the social construct rather than objectively fixed aspects. This research has been carried out using interpretivism philosophy, as predictive marketing and recycling behaviour are dependent on human attitudes and perceptions, as well as processes of decision-making. Instead of pursuing general laws, this interpretivism philosophy enables the study to explain how artificial intelligence technologies influence consumer involvement, organisational strategies and sustainability practices as described in extant literature. </w:t>
      </w:r>
    </w:p>
    <w:p w14:paraId="5991F2DA">
      <w:pPr>
        <w:spacing w:before="0" w:after="0"/>
        <w:rPr>
          <w:color w:val="000000"/>
        </w:rPr>
      </w:pPr>
      <w:r>
        <w:rPr>
          <w:color w:val="000000"/>
        </w:rPr>
        <w:t>Interpretivism philosophy acknowledges that the success of AI based predictive marketing cannot be measured by numerical measures of performance but considering contextual considerations such as consumer trust, ethical impressions and organisational culture (Ali, Al-Obaydi and Shari, 2023). The qualitative research approach, which involves the analysis of peer-reviewed articles, informs the reader of subtle interpretations concerning the role of AI in increasing the recycling rate and recovery of materials in various industries and regions.</w:t>
      </w:r>
    </w:p>
    <w:p w14:paraId="5991F2DB">
      <w:pPr>
        <w:spacing w:before="0" w:after="0"/>
        <w:rPr>
          <w:color w:val="000000"/>
        </w:rPr>
      </w:pPr>
      <w:r>
        <w:rPr>
          <w:color w:val="000000"/>
        </w:rPr>
        <w:t xml:space="preserve">The study also follows a </w:t>
      </w:r>
      <w:r>
        <w:rPr>
          <w:b/>
          <w:bCs/>
          <w:i/>
          <w:iCs/>
          <w:color w:val="000000"/>
        </w:rPr>
        <w:t>descriptive research design</w:t>
      </w:r>
      <w:r>
        <w:rPr>
          <w:color w:val="000000"/>
        </w:rPr>
        <w:t xml:space="preserve">, which is suitable to describe in a systematic way patterns, trends and relationships as found in the previous academic research. </w:t>
      </w:r>
      <w:r>
        <w:rPr>
          <w:color w:val="000000"/>
          <w:highlight w:val="white"/>
        </w:rPr>
        <w:t xml:space="preserve">Kekeya (2021) denoted that </w:t>
      </w:r>
      <w:r>
        <w:rPr>
          <w:color w:val="000000"/>
        </w:rPr>
        <w:t>descriptive research is never aimed at manipulation of variable and causal relationships; rather it is a detailed description of what is already in practice and what is observed. This design has been in accordance with the purpose of synthesising evidence used in previous research to learn about the application of AI in predictive marketing in terms of recycling and material recovery.</w:t>
      </w:r>
    </w:p>
    <w:p w14:paraId="5991F2DC">
      <w:pPr>
        <w:spacing w:before="0" w:after="0"/>
        <w:rPr>
          <w:color w:val="000000"/>
        </w:rPr>
      </w:pPr>
      <w:r>
        <w:rPr>
          <w:color w:val="000000"/>
        </w:rPr>
        <w:t>The study classifies results through the descriptive analysis according to AI techniques with which the study was conducted, the applications of AI to marketing, the behavioural results, and the sustainability implications. This is used to help undertake comparative assessment across studies and help to find common themes, issues, and best practices. The interpretivism and descriptive design of research makes the review context sensitive, analytically sound, and appropriate to discuss the complex socio-technical phenomena of AI-enabled sustainability initiatives.</w:t>
      </w:r>
    </w:p>
    <w:p w14:paraId="5991F2DD">
      <w:pPr>
        <w:pStyle w:val="3"/>
      </w:pPr>
      <w:bookmarkStart w:id="17" w:name="_Toc219739490"/>
      <w:r>
        <w:rPr>
          <w:color w:val="1F1F1F"/>
        </w:rPr>
        <w:t>2.3 PRISMA</w:t>
      </w:r>
      <w:bookmarkEnd w:id="17"/>
    </w:p>
    <w:p w14:paraId="5991F2DE">
      <w:pPr>
        <w:spacing w:before="0" w:after="0"/>
        <w:jc w:val="center"/>
        <w:rPr>
          <w:color w:val="000000"/>
        </w:rPr>
      </w:pPr>
      <w:r>
        <w:rPr>
          <w:lang w:eastAsia="en-GB"/>
        </w:rPr>
        <w:drawing>
          <wp:inline distT="114300" distB="114300" distL="114300" distR="114300">
            <wp:extent cx="5295900" cy="6286500"/>
            <wp:effectExtent l="0" t="0" r="0" b="0"/>
            <wp:docPr id="2053460298" name="image11.png"/>
            <wp:cNvGraphicFramePr/>
            <a:graphic xmlns:a="http://schemas.openxmlformats.org/drawingml/2006/main">
              <a:graphicData uri="http://schemas.openxmlformats.org/drawingml/2006/picture">
                <pic:pic xmlns:pic="http://schemas.openxmlformats.org/drawingml/2006/picture">
                  <pic:nvPicPr>
                    <pic:cNvPr id="2053460298" name="image11.png"/>
                    <pic:cNvPicPr preferRelativeResize="0"/>
                  </pic:nvPicPr>
                  <pic:blipFill>
                    <a:blip r:embed="rId15"/>
                    <a:srcRect/>
                    <a:stretch>
                      <a:fillRect/>
                    </a:stretch>
                  </pic:blipFill>
                  <pic:spPr>
                    <a:xfrm>
                      <a:off x="0" y="0"/>
                      <a:ext cx="5295900" cy="6286500"/>
                    </a:xfrm>
                    <a:prstGeom prst="rect">
                      <a:avLst/>
                    </a:prstGeom>
                  </pic:spPr>
                </pic:pic>
              </a:graphicData>
            </a:graphic>
          </wp:inline>
        </w:drawing>
      </w:r>
    </w:p>
    <w:p w14:paraId="5991F2DF">
      <w:pPr>
        <w:pStyle w:val="5"/>
        <w:rPr>
          <w:color w:val="000000" w:themeColor="text1"/>
          <w14:textFill>
            <w14:solidFill>
              <w14:schemeClr w14:val="tx1"/>
            </w14:solidFill>
          </w14:textFill>
        </w:rPr>
      </w:pPr>
      <w:bookmarkStart w:id="18" w:name="_heading=h.eoexta9y2f0i" w:colFirst="0" w:colLast="0"/>
      <w:bookmarkEnd w:id="18"/>
      <w:bookmarkStart w:id="19" w:name="_Toc219739524"/>
      <w:r>
        <w:rPr>
          <w:color w:val="000000" w:themeColor="text1"/>
          <w14:textFill>
            <w14:solidFill>
              <w14:schemeClr w14:val="tx1"/>
            </w14:solidFill>
          </w14:textFill>
        </w:rPr>
        <w:t>Figure 2.1: PRISMA Flowchart</w:t>
      </w:r>
      <w:bookmarkEnd w:id="19"/>
    </w:p>
    <w:p w14:paraId="5991F2E0">
      <w:pPr>
        <w:spacing w:before="0" w:after="0"/>
        <w:jc w:val="center"/>
        <w:rPr>
          <w:color w:val="000000" w:themeColor="text1"/>
          <w14:textFill>
            <w14:solidFill>
              <w14:schemeClr w14:val="tx1"/>
            </w14:solidFill>
          </w14:textFill>
        </w:rPr>
      </w:pPr>
      <w:r>
        <w:rPr>
          <w:color w:val="000000" w:themeColor="text1"/>
          <w14:textFill>
            <w14:solidFill>
              <w14:schemeClr w14:val="tx1"/>
            </w14:solidFill>
          </w14:textFill>
        </w:rPr>
        <w:t>(Source: Self-developed)</w:t>
      </w:r>
    </w:p>
    <w:p w14:paraId="5991F2E1">
      <w:pPr>
        <w:spacing w:before="0" w:after="0"/>
        <w:rPr>
          <w:color w:val="000000"/>
        </w:rPr>
      </w:pPr>
      <w:r>
        <w:rPr>
          <w:b/>
          <w:bCs/>
          <w:i/>
          <w:iCs/>
          <w:color w:val="000000"/>
        </w:rPr>
        <w:t>Analysis</w:t>
      </w:r>
      <w:r>
        <w:rPr>
          <w:color w:val="000000"/>
        </w:rPr>
        <w:t>: The PRISMA flow chart above shows a clear and methodical screening process that was employed in this research. Firstly, 595 records were found in databases (n = 350) and registers (n = 245). After the duplicate removal and automated exclusion, 79 records were eliminated before screening, and the final number of records that were screened was 516 by title and abstract. Out of these, 452 records have been locked out because of irrelevance to AI-driven predictive marketing and recycling results. This was followed by requesting 64 reports to be retrieved of which 25 reports were not available. The rest of the 29 studies were evaluated as to whether they met the eligibility criteria thus excluding 17 articles. In the end, 12 peer-reviewed articles were included in the final systematic literature review.</w:t>
      </w:r>
    </w:p>
    <w:p w14:paraId="5991F2E2">
      <w:pPr>
        <w:pStyle w:val="4"/>
      </w:pPr>
      <w:bookmarkStart w:id="20" w:name="_Toc219739491"/>
      <w:r>
        <w:t>2.3.1 Summary of the method</w:t>
      </w:r>
      <w:bookmarkEnd w:id="20"/>
    </w:p>
    <w:p w14:paraId="5991F2E3">
      <w:pPr>
        <w:jc w:val="center"/>
      </w:pPr>
      <w:r>
        <w:rPr>
          <w:lang w:eastAsia="en-GB"/>
        </w:rPr>
        <w:drawing>
          <wp:inline distT="114300" distB="114300" distL="114300" distR="114300">
            <wp:extent cx="5657850" cy="2880995"/>
            <wp:effectExtent l="0" t="0" r="0" b="0"/>
            <wp:docPr id="2053460301" name="image9.png"/>
            <wp:cNvGraphicFramePr/>
            <a:graphic xmlns:a="http://schemas.openxmlformats.org/drawingml/2006/main">
              <a:graphicData uri="http://schemas.openxmlformats.org/drawingml/2006/picture">
                <pic:pic xmlns:pic="http://schemas.openxmlformats.org/drawingml/2006/picture">
                  <pic:nvPicPr>
                    <pic:cNvPr id="2053460301" name="image9.png"/>
                    <pic:cNvPicPr preferRelativeResize="0"/>
                  </pic:nvPicPr>
                  <pic:blipFill>
                    <a:blip r:embed="rId16"/>
                    <a:srcRect/>
                    <a:stretch>
                      <a:fillRect/>
                    </a:stretch>
                  </pic:blipFill>
                  <pic:spPr>
                    <a:xfrm>
                      <a:off x="0" y="0"/>
                      <a:ext cx="5657850" cy="2881424"/>
                    </a:xfrm>
                    <a:prstGeom prst="rect">
                      <a:avLst/>
                    </a:prstGeom>
                  </pic:spPr>
                </pic:pic>
              </a:graphicData>
            </a:graphic>
          </wp:inline>
        </w:drawing>
      </w:r>
    </w:p>
    <w:p w14:paraId="5991F2E4">
      <w:pPr>
        <w:pStyle w:val="6"/>
      </w:pPr>
      <w:bookmarkStart w:id="21" w:name="_heading=h.nmf2oeg68eog" w:colFirst="0" w:colLast="0"/>
      <w:bookmarkEnd w:id="21"/>
      <w:bookmarkStart w:id="22" w:name="_Toc219739531"/>
      <w:r>
        <w:t>Table 2.1: Key steps of PRISMA for this study</w:t>
      </w:r>
      <w:bookmarkEnd w:id="22"/>
    </w:p>
    <w:p w14:paraId="5991F2E5">
      <w:pPr>
        <w:spacing w:before="0" w:after="0"/>
        <w:jc w:val="center"/>
        <w:rPr>
          <w:color w:val="000000"/>
        </w:rPr>
      </w:pPr>
      <w:r>
        <w:rPr>
          <w:color w:val="000000"/>
        </w:rPr>
        <w:t>(Source: Self-developed)</w:t>
      </w:r>
    </w:p>
    <w:p w14:paraId="5991F2E6">
      <w:pPr>
        <w:spacing w:before="0" w:after="0"/>
        <w:rPr>
          <w:color w:val="000000"/>
        </w:rPr>
      </w:pPr>
      <w:r>
        <w:rPr>
          <w:color w:val="000000"/>
        </w:rPr>
        <w:t>The systematic review was conducted on PRISMA principles to guarantee methodological consistency and transparency. The database searching was pre-defined with the relevant keywords, and several academic databases were used to ensure that a wide spectrum of studies was obtained. After preliminary identification, there have been duplicate records, which were eliminated to eliminate duplication. The screening of titles and abstracts was conducted according to their relevance to AI-driven predictive marketing and recycling results. The articles were then evaluated based on preset inclusion criteria, which consisted of the date of publication, peer-reviewed, and topical relevance. The data mining was narrowed down to AI methods, predictive marketing tools, behavioural information, and recovered material results. They were based on the thematic synthesis and critical assessment of the 12 peer-reviewed articles selected.</w:t>
      </w:r>
    </w:p>
    <w:p w14:paraId="5991F2E7">
      <w:pPr>
        <w:pStyle w:val="4"/>
      </w:pPr>
      <w:bookmarkStart w:id="23" w:name="_Toc219739492"/>
      <w:r>
        <w:t>2.3.2 Feasibility of using PRISMA</w:t>
      </w:r>
      <w:bookmarkEnd w:id="23"/>
    </w:p>
    <w:p w14:paraId="5991F2E8">
      <w:pPr>
        <w:spacing w:before="0" w:after="0"/>
        <w:rPr>
          <w:color w:val="000000"/>
        </w:rPr>
      </w:pPr>
      <w:r>
        <w:rPr>
          <w:color w:val="000000"/>
        </w:rPr>
        <w:t xml:space="preserve">The PRISMA model is very practical in this study since it has a systematic and well-organised method of literature selection. Since the number of publications associated with artificial intelligence and sustainability is rapidly growing, PRISMA has allowed in managing big amounts of literature and preserving academic quality. Its systematic screening process is also transparent and reproducible, which is imperative in systematic literature reviews. Nezameslami </w:t>
      </w:r>
      <w:r>
        <w:rPr>
          <w:i/>
          <w:iCs/>
          <w:color w:val="000000"/>
        </w:rPr>
        <w:t>et al.</w:t>
      </w:r>
      <w:r>
        <w:rPr>
          <w:color w:val="000000"/>
        </w:rPr>
        <w:t xml:space="preserve"> (2025) denoted that PRISMA reduces selection biases as well, through the imposition of a set of preset inclusion and exclusion criteria. Alongside, its high level of acceptance in interdisciplinary research fields makes the methodology more credible. Overall, PRISMA is an effective and credible guideline to synthesise evidence on the topic of AI-driven predictive marketing in the context of recycling and material recovery.</w:t>
      </w:r>
    </w:p>
    <w:p w14:paraId="5991F2E9">
      <w:pPr>
        <w:pStyle w:val="3"/>
      </w:pPr>
      <w:bookmarkStart w:id="24" w:name="_Toc219739493"/>
      <w:r>
        <w:t>2.4 Inclusion and Exclusion criteria</w:t>
      </w:r>
      <w:bookmarkEnd w:id="24"/>
    </w:p>
    <w:tbl>
      <w:tblPr>
        <w:tblStyle w:val="36"/>
        <w:tblW w:w="900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15" w:type="dxa"/>
          <w:bottom w:w="0" w:type="dxa"/>
          <w:right w:w="115" w:type="dxa"/>
        </w:tblCellMar>
      </w:tblPr>
      <w:tblGrid>
        <w:gridCol w:w="1350"/>
        <w:gridCol w:w="3660"/>
        <w:gridCol w:w="3990"/>
      </w:tblGrid>
      <w:tr w14:paraId="5991F2E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tcW w:w="1350" w:type="dxa"/>
            <w:shd w:val="clear" w:color="auto" w:fill="CFE2F3"/>
            <w:tcMar>
              <w:top w:w="100" w:type="dxa"/>
              <w:left w:w="100" w:type="dxa"/>
              <w:bottom w:w="100" w:type="dxa"/>
              <w:right w:w="100" w:type="dxa"/>
            </w:tcMar>
          </w:tcPr>
          <w:p w14:paraId="5991F2EA">
            <w:pPr>
              <w:widowControl w:val="0"/>
              <w:spacing w:before="0" w:after="0"/>
              <w:jc w:val="center"/>
              <w:rPr>
                <w:b/>
                <w:bCs/>
                <w:i/>
                <w:iCs/>
                <w:color w:val="000000"/>
              </w:rPr>
            </w:pPr>
            <w:r>
              <w:rPr>
                <w:b/>
                <w:bCs/>
                <w:i/>
                <w:iCs/>
                <w:color w:val="000000"/>
              </w:rPr>
              <w:t>Criteria</w:t>
            </w:r>
          </w:p>
        </w:tc>
        <w:tc>
          <w:tcPr>
            <w:tcW w:w="3660" w:type="dxa"/>
            <w:shd w:val="clear" w:color="auto" w:fill="CFE2F3"/>
            <w:tcMar>
              <w:top w:w="100" w:type="dxa"/>
              <w:left w:w="100" w:type="dxa"/>
              <w:bottom w:w="100" w:type="dxa"/>
              <w:right w:w="100" w:type="dxa"/>
            </w:tcMar>
          </w:tcPr>
          <w:p w14:paraId="5991F2EB">
            <w:pPr>
              <w:widowControl w:val="0"/>
              <w:spacing w:before="0" w:after="0"/>
              <w:jc w:val="center"/>
              <w:rPr>
                <w:b/>
                <w:bCs/>
                <w:i/>
                <w:iCs/>
                <w:color w:val="000000"/>
              </w:rPr>
            </w:pPr>
            <w:r>
              <w:rPr>
                <w:b/>
                <w:bCs/>
                <w:i/>
                <w:iCs/>
                <w:color w:val="000000"/>
              </w:rPr>
              <w:t>Inclusion criteria</w:t>
            </w:r>
          </w:p>
        </w:tc>
        <w:tc>
          <w:tcPr>
            <w:tcW w:w="3990" w:type="dxa"/>
            <w:shd w:val="clear" w:color="auto" w:fill="CFE2F3"/>
            <w:tcMar>
              <w:top w:w="100" w:type="dxa"/>
              <w:left w:w="100" w:type="dxa"/>
              <w:bottom w:w="100" w:type="dxa"/>
              <w:right w:w="100" w:type="dxa"/>
            </w:tcMar>
          </w:tcPr>
          <w:p w14:paraId="5991F2EC">
            <w:pPr>
              <w:widowControl w:val="0"/>
              <w:spacing w:before="0" w:after="0"/>
              <w:jc w:val="center"/>
              <w:rPr>
                <w:b/>
                <w:bCs/>
                <w:i/>
                <w:iCs/>
                <w:color w:val="000000"/>
              </w:rPr>
            </w:pPr>
            <w:r>
              <w:rPr>
                <w:b/>
                <w:bCs/>
                <w:i/>
                <w:iCs/>
                <w:color w:val="000000"/>
              </w:rPr>
              <w:t>Exclusion criteria</w:t>
            </w:r>
          </w:p>
        </w:tc>
      </w:tr>
      <w:tr w14:paraId="5991F2F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tcW w:w="1350" w:type="dxa"/>
            <w:shd w:val="clear" w:color="auto" w:fill="F4CCCC"/>
            <w:tcMar>
              <w:top w:w="100" w:type="dxa"/>
              <w:left w:w="100" w:type="dxa"/>
              <w:bottom w:w="100" w:type="dxa"/>
              <w:right w:w="100" w:type="dxa"/>
            </w:tcMar>
          </w:tcPr>
          <w:p w14:paraId="5991F2EE">
            <w:pPr>
              <w:widowControl w:val="0"/>
              <w:spacing w:before="0" w:after="0"/>
              <w:jc w:val="center"/>
              <w:rPr>
                <w:b/>
                <w:bCs/>
                <w:i/>
                <w:iCs/>
                <w:color w:val="000000"/>
              </w:rPr>
            </w:pPr>
            <w:r>
              <w:rPr>
                <w:b/>
                <w:bCs/>
                <w:i/>
                <w:iCs/>
              </w:rPr>
              <w:t>Type of study</w:t>
            </w:r>
          </w:p>
        </w:tc>
        <w:tc>
          <w:tcPr>
            <w:tcW w:w="3660" w:type="dxa"/>
            <w:tcMar>
              <w:top w:w="100" w:type="dxa"/>
              <w:left w:w="100" w:type="dxa"/>
              <w:bottom w:w="100" w:type="dxa"/>
              <w:right w:w="100" w:type="dxa"/>
            </w:tcMar>
          </w:tcPr>
          <w:p w14:paraId="5991F2EF">
            <w:pPr>
              <w:widowControl w:val="0"/>
              <w:spacing w:before="0" w:after="0"/>
              <w:rPr>
                <w:color w:val="000000"/>
              </w:rPr>
            </w:pPr>
            <w:r>
              <w:t>Conceptual and comprehensive literature content derived from qualitative evidence on AI’s role in material recycling/recovery.</w:t>
            </w:r>
          </w:p>
        </w:tc>
        <w:tc>
          <w:tcPr>
            <w:tcW w:w="3990" w:type="dxa"/>
            <w:tcMar>
              <w:top w:w="100" w:type="dxa"/>
              <w:left w:w="100" w:type="dxa"/>
              <w:bottom w:w="100" w:type="dxa"/>
              <w:right w:w="100" w:type="dxa"/>
            </w:tcMar>
          </w:tcPr>
          <w:p w14:paraId="5991F2F0">
            <w:pPr>
              <w:widowControl w:val="0"/>
              <w:spacing w:before="0" w:after="0"/>
            </w:pPr>
            <w:r>
              <w:t>Articles comprising statistics or interviews on AI’s predictive marketing behaviour for material recycling/recovery.</w:t>
            </w:r>
          </w:p>
        </w:tc>
      </w:tr>
      <w:tr w14:paraId="5991F2F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tcW w:w="1350" w:type="dxa"/>
            <w:shd w:val="clear" w:color="auto" w:fill="F4CCCC"/>
            <w:tcMar>
              <w:top w:w="100" w:type="dxa"/>
              <w:left w:w="100" w:type="dxa"/>
              <w:bottom w:w="100" w:type="dxa"/>
              <w:right w:w="100" w:type="dxa"/>
            </w:tcMar>
          </w:tcPr>
          <w:p w14:paraId="5991F2F2">
            <w:pPr>
              <w:widowControl w:val="0"/>
              <w:spacing w:before="0" w:after="0"/>
              <w:jc w:val="center"/>
              <w:rPr>
                <w:b/>
                <w:bCs/>
                <w:i/>
                <w:iCs/>
                <w:color w:val="000000"/>
              </w:rPr>
            </w:pPr>
            <w:r>
              <w:rPr>
                <w:b/>
                <w:bCs/>
                <w:i/>
                <w:iCs/>
              </w:rPr>
              <w:t>Source of data</w:t>
            </w:r>
          </w:p>
        </w:tc>
        <w:tc>
          <w:tcPr>
            <w:tcW w:w="3660" w:type="dxa"/>
            <w:tcMar>
              <w:top w:w="100" w:type="dxa"/>
              <w:left w:w="100" w:type="dxa"/>
              <w:bottom w:w="100" w:type="dxa"/>
              <w:right w:w="100" w:type="dxa"/>
            </w:tcMar>
          </w:tcPr>
          <w:p w14:paraId="5991F2F3">
            <w:pPr>
              <w:widowControl w:val="0"/>
              <w:spacing w:before="0" w:after="0"/>
              <w:rPr>
                <w:color w:val="000000"/>
              </w:rPr>
            </w:pPr>
            <w:r>
              <w:t xml:space="preserve">Peer-reviewed journal articles and academic books </w:t>
            </w:r>
          </w:p>
        </w:tc>
        <w:tc>
          <w:tcPr>
            <w:tcW w:w="3990" w:type="dxa"/>
            <w:tcMar>
              <w:top w:w="100" w:type="dxa"/>
              <w:left w:w="100" w:type="dxa"/>
              <w:bottom w:w="100" w:type="dxa"/>
              <w:right w:w="100" w:type="dxa"/>
            </w:tcMar>
          </w:tcPr>
          <w:p w14:paraId="5991F2F4">
            <w:pPr>
              <w:widowControl w:val="0"/>
              <w:spacing w:before="0" w:after="0"/>
              <w:rPr>
                <w:color w:val="000000"/>
              </w:rPr>
            </w:pPr>
            <w:r>
              <w:t xml:space="preserve">Blogs and non-verified resources that may contain coherent information. </w:t>
            </w:r>
          </w:p>
        </w:tc>
      </w:tr>
      <w:tr w14:paraId="5991F2F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tcW w:w="1350" w:type="dxa"/>
            <w:shd w:val="clear" w:color="auto" w:fill="F4CCCC"/>
            <w:tcMar>
              <w:top w:w="100" w:type="dxa"/>
              <w:left w:w="100" w:type="dxa"/>
              <w:bottom w:w="100" w:type="dxa"/>
              <w:right w:w="100" w:type="dxa"/>
            </w:tcMar>
          </w:tcPr>
          <w:p w14:paraId="5991F2F6">
            <w:pPr>
              <w:widowControl w:val="0"/>
              <w:spacing w:before="0" w:after="0"/>
              <w:jc w:val="center"/>
              <w:rPr>
                <w:b/>
                <w:bCs/>
                <w:i/>
                <w:iCs/>
              </w:rPr>
            </w:pPr>
            <w:r>
              <w:rPr>
                <w:b/>
                <w:bCs/>
                <w:i/>
                <w:iCs/>
              </w:rPr>
              <w:t>Relevance  with topic</w:t>
            </w:r>
          </w:p>
        </w:tc>
        <w:tc>
          <w:tcPr>
            <w:tcW w:w="3660" w:type="dxa"/>
            <w:tcMar>
              <w:top w:w="100" w:type="dxa"/>
              <w:left w:w="100" w:type="dxa"/>
              <w:bottom w:w="100" w:type="dxa"/>
              <w:right w:w="100" w:type="dxa"/>
            </w:tcMar>
          </w:tcPr>
          <w:p w14:paraId="5991F2F7">
            <w:pPr>
              <w:widowControl w:val="0"/>
              <w:spacing w:before="0" w:after="0"/>
            </w:pPr>
            <w:r>
              <w:t xml:space="preserve">Articles concerning AI’s role in predictive marketing for recovering and recycling materials. </w:t>
            </w:r>
          </w:p>
        </w:tc>
        <w:tc>
          <w:tcPr>
            <w:tcW w:w="3990" w:type="dxa"/>
            <w:tcMar>
              <w:top w:w="100" w:type="dxa"/>
              <w:left w:w="100" w:type="dxa"/>
              <w:bottom w:w="100" w:type="dxa"/>
              <w:right w:w="100" w:type="dxa"/>
            </w:tcMar>
          </w:tcPr>
          <w:p w14:paraId="5991F2F8">
            <w:pPr>
              <w:widowControl w:val="0"/>
              <w:spacing w:before="0" w:after="0"/>
              <w:rPr>
                <w:color w:val="000000"/>
              </w:rPr>
            </w:pPr>
            <w:r>
              <w:t>Articles lacking AI’s ability in predictive marketing for material recovery/recycling.</w:t>
            </w:r>
          </w:p>
        </w:tc>
      </w:tr>
      <w:tr w14:paraId="5991F2F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tcW w:w="1350" w:type="dxa"/>
            <w:shd w:val="clear" w:color="auto" w:fill="F4CCCC"/>
            <w:tcMar>
              <w:top w:w="100" w:type="dxa"/>
              <w:left w:w="100" w:type="dxa"/>
              <w:bottom w:w="100" w:type="dxa"/>
              <w:right w:w="100" w:type="dxa"/>
            </w:tcMar>
          </w:tcPr>
          <w:p w14:paraId="5991F2FA">
            <w:pPr>
              <w:widowControl w:val="0"/>
              <w:spacing w:before="0" w:after="0"/>
              <w:jc w:val="center"/>
              <w:rPr>
                <w:b/>
                <w:bCs/>
                <w:i/>
                <w:iCs/>
              </w:rPr>
            </w:pPr>
            <w:r>
              <w:rPr>
                <w:b/>
                <w:bCs/>
                <w:i/>
                <w:iCs/>
              </w:rPr>
              <w:t xml:space="preserve">Focus on marketing </w:t>
            </w:r>
          </w:p>
        </w:tc>
        <w:tc>
          <w:tcPr>
            <w:tcW w:w="3660" w:type="dxa"/>
            <w:tcMar>
              <w:top w:w="100" w:type="dxa"/>
              <w:left w:w="100" w:type="dxa"/>
              <w:bottom w:w="100" w:type="dxa"/>
              <w:right w:w="100" w:type="dxa"/>
            </w:tcMar>
          </w:tcPr>
          <w:p w14:paraId="5991F2FB">
            <w:pPr>
              <w:widowControl w:val="0"/>
              <w:spacing w:before="0" w:after="0"/>
            </w:pPr>
            <w:r>
              <w:t>Articles concerning predictive marketing and customers’ behaviour using AI for recovering and recycling materials.</w:t>
            </w:r>
          </w:p>
        </w:tc>
        <w:tc>
          <w:tcPr>
            <w:tcW w:w="3990" w:type="dxa"/>
            <w:tcMar>
              <w:top w:w="100" w:type="dxa"/>
              <w:left w:w="100" w:type="dxa"/>
              <w:bottom w:w="100" w:type="dxa"/>
              <w:right w:w="100" w:type="dxa"/>
            </w:tcMar>
          </w:tcPr>
          <w:p w14:paraId="5991F2FC">
            <w:pPr>
              <w:widowControl w:val="0"/>
              <w:spacing w:before="0" w:after="0"/>
              <w:rPr>
                <w:color w:val="000000"/>
              </w:rPr>
            </w:pPr>
            <w:r>
              <w:t>Article concerning role of AI in material recovery but without considering marketing and customers’ behaviour.</w:t>
            </w:r>
          </w:p>
        </w:tc>
      </w:tr>
      <w:tr w14:paraId="5991F30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tcW w:w="1350" w:type="dxa"/>
            <w:shd w:val="clear" w:color="auto" w:fill="F4CCCC"/>
            <w:tcMar>
              <w:top w:w="100" w:type="dxa"/>
              <w:left w:w="100" w:type="dxa"/>
              <w:bottom w:w="100" w:type="dxa"/>
              <w:right w:w="100" w:type="dxa"/>
            </w:tcMar>
          </w:tcPr>
          <w:p w14:paraId="5991F2FE">
            <w:pPr>
              <w:widowControl w:val="0"/>
              <w:spacing w:before="0" w:after="0"/>
              <w:jc w:val="center"/>
              <w:rPr>
                <w:b/>
                <w:bCs/>
                <w:i/>
                <w:iCs/>
              </w:rPr>
            </w:pPr>
            <w:r>
              <w:rPr>
                <w:b/>
                <w:bCs/>
                <w:i/>
                <w:iCs/>
              </w:rPr>
              <w:t xml:space="preserve">Language and year of publication </w:t>
            </w:r>
          </w:p>
        </w:tc>
        <w:tc>
          <w:tcPr>
            <w:tcW w:w="3660" w:type="dxa"/>
            <w:tcMar>
              <w:top w:w="100" w:type="dxa"/>
              <w:left w:w="100" w:type="dxa"/>
              <w:bottom w:w="100" w:type="dxa"/>
              <w:right w:w="100" w:type="dxa"/>
            </w:tcMar>
          </w:tcPr>
          <w:p w14:paraId="5991F2FF">
            <w:pPr>
              <w:widowControl w:val="0"/>
              <w:spacing w:before="0" w:after="0"/>
            </w:pPr>
            <w:r>
              <w:t>Published in English language from 5 years from now</w:t>
            </w:r>
          </w:p>
        </w:tc>
        <w:tc>
          <w:tcPr>
            <w:tcW w:w="3990" w:type="dxa"/>
            <w:tcMar>
              <w:top w:w="100" w:type="dxa"/>
              <w:left w:w="100" w:type="dxa"/>
              <w:bottom w:w="100" w:type="dxa"/>
              <w:right w:w="100" w:type="dxa"/>
            </w:tcMar>
          </w:tcPr>
          <w:p w14:paraId="5991F300">
            <w:pPr>
              <w:widowControl w:val="0"/>
              <w:spacing w:before="0" w:after="0"/>
              <w:rPr>
                <w:color w:val="000000"/>
              </w:rPr>
            </w:pPr>
            <w:r>
              <w:t>Articles published in other languages more than 5 years from now.</w:t>
            </w:r>
          </w:p>
        </w:tc>
      </w:tr>
      <w:tr w14:paraId="5991F30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tcW w:w="1350" w:type="dxa"/>
            <w:shd w:val="clear" w:color="auto" w:fill="F4CCCC"/>
            <w:tcMar>
              <w:top w:w="100" w:type="dxa"/>
              <w:left w:w="100" w:type="dxa"/>
              <w:bottom w:w="100" w:type="dxa"/>
              <w:right w:w="100" w:type="dxa"/>
            </w:tcMar>
          </w:tcPr>
          <w:p w14:paraId="5991F302">
            <w:pPr>
              <w:widowControl w:val="0"/>
              <w:spacing w:before="0" w:after="0"/>
              <w:jc w:val="center"/>
              <w:rPr>
                <w:b/>
                <w:bCs/>
                <w:i/>
                <w:iCs/>
              </w:rPr>
            </w:pPr>
            <w:r>
              <w:rPr>
                <w:b/>
                <w:bCs/>
                <w:i/>
                <w:iCs/>
              </w:rPr>
              <w:t>Industrial context</w:t>
            </w:r>
          </w:p>
        </w:tc>
        <w:tc>
          <w:tcPr>
            <w:tcW w:w="3660" w:type="dxa"/>
            <w:tcMar>
              <w:top w:w="100" w:type="dxa"/>
              <w:left w:w="100" w:type="dxa"/>
              <w:bottom w:w="100" w:type="dxa"/>
              <w:right w:w="100" w:type="dxa"/>
            </w:tcMar>
          </w:tcPr>
          <w:p w14:paraId="5991F303">
            <w:pPr>
              <w:widowControl w:val="0"/>
              <w:spacing w:before="0" w:after="0"/>
            </w:pPr>
            <w:r>
              <w:t>Articles focusing on recycling/waste management sectors using AI.</w:t>
            </w:r>
          </w:p>
        </w:tc>
        <w:tc>
          <w:tcPr>
            <w:tcW w:w="3990" w:type="dxa"/>
            <w:tcMar>
              <w:top w:w="100" w:type="dxa"/>
              <w:left w:w="100" w:type="dxa"/>
              <w:bottom w:w="100" w:type="dxa"/>
              <w:right w:w="100" w:type="dxa"/>
            </w:tcMar>
          </w:tcPr>
          <w:p w14:paraId="5991F304">
            <w:pPr>
              <w:widowControl w:val="0"/>
              <w:spacing w:before="0" w:after="0"/>
            </w:pPr>
            <w:r>
              <w:t>Articles focusing on industries having SCs that are irrelevant with material recovery/recycling using AI.</w:t>
            </w:r>
          </w:p>
        </w:tc>
      </w:tr>
    </w:tbl>
    <w:p w14:paraId="5991F306">
      <w:pPr>
        <w:pStyle w:val="6"/>
      </w:pPr>
      <w:bookmarkStart w:id="25" w:name="_heading=h.fu9a65zfzrp0" w:colFirst="0" w:colLast="0"/>
      <w:bookmarkEnd w:id="25"/>
      <w:bookmarkStart w:id="26" w:name="_Toc219739532"/>
      <w:r>
        <w:rPr>
          <w:color w:val="000000"/>
        </w:rPr>
        <w:t>T</w:t>
      </w:r>
      <w:r>
        <w:t>able 2.2: Inclusion and Exclusion criteria</w:t>
      </w:r>
      <w:bookmarkEnd w:id="26"/>
    </w:p>
    <w:p w14:paraId="5991F307">
      <w:pPr>
        <w:spacing w:before="0" w:after="0"/>
        <w:jc w:val="center"/>
      </w:pPr>
      <w:r>
        <w:t>(Source: Self-developed)</w:t>
      </w:r>
    </w:p>
    <w:p w14:paraId="5991F308">
      <w:pPr>
        <w:spacing w:before="0" w:after="0"/>
        <w:rPr>
          <w:b/>
          <w:bCs/>
          <w:i/>
          <w:iCs/>
          <w:color w:val="000000"/>
        </w:rPr>
      </w:pPr>
      <w:r>
        <w:rPr>
          <w:b/>
          <w:bCs/>
          <w:i/>
          <w:iCs/>
        </w:rPr>
        <w:t>An</w:t>
      </w:r>
      <w:r>
        <w:rPr>
          <w:b/>
          <w:bCs/>
          <w:i/>
          <w:iCs/>
          <w:color w:val="000000"/>
        </w:rPr>
        <w:t>alysis</w:t>
      </w:r>
    </w:p>
    <w:p w14:paraId="5991F309">
      <w:pPr>
        <w:spacing w:before="0" w:after="0"/>
      </w:pPr>
      <w:r>
        <w:t>The inclusion and exclusion criteria relate to the possibility of maintaining the credibility of research findings and maintaining coherence with research objectives. Aguinis</w:t>
      </w:r>
      <w:r>
        <w:rPr>
          <w:i/>
          <w:iCs/>
        </w:rPr>
        <w:t xml:space="preserve"> et al. </w:t>
      </w:r>
      <w:r>
        <w:t xml:space="preserve">(2024) stated that article selection impacts the maintenance of transparency and validity of information in developing research. The selection of articles possessing qualitative information on AI’s role in predictive marketing impacts the feasibility of achieving the research objectives and entail significant insights on AI’s role in predictive marketing on material recovery and recycling. In addition, the year of publication is considered to be within 2021 for ensuring that information is not likely to be outdated and contributes towards generation of adequate concepts on the given topic. However, articles lacking qualitative information and blog-based non verified sources have been discarded for hindering the probability of incorporating biased or incorrect information regarding AIs’role in predictive marketing. The inclusion and excel criteria uphold certain standards that have been maintained for ensuring that the effect could be conducted seamlessly and achieve the objectives. </w:t>
      </w:r>
    </w:p>
    <w:p w14:paraId="5991F30A">
      <w:pPr>
        <w:pStyle w:val="3"/>
      </w:pPr>
      <w:bookmarkStart w:id="27" w:name="_Toc219739494"/>
      <w:r>
        <w:t>2.5 Research strategy and approach</w:t>
      </w:r>
      <w:bookmarkEnd w:id="27"/>
    </w:p>
    <w:p w14:paraId="5991F30B">
      <w:pPr>
        <w:pStyle w:val="4"/>
      </w:pPr>
      <w:bookmarkStart w:id="28" w:name="_Toc219739495"/>
      <w:r>
        <w:t>2.5.1 Research strategy using Boolean operators</w:t>
      </w:r>
      <w:bookmarkEnd w:id="28"/>
    </w:p>
    <w:tbl>
      <w:tblPr>
        <w:tblStyle w:val="37"/>
        <w:tblW w:w="9015"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15" w:type="dxa"/>
          <w:bottom w:w="0" w:type="dxa"/>
          <w:right w:w="115" w:type="dxa"/>
        </w:tblCellMar>
      </w:tblPr>
      <w:tblGrid>
        <w:gridCol w:w="2265"/>
        <w:gridCol w:w="2250"/>
        <w:gridCol w:w="2310"/>
        <w:gridCol w:w="2190"/>
      </w:tblGrid>
      <w:tr w14:paraId="5991F31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jc w:val="center"/>
        </w:trPr>
        <w:tc>
          <w:tcPr>
            <w:tcW w:w="2265" w:type="dxa"/>
            <w:shd w:val="clear" w:color="auto" w:fill="CFE2F3"/>
            <w:tcMar>
              <w:top w:w="100" w:type="dxa"/>
              <w:left w:w="100" w:type="dxa"/>
              <w:bottom w:w="100" w:type="dxa"/>
              <w:right w:w="100" w:type="dxa"/>
            </w:tcMar>
          </w:tcPr>
          <w:p w14:paraId="5991F30C">
            <w:pPr>
              <w:widowControl w:val="0"/>
              <w:spacing w:before="0" w:after="0"/>
              <w:jc w:val="center"/>
              <w:rPr>
                <w:b/>
                <w:bCs/>
                <w:i/>
                <w:iCs/>
              </w:rPr>
            </w:pPr>
            <w:r>
              <w:rPr>
                <w:b/>
                <w:bCs/>
                <w:i/>
                <w:iCs/>
              </w:rPr>
              <w:t>“Keywords”</w:t>
            </w:r>
          </w:p>
        </w:tc>
        <w:tc>
          <w:tcPr>
            <w:tcW w:w="2250" w:type="dxa"/>
            <w:shd w:val="clear" w:color="auto" w:fill="CFE2F3"/>
            <w:tcMar>
              <w:top w:w="100" w:type="dxa"/>
              <w:left w:w="100" w:type="dxa"/>
              <w:bottom w:w="100" w:type="dxa"/>
              <w:right w:w="100" w:type="dxa"/>
            </w:tcMar>
          </w:tcPr>
          <w:p w14:paraId="5991F30D">
            <w:pPr>
              <w:widowControl w:val="0"/>
              <w:spacing w:before="0" w:after="0"/>
              <w:jc w:val="center"/>
              <w:rPr>
                <w:b/>
                <w:bCs/>
                <w:i/>
                <w:iCs/>
              </w:rPr>
            </w:pPr>
            <w:r>
              <w:rPr>
                <w:b/>
                <w:bCs/>
                <w:i/>
                <w:iCs/>
              </w:rPr>
              <w:t>“OR (N2)”</w:t>
            </w:r>
          </w:p>
        </w:tc>
        <w:tc>
          <w:tcPr>
            <w:tcW w:w="2310" w:type="dxa"/>
            <w:shd w:val="clear" w:color="auto" w:fill="CFE2F3"/>
            <w:tcMar>
              <w:top w:w="100" w:type="dxa"/>
              <w:left w:w="100" w:type="dxa"/>
              <w:bottom w:w="100" w:type="dxa"/>
              <w:right w:w="100" w:type="dxa"/>
            </w:tcMar>
          </w:tcPr>
          <w:p w14:paraId="5991F30E">
            <w:pPr>
              <w:widowControl w:val="0"/>
              <w:spacing w:before="0" w:after="0"/>
              <w:jc w:val="center"/>
              <w:rPr>
                <w:b/>
                <w:bCs/>
                <w:i/>
                <w:iCs/>
              </w:rPr>
            </w:pPr>
            <w:r>
              <w:rPr>
                <w:b/>
                <w:bCs/>
                <w:i/>
                <w:iCs/>
              </w:rPr>
              <w:t>“AND (N1)”</w:t>
            </w:r>
          </w:p>
        </w:tc>
        <w:tc>
          <w:tcPr>
            <w:tcW w:w="2190" w:type="dxa"/>
            <w:shd w:val="clear" w:color="auto" w:fill="CFE2F3"/>
            <w:tcMar>
              <w:top w:w="100" w:type="dxa"/>
              <w:left w:w="100" w:type="dxa"/>
              <w:bottom w:w="100" w:type="dxa"/>
              <w:right w:w="100" w:type="dxa"/>
            </w:tcMar>
          </w:tcPr>
          <w:p w14:paraId="5991F30F">
            <w:pPr>
              <w:widowControl w:val="0"/>
              <w:spacing w:before="0" w:after="0"/>
              <w:jc w:val="center"/>
              <w:rPr>
                <w:b/>
                <w:bCs/>
                <w:i/>
                <w:iCs/>
              </w:rPr>
            </w:pPr>
            <w:r>
              <w:rPr>
                <w:b/>
                <w:bCs/>
                <w:i/>
                <w:iCs/>
              </w:rPr>
              <w:t>“Outcomes (N)”</w:t>
            </w:r>
          </w:p>
        </w:tc>
      </w:tr>
      <w:tr w14:paraId="5991F31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jc w:val="center"/>
        </w:trPr>
        <w:tc>
          <w:tcPr>
            <w:tcW w:w="2265" w:type="dxa"/>
            <w:tcMar>
              <w:top w:w="100" w:type="dxa"/>
              <w:left w:w="100" w:type="dxa"/>
              <w:bottom w:w="100" w:type="dxa"/>
              <w:right w:w="100" w:type="dxa"/>
            </w:tcMar>
          </w:tcPr>
          <w:p w14:paraId="5991F311">
            <w:pPr>
              <w:widowControl w:val="0"/>
              <w:spacing w:before="0" w:after="0"/>
              <w:jc w:val="left"/>
            </w:pPr>
            <w:r>
              <w:t xml:space="preserve">Artificial Intelligence, Machine Learning material recycling </w:t>
            </w:r>
          </w:p>
        </w:tc>
        <w:tc>
          <w:tcPr>
            <w:tcW w:w="2250" w:type="dxa"/>
            <w:tcMar>
              <w:top w:w="100" w:type="dxa"/>
              <w:left w:w="100" w:type="dxa"/>
              <w:bottom w:w="100" w:type="dxa"/>
              <w:right w:w="100" w:type="dxa"/>
            </w:tcMar>
          </w:tcPr>
          <w:p w14:paraId="5991F312">
            <w:pPr>
              <w:widowControl w:val="0"/>
              <w:spacing w:before="0" w:after="0"/>
              <w:jc w:val="left"/>
            </w:pPr>
            <w:r>
              <w:t>Artificial intelligence for material recycling OR Machine for Learning material recycling</w:t>
            </w:r>
          </w:p>
        </w:tc>
        <w:tc>
          <w:tcPr>
            <w:tcW w:w="2310" w:type="dxa"/>
            <w:tcMar>
              <w:top w:w="100" w:type="dxa"/>
              <w:left w:w="100" w:type="dxa"/>
              <w:bottom w:w="100" w:type="dxa"/>
              <w:right w:w="100" w:type="dxa"/>
            </w:tcMar>
          </w:tcPr>
          <w:p w14:paraId="5991F313">
            <w:pPr>
              <w:widowControl w:val="0"/>
              <w:spacing w:before="0" w:after="0"/>
              <w:jc w:val="left"/>
            </w:pPr>
            <w:r>
              <w:t>Artificial intelligence for material recycling AND Machine for Learning material recycling</w:t>
            </w:r>
          </w:p>
        </w:tc>
        <w:tc>
          <w:tcPr>
            <w:tcW w:w="2190" w:type="dxa"/>
            <w:tcMar>
              <w:top w:w="100" w:type="dxa"/>
              <w:left w:w="100" w:type="dxa"/>
              <w:bottom w:w="100" w:type="dxa"/>
              <w:right w:w="100" w:type="dxa"/>
            </w:tcMar>
          </w:tcPr>
          <w:p w14:paraId="5991F314">
            <w:pPr>
              <w:widowControl w:val="0"/>
              <w:spacing w:before="0" w:after="0"/>
              <w:jc w:val="left"/>
            </w:pPr>
            <w:r>
              <w:t xml:space="preserve">Science Direct </w:t>
            </w:r>
          </w:p>
          <w:p w14:paraId="5991F315">
            <w:pPr>
              <w:widowControl w:val="0"/>
              <w:spacing w:before="0" w:after="0"/>
              <w:jc w:val="left"/>
            </w:pPr>
            <w:r>
              <w:t xml:space="preserve">N1 = 27,493 </w:t>
            </w:r>
          </w:p>
          <w:p w14:paraId="5991F316">
            <w:pPr>
              <w:widowControl w:val="0"/>
              <w:spacing w:before="0" w:after="0"/>
              <w:jc w:val="left"/>
            </w:pPr>
            <w:r>
              <w:t>N2 =  9,457</w:t>
            </w:r>
          </w:p>
          <w:p w14:paraId="5991F317">
            <w:pPr>
              <w:widowControl w:val="0"/>
              <w:spacing w:before="0" w:after="0"/>
              <w:jc w:val="left"/>
            </w:pPr>
            <w:r>
              <w:t>N =  36,950</w:t>
            </w:r>
          </w:p>
        </w:tc>
      </w:tr>
      <w:tr w14:paraId="5991F32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jc w:val="center"/>
        </w:trPr>
        <w:tc>
          <w:tcPr>
            <w:tcW w:w="2265" w:type="dxa"/>
            <w:tcMar>
              <w:top w:w="100" w:type="dxa"/>
              <w:left w:w="100" w:type="dxa"/>
              <w:bottom w:w="100" w:type="dxa"/>
              <w:right w:w="100" w:type="dxa"/>
            </w:tcMar>
          </w:tcPr>
          <w:p w14:paraId="5991F319">
            <w:pPr>
              <w:widowControl w:val="0"/>
              <w:spacing w:before="0" w:after="0"/>
              <w:jc w:val="left"/>
            </w:pPr>
            <w:r>
              <w:t xml:space="preserve">Artificial Intelligence, Deep Learning, material recovery </w:t>
            </w:r>
          </w:p>
        </w:tc>
        <w:tc>
          <w:tcPr>
            <w:tcW w:w="2250" w:type="dxa"/>
            <w:tcMar>
              <w:top w:w="100" w:type="dxa"/>
              <w:left w:w="100" w:type="dxa"/>
              <w:bottom w:w="100" w:type="dxa"/>
              <w:right w:w="100" w:type="dxa"/>
            </w:tcMar>
          </w:tcPr>
          <w:p w14:paraId="5991F31A">
            <w:pPr>
              <w:widowControl w:val="0"/>
              <w:spacing w:before="0" w:after="0"/>
              <w:jc w:val="left"/>
            </w:pPr>
            <w:r>
              <w:t xml:space="preserve">Artificial Intelligence  for material recovery OR Deep Learning for material recovery </w:t>
            </w:r>
          </w:p>
        </w:tc>
        <w:tc>
          <w:tcPr>
            <w:tcW w:w="2310" w:type="dxa"/>
            <w:tcMar>
              <w:top w:w="100" w:type="dxa"/>
              <w:left w:w="100" w:type="dxa"/>
              <w:bottom w:w="100" w:type="dxa"/>
              <w:right w:w="100" w:type="dxa"/>
            </w:tcMar>
          </w:tcPr>
          <w:p w14:paraId="5991F31B">
            <w:pPr>
              <w:widowControl w:val="0"/>
              <w:spacing w:before="0" w:after="0"/>
              <w:jc w:val="left"/>
            </w:pPr>
            <w:r>
              <w:t xml:space="preserve">Artificial Intelligence  for material recovery AND Deep Learning for material recovery </w:t>
            </w:r>
          </w:p>
        </w:tc>
        <w:tc>
          <w:tcPr>
            <w:tcW w:w="2190" w:type="dxa"/>
            <w:tcMar>
              <w:top w:w="100" w:type="dxa"/>
              <w:left w:w="100" w:type="dxa"/>
              <w:bottom w:w="100" w:type="dxa"/>
              <w:right w:w="100" w:type="dxa"/>
            </w:tcMar>
          </w:tcPr>
          <w:p w14:paraId="5991F31C">
            <w:pPr>
              <w:widowControl w:val="0"/>
              <w:spacing w:before="0" w:after="0"/>
              <w:jc w:val="left"/>
            </w:pPr>
            <w:r>
              <w:t>Google scholar</w:t>
            </w:r>
          </w:p>
          <w:p w14:paraId="5991F31D">
            <w:pPr>
              <w:widowControl w:val="0"/>
              <w:spacing w:before="0" w:after="0"/>
              <w:jc w:val="left"/>
            </w:pPr>
            <w:r>
              <w:t>N1 =  18,900</w:t>
            </w:r>
          </w:p>
          <w:p w14:paraId="5991F31E">
            <w:pPr>
              <w:widowControl w:val="0"/>
              <w:spacing w:before="0" w:after="0"/>
              <w:jc w:val="left"/>
            </w:pPr>
            <w:r>
              <w:t>N2 =  17,200</w:t>
            </w:r>
          </w:p>
          <w:p w14:paraId="5991F31F">
            <w:pPr>
              <w:widowControl w:val="0"/>
              <w:spacing w:before="0" w:after="0"/>
              <w:jc w:val="left"/>
            </w:pPr>
            <w:r>
              <w:t>N =  36,100</w:t>
            </w:r>
          </w:p>
        </w:tc>
      </w:tr>
      <w:tr w14:paraId="5991F32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jc w:val="center"/>
        </w:trPr>
        <w:tc>
          <w:tcPr>
            <w:tcW w:w="2265" w:type="dxa"/>
            <w:tcMar>
              <w:top w:w="100" w:type="dxa"/>
              <w:left w:w="100" w:type="dxa"/>
              <w:bottom w:w="100" w:type="dxa"/>
              <w:right w:w="100" w:type="dxa"/>
            </w:tcMar>
          </w:tcPr>
          <w:p w14:paraId="5991F321">
            <w:pPr>
              <w:widowControl w:val="0"/>
              <w:spacing w:before="0" w:after="0"/>
              <w:jc w:val="left"/>
            </w:pPr>
            <w:r>
              <w:t>Artificial Intelligence, predictive marketing, material recycling.</w:t>
            </w:r>
          </w:p>
        </w:tc>
        <w:tc>
          <w:tcPr>
            <w:tcW w:w="2250" w:type="dxa"/>
            <w:tcMar>
              <w:top w:w="100" w:type="dxa"/>
              <w:left w:w="100" w:type="dxa"/>
              <w:bottom w:w="100" w:type="dxa"/>
              <w:right w:w="100" w:type="dxa"/>
            </w:tcMar>
          </w:tcPr>
          <w:p w14:paraId="5991F322">
            <w:pPr>
              <w:widowControl w:val="0"/>
              <w:spacing w:before="0" w:after="0"/>
              <w:jc w:val="left"/>
            </w:pPr>
            <w:r>
              <w:t>Artificial Intelligence for material recycling OR Predictive marketing for material recycling.</w:t>
            </w:r>
          </w:p>
        </w:tc>
        <w:tc>
          <w:tcPr>
            <w:tcW w:w="2310" w:type="dxa"/>
            <w:tcMar>
              <w:top w:w="100" w:type="dxa"/>
              <w:left w:w="100" w:type="dxa"/>
              <w:bottom w:w="100" w:type="dxa"/>
              <w:right w:w="100" w:type="dxa"/>
            </w:tcMar>
          </w:tcPr>
          <w:p w14:paraId="5991F323">
            <w:pPr>
              <w:widowControl w:val="0"/>
              <w:spacing w:before="0" w:after="0"/>
              <w:jc w:val="left"/>
            </w:pPr>
            <w:r>
              <w:t>Artificial Intelligence for material recycling AND Predictive marketing for material recycling.</w:t>
            </w:r>
          </w:p>
        </w:tc>
        <w:tc>
          <w:tcPr>
            <w:tcW w:w="2190" w:type="dxa"/>
            <w:tcMar>
              <w:top w:w="100" w:type="dxa"/>
              <w:left w:w="100" w:type="dxa"/>
              <w:bottom w:w="100" w:type="dxa"/>
              <w:right w:w="100" w:type="dxa"/>
            </w:tcMar>
          </w:tcPr>
          <w:p w14:paraId="5991F324">
            <w:pPr>
              <w:widowControl w:val="0"/>
              <w:spacing w:before="0" w:after="0"/>
              <w:jc w:val="left"/>
            </w:pPr>
            <w:r>
              <w:t>Google scholar</w:t>
            </w:r>
          </w:p>
          <w:p w14:paraId="5991F325">
            <w:pPr>
              <w:widowControl w:val="0"/>
              <w:spacing w:before="0" w:after="0"/>
              <w:jc w:val="left"/>
            </w:pPr>
            <w:r>
              <w:t>N1 =  17,000</w:t>
            </w:r>
          </w:p>
          <w:p w14:paraId="5991F326">
            <w:pPr>
              <w:widowControl w:val="0"/>
              <w:spacing w:before="0" w:after="0"/>
              <w:jc w:val="left"/>
            </w:pPr>
            <w:r>
              <w:t>N2 =  17,000</w:t>
            </w:r>
          </w:p>
          <w:p w14:paraId="5991F327">
            <w:pPr>
              <w:widowControl w:val="0"/>
              <w:spacing w:before="0" w:after="0"/>
              <w:jc w:val="left"/>
            </w:pPr>
            <w:r>
              <w:t>N =  34,000</w:t>
            </w:r>
          </w:p>
        </w:tc>
      </w:tr>
    </w:tbl>
    <w:p w14:paraId="5991F329">
      <w:pPr>
        <w:pStyle w:val="6"/>
      </w:pPr>
      <w:bookmarkStart w:id="29" w:name="_heading=h.hexzvuvlyna" w:colFirst="0" w:colLast="0"/>
      <w:bookmarkEnd w:id="29"/>
      <w:bookmarkStart w:id="30" w:name="_Toc219739533"/>
      <w:r>
        <w:t>Table 2.3: “Boolean operators”</w:t>
      </w:r>
      <w:bookmarkEnd w:id="30"/>
    </w:p>
    <w:p w14:paraId="5991F32A">
      <w:pPr>
        <w:spacing w:before="0" w:after="0"/>
        <w:jc w:val="center"/>
      </w:pPr>
      <w:r>
        <w:t>(Source: Self-developed)</w:t>
      </w:r>
    </w:p>
    <w:p w14:paraId="5991F32B">
      <w:pPr>
        <w:spacing w:before="0" w:after="0"/>
        <w:rPr>
          <w:b/>
          <w:bCs/>
          <w:i/>
          <w:iCs/>
        </w:rPr>
      </w:pPr>
      <w:r>
        <w:rPr>
          <w:b/>
          <w:bCs/>
          <w:i/>
          <w:iCs/>
        </w:rPr>
        <w:t>Analysis</w:t>
      </w:r>
    </w:p>
    <w:p w14:paraId="5991F32C">
      <w:pPr>
        <w:spacing w:before="0" w:after="0"/>
      </w:pPr>
      <w:r>
        <w:t xml:space="preserve">The Boolean operators are sorted out in a certain manner that could help in narrowing down articles as compliant with the inclusion criteria for conducting this research. Munasinghe and Ranasinghe (2023) stated that Boolean operators in a research play an important role in filtering the irrelevant articles that might hinder the validity of findings. The consideration of relevant databases such as Google Scholar and Science Direct have provided two different outcomes when using the Boolean operators “AND” and “OR” that aided in filtering out the number of articles coherent with the searched keywords. A total of 1,07,050 articles have been found from the selected databases that are to be further filtered in order to reach the financial number of articles in deriving qualitative information. The final number of articles contribute to enhancing the credibility of the qualitative findings regarding AI’s role in predictive marketing for material recovery and recycling. </w:t>
      </w:r>
    </w:p>
    <w:p w14:paraId="5991F32D">
      <w:pPr>
        <w:pStyle w:val="4"/>
      </w:pPr>
      <w:bookmarkStart w:id="31" w:name="_Toc219739496"/>
      <w:r>
        <w:t>2.5.2 Research approach</w:t>
      </w:r>
      <w:bookmarkEnd w:id="31"/>
    </w:p>
    <w:p w14:paraId="5991F32E">
      <w:pPr>
        <w:spacing w:before="0" w:after="0"/>
      </w:pPr>
      <w:r>
        <w:t>The deductive research approach is considered as an important method that aids in deriving confirmatory information on AI’s role in predictive marketing for material recovery and recycling. Fife and Gossner (2024) stated that the deductive approach is essential for evaluating the significance of selecting theories that could help in acknowledging credible insights into the research topic. The method contributes towards incorporating qualitative evidence regarding AI’s integration across circular economy principles that influences waste management and material recovery. Holmberg</w:t>
      </w:r>
      <w:r>
        <w:rPr>
          <w:i/>
          <w:iCs/>
        </w:rPr>
        <w:t xml:space="preserve"> et al.</w:t>
      </w:r>
      <w:r>
        <w:t xml:space="preserve"> (2023) commented that deductive approach enhances decision-making ability in selecting the resources that are closely aligned with research objectives. As a result, the method has been effective for deriving information focused on adoption of AI that improves predictability of material usage, leading to evolution of respective recycling and recovery. </w:t>
      </w:r>
    </w:p>
    <w:p w14:paraId="5991F32F">
      <w:pPr>
        <w:pStyle w:val="3"/>
      </w:pPr>
      <w:bookmarkStart w:id="32" w:name="_Toc219739497"/>
      <w:r>
        <w:t>2.6 Data collection method and analysis</w:t>
      </w:r>
      <w:bookmarkEnd w:id="32"/>
    </w:p>
    <w:p w14:paraId="5991F330">
      <w:pPr>
        <w:pStyle w:val="4"/>
      </w:pPr>
      <w:bookmarkStart w:id="33" w:name="_Toc219739498"/>
      <w:r>
        <w:t>2.6.1 Data collection method</w:t>
      </w:r>
      <w:bookmarkEnd w:id="33"/>
    </w:p>
    <w:p w14:paraId="5991F331">
      <w:pPr>
        <w:spacing w:before="0" w:after="0"/>
      </w:pPr>
      <w:r>
        <w:t xml:space="preserve">The selection of data procurement methods relies on the possibility of integrating fact-based information on AI’s role in predictive marketing for material recovery and recycling. Ganesha and Aithal (2022) commented that data collection methods help to make sound decisions in selecting the most relevant sources that help in achieving the objectives of a given research. The validity and reliability of information heavily leans on selecting the method of producing data. Considering AI’s role in predictive marketing for recovering and recycling materials, the qualitative method has been selected. Lim (2025) stated that the qualitative method focuses on deriving insights from contextual resources for gaining valid insight into the research. The impacts on industrial effectiveness due to incorporating AI for material recycling/recovery through predictive marketing is compliant with using the qualitative data procurement method. </w:t>
      </w:r>
    </w:p>
    <w:p w14:paraId="5991F332">
      <w:pPr>
        <w:spacing w:before="0" w:after="0"/>
      </w:pPr>
      <w:r>
        <w:t>The qualitative method has been the most relevant for the existence of a broad nature concerning the research topic that generates a hindrance in aligning with numeric data. Despite the fact, Cheong</w:t>
      </w:r>
      <w:r>
        <w:rPr>
          <w:i/>
          <w:iCs/>
        </w:rPr>
        <w:t xml:space="preserve"> et al.</w:t>
      </w:r>
      <w:r>
        <w:t xml:space="preserve"> (2023) argued that qualitative methods derive resource intensive information that is difficult for narrowing down relevant information for enhancing research credibility. The impact generates a change in articulating most compliant information on AI’s role in predictive marketing for material recovery/recycling. Yet, the method provides comprehensive information that supports effective decision-making in searching the most reliable information to be incorporated into the research. Therefore, the qualitative method has been the most suitable for describing information of AI’s role in material recovery/recycling through predictive marketing and accomplishing the objectives.</w:t>
      </w:r>
    </w:p>
    <w:p w14:paraId="5991F333">
      <w:pPr>
        <w:pStyle w:val="4"/>
      </w:pPr>
      <w:bookmarkStart w:id="34" w:name="_Toc219739499"/>
      <w:r>
        <w:t>2.6.2 Data analysis</w:t>
      </w:r>
      <w:bookmarkEnd w:id="34"/>
    </w:p>
    <w:p w14:paraId="5991F334">
      <w:pPr>
        <w:spacing w:before="0" w:after="0"/>
      </w:pPr>
      <w:r>
        <w:t>The interpretation of data patterns for deriving meaningful inferences from a given data set is referred to as data analysis. Adebayo</w:t>
      </w:r>
      <w:r>
        <w:rPr>
          <w:i/>
          <w:iCs/>
        </w:rPr>
        <w:t xml:space="preserve"> et al.</w:t>
      </w:r>
      <w:r>
        <w:t xml:space="preserve"> (2024) data analysis is important for making decisions in detecting whether the procured information can achieve the research objectives. The interpretation of data patterns also helps in understanding AI’s usage in predictive marketing for recovering and recycling materials. The thematic data analysis has been considered for developing 4 themes coherent with the research objectives. The theme has been prepared for ensuring seamless flow of qualitative evidence that could reflect critical insight upon using AI’s prospective marketing role concerning material recovery and recycling. However, other data analysis methods have not been considered due to their irrelevance in accumulative qualitative evidence and sequencing them as per the objectives' orientation. As a result, better data analysis has been the most apt method in analysing the qualitative information on AI’s role in predictive marketing in recycling/recovering materials.</w:t>
      </w:r>
    </w:p>
    <w:p w14:paraId="5991F335">
      <w:pPr>
        <w:pStyle w:val="3"/>
      </w:pPr>
      <w:bookmarkStart w:id="35" w:name="_Toc219739500"/>
      <w:r>
        <w:t>2.7 Sampling and technique</w:t>
      </w:r>
      <w:bookmarkEnd w:id="35"/>
    </w:p>
    <w:p w14:paraId="5991F336">
      <w:pPr>
        <w:spacing w:before="0" w:after="0"/>
      </w:pPr>
      <w:r>
        <w:t xml:space="preserve">Sampling is the method of segregating credible literary information from a wider population that aids in enhancing the validity of the findings. Nyimbili and Nyimbili (2024) stated that data sampling is important for generalising the findings that helps in enhancing the accuracy of the outcomes. The sampling methods used in conducting this research is purposive sampling that helps in addressing academic complexities while navigating for credible qualitative evidence across a wide literary population. The method is effective for deriving phenomena-oriented information regarding AI’s role across marketing in using predictive analytics for material recovery and recycling. </w:t>
      </w:r>
    </w:p>
    <w:p w14:paraId="5991F337">
      <w:pPr>
        <w:spacing w:before="0" w:after="0"/>
      </w:pPr>
      <w:r>
        <w:t xml:space="preserve">The purposive sampling technique focuses on challenges and strategies faced by AI users in material recovery and recycling. Ahmad and Wilkins (2025) stated that purposive sampling focuses on articulating deep insights on a given topic and achieving the research objectives. As a result, the method of sampling the article influenced selecting 3 peer-reviewed journals in each theme that closely align with the research objectives and questions. Consequently, the possibility of articulating specific insights on AI’s role in predictive marketing for material recovery/recycling can be anticipated accordingly. However, other sampling techniques such as snowball sampling have been discarded due to their irrelevance and ineffectiveness in deriving credible information on the topic. Therefore, purposive sampling has been the most relevant method that aided in exploring nuanced information regarding AI’s usage in material recovery/recycling through predictive marketing.   </w:t>
      </w:r>
    </w:p>
    <w:p w14:paraId="5991F338">
      <w:pPr>
        <w:pStyle w:val="3"/>
      </w:pPr>
      <w:bookmarkStart w:id="36" w:name="_Toc219739501"/>
      <w:r>
        <w:t>2.8 Methodological limitation</w:t>
      </w:r>
      <w:bookmarkEnd w:id="36"/>
    </w:p>
    <w:p w14:paraId="5991F339">
      <w:pPr>
        <w:spacing w:before="0" w:after="0"/>
      </w:pPr>
      <w:r>
        <w:t xml:space="preserve">The methodologies applied in the research have been beneficial for delving into critical insights on AI’s role in predictive marketing for recovering/recycling materials using the qualitative method. However, interpretive numeric evidence regarding the rates of material recovery and recycling could have been possible by using quantitative methods. The reason is that the qualitative method is limited to articulating textual information that could hinder the authenticity of procured information on AI’s role. In addition, the quantitative method could have helped in articulating precise insight regarding facts impacting AI’s role in predictive marketing for recovering and recycling material. </w:t>
      </w:r>
    </w:p>
    <w:p w14:paraId="5991F33A">
      <w:pPr>
        <w:spacing w:before="0" w:after="0"/>
      </w:pPr>
      <w:r>
        <w:t xml:space="preserve">The inclusion of information from peer-reviewed journals is limited to the concepts entailed by a limited number of authors that could have optimised in considering websites as additional materials. Websites, unlike blogs, provide both qualitative and quantitative information regarding the role of organisations in using AI for predictive marketing for material recovery/recycling. Guo and Keles (2025) stated that peer-reviewed articles are limited to specified information that hinders accomplishment of certain research objectives. The consideration of additional secondary information from websites, industrial reports can help in gaining better insights on recovering/recycling material using AI through predictive marketing.   </w:t>
      </w:r>
    </w:p>
    <w:p w14:paraId="5991F33B">
      <w:pPr>
        <w:pStyle w:val="3"/>
      </w:pPr>
      <w:bookmarkStart w:id="37" w:name="_Toc219739502"/>
      <w:r>
        <w:t>2.9 Summary</w:t>
      </w:r>
      <w:bookmarkEnd w:id="37"/>
    </w:p>
    <w:p w14:paraId="5991F33C">
      <w:pPr>
        <w:spacing w:before="0" w:after="0"/>
      </w:pPr>
      <w:r>
        <w:t xml:space="preserve">The articles’ selection criteria focussed on specific keywords that are closely aligned with the topic that could help in accompanying the research question. The search strategy upheld the possibility of delving into credible qualitative evidence that could be significant for conducting the research effectively. The data interpretation through thematic data analysis and purposive sampling technique have contributed towards articulating precise information on AI’s role in material recovery and recycling. In this respect, integrating qualitative information across 4 themes has been significant for aligning the qualitative information with corresponding research objectives in completing the research. </w:t>
      </w:r>
    </w:p>
    <w:p w14:paraId="5991F33D">
      <w:pPr>
        <w:rPr>
          <w:b/>
          <w:bCs/>
        </w:rPr>
      </w:pPr>
      <w:r>
        <w:br w:type="page"/>
      </w:r>
    </w:p>
    <w:p w14:paraId="5991F33E">
      <w:pPr>
        <w:pStyle w:val="2"/>
        <w:rPr>
          <w:color w:val="FF0000"/>
        </w:rPr>
      </w:pPr>
      <w:bookmarkStart w:id="38" w:name="_Toc219739503"/>
      <w:r>
        <w:rPr>
          <w:color w:val="FF0000"/>
        </w:rPr>
        <w:t>Chapter 3: Findings and Discussion</w:t>
      </w:r>
      <w:bookmarkEnd w:id="38"/>
    </w:p>
    <w:p w14:paraId="5991F33F">
      <w:pPr>
        <w:pStyle w:val="3"/>
        <w:rPr>
          <w:i/>
          <w:iCs/>
        </w:rPr>
      </w:pPr>
      <w:bookmarkStart w:id="39" w:name="_Toc219739504"/>
      <w:r>
        <w:t>3.1 Chapter introduction</w:t>
      </w:r>
      <w:bookmarkEnd w:id="39"/>
    </w:p>
    <w:p w14:paraId="5991F340">
      <w:r>
        <w:t xml:space="preserve">This literature review chapter refers to existing academic journal articles published in the last five years to evaluate the key themes based on these research objectives. This chapter is going to critically evaluate the role significance of AI in having higher predictive accuracy, and its role in driving recycling through marketing by assessing consumer behaviour. The chapter will also examine the challenges of using AI based predictive analytics to promote recycling in organisational marketing campaigns, as well as suggest effective recommendations for better management. The chapter further explores theoretical frameworks for this study and identifies key literature gaps affecting current understanding regarding the topic. </w:t>
      </w:r>
    </w:p>
    <w:p w14:paraId="5991F341">
      <w:pPr>
        <w:pStyle w:val="3"/>
      </w:pPr>
      <w:bookmarkStart w:id="40" w:name="_Toc219739505"/>
      <w:r>
        <w:t>3.2 Thematic Analysis</w:t>
      </w:r>
      <w:bookmarkEnd w:id="40"/>
      <w:r>
        <w:t xml:space="preserve"> </w:t>
      </w:r>
    </w:p>
    <w:p w14:paraId="5991F342">
      <w:pPr>
        <w:pStyle w:val="4"/>
      </w:pPr>
      <w:bookmarkStart w:id="41" w:name="_Toc219739506"/>
      <w:r>
        <w:t>3.2.1 Theme 1: The feasibility of AI technologies for supporting predictive marketing to promote recycling and material recovery</w:t>
      </w:r>
      <w:bookmarkEnd w:id="41"/>
    </w:p>
    <w:p w14:paraId="5991F343">
      <w:r>
        <w:t>AI technology can be considered as an effective tool for leaders and decision-makers for identifying the appropriate consumers and target marketing campaigns for automated updates regarding recycling supply chain of brands to increase engagement. These findings highlighted AI as a scalable strategy for predictive marketing, being able to anticipate most effective customers, influencing marketing tactics supported with real-time data from smart bins, sensors, and automated sorters. Integrating AI for material recovery and recycling impacts the feasibility of improvised customers’ engagement across business. Lakhouit (2025) commented that material recovery and recycling through AI's predictive marketing impacts maintenance of sustainability in business. Yet, susceptible challenges in integrating AI renders disparities in predictive marketing across business. The challenges to using AI into predictive marketing frameworks are discussed below that impacts decision-making in managing materials.</w:t>
      </w:r>
    </w:p>
    <w:p w14:paraId="5991F344">
      <w:r>
        <w:t xml:space="preserve">The effect of AI based predictive analytics has been proven to be positive so far, with emphasis on GANs and VAEs, as well as other ML models for prediction. Furthermore, Madhavi </w:t>
      </w:r>
      <w:r>
        <w:rPr>
          <w:i/>
          <w:iCs/>
        </w:rPr>
        <w:t xml:space="preserve">et al. </w:t>
      </w:r>
      <w:r>
        <w:t>(2025) stated that the use of trash image-classification dataset with SwinConvNeXt observed 98.97% accuracy, 98.42% precision, and 98.61% recall that suggests real-time waste classification despite limited resources. Furthermore, unlike vision only sensors, integrated sensor data with ML for determining material recycling showed higher quality superior plastic packaging waste segregation. This further pushed that AI-powered classification models are accurate for being used in recycling facilities for sorting materials needed for recycling with smart bin systems. This can significantly reduce contamination rates in recycled materials, increase throughput, and lessen the need for manual sorting.</w:t>
      </w:r>
    </w:p>
    <w:p w14:paraId="5991F345">
      <w:r>
        <w:t xml:space="preserve">Automated trash sitting systems have positively impacted recycling systems, making AI and ML key for large scale recycle system installation. ML-based automated trash sorting ML-based sorting reduced energy-intensive procedures, such as shredding, and improved recycling rates, improving purity of the materials being recycled. This significantly increases scale and reduces time consumption compared to manual picking and sorting, which makes it ideal for being adopted at the corporate level as a CSR initiative. Fang </w:t>
      </w:r>
      <w:r>
        <w:rPr>
          <w:i/>
          <w:iCs/>
        </w:rPr>
        <w:t xml:space="preserve">et al. </w:t>
      </w:r>
      <w:r>
        <w:t xml:space="preserve">(2025) has added that AI-based automation ML model supports cost saving, faster trash sorting, and continuous operation that are beneficial for recycling systems being adopted in urban areas. This elaborates on AI based predictive models having a favourable role in better trash sorting, especially for recycling plastics. Although, with the use of ML, the process of classifying trash to plan processing can help predict the amount to be recycled. ‘Municipal Solid Waste’ (MSW) evaluated socioeconomic, zonal, and historical waste data by using “Supervised Machine Learning” (SVM), like Random Forest and Naive Bayes gained 96% prediction accuracy. This highlighted the growing adoption of ML models in municipalities of developing countries to promote recycling centre efficiency to sustain sustainability programs. The key relevance ML has regarding recycling centre is referred to plan collection, predict people response and waste generation, optimise logistics and allocate resources accordingly. </w:t>
      </w:r>
    </w:p>
    <w:p w14:paraId="5991F346">
      <w:r>
        <w:t xml:space="preserve">The ML technology can also be effective by being integrated with circular economy to environmental impact. The circular economy based ML model integrates broader forecasting, classification, and automation supports industry shift towards efficient waste mismanagement, minimising landfill usage, and lowering GHG emissions. On the other hand, Fang </w:t>
      </w:r>
      <w:r>
        <w:rPr>
          <w:i/>
          <w:iCs/>
        </w:rPr>
        <w:t xml:space="preserve">et al. </w:t>
      </w:r>
      <w:r>
        <w:t xml:space="preserve">(2025), use of AI in plastic recycling was benefited by better quality in trash sorting by lowering contamination and increasing the purity of collected waste materials. This impact of AI in trash recycling makes the process more economically and ecologically sustainable for long term adoption. Fundamentally, AI-based waste management further plans sorting lines, automated scheduling for pickup vehicles, and recycling facilities. This ensures that the capacity of recycling trash per day aligns with predicted motivation among people that affects collected garbage at recycle centres. Thus, the AI has shown an overall positive influence on predicting data related to public behaviour with recycling and responsible trash collection. </w:t>
      </w:r>
    </w:p>
    <w:p w14:paraId="5991F347">
      <w:pPr>
        <w:jc w:val="center"/>
      </w:pPr>
      <w:r>
        <w:rPr>
          <w:lang w:eastAsia="en-GB"/>
        </w:rPr>
        <w:drawing>
          <wp:inline distT="114300" distB="114300" distL="114300" distR="114300">
            <wp:extent cx="4762500" cy="1752600"/>
            <wp:effectExtent l="0" t="0" r="0" b="0"/>
            <wp:docPr id="2053460302" name="image4.png"/>
            <wp:cNvGraphicFramePr/>
            <a:graphic xmlns:a="http://schemas.openxmlformats.org/drawingml/2006/main">
              <a:graphicData uri="http://schemas.openxmlformats.org/drawingml/2006/picture">
                <pic:pic xmlns:pic="http://schemas.openxmlformats.org/drawingml/2006/picture">
                  <pic:nvPicPr>
                    <pic:cNvPr id="2053460302" name="image4.png"/>
                    <pic:cNvPicPr preferRelativeResize="0"/>
                  </pic:nvPicPr>
                  <pic:blipFill>
                    <a:blip r:embed="rId17"/>
                    <a:srcRect/>
                    <a:stretch>
                      <a:fillRect/>
                    </a:stretch>
                  </pic:blipFill>
                  <pic:spPr>
                    <a:xfrm>
                      <a:off x="0" y="0"/>
                      <a:ext cx="4762500" cy="1752600"/>
                    </a:xfrm>
                    <a:prstGeom prst="rect">
                      <a:avLst/>
                    </a:prstGeom>
                  </pic:spPr>
                </pic:pic>
              </a:graphicData>
            </a:graphic>
          </wp:inline>
        </w:drawing>
      </w:r>
    </w:p>
    <w:p w14:paraId="5991F348">
      <w:pPr>
        <w:pStyle w:val="5"/>
      </w:pPr>
      <w:bookmarkStart w:id="42" w:name="_heading=h.qe7xbzk8j9w4" w:colFirst="0" w:colLast="0"/>
      <w:bookmarkEnd w:id="42"/>
      <w:bookmarkStart w:id="43" w:name="_Toc219739525"/>
      <w:r>
        <w:t>Figure 3.1: Role of AI based mechanical, thermochemical and biological process of plastic recycling</w:t>
      </w:r>
      <w:bookmarkEnd w:id="43"/>
    </w:p>
    <w:p w14:paraId="5991F349">
      <w:pPr>
        <w:jc w:val="center"/>
      </w:pPr>
      <w:r>
        <w:t xml:space="preserve">(Source: Fang </w:t>
      </w:r>
      <w:r>
        <w:rPr>
          <w:i/>
          <w:iCs/>
        </w:rPr>
        <w:t xml:space="preserve">et al. </w:t>
      </w:r>
      <w:r>
        <w:t>2025)</w:t>
      </w:r>
    </w:p>
    <w:p w14:paraId="5991F34A">
      <w:pPr>
        <w:spacing w:after="160"/>
      </w:pPr>
      <w:r>
        <w:t xml:space="preserve">This theme also indicates multidimensional implications of AI technologies to support predictive marketing in terms of promoting recycling and material recovery. Regarding the analytical aspects, technical, operational and strategic feasibility of the AI technology for predictive marketing have been determined on the basis of accuracy, efficiency, as well as predictability. For example, Lakhouit (2025) has explored a synergistic relationship between AI and IoT in respect to the revolutionary marketing management for the waste management amidst the urban areas. This finding indicates the underlying technological applications related to cutting-edge concepts on environmental sustainability management through predictive data-analytic measures. Moreover, the utility of AI algorithms has been focused on analysing real-time data from "smart bins" equipped with sensors that can help in predicting waste generation trends and fill the gaps. On a flipping note, Madhavi </w:t>
      </w:r>
      <w:r>
        <w:rPr>
          <w:i/>
          <w:iCs/>
        </w:rPr>
        <w:t>et al.</w:t>
      </w:r>
      <w:r>
        <w:t xml:space="preserve"> (2024) have found the technical feasibility of the AI for ensuring material identification through precision, leading to the solutions to distinguish materials. Technical and operational feasibility of the concerned technology, AI have been found as dynamic aspects towards the domain of material recovery sphere. </w:t>
      </w:r>
    </w:p>
    <w:p w14:paraId="5991F34B">
      <w:pPr>
        <w:spacing w:after="160"/>
        <w:jc w:val="center"/>
      </w:pPr>
      <w:r>
        <w:rPr>
          <w:lang w:eastAsia="en-GB"/>
        </w:rPr>
        <w:drawing>
          <wp:inline distT="114300" distB="114300" distL="114300" distR="114300">
            <wp:extent cx="5730875" cy="2171700"/>
            <wp:effectExtent l="0" t="0" r="0" b="0"/>
            <wp:docPr id="2053460295" name="image10.png"/>
            <wp:cNvGraphicFramePr/>
            <a:graphic xmlns:a="http://schemas.openxmlformats.org/drawingml/2006/main">
              <a:graphicData uri="http://schemas.openxmlformats.org/drawingml/2006/picture">
                <pic:pic xmlns:pic="http://schemas.openxmlformats.org/drawingml/2006/picture">
                  <pic:nvPicPr>
                    <pic:cNvPr id="2053460295" name="image10.png"/>
                    <pic:cNvPicPr preferRelativeResize="0"/>
                  </pic:nvPicPr>
                  <pic:blipFill>
                    <a:blip r:embed="rId18"/>
                    <a:srcRect/>
                    <a:stretch>
                      <a:fillRect/>
                    </a:stretch>
                  </pic:blipFill>
                  <pic:spPr>
                    <a:xfrm>
                      <a:off x="0" y="0"/>
                      <a:ext cx="5731200" cy="2171700"/>
                    </a:xfrm>
                    <a:prstGeom prst="rect">
                      <a:avLst/>
                    </a:prstGeom>
                  </pic:spPr>
                </pic:pic>
              </a:graphicData>
            </a:graphic>
          </wp:inline>
        </w:drawing>
      </w:r>
    </w:p>
    <w:p w14:paraId="5991F34C">
      <w:pPr>
        <w:pStyle w:val="5"/>
        <w:spacing w:after="160"/>
      </w:pPr>
      <w:bookmarkStart w:id="44" w:name="_heading=h.2ozr7uglj5u7" w:colFirst="0" w:colLast="0"/>
      <w:bookmarkEnd w:id="44"/>
      <w:bookmarkStart w:id="45" w:name="_Toc219739526"/>
      <w:r>
        <w:t>Figure 3.2: AI based Smart Garbage Classification Dataset</w:t>
      </w:r>
      <w:bookmarkEnd w:id="45"/>
    </w:p>
    <w:p w14:paraId="5991F34D">
      <w:pPr>
        <w:spacing w:after="160"/>
        <w:jc w:val="center"/>
      </w:pPr>
      <w:r>
        <w:t xml:space="preserve">(Source: Madhavi </w:t>
      </w:r>
      <w:r>
        <w:rPr>
          <w:i/>
          <w:iCs/>
        </w:rPr>
        <w:t xml:space="preserve">et al. </w:t>
      </w:r>
      <w:r>
        <w:t>2024)</w:t>
      </w:r>
    </w:p>
    <w:p w14:paraId="5991F34E">
      <w:pPr>
        <w:pStyle w:val="4"/>
      </w:pPr>
      <w:bookmarkStart w:id="46" w:name="_Toc219739507"/>
      <w:r>
        <w:t>3.2.2 Theme 2: Challenges in integrating AI into predictive marketing frameworks for recycling and material recovery</w:t>
      </w:r>
      <w:bookmarkEnd w:id="46"/>
    </w:p>
    <w:p w14:paraId="5991F34F">
      <w:pPr>
        <w:rPr>
          <w:b/>
          <w:bCs/>
          <w:i/>
          <w:iCs/>
        </w:rPr>
      </w:pPr>
      <w:r>
        <w:rPr>
          <w:b/>
          <w:bCs/>
          <w:i/>
          <w:iCs/>
        </w:rPr>
        <w:t xml:space="preserve">Limitations in data distributions regarding material properties </w:t>
      </w:r>
    </w:p>
    <w:p w14:paraId="5991F350">
      <w:r>
        <w:t>AI models are dependent on the prevalence of robust historical information on the material properties.</w:t>
      </w:r>
      <w:r>
        <w:rPr>
          <w:lang w:val="en-IN"/>
        </w:rPr>
        <w:t xml:space="preserve"> </w:t>
      </w:r>
      <w:r>
        <w:rPr>
          <w:color w:val="000000" w:themeColor="text1"/>
          <w14:textFill>
            <w14:solidFill>
              <w14:schemeClr w14:val="tx1"/>
            </w14:solidFill>
          </w14:textFill>
        </w:rPr>
        <w:t>Jose</w:t>
      </w:r>
      <w:r>
        <w:rPr>
          <w:i/>
          <w:iCs/>
          <w:color w:val="000000" w:themeColor="text1"/>
          <w14:textFill>
            <w14:solidFill>
              <w14:schemeClr w14:val="tx1"/>
            </w14:solidFill>
          </w14:textFill>
        </w:rPr>
        <w:t xml:space="preserve"> et al.</w:t>
      </w:r>
      <w:r>
        <w:rPr>
          <w:color w:val="000000" w:themeColor="text1"/>
          <w14:textFill>
            <w14:solidFill>
              <w14:schemeClr w14:val="tx1"/>
            </w14:solidFill>
          </w14:textFill>
        </w:rPr>
        <w:t xml:space="preserve"> (2024) commented that absence of proper data distributions hinders AI's predictive algorithms in analysing data points related with material recovery and recycling. The statement indicates that lack of available information on the material characteristics leads to discrepancies in managing AI's functions in predictive marketing.  Jose</w:t>
      </w:r>
      <w:r>
        <w:rPr>
          <w:i/>
          <w:iCs/>
          <w:color w:val="000000" w:themeColor="text1"/>
          <w14:textFill>
            <w14:solidFill>
              <w14:schemeClr w14:val="tx1"/>
            </w14:solidFill>
          </w14:textFill>
        </w:rPr>
        <w:t xml:space="preserve"> et al.</w:t>
      </w:r>
      <w:r>
        <w:rPr>
          <w:color w:val="000000" w:themeColor="text1"/>
          <w14:textFill>
            <w14:solidFill>
              <w14:schemeClr w14:val="tx1"/>
            </w14:solidFill>
          </w14:textFill>
        </w:rPr>
        <w:t xml:space="preserve"> (2024) has highlighted the growing market for lithium ion battery recycling for better sustainability in production and waste management of battery operated vehicles. As a result, business counterparts face issues in assessing the classification o</w:t>
      </w:r>
      <w:r>
        <w:t>f materials for recovery and recycling while AI during predictive marketing. Inconsistency in data patterns generates challenges for AI systems in predicting marketing on recycling materials. AI systems are crucial for analysing material usage patterns across customers that enables businesses in reducing susceptibility of material waste that hinders environmental sustainability. As a result, companies using AI for predictive marketing face challenges in attracting budget-friendly customers. The impact leads to reduction in business growth to a significant extent.</w:t>
      </w:r>
    </w:p>
    <w:p w14:paraId="5991F351">
      <w:pPr>
        <w:jc w:val="center"/>
      </w:pPr>
      <w:r>
        <w:rPr>
          <w:lang w:eastAsia="en-GB"/>
        </w:rPr>
        <w:drawing>
          <wp:inline distT="114300" distB="114300" distL="114300" distR="114300">
            <wp:extent cx="5238750" cy="3952875"/>
            <wp:effectExtent l="0" t="0" r="0" b="0"/>
            <wp:docPr id="2053460303" name="image5.png"/>
            <wp:cNvGraphicFramePr/>
            <a:graphic xmlns:a="http://schemas.openxmlformats.org/drawingml/2006/main">
              <a:graphicData uri="http://schemas.openxmlformats.org/drawingml/2006/picture">
                <pic:pic xmlns:pic="http://schemas.openxmlformats.org/drawingml/2006/picture">
                  <pic:nvPicPr>
                    <pic:cNvPr id="2053460303" name="image5.png"/>
                    <pic:cNvPicPr preferRelativeResize="0"/>
                  </pic:nvPicPr>
                  <pic:blipFill>
                    <a:blip r:embed="rId19"/>
                    <a:srcRect/>
                    <a:stretch>
                      <a:fillRect/>
                    </a:stretch>
                  </pic:blipFill>
                  <pic:spPr>
                    <a:xfrm>
                      <a:off x="0" y="0"/>
                      <a:ext cx="5238750" cy="3952875"/>
                    </a:xfrm>
                    <a:prstGeom prst="rect">
                      <a:avLst/>
                    </a:prstGeom>
                  </pic:spPr>
                </pic:pic>
              </a:graphicData>
            </a:graphic>
          </wp:inline>
        </w:drawing>
      </w:r>
    </w:p>
    <w:p w14:paraId="5991F352">
      <w:pPr>
        <w:pStyle w:val="5"/>
        <w:rPr>
          <w:color w:val="000000" w:themeColor="text1"/>
          <w14:textFill>
            <w14:solidFill>
              <w14:schemeClr w14:val="tx1"/>
            </w14:solidFill>
          </w14:textFill>
        </w:rPr>
      </w:pPr>
      <w:bookmarkStart w:id="47" w:name="_heading=h.nlmgyl16glt8" w:colFirst="0" w:colLast="0"/>
      <w:bookmarkEnd w:id="47"/>
      <w:bookmarkStart w:id="48" w:name="_Toc219739527"/>
      <w:r>
        <w:rPr>
          <w:color w:val="000000" w:themeColor="text1"/>
          <w14:textFill>
            <w14:solidFill>
              <w14:schemeClr w14:val="tx1"/>
            </w14:solidFill>
          </w14:textFill>
        </w:rPr>
        <w:t>Figure 3.3: Lithium Ion Battery Recycling rate</w:t>
      </w:r>
      <w:bookmarkEnd w:id="48"/>
    </w:p>
    <w:p w14:paraId="5991F353">
      <w:pPr>
        <w:jc w:val="center"/>
        <w:rPr>
          <w:color w:val="000000" w:themeColor="text1"/>
          <w14:textFill>
            <w14:solidFill>
              <w14:schemeClr w14:val="tx1"/>
            </w14:solidFill>
          </w14:textFill>
        </w:rPr>
      </w:pPr>
      <w:r>
        <w:rPr>
          <w:color w:val="000000" w:themeColor="text1"/>
          <w14:textFill>
            <w14:solidFill>
              <w14:schemeClr w14:val="tx1"/>
            </w14:solidFill>
          </w14:textFill>
        </w:rPr>
        <w:t>(Source: Antony Jose</w:t>
      </w:r>
      <w:r>
        <w:rPr>
          <w:i/>
          <w:iCs/>
          <w:color w:val="000000" w:themeColor="text1"/>
          <w14:textFill>
            <w14:solidFill>
              <w14:schemeClr w14:val="tx1"/>
            </w14:solidFill>
          </w14:textFill>
        </w:rPr>
        <w:t xml:space="preserve"> et al. </w:t>
      </w:r>
      <w:r>
        <w:rPr>
          <w:color w:val="000000" w:themeColor="text1"/>
          <w14:textFill>
            <w14:solidFill>
              <w14:schemeClr w14:val="tx1"/>
            </w14:solidFill>
          </w14:textFill>
        </w:rPr>
        <w:t>2024)</w:t>
      </w:r>
    </w:p>
    <w:p w14:paraId="5991F354">
      <w:r>
        <w:t>Challenges linked with technical complexity and material variability have also been responsible for hindering the responsible entities in applying AI technology for predictive marketing for environmental sustainability. For instance, Umeliwu and Samuel (2024) have claimed that the lack of standardized datasets and the "black box" nature of AI related to the model interpretability can hinder industry trust in composite material engineering practices. Therefore, relevant stakeholders have been concerned in understanding the underlying nature of AI technology in predicting the material yield, while the deep learning models often lack the transparency within the process.   </w:t>
      </w:r>
    </w:p>
    <w:p w14:paraId="5991F355">
      <w:pPr>
        <w:rPr>
          <w:b/>
          <w:bCs/>
          <w:i/>
          <w:iCs/>
        </w:rPr>
      </w:pPr>
      <w:r>
        <w:rPr>
          <w:b/>
          <w:bCs/>
          <w:i/>
          <w:iCs/>
        </w:rPr>
        <w:t xml:space="preserve">Lack of robust infrastructure for AI's integration for predictive marketing </w:t>
      </w:r>
    </w:p>
    <w:p w14:paraId="5991F356">
      <w:r>
        <w:t xml:space="preserve">The absence of robust digital infrastructure hinders the maintenance of material selection and processing. AI's integration is dependent on consistent training of algorithms for rendering betrothed outcomes. The absence of a proper digital infrastructure declines the forecasting behaviour of AI across organisations leading to challenges in predictive marketing for recovering and recycling materials. Integrating AI requires higher computation potential in managing the predictive marketing models for material recovery and recycling. Therefore, a lack of robust AI infrastructure is a challenge faced by most companies in incorporating predictive marketing frameworks. On the other hand, Bashynska and Prokopenko (2024) have determined the problem of ethical, as well as regulatory barriers due to the algorithmic bias, leading to the unequal access to the resources. Mainly, the robust infrastructure is required with the assurance of regulatory compliance, ethical and integrity within the domain of AI technology for environmental management.      </w:t>
      </w:r>
    </w:p>
    <w:p w14:paraId="5991F357">
      <w:pPr>
        <w:rPr>
          <w:b/>
          <w:bCs/>
          <w:i/>
          <w:iCs/>
        </w:rPr>
      </w:pPr>
      <w:r>
        <w:rPr>
          <w:b/>
          <w:bCs/>
          <w:i/>
          <w:iCs/>
        </w:rPr>
        <w:t xml:space="preserve">Requirement of high cost for AI’s implementation </w:t>
      </w:r>
    </w:p>
    <w:p w14:paraId="5991F358">
      <w:pPr>
        <w:spacing w:before="0" w:after="0"/>
        <w:rPr>
          <w:color w:val="000000"/>
        </w:rPr>
      </w:pPr>
      <w:r>
        <w:rPr>
          <w:color w:val="000000"/>
        </w:rPr>
        <w:t xml:space="preserve">The incorporation of AI across predictive marketing frameworks requires additional expenses that induce financial strains across organisations in optimising material recovery and recycling. Organisations that implement AI for material recycling are impacted by financial stress. The reason is that digital transformation across businesses through AI requires additional investment for incorporating predictive marketing frameworks. The improvement in predictive marketing using AI for material recovery and recycling is undertaken through staff training and systems’ integration. Significant investment is required for training staff upon using predictive models of AI for streamlining material management. In addition, investment in AI infrastructure integration and capacity development is likely to impose a challenge across responsible companies in using predictive marketing frameworks for recycling and recovering materials. The statement indicates that lack of investment induces a challenge for companies in using AI. Besides these, Jose </w:t>
      </w:r>
      <w:r>
        <w:rPr>
          <w:i/>
          <w:iCs/>
          <w:color w:val="000000"/>
        </w:rPr>
        <w:t>et al.</w:t>
      </w:r>
      <w:r>
        <w:rPr>
          <w:color w:val="000000"/>
        </w:rPr>
        <w:t xml:space="preserve"> (2024) have found that focus on battery recyclability indicates wide variation in battery designs, chemistries, and topologies, leading to the potential challenge to AI-driven automation management. Predictive models through AI also require a broader design space from the cylindrical to pouch cells that make the whole process more difficult in creating generalised frameworks for the material recovery. </w:t>
      </w:r>
    </w:p>
    <w:p w14:paraId="5991F359">
      <w:pPr>
        <w:rPr>
          <w:b/>
          <w:bCs/>
          <w:i/>
          <w:iCs/>
        </w:rPr>
      </w:pPr>
      <w:r>
        <w:rPr>
          <w:b/>
          <w:bCs/>
          <w:i/>
          <w:iCs/>
        </w:rPr>
        <w:t xml:space="preserve">Lack of knowledge across employees in AI for predictive marketing  </w:t>
      </w:r>
    </w:p>
    <w:p w14:paraId="5991F35A">
      <w:pPr>
        <w:spacing w:before="0" w:after="0"/>
        <w:rPr>
          <w:color w:val="000000"/>
        </w:rPr>
      </w:pPr>
      <w:r>
        <w:rPr>
          <w:color w:val="000000"/>
        </w:rPr>
        <w:t>Absence of adequate knowledge in using AI for predictive marketing models may generate challenges reducing possibility of material wastes. Umeliwu and Samuel (2024) stated that lack of proper knowledge on data analytics hinders in determining material usage through AI. In addition, shortage of employees in having the adequate skills in using predictive marketing frameworks hinders aligning corporate strategies with optimising material recovery and recycling. As a result, such organisations face challenges in conveying the importance of using AI for predicting material usage, recycling and recovery. The observed skills gaps and lack of capabilities across the employees generates a challenge in enhancing the quality of outputs. However, Bashynska and Prokopenko (2024) have found a challenging process of reducing cyber risks in AI-driven circular economy implementations that create operational difficulties in assessing accurate measures. Mainly, the excessive reliance on IoT sensors and block chain for secure material traceability has been liable to create scopes for different types of cyber-attacks like autonomous phishing, malware, and data breaches.</w:t>
      </w:r>
    </w:p>
    <w:p w14:paraId="5991F35B">
      <w:pPr>
        <w:rPr>
          <w:b/>
          <w:bCs/>
          <w:i/>
          <w:iCs/>
        </w:rPr>
      </w:pPr>
      <w:r>
        <w:rPr>
          <w:b/>
          <w:bCs/>
          <w:i/>
          <w:iCs/>
        </w:rPr>
        <w:t xml:space="preserve">Lack of data privacy and transparency </w:t>
      </w:r>
    </w:p>
    <w:p w14:paraId="5991F35C">
      <w:r>
        <w:t xml:space="preserve">The integral strategies related to AI's predictive marketing behaviour is dependent on existing customer-centric data. However, instances of data breach may manipulate existing AI algorithms leading to wrong outputs on material recovery (Bashynska and Prokopenko, 2024). The susceptibility of data manipulation violates customers’ trust that declines a company's reputation. In addition, lack of data privacy may lead to generating biased outcomes that hinders the predictive marketing algorithms. Therefore, such organisations are impacted with complexities in managing data privacy and transparency that hinders recycling improvement and material recovery enhancement. </w:t>
      </w:r>
    </w:p>
    <w:p w14:paraId="5991F35D">
      <w:pPr>
        <w:pStyle w:val="4"/>
      </w:pPr>
      <w:bookmarkStart w:id="49" w:name="_Toc219739508"/>
      <w:r>
        <w:t>3.2.3 Theme 3-Strategies in increasing customer engagement and promoting higher recycling participation through AI-driven predictive marketing</w:t>
      </w:r>
      <w:bookmarkEnd w:id="49"/>
    </w:p>
    <w:p w14:paraId="5991F35E">
      <w:r>
        <w:t>The integration AI in predictive marketing across organisations has been effective for optimising the efficiency of material recovery and recycling. As per the views of Bag</w:t>
      </w:r>
      <w:r>
        <w:rPr>
          <w:i/>
          <w:iCs/>
        </w:rPr>
        <w:t xml:space="preserve"> et al. </w:t>
      </w:r>
      <w:r>
        <w:t>(2022), AI is essential for analysing patterns of material usage that helps organisations in understanding customers’ engagement. The AI-empowered predictable models are significant for analysing waste management behaviours of customers that influence organisations in incorporating sustainable practices for reducing wastes. However, promotion of recycling participation and customer engagement require time while integrating AI-enabled predictive marketing (Sahoo</w:t>
      </w:r>
      <w:r>
        <w:rPr>
          <w:i/>
          <w:iCs/>
        </w:rPr>
        <w:t xml:space="preserve"> et al. </w:t>
      </w:r>
      <w:r>
        <w:t>2025). The strategies in addressing the aforementioned challenges are further discussed below that are effective for promoting recycling participation through AI-driven predictive marketing.</w:t>
      </w:r>
    </w:p>
    <w:p w14:paraId="5991F35F">
      <w:pPr>
        <w:rPr>
          <w:b/>
          <w:bCs/>
          <w:i/>
          <w:iCs/>
        </w:rPr>
      </w:pPr>
      <w:r>
        <w:rPr>
          <w:b/>
          <w:bCs/>
          <w:i/>
          <w:iCs/>
        </w:rPr>
        <w:t>Data segmentation and quality enhancement</w:t>
      </w:r>
    </w:p>
    <w:p w14:paraId="5991F360">
      <w:r>
        <w:t xml:space="preserve">The strategy to segment data considering material selection and usage can be effective for understanding customers’ engagement behaviour in using materials. Personalisation of data enables changes in material usage patterns while using AI’s predictive marketing models. The strategy can be effective for companies in monitoring the trends regarding material usage that could influence in conveying information regarding proactive material use for reducing wastes. Data segmentation can foster ease for AI models in focusing on concentrated information regarding customers’ participation towards using various materials. As a result, businesses can enhance productivity by recycling and recovering materials based on customers' participation which is promoted through AI-enabled predictive marketing models. The reasons include predictive models of AI in analysing risk or uncertainty regarding customers’ participation regarding material usage. Therefore, data segmentation is essential for addressing the limitations in data distributions, where companies can convey reminders in promoting recycling of materials. Behavioural targeting and operational forecasting are the two major roles of AI’s feasibility in material reusing. On the contrary, self-reported intentions or online participation by consumers cannot be considered as assured conversion into appropriate recycling activities, differentiating between behavioural efficacy and technological feasibility. Lack of convenience or consumer habit suggests intentions, failing to predict actual disposal behaviour. This suggests that AI based predictive marketing can be ineffective in better understanding the entire consumer population attitude, regardless of high data accuracy mainly because of wider social qualitative acceptance. </w:t>
      </w:r>
    </w:p>
    <w:p w14:paraId="5991F361">
      <w:r>
        <w:t xml:space="preserve">Big Data Predictive Analysis (BDPA) can be considered as a feasible AI-induced predictive model for understanding consumer behaviour concerning recycling and material recovery. Resource-Based View (RBV) theory has conceptualised BDPA as an important construct for an organisation to foster improved financial performance and market responsiveness, curated through customer-centricity and environmental responsibility. Referring to RBV, AI-powered predictive BDPA can be viewed as an important construct to carve customer satisfaction, concerning the integration of recycling and material recovery, aligned with environmental responsibility. Although, there is a dispute between the effectiveness of AI for predicting consumer behaviour and inability to measure qualitative indicators based on the above analysis. Chertow </w:t>
      </w:r>
      <w:r>
        <w:rPr>
          <w:i/>
          <w:iCs/>
        </w:rPr>
        <w:t xml:space="preserve">et al. </w:t>
      </w:r>
      <w:r>
        <w:t xml:space="preserve">(2024) has stated that classification accuracy, throughput, and contamination reduction in Material Recovery Facilities (MRFs) are regarded as quantifiable benefits supporting AI investments. System-level results that increases in accurate household sorting rates, contamination reduction, recycling and increased recycling scale. Relying on qualitative factors is key for developing marketing campaigns as it relies more on human emotions and context over quantitative measures, having limited effectiveness of AI-based prediction. However, Concerns regarding equity, privacy, and data quality with relying on AI for predictive analytics. Predictive marketing increases the risk of privacy and trust issues since it accesses user data, such as purchase history, geolocation and bin level usage. AI based predictive models can be used to evaluate customer behaviour based on their engagement with the brand for understanding their attitude towards material recycling. </w:t>
      </w:r>
    </w:p>
    <w:p w14:paraId="5991F362">
      <w:pPr>
        <w:rPr>
          <w:b/>
          <w:bCs/>
          <w:i/>
          <w:iCs/>
        </w:rPr>
      </w:pPr>
      <w:r>
        <w:rPr>
          <w:b/>
          <w:bCs/>
          <w:i/>
          <w:iCs/>
        </w:rPr>
        <w:t>Importance AI-driven predictive marketing in promoting higher recycling participation</w:t>
      </w:r>
    </w:p>
    <w:p w14:paraId="5991F363">
      <w:pPr>
        <w:rPr>
          <w:color w:val="222222"/>
        </w:rPr>
      </w:pPr>
      <w:r>
        <w:t xml:space="preserve">AI-driven predictive marketing offers significant strategic potential for increasing customer engagement and promoting higher recycling participation by leveraging data-driven insights into behavioural patterns. The research by </w:t>
      </w:r>
      <w:r>
        <w:rPr>
          <w:color w:val="222222"/>
        </w:rPr>
        <w:t xml:space="preserve">Bag </w:t>
      </w:r>
      <w:r>
        <w:rPr>
          <w:i/>
          <w:iCs/>
          <w:color w:val="222222"/>
        </w:rPr>
        <w:t xml:space="preserve">et al. </w:t>
      </w:r>
      <w:r>
        <w:rPr>
          <w:color w:val="222222"/>
        </w:rPr>
        <w:t>(2022)</w:t>
      </w:r>
      <w:r>
        <w:t xml:space="preserve"> has conceptualised the essentiality of AI technologies to enhance engagement by analysing large volumes of user data to predict preferences, intentions, and responsiveness to targeted stimuli. In a recycling and material recovery context, these capabilities can be translated into personalised interventions such as tailored recycling reminders, incentive notifications, and sustainability messaging that align with individual behavioural profiles.AI-enabled predictive analytics has been conceptualised as one of the effective strategies in terms of blending different metrics including recycling behaviour, frequency of engagement, and responsiveness to incentives. As opined by </w:t>
      </w:r>
      <w:r>
        <w:rPr>
          <w:color w:val="222222"/>
        </w:rPr>
        <w:t>Bag</w:t>
      </w:r>
      <w:r>
        <w:rPr>
          <w:i/>
          <w:iCs/>
          <w:color w:val="222222"/>
        </w:rPr>
        <w:t xml:space="preserve">et al. </w:t>
      </w:r>
      <w:r>
        <w:rPr>
          <w:color w:val="222222"/>
        </w:rPr>
        <w:t>(2022) AI-enabled predictive analytics play a central role for an organisation in terms of enabling recycling programmes and organisations to deploy customised communication at optimal touchpoints in the user journey. Henceforth, AI-driven engagement has been conceptualised as an important mediator in terms of developing a strong liaison between technological deployment and conversion outcomes.</w:t>
      </w:r>
    </w:p>
    <w:p w14:paraId="5991F364">
      <w:pPr>
        <w:rPr>
          <w:color w:val="222222"/>
        </w:rPr>
      </w:pPr>
      <w:r>
        <w:rPr>
          <w:color w:val="222222"/>
        </w:rPr>
        <w:t xml:space="preserve">Following the theoretical insights of stimulus-organism-response (S-O-R) model, increased customer engagement has been assessed as a prominent outcome of feasible response, curetted through the stances of brand image (Bag </w:t>
      </w:r>
      <w:r>
        <w:rPr>
          <w:i/>
          <w:iCs/>
          <w:color w:val="222222"/>
        </w:rPr>
        <w:t xml:space="preserve">et al. </w:t>
      </w:r>
      <w:r>
        <w:rPr>
          <w:color w:val="222222"/>
        </w:rPr>
        <w:t xml:space="preserve">2022). Applied to recycling, engagement mediates the relationship between AI-based marketing initiatives and actual participation, such as consistent material sorting and return behaviour. Sahoo </w:t>
      </w:r>
      <w:r>
        <w:rPr>
          <w:i/>
          <w:iCs/>
          <w:color w:val="222222"/>
        </w:rPr>
        <w:t xml:space="preserve">et al. </w:t>
      </w:r>
      <w:r>
        <w:rPr>
          <w:color w:val="222222"/>
        </w:rPr>
        <w:t>(2025) have supported the previous statement in terms of assessing the impulse of AI-driven customer engagement in terms of fostering green purchase intention. Furthermore, AI can support real-time behavioural prediction by continuously learning from user interactions, allowing recycling campaigns to adapt dynamically.</w:t>
      </w:r>
    </w:p>
    <w:p w14:paraId="5991F365">
      <w:pPr>
        <w:spacing w:after="160"/>
      </w:pPr>
      <w:r>
        <w:rPr>
          <w:b/>
          <w:bCs/>
          <w:i/>
          <w:iCs/>
        </w:rPr>
        <w:t>Personalised engagement with trust and operational excellence with green purchase intension </w:t>
      </w:r>
    </w:p>
    <w:p w14:paraId="5991F366">
      <w:pPr>
        <w:spacing w:after="160"/>
      </w:pPr>
      <w:r>
        <w:t xml:space="preserve">This strategy is centred within the use of AI-driven predictive marketing for shaping personalised engagement for the customers that can drive both the operational excellence and trust among customers. For instance, Sahoo </w:t>
      </w:r>
      <w:r>
        <w:rPr>
          <w:i/>
          <w:iCs/>
        </w:rPr>
        <w:t xml:space="preserve">et al. </w:t>
      </w:r>
      <w:r>
        <w:t xml:space="preserve">(2025) have emphasised that AI has strong capability to interpret consumer behaviours and purchase dimensions in terms of fostering "green purchase intentions" throughout their buying journey. The authors’ research also validates AI-driven customer engagement strategies including personalized recommendations, user-generated marketing and targeted eco-messaging that can draw a positive psychological attitude among the customers toward sustainability. In other words, Chertow </w:t>
      </w:r>
      <w:r>
        <w:rPr>
          <w:i/>
          <w:iCs/>
        </w:rPr>
        <w:t>et al.</w:t>
      </w:r>
      <w:r>
        <w:t xml:space="preserve"> (2024) have argued that the combined implication of AI and robotics regarding the material recovery procedures can facilitate profound visibility of the high-tech and efficient recycling procedures. This combined application of the AI-driven technologies can play the role of a significant customer engagement tool, tailored to the touchpoints of the customers.  </w:t>
      </w:r>
    </w:p>
    <w:p w14:paraId="5991F367">
      <w:pPr>
        <w:spacing w:after="160"/>
      </w:pPr>
      <w:r>
        <w:rPr>
          <w:b/>
          <w:bCs/>
          <w:i/>
          <w:iCs/>
        </w:rPr>
        <w:t>Optimisation of “digital customer journey” for conversion and sustainable marketing directives </w:t>
      </w:r>
    </w:p>
    <w:p w14:paraId="5991F368">
      <w:r>
        <w:t xml:space="preserve">Understanding “customer buying journey” through the digital mediums helps to ensure key extents on how the technology-driven procedures can contribute sustainable marketing. In this regard, Bag </w:t>
      </w:r>
      <w:r>
        <w:rPr>
          <w:i/>
          <w:iCs/>
        </w:rPr>
        <w:t>et al.</w:t>
      </w:r>
      <w:r>
        <w:t xml:space="preserve"> (2022) have found that “observation informing theory” has been linked with digital and online marketing activities in terms of information analysis for making decisions, tailored with the customers’ needs. For instance, the use of AI-driven data analytics technology has been effective in processing information about the customers’ needs, which can help shape tailored marketing implications. Thus, theoretical and practicality, it has been observed that optimising “digital customer journey”, with AI implementation can validate customer-centred marketing regarding sustainable value creation.</w:t>
      </w:r>
    </w:p>
    <w:p w14:paraId="5991F369">
      <w:pPr>
        <w:pStyle w:val="4"/>
      </w:pPr>
      <w:bookmarkStart w:id="50" w:name="_Toc219739509"/>
      <w:r>
        <w:t>3.2.4 Theme 4- Effectiveness of AI-powered predictive models for behavioural assessment towards regarding recycling and material recovery</w:t>
      </w:r>
      <w:bookmarkEnd w:id="50"/>
    </w:p>
    <w:p w14:paraId="5991F36A">
      <w:r>
        <w:t xml:space="preserve">In terms of understanding consumer behaviour regarding material recycling, generative and discriminative AI models positively improve predictive accuracy more than traditional statistical data analysis. As per Aderibigbe </w:t>
      </w:r>
      <w:r>
        <w:rPr>
          <w:i/>
          <w:iCs/>
        </w:rPr>
        <w:t xml:space="preserve">et al. </w:t>
      </w:r>
      <w:r>
        <w:t>(2023), technological tools like Artificial Intelligence (AI) and Machine Learning (ML) can be effective with high quality data availability for effective forecasting based on short term goals. Furthermore, computer-vision models for automated predictive models positively impacts material recycling rates by enhancing item recognition and sorting throughput. This has an indirect impact on promoting behaviour-focused outcomes by boosting efficiency of recycling materials and reducing error while sorting material recovery</w:t>
      </w:r>
      <w:r>
        <w:rPr>
          <w:color w:val="000000" w:themeColor="text1"/>
          <w14:textFill>
            <w14:solidFill>
              <w14:schemeClr w14:val="tx1"/>
            </w14:solidFill>
          </w14:textFill>
        </w:rPr>
        <w:t xml:space="preserve">. Fang </w:t>
      </w:r>
      <w:r>
        <w:rPr>
          <w:i/>
          <w:iCs/>
          <w:color w:val="000000" w:themeColor="text1"/>
          <w14:textFill>
            <w14:solidFill>
              <w14:schemeClr w14:val="tx1"/>
            </w14:solidFill>
          </w14:textFill>
        </w:rPr>
        <w:t xml:space="preserve">et al. </w:t>
      </w:r>
      <w:r>
        <w:rPr>
          <w:color w:val="000000" w:themeColor="text1"/>
          <w14:textFill>
            <w14:solidFill>
              <w14:schemeClr w14:val="tx1"/>
            </w14:solidFill>
          </w14:textFill>
        </w:rPr>
        <w:t xml:space="preserve">(2023) opined that smart-city trash systems reveal operational improvements with AI-based logistics and collection scheduling by optimising route and costs, enhancing recycling and material recovery. This further supported that supervised AI based predictive models can be applied on </w:t>
      </w:r>
      <w:r>
        <w:t xml:space="preserve">cross-validated accuracy for predicting self-reported recycling intentions with behavioural theory. </w:t>
      </w:r>
    </w:p>
    <w:p w14:paraId="5991F36B">
      <w:pPr>
        <w:jc w:val="center"/>
      </w:pPr>
      <w:r>
        <w:rPr>
          <w:lang w:eastAsia="en-GB"/>
        </w:rPr>
        <w:drawing>
          <wp:inline distT="114300" distB="114300" distL="114300" distR="114300">
            <wp:extent cx="5730875" cy="3200400"/>
            <wp:effectExtent l="0" t="0" r="0" b="0"/>
            <wp:docPr id="2053460296" name="image3.png"/>
            <wp:cNvGraphicFramePr/>
            <a:graphic xmlns:a="http://schemas.openxmlformats.org/drawingml/2006/main">
              <a:graphicData uri="http://schemas.openxmlformats.org/drawingml/2006/picture">
                <pic:pic xmlns:pic="http://schemas.openxmlformats.org/drawingml/2006/picture">
                  <pic:nvPicPr>
                    <pic:cNvPr id="2053460296" name="image3.png"/>
                    <pic:cNvPicPr preferRelativeResize="0"/>
                  </pic:nvPicPr>
                  <pic:blipFill>
                    <a:blip r:embed="rId20"/>
                    <a:srcRect/>
                    <a:stretch>
                      <a:fillRect/>
                    </a:stretch>
                  </pic:blipFill>
                  <pic:spPr>
                    <a:xfrm>
                      <a:off x="0" y="0"/>
                      <a:ext cx="5731200" cy="3200400"/>
                    </a:xfrm>
                    <a:prstGeom prst="rect">
                      <a:avLst/>
                    </a:prstGeom>
                  </pic:spPr>
                </pic:pic>
              </a:graphicData>
            </a:graphic>
          </wp:inline>
        </w:drawing>
      </w:r>
    </w:p>
    <w:p w14:paraId="5991F36C">
      <w:pPr>
        <w:pStyle w:val="5"/>
        <w:rPr>
          <w:color w:val="000000" w:themeColor="text1"/>
          <w14:textFill>
            <w14:solidFill>
              <w14:schemeClr w14:val="tx1"/>
            </w14:solidFill>
          </w14:textFill>
        </w:rPr>
      </w:pPr>
      <w:bookmarkStart w:id="51" w:name="_heading=h.n2x0f863zmmo" w:colFirst="0" w:colLast="0"/>
      <w:bookmarkEnd w:id="51"/>
      <w:bookmarkStart w:id="52" w:name="_Toc219739528"/>
      <w:r>
        <w:rPr>
          <w:color w:val="000000" w:themeColor="text1"/>
          <w14:textFill>
            <w14:solidFill>
              <w14:schemeClr w14:val="tx1"/>
            </w14:solidFill>
          </w14:textFill>
        </w:rPr>
        <w:t>Figure 3.3 AI-based Smart Waste Management</w:t>
      </w:r>
      <w:bookmarkEnd w:id="52"/>
    </w:p>
    <w:p w14:paraId="5991F36D">
      <w:pPr>
        <w:jc w:val="center"/>
        <w:rPr>
          <w:color w:val="000000" w:themeColor="text1"/>
          <w14:textFill>
            <w14:solidFill>
              <w14:schemeClr w14:val="tx1"/>
            </w14:solidFill>
          </w14:textFill>
        </w:rPr>
      </w:pPr>
      <w:r>
        <w:rPr>
          <w:color w:val="000000" w:themeColor="text1"/>
          <w14:textFill>
            <w14:solidFill>
              <w14:schemeClr w14:val="tx1"/>
            </w14:solidFill>
          </w14:textFill>
        </w:rPr>
        <w:t xml:space="preserve">(Source: Fang </w:t>
      </w:r>
      <w:r>
        <w:rPr>
          <w:i/>
          <w:iCs/>
          <w:color w:val="000000" w:themeColor="text1"/>
          <w14:textFill>
            <w14:solidFill>
              <w14:schemeClr w14:val="tx1"/>
            </w14:solidFill>
          </w14:textFill>
        </w:rPr>
        <w:t xml:space="preserve">et al. </w:t>
      </w:r>
      <w:r>
        <w:rPr>
          <w:color w:val="000000" w:themeColor="text1"/>
          <w14:textFill>
            <w14:solidFill>
              <w14:schemeClr w14:val="tx1"/>
            </w14:solidFill>
          </w14:textFill>
        </w:rPr>
        <w:t>2023)</w:t>
      </w:r>
    </w:p>
    <w:p w14:paraId="5991F36E">
      <w:pPr>
        <w:rPr>
          <w:b/>
          <w:bCs/>
          <w:i/>
          <w:iCs/>
        </w:rPr>
      </w:pPr>
      <w:r>
        <w:rPr>
          <w:b/>
          <w:bCs/>
          <w:i/>
          <w:iCs/>
        </w:rPr>
        <w:t>Localising data and integration of smart infrastructure</w:t>
      </w:r>
    </w:p>
    <w:p w14:paraId="5991F36F">
      <w:r>
        <w:t xml:space="preserve">Integrating smart IoT-enabled infrastructure and localising data can contribute towards reducing data discrepancies and help in generating developing motivation speeches on promoting material recycling. Localisation is important for reducing anomalies across the distributed information and developing targeted messages. The strategy can be significant for aligning business’ effort in conveying information for recycling materials. The strategy thus contributes towards increasing participation rates of customers that would help in enhancing sustainability aspects. IoT sensors are effective for incorporating predictive analytics models for analysing real-time customer engagement. The strategy can be significant in developing effective digital infrastructure that helps to convey feedback for customers upon using materials while using predictive marketing frameworks.  </w:t>
      </w:r>
    </w:p>
    <w:p w14:paraId="5991F370">
      <w:pPr>
        <w:rPr>
          <w:b/>
          <w:bCs/>
          <w:i/>
          <w:iCs/>
        </w:rPr>
      </w:pPr>
      <w:r>
        <w:rPr>
          <w:b/>
          <w:bCs/>
          <w:i/>
          <w:iCs/>
        </w:rPr>
        <w:t xml:space="preserve">Collaboration with investors for financial support </w:t>
      </w:r>
    </w:p>
    <w:p w14:paraId="5991F371">
      <w:r>
        <w:t>Collaboration with investors for availing financial support can be effective for incorporating the AI-enabled infrastructure. The strategy is significant for optimising the performance of predictive capabilities regarding material usage across participants. Financial support enables improvisation of existing digital architecture for predictive analytics. Investors can provide support for enhancing the predictive capabilities of the AI systems that could help in conveying messages in recycling materials across customers effectively. On the other hand, gaining investors’ support relates to the possibility of increasing AI's predictive marketing role for recycling and recovering materials (Oladapo</w:t>
      </w:r>
      <w:r>
        <w:rPr>
          <w:i/>
          <w:iCs/>
        </w:rPr>
        <w:t xml:space="preserve"> et al. </w:t>
      </w:r>
      <w:r>
        <w:t xml:space="preserve">2024). </w:t>
      </w:r>
      <w:r>
        <w:rPr>
          <w:color w:val="000000" w:themeColor="text1"/>
          <w14:textFill>
            <w14:solidFill>
              <w14:schemeClr w14:val="tx1"/>
            </w14:solidFill>
          </w14:textFill>
        </w:rPr>
        <w:t>The study added that life cycle production can contribute to the feasibility of developing campaigns in spreading awareness regarding the maintenance of environmental sustainability.</w:t>
      </w:r>
      <w:r>
        <w:rPr>
          <w:color w:val="FF0000"/>
        </w:rPr>
        <w:t xml:space="preserve"> </w:t>
      </w:r>
      <w:r>
        <w:t xml:space="preserve">Moreover, the requirement of exposures in optimising the existing digital infrastructure can also be improved, which could help in addressing the challenge related with the requirement of high cost for AI’s implementation. As a result, the propensity of customers to engagement and promotion of higher recycling participation can be anticipated accordingly. </w:t>
      </w:r>
    </w:p>
    <w:p w14:paraId="5991F372">
      <w:pPr>
        <w:jc w:val="center"/>
      </w:pPr>
      <w:r>
        <w:rPr>
          <w:lang w:eastAsia="en-GB"/>
        </w:rPr>
        <w:drawing>
          <wp:inline distT="114300" distB="114300" distL="114300" distR="114300">
            <wp:extent cx="5238750" cy="3438525"/>
            <wp:effectExtent l="0" t="0" r="0" b="0"/>
            <wp:docPr id="2053460305" name="image8.png"/>
            <wp:cNvGraphicFramePr/>
            <a:graphic xmlns:a="http://schemas.openxmlformats.org/drawingml/2006/main">
              <a:graphicData uri="http://schemas.openxmlformats.org/drawingml/2006/picture">
                <pic:pic xmlns:pic="http://schemas.openxmlformats.org/drawingml/2006/picture">
                  <pic:nvPicPr>
                    <pic:cNvPr id="2053460305" name="image8.png"/>
                    <pic:cNvPicPr preferRelativeResize="0"/>
                  </pic:nvPicPr>
                  <pic:blipFill>
                    <a:blip r:embed="rId21"/>
                    <a:srcRect/>
                    <a:stretch>
                      <a:fillRect/>
                    </a:stretch>
                  </pic:blipFill>
                  <pic:spPr>
                    <a:xfrm>
                      <a:off x="0" y="0"/>
                      <a:ext cx="5238750" cy="3438525"/>
                    </a:xfrm>
                    <a:prstGeom prst="rect">
                      <a:avLst/>
                    </a:prstGeom>
                  </pic:spPr>
                </pic:pic>
              </a:graphicData>
            </a:graphic>
          </wp:inline>
        </w:drawing>
      </w:r>
    </w:p>
    <w:p w14:paraId="5991F373">
      <w:pPr>
        <w:pStyle w:val="5"/>
        <w:rPr>
          <w:color w:val="000000" w:themeColor="text1"/>
          <w14:textFill>
            <w14:solidFill>
              <w14:schemeClr w14:val="tx1"/>
            </w14:solidFill>
          </w14:textFill>
        </w:rPr>
      </w:pPr>
      <w:bookmarkStart w:id="53" w:name="_heading=h.8vm26hn8uzae" w:colFirst="0" w:colLast="0"/>
      <w:bookmarkEnd w:id="53"/>
      <w:bookmarkStart w:id="54" w:name="_Toc219739529"/>
      <w:r>
        <w:rPr>
          <w:color w:val="000000" w:themeColor="text1"/>
          <w14:textFill>
            <w14:solidFill>
              <w14:schemeClr w14:val="tx1"/>
            </w14:solidFill>
          </w14:textFill>
        </w:rPr>
        <w:t>Figure 3.4 GarbageLife Cycle Production</w:t>
      </w:r>
      <w:bookmarkEnd w:id="54"/>
    </w:p>
    <w:p w14:paraId="5991F374">
      <w:pPr>
        <w:jc w:val="center"/>
        <w:rPr>
          <w:color w:val="000000" w:themeColor="text1"/>
          <w14:textFill>
            <w14:solidFill>
              <w14:schemeClr w14:val="tx1"/>
            </w14:solidFill>
          </w14:textFill>
        </w:rPr>
      </w:pPr>
      <w:r>
        <w:rPr>
          <w:color w:val="000000" w:themeColor="text1"/>
          <w14:textFill>
            <w14:solidFill>
              <w14:schemeClr w14:val="tx1"/>
            </w14:solidFill>
          </w14:textFill>
        </w:rPr>
        <w:t>(Source: Oladapo</w:t>
      </w:r>
      <w:r>
        <w:rPr>
          <w:i/>
          <w:iCs/>
          <w:color w:val="000000" w:themeColor="text1"/>
          <w14:textFill>
            <w14:solidFill>
              <w14:schemeClr w14:val="tx1"/>
            </w14:solidFill>
          </w14:textFill>
        </w:rPr>
        <w:t xml:space="preserve"> et al. </w:t>
      </w:r>
      <w:r>
        <w:rPr>
          <w:color w:val="000000" w:themeColor="text1"/>
          <w14:textFill>
            <w14:solidFill>
              <w14:schemeClr w14:val="tx1"/>
            </w14:solidFill>
          </w14:textFill>
        </w:rPr>
        <w:t>2024)</w:t>
      </w:r>
    </w:p>
    <w:p w14:paraId="5991F375">
      <w:pPr>
        <w:rPr>
          <w:b/>
          <w:bCs/>
          <w:i/>
          <w:iCs/>
        </w:rPr>
      </w:pPr>
    </w:p>
    <w:p w14:paraId="5991F376">
      <w:pPr>
        <w:rPr>
          <w:b/>
          <w:bCs/>
          <w:i/>
          <w:iCs/>
        </w:rPr>
      </w:pPr>
      <w:r>
        <w:rPr>
          <w:b/>
          <w:bCs/>
          <w:i/>
          <w:iCs/>
        </w:rPr>
        <w:t xml:space="preserve">Upskilling employees regarding AI’s predictive marketing </w:t>
      </w:r>
    </w:p>
    <w:p w14:paraId="5991F377">
      <w:pPr>
        <w:spacing w:before="0" w:after="0"/>
        <w:rPr>
          <w:color w:val="000000"/>
        </w:rPr>
      </w:pPr>
      <w:r>
        <w:rPr>
          <w:color w:val="000000"/>
        </w:rPr>
        <w:t xml:space="preserve">The strategy to upskill employees is effective for enabling the AI’s predictive behaviour regarding customers’ material usage patterns that could contribute towards reducing material wastes. AI’s predictive marketing role helps in analysing users’ trend in material recycling and use at real-time.  Training the employees in analysing customers' material usage behaviour using AI can be effective in predictive marketing. The strategy can be significant for sharing insights on material recovery and waste across customers on digital platforms. Thus, up-skilling employees on using AI’s predictive marketing can influence customers in using materials wisely signifying an increase in customer engagement and higher recycling participation. In this regard, an efficient workforce with skilled employees and stakeholders can handle critical situations related to marketing and data analytics. For instance, Aderibigbe </w:t>
      </w:r>
      <w:r>
        <w:rPr>
          <w:i/>
          <w:iCs/>
          <w:color w:val="000000"/>
        </w:rPr>
        <w:t>et al.</w:t>
      </w:r>
      <w:r>
        <w:rPr>
          <w:color w:val="000000"/>
        </w:rPr>
        <w:t xml:space="preserve"> (2023) have explored that developed efficient individuals, skilled with cyber security measures, handling AI-based operations and data science management can also add values to manage customers with data-driven accuracy. Therefore, it has been observed that focusing on developmental training for the marketing workforce and technical teams can also strengthen the organisations to manage behavioural assessments for material recovery and recycling.    </w:t>
      </w:r>
    </w:p>
    <w:p w14:paraId="5991F378">
      <w:pPr>
        <w:rPr>
          <w:b/>
          <w:bCs/>
          <w:i/>
          <w:iCs/>
        </w:rPr>
      </w:pPr>
      <w:r>
        <w:rPr>
          <w:b/>
          <w:bCs/>
          <w:i/>
          <w:iCs/>
        </w:rPr>
        <w:t xml:space="preserve">Training AI models and encryption measures </w:t>
      </w:r>
    </w:p>
    <w:p w14:paraId="5991F379">
      <w:r>
        <w:t xml:space="preserve">The training of AI models and encryption measures can be significant for predicting susceptible traces of data manipulation. Training AI models helps users in availing susceptible information on data breach and data manipulation. The strategy can be effective for addressing data bias and susceptibilities of sharing wrong information of material usage and recovery. Therefore, the strategy can help in maintaining customers’ trust regarding engagement with relevant companies while using AI-driven predictive marketing and promoting higher recycling participation rates. Data-driven implications of AI have been responsible for smart marketing procedures that can help the stakeholders in making informed decisions for environmental sustainability. In supporting this, Fang </w:t>
      </w:r>
      <w:r>
        <w:rPr>
          <w:i/>
          <w:iCs/>
        </w:rPr>
        <w:t>et al.</w:t>
      </w:r>
      <w:r>
        <w:t xml:space="preserve"> (2023) have found that the use of AI in logistics related with waste can decrease the overall transportation distance by almost 36.8%, save cost by 13.35% and save time by 28.22%. These key measures refer to the smart optimisation of AI in terms of strategic waste management by leveraging AI as the driving technology. </w:t>
      </w:r>
    </w:p>
    <w:p w14:paraId="5991F37A">
      <w:pPr>
        <w:rPr>
          <w:b/>
          <w:bCs/>
          <w:i/>
          <w:iCs/>
        </w:rPr>
      </w:pPr>
      <w:r>
        <w:rPr>
          <w:b/>
          <w:bCs/>
          <w:i/>
          <w:iCs/>
        </w:rPr>
        <w:t>Essentiality of AI in ensuring the emergence of energy efficiency</w:t>
      </w:r>
    </w:p>
    <w:p w14:paraId="5991F37B">
      <w:pPr>
        <w:rPr>
          <w:color w:val="000000"/>
        </w:rPr>
      </w:pPr>
      <w:r>
        <w:rPr>
          <w:color w:val="000000"/>
        </w:rPr>
        <w:t>AI-powered predictive models have demonstrated strong effectiveness in assessing and forecasting complex behavioural patterns, offering valuable implications for recycling and material recovery initiatives. According to Aderibigbe</w:t>
      </w:r>
      <w:r>
        <w:rPr>
          <w:i/>
          <w:iCs/>
          <w:color w:val="000000"/>
        </w:rPr>
        <w:t xml:space="preserve">et al. </w:t>
      </w:r>
      <w:r>
        <w:rPr>
          <w:color w:val="000000"/>
        </w:rPr>
        <w:t>(2023), machine learning and deep learning models outperform traditional statistical approaches by capturing nonlinear relationships, adapting to dynamic environments, and processing large-scale datasets with high accuracy. The aforementioned capabilities enable the assessment of individual and collective recycling behaviours based on historical participation, temporal patterns, and contextual variables. Fundamentally, models such as artificial neural networks, random forests, and long short-term memory networks are particularly effective in modelling behaviour over time. In recycling systems, these models can analyse behavioural indicators such as frequency of material disposal, responsiveness to incentives, and engagement with sustainability messaging. Their ability to learn continuously from new data allows for increasingly accurate behavioural assessments, supporting targeted predictive marketing interventions aimed at improving participation rates. Furthermore, AI-driven predictive models facilitate early identification of behavioural shifts, such as declining engagement and contamination-prone recycling behaviour (Aderibigbe</w:t>
      </w:r>
      <w:r>
        <w:rPr>
          <w:i/>
          <w:iCs/>
          <w:color w:val="000000"/>
        </w:rPr>
        <w:t xml:space="preserve">et al. </w:t>
      </w:r>
      <w:r>
        <w:rPr>
          <w:color w:val="000000"/>
        </w:rPr>
        <w:t>2023). This enables proactive marketing responses, including personalised reminders, educational prompts, and incentive adjustments, before disengagement becomes entrenched. However, from an organisational perspective, challenges such as data privacy, bias, and model generalisability must be addressed to maintain public trust and long-term engagement. Thus, AI-powered predictive models have been conceptualised as significant to provide a robust and adaptable mechanism for behavioural assessment, enabling recycling and material recovery systems.</w:t>
      </w:r>
    </w:p>
    <w:p w14:paraId="5991F37C">
      <w:pPr>
        <w:rPr>
          <w:color w:val="000000"/>
        </w:rPr>
      </w:pPr>
    </w:p>
    <w:p w14:paraId="5991F37D">
      <w:pPr>
        <w:rPr>
          <w:color w:val="000000"/>
        </w:rPr>
      </w:pPr>
    </w:p>
    <w:p w14:paraId="5991F37E">
      <w:pPr>
        <w:rPr>
          <w:color w:val="000000"/>
        </w:rPr>
      </w:pPr>
    </w:p>
    <w:p w14:paraId="5991F37F">
      <w:pPr>
        <w:rPr>
          <w:color w:val="000000"/>
        </w:rPr>
      </w:pPr>
    </w:p>
    <w:p w14:paraId="5991F380">
      <w:pPr>
        <w:rPr>
          <w:color w:val="000000"/>
        </w:rPr>
      </w:pPr>
    </w:p>
    <w:p w14:paraId="5991F381">
      <w:pPr>
        <w:rPr>
          <w:color w:val="000000"/>
        </w:rPr>
      </w:pPr>
    </w:p>
    <w:p w14:paraId="5991F382">
      <w:pPr>
        <w:rPr>
          <w:color w:val="000000"/>
        </w:rPr>
      </w:pPr>
    </w:p>
    <w:p w14:paraId="5991F385">
      <w:pPr>
        <w:rPr>
          <w:b/>
          <w:bCs/>
          <w:i/>
          <w:iCs/>
        </w:rPr>
        <w:sectPr>
          <w:headerReference r:id="rId6" w:type="first"/>
          <w:footerReference r:id="rId8" w:type="first"/>
          <w:headerReference r:id="rId5" w:type="default"/>
          <w:footerReference r:id="rId7" w:type="default"/>
          <w:pgSz w:w="11909" w:h="16834"/>
          <w:pgMar w:top="1440" w:right="1440" w:bottom="1440" w:left="1440" w:header="720" w:footer="720" w:gutter="0"/>
          <w:pgNumType w:fmt="decimal" w:start="1"/>
          <w:cols w:space="720" w:num="1"/>
        </w:sectPr>
      </w:pPr>
    </w:p>
    <w:p w14:paraId="64462791">
      <w:pPr>
        <w:rPr>
          <w:b/>
          <w:bCs/>
          <w:i/>
          <w:iCs/>
        </w:rPr>
      </w:pPr>
    </w:p>
    <w:p w14:paraId="5991F386">
      <w:pPr>
        <w:rPr>
          <w:b/>
          <w:bCs/>
          <w:i/>
          <w:iCs/>
        </w:rPr>
      </w:pPr>
      <w:r>
        <w:rPr>
          <w:b/>
          <w:bCs/>
          <w:i/>
          <w:iCs/>
        </w:rPr>
        <w:t>Thematic Table for systematic literature review</w:t>
      </w:r>
    </w:p>
    <w:tbl>
      <w:tblPr>
        <w:tblStyle w:val="38"/>
        <w:tblW w:w="0" w:type="auto"/>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0" w:type="dxa"/>
          <w:left w:w="115" w:type="dxa"/>
          <w:bottom w:w="0" w:type="dxa"/>
          <w:right w:w="115" w:type="dxa"/>
        </w:tblCellMar>
      </w:tblPr>
      <w:tblGrid>
        <w:gridCol w:w="875"/>
        <w:gridCol w:w="1131"/>
        <w:gridCol w:w="3919"/>
        <w:gridCol w:w="2873"/>
        <w:gridCol w:w="3882"/>
      </w:tblGrid>
      <w:tr w14:paraId="5991F38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jc w:val="center"/>
        </w:trPr>
        <w:tc>
          <w:tcPr>
            <w:tcW w:w="0" w:type="auto"/>
            <w:tcMar>
              <w:top w:w="100" w:type="dxa"/>
              <w:left w:w="100" w:type="dxa"/>
              <w:bottom w:w="100" w:type="dxa"/>
              <w:right w:w="100" w:type="dxa"/>
            </w:tcMar>
          </w:tcPr>
          <w:p w14:paraId="5991F387">
            <w:pPr>
              <w:widowControl w:val="0"/>
              <w:spacing w:line="240" w:lineRule="auto"/>
              <w:jc w:val="center"/>
              <w:rPr>
                <w:b/>
                <w:bCs/>
                <w:sz w:val="16"/>
                <w:szCs w:val="16"/>
              </w:rPr>
            </w:pPr>
            <w:r>
              <w:rPr>
                <w:b/>
                <w:bCs/>
                <w:sz w:val="16"/>
                <w:szCs w:val="16"/>
              </w:rPr>
              <w:t>Research Theme</w:t>
            </w:r>
          </w:p>
        </w:tc>
        <w:tc>
          <w:tcPr>
            <w:tcW w:w="0" w:type="auto"/>
            <w:tcMar>
              <w:top w:w="100" w:type="dxa"/>
              <w:left w:w="100" w:type="dxa"/>
              <w:bottom w:w="100" w:type="dxa"/>
              <w:right w:w="100" w:type="dxa"/>
            </w:tcMar>
          </w:tcPr>
          <w:p w14:paraId="5991F388">
            <w:pPr>
              <w:widowControl w:val="0"/>
              <w:spacing w:line="240" w:lineRule="auto"/>
              <w:jc w:val="center"/>
              <w:rPr>
                <w:b/>
                <w:bCs/>
                <w:sz w:val="16"/>
                <w:szCs w:val="16"/>
              </w:rPr>
            </w:pPr>
            <w:r>
              <w:rPr>
                <w:b/>
                <w:bCs/>
                <w:sz w:val="16"/>
                <w:szCs w:val="16"/>
              </w:rPr>
              <w:t>Author(s) / Year</w:t>
            </w:r>
          </w:p>
        </w:tc>
        <w:tc>
          <w:tcPr>
            <w:tcW w:w="0" w:type="auto"/>
            <w:tcMar>
              <w:top w:w="100" w:type="dxa"/>
              <w:left w:w="100" w:type="dxa"/>
              <w:bottom w:w="100" w:type="dxa"/>
              <w:right w:w="100" w:type="dxa"/>
            </w:tcMar>
          </w:tcPr>
          <w:p w14:paraId="5991F389">
            <w:pPr>
              <w:widowControl w:val="0"/>
              <w:spacing w:line="240" w:lineRule="auto"/>
              <w:jc w:val="center"/>
              <w:rPr>
                <w:b/>
                <w:bCs/>
                <w:sz w:val="16"/>
                <w:szCs w:val="16"/>
              </w:rPr>
            </w:pPr>
            <w:r>
              <w:rPr>
                <w:b/>
                <w:bCs/>
                <w:sz w:val="16"/>
                <w:szCs w:val="16"/>
              </w:rPr>
              <w:t>Methodology</w:t>
            </w:r>
          </w:p>
        </w:tc>
        <w:tc>
          <w:tcPr>
            <w:tcW w:w="0" w:type="auto"/>
            <w:tcMar>
              <w:top w:w="100" w:type="dxa"/>
              <w:left w:w="100" w:type="dxa"/>
              <w:bottom w:w="100" w:type="dxa"/>
              <w:right w:w="100" w:type="dxa"/>
            </w:tcMar>
          </w:tcPr>
          <w:p w14:paraId="5991F38A">
            <w:pPr>
              <w:widowControl w:val="0"/>
              <w:spacing w:line="240" w:lineRule="auto"/>
              <w:jc w:val="center"/>
              <w:rPr>
                <w:b/>
                <w:bCs/>
                <w:sz w:val="16"/>
                <w:szCs w:val="16"/>
              </w:rPr>
            </w:pPr>
            <w:r>
              <w:rPr>
                <w:b/>
                <w:bCs/>
                <w:sz w:val="16"/>
                <w:szCs w:val="16"/>
              </w:rPr>
              <w:t>Key Concepts &amp; Findings</w:t>
            </w:r>
          </w:p>
        </w:tc>
        <w:tc>
          <w:tcPr>
            <w:tcW w:w="0" w:type="auto"/>
            <w:tcMar>
              <w:top w:w="100" w:type="dxa"/>
              <w:left w:w="100" w:type="dxa"/>
              <w:bottom w:w="100" w:type="dxa"/>
              <w:right w:w="100" w:type="dxa"/>
            </w:tcMar>
          </w:tcPr>
          <w:p w14:paraId="5991F38B">
            <w:pPr>
              <w:widowControl w:val="0"/>
              <w:spacing w:line="240" w:lineRule="auto"/>
              <w:jc w:val="center"/>
              <w:rPr>
                <w:b/>
                <w:bCs/>
                <w:sz w:val="16"/>
                <w:szCs w:val="16"/>
              </w:rPr>
            </w:pPr>
            <w:r>
              <w:rPr>
                <w:b/>
                <w:bCs/>
                <w:sz w:val="16"/>
                <w:szCs w:val="16"/>
              </w:rPr>
              <w:t>Application to the research</w:t>
            </w:r>
          </w:p>
        </w:tc>
      </w:tr>
      <w:tr w14:paraId="5991F39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trHeight w:val="440" w:hRule="atLeast"/>
          <w:jc w:val="center"/>
        </w:trPr>
        <w:tc>
          <w:tcPr>
            <w:tcW w:w="0" w:type="auto"/>
            <w:tcMar>
              <w:top w:w="100" w:type="dxa"/>
              <w:left w:w="100" w:type="dxa"/>
              <w:bottom w:w="100" w:type="dxa"/>
              <w:right w:w="100" w:type="dxa"/>
            </w:tcMar>
          </w:tcPr>
          <w:p w14:paraId="5991F38D">
            <w:pPr>
              <w:widowControl w:val="0"/>
              <w:rPr>
                <w:b/>
                <w:bCs/>
                <w:sz w:val="16"/>
                <w:szCs w:val="16"/>
              </w:rPr>
            </w:pPr>
            <w:r>
              <w:rPr>
                <w:b/>
                <w:bCs/>
                <w:sz w:val="16"/>
                <w:szCs w:val="16"/>
              </w:rPr>
              <w:t>Theme 1</w:t>
            </w:r>
          </w:p>
        </w:tc>
        <w:tc>
          <w:tcPr>
            <w:tcW w:w="0" w:type="auto"/>
            <w:tcMar>
              <w:top w:w="100" w:type="dxa"/>
              <w:left w:w="100" w:type="dxa"/>
              <w:bottom w:w="100" w:type="dxa"/>
              <w:right w:w="100" w:type="dxa"/>
            </w:tcMar>
          </w:tcPr>
          <w:p w14:paraId="5991F38E">
            <w:pPr>
              <w:widowControl w:val="0"/>
              <w:rPr>
                <w:sz w:val="16"/>
                <w:szCs w:val="16"/>
              </w:rPr>
            </w:pPr>
            <w:r>
              <w:rPr>
                <w:sz w:val="16"/>
                <w:szCs w:val="16"/>
              </w:rPr>
              <w:t xml:space="preserve">Lakhouit (2025) </w:t>
            </w:r>
          </w:p>
        </w:tc>
        <w:tc>
          <w:tcPr>
            <w:tcW w:w="0" w:type="auto"/>
            <w:tcMar>
              <w:top w:w="100" w:type="dxa"/>
              <w:left w:w="100" w:type="dxa"/>
              <w:bottom w:w="100" w:type="dxa"/>
              <w:right w:w="100" w:type="dxa"/>
            </w:tcMar>
          </w:tcPr>
          <w:p w14:paraId="5991F38F">
            <w:pPr>
              <w:widowControl w:val="0"/>
              <w:rPr>
                <w:sz w:val="16"/>
                <w:szCs w:val="16"/>
              </w:rPr>
            </w:pPr>
            <w:r>
              <w:rPr>
                <w:sz w:val="16"/>
                <w:szCs w:val="16"/>
              </w:rPr>
              <w:t>Systematic analysis of existing "Smart Waste Management" (SWM) technologies, specifically focusing on the intersection of Artificial Intelligence (AI) and Internet of Things (IoT).</w:t>
            </w:r>
          </w:p>
        </w:tc>
        <w:tc>
          <w:tcPr>
            <w:tcW w:w="0" w:type="auto"/>
            <w:tcMar>
              <w:top w:w="100" w:type="dxa"/>
              <w:left w:w="100" w:type="dxa"/>
              <w:bottom w:w="100" w:type="dxa"/>
              <w:right w:w="100" w:type="dxa"/>
            </w:tcMar>
          </w:tcPr>
          <w:p w14:paraId="5991F390">
            <w:pPr>
              <w:widowControl w:val="0"/>
              <w:rPr>
                <w:sz w:val="16"/>
                <w:szCs w:val="16"/>
              </w:rPr>
            </w:pPr>
            <w:r>
              <w:rPr>
                <w:b/>
                <w:bCs/>
                <w:sz w:val="16"/>
                <w:szCs w:val="16"/>
              </w:rPr>
              <w:t>Real-Time Data Integration:</w:t>
            </w:r>
            <w:r>
              <w:rPr>
                <w:sz w:val="16"/>
                <w:szCs w:val="16"/>
              </w:rPr>
              <w:t xml:space="preserve"> The use of IoT sensors ("Smart Bins") allows for real-time monitoring of fill levels, replacing static pickup schedules with dynamic, demand-based logistics.</w:t>
            </w:r>
          </w:p>
          <w:p w14:paraId="5991F391">
            <w:pPr>
              <w:widowControl w:val="0"/>
              <w:rPr>
                <w:sz w:val="16"/>
                <w:szCs w:val="16"/>
              </w:rPr>
            </w:pPr>
            <w:r>
              <w:rPr>
                <w:b/>
                <w:bCs/>
                <w:sz w:val="16"/>
                <w:szCs w:val="16"/>
              </w:rPr>
              <w:t>AI-Driven Sorting:</w:t>
            </w:r>
            <w:r>
              <w:rPr>
                <w:sz w:val="16"/>
                <w:szCs w:val="16"/>
              </w:rPr>
              <w:t xml:space="preserve"> Implementation of Computer Vision and Robotics to automate the sorting of complex waste streams (recyclables vs. landfill) with higher accuracy than human labour.</w:t>
            </w:r>
          </w:p>
        </w:tc>
        <w:tc>
          <w:tcPr>
            <w:tcW w:w="0" w:type="auto"/>
            <w:tcMar>
              <w:top w:w="100" w:type="dxa"/>
              <w:left w:w="100" w:type="dxa"/>
              <w:bottom w:w="100" w:type="dxa"/>
              <w:right w:w="100" w:type="dxa"/>
            </w:tcMar>
          </w:tcPr>
          <w:p w14:paraId="5991F392">
            <w:pPr>
              <w:widowControl w:val="0"/>
              <w:rPr>
                <w:sz w:val="16"/>
                <w:szCs w:val="16"/>
              </w:rPr>
            </w:pPr>
            <w:r>
              <w:rPr>
                <w:sz w:val="16"/>
                <w:szCs w:val="16"/>
              </w:rPr>
              <w:t>The study has demonstrated the essentiality of AI and IoT in terms of generating real-time, high-resolution data on waste generation, composition, and recycling behaviour. This data can be repurposed as an empirical input for AI-driven predictive marketing models that forecast recycling participation and material recovery volumes.</w:t>
            </w:r>
          </w:p>
        </w:tc>
      </w:tr>
      <w:tr w14:paraId="5991F39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restart"/>
            <w:tcMar>
              <w:top w:w="100" w:type="dxa"/>
              <w:left w:w="100" w:type="dxa"/>
              <w:bottom w:w="100" w:type="dxa"/>
              <w:right w:w="100" w:type="dxa"/>
            </w:tcMar>
          </w:tcPr>
          <w:p w14:paraId="4ADB9F48">
            <w:pPr>
              <w:widowControl w:val="0"/>
              <w:spacing w:before="0" w:after="0" w:line="276" w:lineRule="auto"/>
              <w:jc w:val="left"/>
              <w:rPr>
                <w:sz w:val="16"/>
                <w:szCs w:val="16"/>
              </w:rPr>
            </w:pPr>
          </w:p>
        </w:tc>
        <w:tc>
          <w:tcPr>
            <w:tcW w:w="0" w:type="auto"/>
            <w:tcMar>
              <w:top w:w="100" w:type="dxa"/>
              <w:left w:w="100" w:type="dxa"/>
              <w:bottom w:w="100" w:type="dxa"/>
              <w:right w:w="100" w:type="dxa"/>
            </w:tcMar>
          </w:tcPr>
          <w:p w14:paraId="5991F395">
            <w:pPr>
              <w:widowControl w:val="0"/>
              <w:rPr>
                <w:sz w:val="16"/>
                <w:szCs w:val="16"/>
              </w:rPr>
            </w:pPr>
            <w:r>
              <w:rPr>
                <w:sz w:val="16"/>
                <w:szCs w:val="16"/>
              </w:rPr>
              <w:t xml:space="preserve">Madhavi </w:t>
            </w:r>
            <w:r>
              <w:rPr>
                <w:i/>
                <w:iCs/>
                <w:sz w:val="16"/>
                <w:szCs w:val="16"/>
              </w:rPr>
              <w:t xml:space="preserve">et al. </w:t>
            </w:r>
            <w:r>
              <w:rPr>
                <w:sz w:val="16"/>
                <w:szCs w:val="16"/>
              </w:rPr>
              <w:t xml:space="preserve">(2025) </w:t>
            </w:r>
          </w:p>
        </w:tc>
        <w:tc>
          <w:tcPr>
            <w:tcW w:w="3919" w:type="dxa"/>
            <w:tcMar>
              <w:top w:w="100" w:type="dxa"/>
              <w:left w:w="100" w:type="dxa"/>
              <w:bottom w:w="100" w:type="dxa"/>
              <w:right w:w="100" w:type="dxa"/>
            </w:tcMar>
          </w:tcPr>
          <w:p w14:paraId="5991F396">
            <w:pPr>
              <w:widowControl w:val="0"/>
              <w:rPr>
                <w:sz w:val="16"/>
                <w:szCs w:val="16"/>
              </w:rPr>
            </w:pPr>
            <w:r>
              <w:rPr>
                <w:sz w:val="16"/>
                <w:szCs w:val="16"/>
              </w:rPr>
              <w:t xml:space="preserve">Experimental Deep Learning Design: The authors have developed a novel hybrid model through the stances of benchmarking dataset of 15,150 images across 12 distinct categories including biological, brown glass, green glass, metal, plastic. </w:t>
            </w:r>
          </w:p>
        </w:tc>
        <w:tc>
          <w:tcPr>
            <w:tcW w:w="2873" w:type="dxa"/>
            <w:tcMar>
              <w:top w:w="100" w:type="dxa"/>
              <w:left w:w="100" w:type="dxa"/>
              <w:bottom w:w="100" w:type="dxa"/>
              <w:right w:w="100" w:type="dxa"/>
            </w:tcMar>
          </w:tcPr>
          <w:p w14:paraId="5991F397">
            <w:pPr>
              <w:widowControl w:val="0"/>
              <w:rPr>
                <w:sz w:val="16"/>
                <w:szCs w:val="16"/>
              </w:rPr>
            </w:pPr>
            <w:r>
              <w:rPr>
                <w:sz w:val="16"/>
                <w:szCs w:val="16"/>
              </w:rPr>
              <w:t>The model achieved 98.97% Accuracy and 98.42% Precision, significantly outperforming standard models like ResNet50 (95.93%) and MobileNetV2 (97.60%). The architecture successfully solves the problem of distinguishing visually similar waste items (e.g., differentiating between "Green Glass" and "White Glass"), which is critical for material purity. The model is "lightweight" and computationally efficient, designed for real-time use on edge devices (like smart bins or conveyor belts) rather than just cloud servers.</w:t>
            </w:r>
          </w:p>
        </w:tc>
        <w:tc>
          <w:tcPr>
            <w:tcW w:w="0" w:type="auto"/>
            <w:tcMar>
              <w:top w:w="100" w:type="dxa"/>
              <w:left w:w="100" w:type="dxa"/>
              <w:bottom w:w="100" w:type="dxa"/>
              <w:right w:w="100" w:type="dxa"/>
            </w:tcMar>
          </w:tcPr>
          <w:p w14:paraId="5991F398">
            <w:pPr>
              <w:widowControl w:val="0"/>
              <w:rPr>
                <w:sz w:val="16"/>
                <w:szCs w:val="16"/>
              </w:rPr>
            </w:pPr>
            <w:r>
              <w:rPr>
                <w:sz w:val="16"/>
                <w:szCs w:val="16"/>
              </w:rPr>
              <w:t xml:space="preserve">Predictive marketing requires accurate data on </w:t>
            </w:r>
            <w:r>
              <w:rPr>
                <w:i/>
                <w:iCs/>
                <w:sz w:val="16"/>
                <w:szCs w:val="16"/>
              </w:rPr>
              <w:t>what</w:t>
            </w:r>
            <w:r>
              <w:rPr>
                <w:sz w:val="16"/>
                <w:szCs w:val="16"/>
              </w:rPr>
              <w:t xml:space="preserve"> is being collected. This AI provides the granular data that allows marketers to forecast inventory and sell materials </w:t>
            </w:r>
            <w:r>
              <w:rPr>
                <w:i/>
                <w:iCs/>
                <w:sz w:val="16"/>
                <w:szCs w:val="16"/>
              </w:rPr>
              <w:t>before</w:t>
            </w:r>
            <w:r>
              <w:rPr>
                <w:sz w:val="16"/>
                <w:szCs w:val="16"/>
              </w:rPr>
              <w:t xml:space="preserve"> they are fully processed.</w:t>
            </w:r>
          </w:p>
        </w:tc>
      </w:tr>
      <w:tr w14:paraId="5991F3A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continue"/>
            <w:tcMar>
              <w:top w:w="100" w:type="dxa"/>
              <w:left w:w="100" w:type="dxa"/>
              <w:bottom w:w="100" w:type="dxa"/>
              <w:right w:w="100" w:type="dxa"/>
            </w:tcMar>
          </w:tcPr>
          <w:p w14:paraId="5991F39A">
            <w:pPr>
              <w:widowControl w:val="0"/>
              <w:spacing w:before="0" w:after="0" w:line="276" w:lineRule="auto"/>
              <w:jc w:val="left"/>
              <w:rPr>
                <w:sz w:val="16"/>
                <w:szCs w:val="16"/>
              </w:rPr>
            </w:pPr>
          </w:p>
        </w:tc>
        <w:tc>
          <w:tcPr>
            <w:tcW w:w="0" w:type="auto"/>
            <w:tcMar>
              <w:top w:w="100" w:type="dxa"/>
              <w:left w:w="100" w:type="dxa"/>
              <w:bottom w:w="100" w:type="dxa"/>
              <w:right w:w="100" w:type="dxa"/>
            </w:tcMar>
          </w:tcPr>
          <w:p w14:paraId="5991F39B">
            <w:pPr>
              <w:widowControl w:val="0"/>
              <w:rPr>
                <w:sz w:val="16"/>
                <w:szCs w:val="16"/>
              </w:rPr>
            </w:pPr>
            <w:r>
              <w:rPr>
                <w:sz w:val="16"/>
                <w:szCs w:val="16"/>
              </w:rPr>
              <w:t xml:space="preserve">Fang </w:t>
            </w:r>
            <w:r>
              <w:rPr>
                <w:i/>
                <w:iCs/>
                <w:sz w:val="16"/>
                <w:szCs w:val="16"/>
              </w:rPr>
              <w:t xml:space="preserve">et al. </w:t>
            </w:r>
            <w:r>
              <w:rPr>
                <w:sz w:val="16"/>
                <w:szCs w:val="16"/>
              </w:rPr>
              <w:t xml:space="preserve">(2025) </w:t>
            </w:r>
          </w:p>
        </w:tc>
        <w:tc>
          <w:tcPr>
            <w:tcW w:w="3919" w:type="dxa"/>
            <w:tcMar>
              <w:top w:w="100" w:type="dxa"/>
              <w:left w:w="100" w:type="dxa"/>
              <w:bottom w:w="100" w:type="dxa"/>
              <w:right w:w="100" w:type="dxa"/>
            </w:tcMar>
          </w:tcPr>
          <w:p w14:paraId="5991F39C">
            <w:pPr>
              <w:widowControl w:val="0"/>
              <w:rPr>
                <w:sz w:val="16"/>
                <w:szCs w:val="16"/>
              </w:rPr>
            </w:pPr>
            <w:r>
              <w:rPr>
                <w:sz w:val="16"/>
                <w:szCs w:val="16"/>
              </w:rPr>
              <w:t>The authors have reviewed application</w:t>
            </w:r>
          </w:p>
          <w:p w14:paraId="5991F39D">
            <w:pPr>
              <w:widowControl w:val="0"/>
              <w:rPr>
                <w:sz w:val="16"/>
                <w:szCs w:val="16"/>
              </w:rPr>
            </w:pPr>
            <w:r>
              <w:rPr>
                <w:sz w:val="16"/>
                <w:szCs w:val="16"/>
              </w:rPr>
              <w:t>of artificial intelligence in waste-to-energy, smart bins, waste-sorting robots, waste generation models, waste monitoring and</w:t>
            </w:r>
          </w:p>
          <w:p w14:paraId="5991F39E">
            <w:pPr>
              <w:widowControl w:val="0"/>
              <w:rPr>
                <w:sz w:val="16"/>
                <w:szCs w:val="16"/>
              </w:rPr>
            </w:pPr>
            <w:r>
              <w:rPr>
                <w:sz w:val="16"/>
                <w:szCs w:val="16"/>
              </w:rPr>
              <w:t xml:space="preserve">Tracking, plastic pyrolysis, distinguishing fossil and modern materials. </w:t>
            </w:r>
          </w:p>
        </w:tc>
        <w:tc>
          <w:tcPr>
            <w:tcW w:w="2873" w:type="dxa"/>
            <w:tcMar>
              <w:top w:w="100" w:type="dxa"/>
              <w:left w:w="100" w:type="dxa"/>
              <w:bottom w:w="100" w:type="dxa"/>
              <w:right w:w="100" w:type="dxa"/>
            </w:tcMar>
          </w:tcPr>
          <w:p w14:paraId="5991F39F">
            <w:pPr>
              <w:widowControl w:val="0"/>
              <w:rPr>
                <w:sz w:val="16"/>
                <w:szCs w:val="16"/>
              </w:rPr>
            </w:pPr>
            <w:r>
              <w:rPr>
                <w:sz w:val="16"/>
                <w:szCs w:val="16"/>
              </w:rPr>
              <w:t>Following the present article utilisation of artificial intelligence in waste logistics can</w:t>
            </w:r>
          </w:p>
          <w:p w14:paraId="5991F3A0">
            <w:pPr>
              <w:widowControl w:val="0"/>
              <w:rPr>
                <w:sz w:val="16"/>
                <w:szCs w:val="16"/>
              </w:rPr>
            </w:pPr>
            <w:r>
              <w:rPr>
                <w:sz w:val="16"/>
                <w:szCs w:val="16"/>
              </w:rPr>
              <w:t>Reduce transportation distance by up to 36.8%, cost savings by up to 13.35%, and time savings by up to 28.22%. Artificial</w:t>
            </w:r>
          </w:p>
          <w:p w14:paraId="5991F3A1">
            <w:pPr>
              <w:widowControl w:val="0"/>
              <w:rPr>
                <w:sz w:val="16"/>
                <w:szCs w:val="16"/>
              </w:rPr>
            </w:pPr>
            <w:r>
              <w:rPr>
                <w:sz w:val="16"/>
                <w:szCs w:val="16"/>
              </w:rPr>
              <w:t>Intelligence allows for identifying and sorting waste with an accuracy ranging from 72.8 to 99.95%.</w:t>
            </w:r>
          </w:p>
        </w:tc>
        <w:tc>
          <w:tcPr>
            <w:tcW w:w="0" w:type="auto"/>
            <w:tcMar>
              <w:top w:w="100" w:type="dxa"/>
              <w:left w:w="100" w:type="dxa"/>
              <w:bottom w:w="100" w:type="dxa"/>
              <w:right w:w="100" w:type="dxa"/>
            </w:tcMar>
          </w:tcPr>
          <w:p w14:paraId="5991F3A2">
            <w:pPr>
              <w:widowControl w:val="0"/>
              <w:rPr>
                <w:sz w:val="16"/>
                <w:szCs w:val="16"/>
              </w:rPr>
            </w:pPr>
            <w:r>
              <w:rPr>
                <w:sz w:val="16"/>
                <w:szCs w:val="16"/>
              </w:rPr>
              <w:t>Stabilisation of supply volatility has been assessed as an important mediator in terms of ensuring a high standard of inventory management. Fundamentally, in the context of predictive maintenance, "Just-in-Time" inventory model can be contextualised as a significant construct in terms of utilising recycled materials, allowing for stable, long-term supply contracts.</w:t>
            </w:r>
          </w:p>
        </w:tc>
      </w:tr>
      <w:tr w14:paraId="5991F3A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restart"/>
            <w:tcMar>
              <w:top w:w="100" w:type="dxa"/>
              <w:left w:w="100" w:type="dxa"/>
              <w:bottom w:w="100" w:type="dxa"/>
              <w:right w:w="100" w:type="dxa"/>
            </w:tcMar>
          </w:tcPr>
          <w:p w14:paraId="5991F3A4">
            <w:pPr>
              <w:widowControl w:val="0"/>
              <w:rPr>
                <w:b/>
                <w:bCs/>
                <w:sz w:val="16"/>
                <w:szCs w:val="16"/>
              </w:rPr>
            </w:pPr>
            <w:r>
              <w:rPr>
                <w:b/>
                <w:bCs/>
                <w:sz w:val="16"/>
                <w:szCs w:val="16"/>
              </w:rPr>
              <w:t>Theme 2</w:t>
            </w:r>
          </w:p>
        </w:tc>
        <w:tc>
          <w:tcPr>
            <w:tcW w:w="0" w:type="auto"/>
            <w:tcMar>
              <w:top w:w="100" w:type="dxa"/>
              <w:left w:w="100" w:type="dxa"/>
              <w:bottom w:w="100" w:type="dxa"/>
              <w:right w:w="100" w:type="dxa"/>
            </w:tcMar>
          </w:tcPr>
          <w:p w14:paraId="5991F3A5">
            <w:pPr>
              <w:widowControl w:val="0"/>
              <w:rPr>
                <w:sz w:val="16"/>
                <w:szCs w:val="16"/>
              </w:rPr>
            </w:pPr>
            <w:r>
              <w:rPr>
                <w:sz w:val="16"/>
                <w:szCs w:val="16"/>
              </w:rPr>
              <w:t>Antony Jose</w:t>
            </w:r>
            <w:r>
              <w:rPr>
                <w:i/>
                <w:iCs/>
                <w:sz w:val="16"/>
                <w:szCs w:val="16"/>
              </w:rPr>
              <w:t xml:space="preserve"> et al.</w:t>
            </w:r>
            <w:r>
              <w:rPr>
                <w:sz w:val="16"/>
                <w:szCs w:val="16"/>
              </w:rPr>
              <w:t xml:space="preserve"> (2024) </w:t>
            </w:r>
          </w:p>
        </w:tc>
        <w:tc>
          <w:tcPr>
            <w:tcW w:w="3919" w:type="dxa"/>
            <w:tcMar>
              <w:top w:w="100" w:type="dxa"/>
              <w:left w:w="100" w:type="dxa"/>
              <w:bottom w:w="100" w:type="dxa"/>
              <w:right w:w="100" w:type="dxa"/>
            </w:tcMar>
          </w:tcPr>
          <w:p w14:paraId="5991F3A6">
            <w:pPr>
              <w:widowControl w:val="0"/>
              <w:rPr>
                <w:sz w:val="16"/>
                <w:szCs w:val="16"/>
              </w:rPr>
            </w:pPr>
            <w:r>
              <w:rPr>
                <w:b/>
                <w:bCs/>
                <w:sz w:val="16"/>
                <w:szCs w:val="16"/>
              </w:rPr>
              <w:t>Predictive Modelling &amp; Forecasting:</w:t>
            </w:r>
            <w:r>
              <w:rPr>
                <w:sz w:val="16"/>
                <w:szCs w:val="16"/>
              </w:rPr>
              <w:t xml:space="preserve"> Using historical data (e.g., electronic sales, seasonal trends) to predict future waste generation volumes including "Urban Mining" forecasts.</w:t>
            </w:r>
          </w:p>
        </w:tc>
        <w:tc>
          <w:tcPr>
            <w:tcW w:w="2873" w:type="dxa"/>
            <w:tcMar>
              <w:top w:w="100" w:type="dxa"/>
              <w:left w:w="100" w:type="dxa"/>
              <w:bottom w:w="100" w:type="dxa"/>
              <w:right w:w="100" w:type="dxa"/>
            </w:tcMar>
          </w:tcPr>
          <w:p w14:paraId="5991F3A7">
            <w:pPr>
              <w:widowControl w:val="0"/>
              <w:rPr>
                <w:sz w:val="16"/>
                <w:szCs w:val="16"/>
              </w:rPr>
            </w:pPr>
            <w:r>
              <w:rPr>
                <w:sz w:val="16"/>
                <w:szCs w:val="16"/>
              </w:rPr>
              <w:t>Waste streams change seasonally and structurally including different metrics including lithium batteries, fewer newspapers. AI models such as ARIMA and Random Forest have been assessed as two potential metrics that can forecast these shifts, allowing recyclers to market their future inventory, concerning resource allocation.</w:t>
            </w:r>
          </w:p>
        </w:tc>
        <w:tc>
          <w:tcPr>
            <w:tcW w:w="0" w:type="auto"/>
            <w:tcMar>
              <w:top w:w="100" w:type="dxa"/>
              <w:left w:w="100" w:type="dxa"/>
              <w:bottom w:w="100" w:type="dxa"/>
              <w:right w:w="100" w:type="dxa"/>
            </w:tcMar>
          </w:tcPr>
          <w:p w14:paraId="5991F3A8">
            <w:pPr>
              <w:widowControl w:val="0"/>
              <w:rPr>
                <w:sz w:val="16"/>
                <w:szCs w:val="16"/>
              </w:rPr>
            </w:pPr>
            <w:r>
              <w:rPr>
                <w:sz w:val="16"/>
                <w:szCs w:val="16"/>
              </w:rPr>
              <w:t xml:space="preserve">Strategic marketing has been assessed as the most important metric in terms of ensuring a high standard of improved market responsiveness and competitiveness. Fundamentally, </w:t>
            </w:r>
            <w:r>
              <w:rPr>
                <w:b/>
                <w:bCs/>
                <w:i/>
                <w:iCs/>
                <w:sz w:val="16"/>
                <w:szCs w:val="16"/>
              </w:rPr>
              <w:t xml:space="preserve">push marketing </w:t>
            </w:r>
            <w:r>
              <w:rPr>
                <w:sz w:val="16"/>
                <w:szCs w:val="16"/>
              </w:rPr>
              <w:t xml:space="preserve">has also been assessed as a significant construct in terms of predicting demand and adjusting recovery settings to meet specific buyer specifications. </w:t>
            </w:r>
          </w:p>
        </w:tc>
      </w:tr>
      <w:tr w14:paraId="5991F3A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continue"/>
            <w:tcMar>
              <w:top w:w="100" w:type="dxa"/>
              <w:left w:w="100" w:type="dxa"/>
              <w:bottom w:w="100" w:type="dxa"/>
              <w:right w:w="100" w:type="dxa"/>
            </w:tcMar>
          </w:tcPr>
          <w:p w14:paraId="5991F3AA">
            <w:pPr>
              <w:widowControl w:val="0"/>
              <w:spacing w:before="0" w:after="0" w:line="276" w:lineRule="auto"/>
              <w:jc w:val="left"/>
              <w:rPr>
                <w:sz w:val="16"/>
                <w:szCs w:val="16"/>
              </w:rPr>
            </w:pPr>
          </w:p>
        </w:tc>
        <w:tc>
          <w:tcPr>
            <w:tcW w:w="0" w:type="auto"/>
            <w:tcMar>
              <w:top w:w="100" w:type="dxa"/>
              <w:left w:w="100" w:type="dxa"/>
              <w:bottom w:w="100" w:type="dxa"/>
              <w:right w:w="100" w:type="dxa"/>
            </w:tcMar>
          </w:tcPr>
          <w:p w14:paraId="5991F3AB">
            <w:pPr>
              <w:widowControl w:val="0"/>
              <w:rPr>
                <w:sz w:val="16"/>
                <w:szCs w:val="16"/>
              </w:rPr>
            </w:pPr>
            <w:r>
              <w:rPr>
                <w:sz w:val="16"/>
                <w:szCs w:val="16"/>
              </w:rPr>
              <w:t xml:space="preserve">Umeliwu and Samuel (2024) </w:t>
            </w:r>
          </w:p>
        </w:tc>
        <w:tc>
          <w:tcPr>
            <w:tcW w:w="3919" w:type="dxa"/>
            <w:tcMar>
              <w:top w:w="100" w:type="dxa"/>
              <w:left w:w="100" w:type="dxa"/>
              <w:bottom w:w="100" w:type="dxa"/>
              <w:right w:w="100" w:type="dxa"/>
            </w:tcMar>
          </w:tcPr>
          <w:p w14:paraId="5991F3AC">
            <w:pPr>
              <w:widowControl w:val="0"/>
              <w:rPr>
                <w:sz w:val="16"/>
                <w:szCs w:val="16"/>
              </w:rPr>
            </w:pPr>
            <w:r>
              <w:rPr>
                <w:sz w:val="16"/>
                <w:szCs w:val="16"/>
              </w:rPr>
              <w:t>The article has focused on the stances of assessing empirical insights related to the creation of virtual replicas of the supply chain to simulate market shocks and recovery rates, concerning market competition.</w:t>
            </w:r>
          </w:p>
        </w:tc>
        <w:tc>
          <w:tcPr>
            <w:tcW w:w="2873" w:type="dxa"/>
            <w:tcMar>
              <w:top w:w="100" w:type="dxa"/>
              <w:left w:w="100" w:type="dxa"/>
              <w:bottom w:w="100" w:type="dxa"/>
              <w:right w:w="100" w:type="dxa"/>
            </w:tcMar>
          </w:tcPr>
          <w:p w14:paraId="5991F3AD">
            <w:pPr>
              <w:widowControl w:val="0"/>
              <w:rPr>
                <w:sz w:val="16"/>
                <w:szCs w:val="16"/>
              </w:rPr>
            </w:pPr>
            <w:r>
              <w:rPr>
                <w:sz w:val="16"/>
                <w:szCs w:val="16"/>
              </w:rPr>
              <w:t xml:space="preserve">This article is centred on the stances of interpreting the essentiality of dynamic valuation of recycled battery material that fluctuates with global commodity prices. According to the authors, AI analytics can correlate real-time recovery purity data with global market prices to determine the optimal time to sell and process materials. </w:t>
            </w:r>
          </w:p>
        </w:tc>
        <w:tc>
          <w:tcPr>
            <w:tcW w:w="0" w:type="auto"/>
            <w:tcMar>
              <w:top w:w="100" w:type="dxa"/>
              <w:left w:w="100" w:type="dxa"/>
              <w:bottom w:w="100" w:type="dxa"/>
              <w:right w:w="100" w:type="dxa"/>
            </w:tcMar>
          </w:tcPr>
          <w:p w14:paraId="5991F3AE">
            <w:pPr>
              <w:widowControl w:val="0"/>
              <w:rPr>
                <w:sz w:val="16"/>
                <w:szCs w:val="16"/>
              </w:rPr>
            </w:pPr>
            <w:r>
              <w:rPr>
                <w:sz w:val="16"/>
                <w:szCs w:val="16"/>
              </w:rPr>
              <w:t xml:space="preserve">Following the application of "Predictive Maintenance" concept the article has derived contextual insights related to economic maintenance through the stances of AI-implementation. Moreover, the article has contextualised the essentiality of predictive maintenance in terms of analysing market downturns for specific materials, ensuring profitable streams. </w:t>
            </w:r>
          </w:p>
        </w:tc>
      </w:tr>
      <w:tr w14:paraId="5991F3B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continue"/>
            <w:tcMar>
              <w:top w:w="100" w:type="dxa"/>
              <w:left w:w="100" w:type="dxa"/>
              <w:bottom w:w="100" w:type="dxa"/>
              <w:right w:w="100" w:type="dxa"/>
            </w:tcMar>
          </w:tcPr>
          <w:p w14:paraId="5991F3B0">
            <w:pPr>
              <w:widowControl w:val="0"/>
              <w:spacing w:before="0" w:after="0" w:line="276" w:lineRule="auto"/>
              <w:jc w:val="left"/>
              <w:rPr>
                <w:sz w:val="16"/>
                <w:szCs w:val="16"/>
              </w:rPr>
            </w:pPr>
          </w:p>
        </w:tc>
        <w:tc>
          <w:tcPr>
            <w:tcW w:w="0" w:type="auto"/>
            <w:tcMar>
              <w:top w:w="100" w:type="dxa"/>
              <w:left w:w="100" w:type="dxa"/>
              <w:bottom w:w="100" w:type="dxa"/>
              <w:right w:w="100" w:type="dxa"/>
            </w:tcMar>
          </w:tcPr>
          <w:p w14:paraId="5991F3B1">
            <w:pPr>
              <w:widowControl w:val="0"/>
              <w:rPr>
                <w:sz w:val="16"/>
                <w:szCs w:val="16"/>
              </w:rPr>
            </w:pPr>
            <w:r>
              <w:rPr>
                <w:sz w:val="16"/>
                <w:szCs w:val="16"/>
              </w:rPr>
              <w:t>Bashynska and Prokopenko, 2024</w:t>
            </w:r>
          </w:p>
        </w:tc>
        <w:tc>
          <w:tcPr>
            <w:tcW w:w="3919" w:type="dxa"/>
            <w:tcMar>
              <w:top w:w="100" w:type="dxa"/>
              <w:left w:w="100" w:type="dxa"/>
              <w:bottom w:w="100" w:type="dxa"/>
              <w:right w:w="100" w:type="dxa"/>
            </w:tcMar>
          </w:tcPr>
          <w:p w14:paraId="5991F3B2">
            <w:pPr>
              <w:widowControl w:val="0"/>
              <w:rPr>
                <w:sz w:val="16"/>
                <w:szCs w:val="16"/>
              </w:rPr>
            </w:pPr>
            <w:r>
              <w:rPr>
                <w:sz w:val="16"/>
                <w:szCs w:val="16"/>
              </w:rPr>
              <w:t>Qualitative Review and Secondary Data Analysis: The journal has analysed global AI investment trends (using Statista 2023-2024 data) and mapped them against cybersecurity frameworks (NIST AI RMF, ISO/IEC 27001).</w:t>
            </w:r>
          </w:p>
        </w:tc>
        <w:tc>
          <w:tcPr>
            <w:tcW w:w="2873" w:type="dxa"/>
            <w:tcMar>
              <w:top w:w="100" w:type="dxa"/>
              <w:left w:w="100" w:type="dxa"/>
              <w:bottom w:w="100" w:type="dxa"/>
              <w:right w:w="100" w:type="dxa"/>
            </w:tcMar>
          </w:tcPr>
          <w:p w14:paraId="5991F3B3">
            <w:pPr>
              <w:widowControl w:val="0"/>
              <w:rPr>
                <w:sz w:val="16"/>
                <w:szCs w:val="16"/>
              </w:rPr>
            </w:pPr>
            <w:r>
              <w:rPr>
                <w:sz w:val="16"/>
                <w:szCs w:val="16"/>
              </w:rPr>
              <w:t xml:space="preserve">The authors of this article have identified top infrastructure challenges through survey data: Data Management (32%) and Security (26%). Fundamentally, </w:t>
            </w:r>
            <w:r>
              <w:rPr>
                <w:b/>
                <w:bCs/>
                <w:sz w:val="16"/>
                <w:szCs w:val="16"/>
              </w:rPr>
              <w:t>32%</w:t>
            </w:r>
            <w:r>
              <w:rPr>
                <w:sz w:val="16"/>
                <w:szCs w:val="16"/>
              </w:rPr>
              <w:t xml:space="preserve"> of respondents view data management as the primary hurdle to AI adoption. Without robust data security, Circular Economy (CE) initiatives cannot scale beyond pilot projects due to risk of "Cascading Failures" in interconnected supply chains. On the contrary, the journal has addressed public perception gap, acquiring 54% of the public expects AI to improve productivity, 36% fear negative job market impacts. This "fear factor" creates a barrier to consumer participation in AI-driven recycling programs.</w:t>
            </w:r>
          </w:p>
        </w:tc>
        <w:tc>
          <w:tcPr>
            <w:tcW w:w="0" w:type="auto"/>
            <w:tcMar>
              <w:top w:w="100" w:type="dxa"/>
              <w:left w:w="100" w:type="dxa"/>
              <w:bottom w:w="100" w:type="dxa"/>
              <w:right w:w="100" w:type="dxa"/>
            </w:tcMar>
          </w:tcPr>
          <w:p w14:paraId="5991F3B4">
            <w:pPr>
              <w:widowControl w:val="0"/>
              <w:rPr>
                <w:sz w:val="16"/>
                <w:szCs w:val="16"/>
              </w:rPr>
            </w:pPr>
            <w:r>
              <w:rPr>
                <w:sz w:val="16"/>
                <w:szCs w:val="16"/>
              </w:rPr>
              <w:t>As conceptualised in this article, predictive marketing relies on selling future inventory based on data. This paper highlights that Cybersecurity is the Quality Assurance for your data. If the data can be poisoned, your marketing predictions are a liability. You can use this to argue for "Blockchain-Verified Marketing" as a premium service.</w:t>
            </w:r>
          </w:p>
        </w:tc>
      </w:tr>
      <w:tr w14:paraId="5991F3B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restart"/>
            <w:tcMar>
              <w:top w:w="100" w:type="dxa"/>
              <w:left w:w="100" w:type="dxa"/>
              <w:bottom w:w="100" w:type="dxa"/>
              <w:right w:w="100" w:type="dxa"/>
            </w:tcMar>
          </w:tcPr>
          <w:p w14:paraId="5991F3B6">
            <w:pPr>
              <w:widowControl w:val="0"/>
              <w:rPr>
                <w:b/>
                <w:bCs/>
                <w:sz w:val="16"/>
                <w:szCs w:val="16"/>
              </w:rPr>
            </w:pPr>
            <w:r>
              <w:rPr>
                <w:b/>
                <w:bCs/>
                <w:sz w:val="16"/>
                <w:szCs w:val="16"/>
              </w:rPr>
              <w:t>Theme 3</w:t>
            </w:r>
          </w:p>
        </w:tc>
        <w:tc>
          <w:tcPr>
            <w:tcW w:w="0" w:type="auto"/>
            <w:tcMar>
              <w:top w:w="100" w:type="dxa"/>
              <w:left w:w="100" w:type="dxa"/>
              <w:bottom w:w="100" w:type="dxa"/>
              <w:right w:w="100" w:type="dxa"/>
            </w:tcMar>
          </w:tcPr>
          <w:p w14:paraId="5991F3B7">
            <w:pPr>
              <w:widowControl w:val="0"/>
              <w:rPr>
                <w:sz w:val="16"/>
                <w:szCs w:val="16"/>
              </w:rPr>
            </w:pPr>
            <w:r>
              <w:rPr>
                <w:sz w:val="16"/>
                <w:szCs w:val="16"/>
              </w:rPr>
              <w:t>Bag</w:t>
            </w:r>
            <w:r>
              <w:rPr>
                <w:i/>
                <w:iCs/>
                <w:sz w:val="16"/>
                <w:szCs w:val="16"/>
              </w:rPr>
              <w:t xml:space="preserve"> et al. </w:t>
            </w:r>
            <w:r>
              <w:rPr>
                <w:sz w:val="16"/>
                <w:szCs w:val="16"/>
              </w:rPr>
              <w:t>(2022)</w:t>
            </w:r>
          </w:p>
        </w:tc>
        <w:tc>
          <w:tcPr>
            <w:tcW w:w="3919" w:type="dxa"/>
            <w:tcMar>
              <w:top w:w="100" w:type="dxa"/>
              <w:left w:w="100" w:type="dxa"/>
              <w:bottom w:w="100" w:type="dxa"/>
              <w:right w:w="100" w:type="dxa"/>
            </w:tcMar>
          </w:tcPr>
          <w:p w14:paraId="5991F3B8">
            <w:pPr>
              <w:widowControl w:val="0"/>
              <w:numPr>
                <w:ilvl w:val="0"/>
                <w:numId w:val="2"/>
              </w:numPr>
              <w:spacing w:before="0" w:after="0"/>
              <w:rPr>
                <w:sz w:val="16"/>
                <w:szCs w:val="16"/>
              </w:rPr>
            </w:pPr>
            <w:r>
              <w:rPr>
                <w:color w:val="000000"/>
                <w:sz w:val="16"/>
                <w:szCs w:val="16"/>
              </w:rPr>
              <w:t>Quantitative survey; PLS-SEM (n = 347, India)</w:t>
            </w:r>
          </w:p>
          <w:p w14:paraId="5991F3B9">
            <w:pPr>
              <w:widowControl w:val="0"/>
              <w:numPr>
                <w:ilvl w:val="0"/>
                <w:numId w:val="2"/>
              </w:numPr>
              <w:spacing w:before="0" w:after="0"/>
              <w:rPr>
                <w:sz w:val="16"/>
                <w:szCs w:val="16"/>
              </w:rPr>
            </w:pPr>
            <w:r>
              <w:rPr>
                <w:color w:val="000000"/>
                <w:sz w:val="16"/>
                <w:szCs w:val="16"/>
              </w:rPr>
              <w:t>Structural Equation Modelling</w:t>
            </w:r>
          </w:p>
          <w:p w14:paraId="5991F3BA">
            <w:pPr>
              <w:widowControl w:val="0"/>
              <w:numPr>
                <w:ilvl w:val="0"/>
                <w:numId w:val="2"/>
              </w:numPr>
              <w:spacing w:before="0" w:after="0"/>
              <w:rPr>
                <w:sz w:val="16"/>
                <w:szCs w:val="16"/>
              </w:rPr>
            </w:pPr>
            <w:r>
              <w:rPr>
                <w:color w:val="000000"/>
                <w:sz w:val="16"/>
                <w:szCs w:val="16"/>
              </w:rPr>
              <w:t>Empirical hypothesis testing (H1–H5 supported)</w:t>
            </w:r>
          </w:p>
        </w:tc>
        <w:tc>
          <w:tcPr>
            <w:tcW w:w="2873" w:type="dxa"/>
            <w:tcMar>
              <w:top w:w="100" w:type="dxa"/>
              <w:left w:w="100" w:type="dxa"/>
              <w:bottom w:w="100" w:type="dxa"/>
              <w:right w:w="100" w:type="dxa"/>
            </w:tcMar>
          </w:tcPr>
          <w:p w14:paraId="5991F3BB">
            <w:pPr>
              <w:widowControl w:val="0"/>
              <w:numPr>
                <w:ilvl w:val="0"/>
                <w:numId w:val="2"/>
              </w:numPr>
              <w:spacing w:before="0" w:after="0"/>
              <w:rPr>
                <w:sz w:val="16"/>
                <w:szCs w:val="16"/>
              </w:rPr>
            </w:pPr>
            <w:r>
              <w:rPr>
                <w:color w:val="000000"/>
                <w:sz w:val="16"/>
                <w:szCs w:val="16"/>
              </w:rPr>
              <w:t>AI technologies significantly enhance user engagement on digital platforms; engagement acts as a mediating mechanism between AI deployment and conversion outcomes.</w:t>
            </w:r>
          </w:p>
          <w:p w14:paraId="5991F3BC">
            <w:pPr>
              <w:widowControl w:val="0"/>
              <w:numPr>
                <w:ilvl w:val="0"/>
                <w:numId w:val="2"/>
              </w:numPr>
              <w:spacing w:before="0" w:after="0"/>
              <w:rPr>
                <w:sz w:val="16"/>
                <w:szCs w:val="16"/>
              </w:rPr>
            </w:pPr>
            <w:r>
              <w:rPr>
                <w:color w:val="000000"/>
                <w:sz w:val="16"/>
                <w:szCs w:val="16"/>
              </w:rPr>
              <w:t>Deployment of AI has a direct and positive impact on conversion rates; AI enables prediction of user behaviour and impulse decisions.</w:t>
            </w:r>
          </w:p>
          <w:p w14:paraId="5991F3BD">
            <w:pPr>
              <w:widowControl w:val="0"/>
              <w:numPr>
                <w:ilvl w:val="0"/>
                <w:numId w:val="2"/>
              </w:numPr>
              <w:spacing w:before="0" w:after="0"/>
              <w:rPr>
                <w:sz w:val="16"/>
                <w:szCs w:val="16"/>
              </w:rPr>
            </w:pPr>
            <w:r>
              <w:rPr>
                <w:color w:val="000000"/>
                <w:sz w:val="16"/>
                <w:szCs w:val="16"/>
              </w:rPr>
              <w:t>AI systems analyse large behavioural datasets to forecast user intentions and purchasing/conversion behaviour.</w:t>
            </w:r>
          </w:p>
        </w:tc>
        <w:tc>
          <w:tcPr>
            <w:tcW w:w="0" w:type="auto"/>
            <w:tcMar>
              <w:top w:w="100" w:type="dxa"/>
              <w:left w:w="100" w:type="dxa"/>
              <w:bottom w:w="100" w:type="dxa"/>
              <w:right w:w="100" w:type="dxa"/>
            </w:tcMar>
          </w:tcPr>
          <w:p w14:paraId="5991F3BE">
            <w:pPr>
              <w:widowControl w:val="0"/>
              <w:rPr>
                <w:sz w:val="16"/>
                <w:szCs w:val="16"/>
              </w:rPr>
            </w:pPr>
            <w:r>
              <w:rPr>
                <w:sz w:val="16"/>
                <w:szCs w:val="16"/>
              </w:rPr>
              <w:t>As conceptualised in this article, AI-driven analytics can be used to map stakeholder journeys including households, recyclers, and businesses. Fundamentally, the journal has addressed the significance of AI models in terms of predicting recycling participation, material return rates, and response to incentive-based recycling campaigns. From an organisation’s perspective AI-enabled predictive marketing acts as a mediator in advancing sustainable consumption, waste reduction, and circular economy objectives</w:t>
            </w:r>
          </w:p>
        </w:tc>
      </w:tr>
      <w:tr w14:paraId="5991F3C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continue"/>
            <w:tcMar>
              <w:top w:w="100" w:type="dxa"/>
              <w:left w:w="100" w:type="dxa"/>
              <w:bottom w:w="100" w:type="dxa"/>
              <w:right w:w="100" w:type="dxa"/>
            </w:tcMar>
          </w:tcPr>
          <w:p w14:paraId="5991F3C0">
            <w:pPr>
              <w:widowControl w:val="0"/>
              <w:spacing w:before="0" w:after="0" w:line="276" w:lineRule="auto"/>
              <w:jc w:val="left"/>
              <w:rPr>
                <w:sz w:val="16"/>
                <w:szCs w:val="16"/>
              </w:rPr>
            </w:pPr>
          </w:p>
        </w:tc>
        <w:tc>
          <w:tcPr>
            <w:tcW w:w="0" w:type="auto"/>
            <w:tcMar>
              <w:top w:w="100" w:type="dxa"/>
              <w:left w:w="100" w:type="dxa"/>
              <w:bottom w:w="100" w:type="dxa"/>
              <w:right w:w="100" w:type="dxa"/>
            </w:tcMar>
          </w:tcPr>
          <w:p w14:paraId="5991F3C1">
            <w:pPr>
              <w:widowControl w:val="0"/>
              <w:rPr>
                <w:sz w:val="16"/>
                <w:szCs w:val="16"/>
              </w:rPr>
            </w:pPr>
            <w:r>
              <w:rPr>
                <w:sz w:val="16"/>
                <w:szCs w:val="16"/>
              </w:rPr>
              <w:t>Sahoo</w:t>
            </w:r>
            <w:r>
              <w:rPr>
                <w:i/>
                <w:iCs/>
                <w:sz w:val="16"/>
                <w:szCs w:val="16"/>
              </w:rPr>
              <w:t xml:space="preserve"> et al. </w:t>
            </w:r>
            <w:r>
              <w:rPr>
                <w:sz w:val="16"/>
                <w:szCs w:val="16"/>
              </w:rPr>
              <w:t>2025</w:t>
            </w:r>
          </w:p>
        </w:tc>
        <w:tc>
          <w:tcPr>
            <w:tcW w:w="3919" w:type="dxa"/>
            <w:tcMar>
              <w:top w:w="100" w:type="dxa"/>
              <w:left w:w="100" w:type="dxa"/>
              <w:bottom w:w="100" w:type="dxa"/>
              <w:right w:w="100" w:type="dxa"/>
            </w:tcMar>
          </w:tcPr>
          <w:p w14:paraId="5991F3C2">
            <w:pPr>
              <w:widowControl w:val="0"/>
              <w:numPr>
                <w:ilvl w:val="0"/>
                <w:numId w:val="3"/>
              </w:numPr>
              <w:spacing w:before="0" w:after="0"/>
              <w:rPr>
                <w:sz w:val="16"/>
                <w:szCs w:val="16"/>
              </w:rPr>
            </w:pPr>
            <w:r>
              <w:rPr>
                <w:color w:val="000000"/>
                <w:sz w:val="16"/>
                <w:szCs w:val="16"/>
              </w:rPr>
              <w:t>Conceptual framework supported by qualitative sentiment analysis.</w:t>
            </w:r>
          </w:p>
          <w:p w14:paraId="5991F3C3">
            <w:pPr>
              <w:widowControl w:val="0"/>
              <w:numPr>
                <w:ilvl w:val="0"/>
                <w:numId w:val="3"/>
              </w:numPr>
              <w:spacing w:before="0" w:after="0"/>
              <w:rPr>
                <w:sz w:val="16"/>
                <w:szCs w:val="16"/>
              </w:rPr>
            </w:pPr>
            <w:r>
              <w:rPr>
                <w:color w:val="000000"/>
                <w:sz w:val="16"/>
                <w:szCs w:val="16"/>
              </w:rPr>
              <w:t>Literature synthesis and exploratory qualitative analysis.</w:t>
            </w:r>
          </w:p>
          <w:p w14:paraId="5991F3C4">
            <w:pPr>
              <w:widowControl w:val="0"/>
              <w:numPr>
                <w:ilvl w:val="0"/>
                <w:numId w:val="3"/>
              </w:numPr>
              <w:spacing w:before="0" w:after="0"/>
              <w:rPr>
                <w:sz w:val="16"/>
                <w:szCs w:val="16"/>
              </w:rPr>
            </w:pPr>
            <w:r>
              <w:rPr>
                <w:color w:val="000000"/>
                <w:sz w:val="16"/>
                <w:szCs w:val="16"/>
              </w:rPr>
              <w:t>Qualitative sentiment analysis of 151 Amazon reviews using R.</w:t>
            </w:r>
          </w:p>
        </w:tc>
        <w:tc>
          <w:tcPr>
            <w:tcW w:w="2873" w:type="dxa"/>
            <w:tcMar>
              <w:top w:w="100" w:type="dxa"/>
              <w:left w:w="100" w:type="dxa"/>
              <w:bottom w:w="100" w:type="dxa"/>
              <w:right w:w="100" w:type="dxa"/>
            </w:tcMar>
          </w:tcPr>
          <w:p w14:paraId="5991F3C5">
            <w:pPr>
              <w:widowControl w:val="0"/>
              <w:numPr>
                <w:ilvl w:val="0"/>
                <w:numId w:val="3"/>
              </w:numPr>
              <w:spacing w:before="0" w:after="0"/>
              <w:rPr>
                <w:sz w:val="16"/>
                <w:szCs w:val="16"/>
              </w:rPr>
            </w:pPr>
            <w:r>
              <w:rPr>
                <w:color w:val="000000"/>
                <w:sz w:val="16"/>
                <w:szCs w:val="16"/>
              </w:rPr>
              <w:t>Majority positive sentiment toward green products; negative sentiment linked to cost and performance concerns.</w:t>
            </w:r>
          </w:p>
          <w:p w14:paraId="5991F3C6">
            <w:pPr>
              <w:widowControl w:val="0"/>
              <w:numPr>
                <w:ilvl w:val="0"/>
                <w:numId w:val="3"/>
              </w:numPr>
              <w:spacing w:before="0" w:after="0"/>
              <w:rPr>
                <w:sz w:val="16"/>
                <w:szCs w:val="16"/>
              </w:rPr>
            </w:pPr>
            <w:r>
              <w:rPr>
                <w:color w:val="000000"/>
                <w:sz w:val="16"/>
                <w:szCs w:val="16"/>
              </w:rPr>
              <w:t>AI-driven engagement personalizes communication, increases transparency, and enhances trust, shaping pro-environmental attitudes.</w:t>
            </w:r>
          </w:p>
          <w:p w14:paraId="5991F3C7">
            <w:pPr>
              <w:widowControl w:val="0"/>
              <w:numPr>
                <w:ilvl w:val="0"/>
                <w:numId w:val="3"/>
              </w:numPr>
              <w:spacing w:before="0" w:after="0"/>
              <w:rPr>
                <w:sz w:val="16"/>
                <w:szCs w:val="16"/>
              </w:rPr>
            </w:pPr>
            <w:r>
              <w:rPr>
                <w:color w:val="000000"/>
                <w:sz w:val="16"/>
                <w:szCs w:val="16"/>
              </w:rPr>
              <w:t>Transparency and personalization through AI reduce scepticism and enhance trust.</w:t>
            </w:r>
          </w:p>
        </w:tc>
        <w:tc>
          <w:tcPr>
            <w:tcW w:w="0" w:type="auto"/>
            <w:tcMar>
              <w:top w:w="100" w:type="dxa"/>
              <w:left w:w="100" w:type="dxa"/>
              <w:bottom w:w="100" w:type="dxa"/>
              <w:right w:w="100" w:type="dxa"/>
            </w:tcMar>
          </w:tcPr>
          <w:p w14:paraId="5991F3C8">
            <w:pPr>
              <w:widowControl w:val="0"/>
              <w:rPr>
                <w:sz w:val="16"/>
                <w:szCs w:val="16"/>
              </w:rPr>
            </w:pPr>
            <w:r>
              <w:rPr>
                <w:sz w:val="16"/>
                <w:szCs w:val="16"/>
              </w:rPr>
              <w:t>As outlined in this research, AI-powered engagement tools can be used to predict and influence stakeholder participation in recycling and material recovery programs. The article also supports predictive marketing models that forecast recycling behaviour, return rates of recyclable materials, and response to sustainability incentives. Organisations can utilise AI-driven dashboards and communication systems that predict trust levels in recycling and material recovery initiatives.</w:t>
            </w:r>
          </w:p>
        </w:tc>
      </w:tr>
      <w:tr w14:paraId="5991F3D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continue"/>
            <w:tcMar>
              <w:top w:w="100" w:type="dxa"/>
              <w:left w:w="100" w:type="dxa"/>
              <w:bottom w:w="100" w:type="dxa"/>
              <w:right w:w="100" w:type="dxa"/>
            </w:tcMar>
          </w:tcPr>
          <w:p w14:paraId="5991F3CA">
            <w:pPr>
              <w:widowControl w:val="0"/>
              <w:spacing w:before="0" w:after="0" w:line="276" w:lineRule="auto"/>
              <w:jc w:val="left"/>
              <w:rPr>
                <w:sz w:val="16"/>
                <w:szCs w:val="16"/>
              </w:rPr>
            </w:pPr>
          </w:p>
        </w:tc>
        <w:tc>
          <w:tcPr>
            <w:tcW w:w="0" w:type="auto"/>
            <w:tcMar>
              <w:top w:w="100" w:type="dxa"/>
              <w:left w:w="100" w:type="dxa"/>
              <w:bottom w:w="100" w:type="dxa"/>
              <w:right w:w="100" w:type="dxa"/>
            </w:tcMar>
          </w:tcPr>
          <w:p w14:paraId="5991F3CB">
            <w:pPr>
              <w:widowControl w:val="0"/>
              <w:rPr>
                <w:sz w:val="16"/>
                <w:szCs w:val="16"/>
              </w:rPr>
            </w:pPr>
            <w:r>
              <w:rPr>
                <w:sz w:val="16"/>
                <w:szCs w:val="16"/>
              </w:rPr>
              <w:t xml:space="preserve">Chertow </w:t>
            </w:r>
            <w:r>
              <w:rPr>
                <w:i/>
                <w:iCs/>
                <w:sz w:val="16"/>
                <w:szCs w:val="16"/>
              </w:rPr>
              <w:t xml:space="preserve">et al. </w:t>
            </w:r>
            <w:r>
              <w:rPr>
                <w:sz w:val="16"/>
                <w:szCs w:val="16"/>
              </w:rPr>
              <w:t xml:space="preserve">(2024) </w:t>
            </w:r>
          </w:p>
        </w:tc>
        <w:tc>
          <w:tcPr>
            <w:tcW w:w="3919" w:type="dxa"/>
            <w:tcMar>
              <w:top w:w="100" w:type="dxa"/>
              <w:left w:w="100" w:type="dxa"/>
              <w:bottom w:w="100" w:type="dxa"/>
              <w:right w:w="100" w:type="dxa"/>
            </w:tcMar>
          </w:tcPr>
          <w:p w14:paraId="5991F3CC">
            <w:pPr>
              <w:widowControl w:val="0"/>
              <w:numPr>
                <w:ilvl w:val="0"/>
                <w:numId w:val="4"/>
              </w:numPr>
              <w:spacing w:before="0" w:after="0"/>
              <w:rPr>
                <w:sz w:val="16"/>
                <w:szCs w:val="16"/>
              </w:rPr>
            </w:pPr>
            <w:r>
              <w:rPr>
                <w:color w:val="000000"/>
                <w:sz w:val="16"/>
                <w:szCs w:val="16"/>
              </w:rPr>
              <w:t>Scenario-based qualitative analysis; SSP framework; expert interviews and stakeholder workshops.</w:t>
            </w:r>
          </w:p>
          <w:p w14:paraId="5991F3CD">
            <w:pPr>
              <w:widowControl w:val="0"/>
              <w:numPr>
                <w:ilvl w:val="0"/>
                <w:numId w:val="4"/>
              </w:numPr>
              <w:spacing w:before="0" w:after="0"/>
              <w:rPr>
                <w:sz w:val="16"/>
                <w:szCs w:val="16"/>
              </w:rPr>
            </w:pPr>
            <w:r>
              <w:rPr>
                <w:color w:val="000000"/>
                <w:sz w:val="16"/>
                <w:szCs w:val="16"/>
              </w:rPr>
              <w:t>Literature synthesis on GIS, RFID, sensors, and AI optimisation.</w:t>
            </w:r>
          </w:p>
        </w:tc>
        <w:tc>
          <w:tcPr>
            <w:tcW w:w="2873" w:type="dxa"/>
            <w:tcMar>
              <w:top w:w="100" w:type="dxa"/>
              <w:left w:w="100" w:type="dxa"/>
              <w:bottom w:w="100" w:type="dxa"/>
              <w:right w:w="100" w:type="dxa"/>
            </w:tcMar>
          </w:tcPr>
          <w:p w14:paraId="5991F3CE">
            <w:pPr>
              <w:widowControl w:val="0"/>
              <w:numPr>
                <w:ilvl w:val="0"/>
                <w:numId w:val="4"/>
              </w:numPr>
              <w:spacing w:before="0" w:after="0"/>
              <w:rPr>
                <w:sz w:val="16"/>
                <w:szCs w:val="16"/>
              </w:rPr>
            </w:pPr>
            <w:r>
              <w:rPr>
                <w:color w:val="000000"/>
                <w:sz w:val="16"/>
                <w:szCs w:val="16"/>
              </w:rPr>
              <w:t>AI-driven robotics significantly improve sorting accuracy, efficiency, and recovery rates in MRFs.</w:t>
            </w:r>
          </w:p>
          <w:p w14:paraId="5991F3CF">
            <w:pPr>
              <w:widowControl w:val="0"/>
              <w:numPr>
                <w:ilvl w:val="0"/>
                <w:numId w:val="4"/>
              </w:numPr>
              <w:spacing w:before="0" w:after="0"/>
              <w:rPr>
                <w:sz w:val="16"/>
                <w:szCs w:val="16"/>
              </w:rPr>
            </w:pPr>
            <w:r>
              <w:rPr>
                <w:color w:val="000000"/>
                <w:sz w:val="16"/>
                <w:szCs w:val="16"/>
              </w:rPr>
              <w:t>AI optimises collection routes, bin monitoring, and transportation efficiency.</w:t>
            </w:r>
          </w:p>
        </w:tc>
        <w:tc>
          <w:tcPr>
            <w:tcW w:w="0" w:type="auto"/>
            <w:tcMar>
              <w:top w:w="100" w:type="dxa"/>
              <w:left w:w="100" w:type="dxa"/>
              <w:bottom w:w="100" w:type="dxa"/>
              <w:right w:w="100" w:type="dxa"/>
            </w:tcMar>
          </w:tcPr>
          <w:p w14:paraId="5991F3D0">
            <w:pPr>
              <w:widowControl w:val="0"/>
              <w:rPr>
                <w:sz w:val="16"/>
                <w:szCs w:val="16"/>
              </w:rPr>
            </w:pPr>
            <w:r>
              <w:rPr>
                <w:sz w:val="16"/>
                <w:szCs w:val="16"/>
              </w:rPr>
              <w:t>AI acts as a mediator for an organisation in terms of enabling predictive marketing systems to forecast regional material flows and target recycling campaigns geographically. Fundamentally, predictive maintenance can be applicable to predictive marketing models that anticipate supply of secondary materials and align demand-side marketing strategies. Furthermore, the authors have provided operational evidence that AI-generated data can feed predictive marketing systems to forecast material availability and recovery volumes. Following the present journal, predictive marketing models should integrate AI insights with policy signals and consumer behaviour trends.</w:t>
            </w:r>
          </w:p>
        </w:tc>
      </w:tr>
      <w:tr w14:paraId="5991F3D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restart"/>
            <w:tcMar>
              <w:top w:w="100" w:type="dxa"/>
              <w:left w:w="100" w:type="dxa"/>
              <w:bottom w:w="100" w:type="dxa"/>
              <w:right w:w="100" w:type="dxa"/>
            </w:tcMar>
          </w:tcPr>
          <w:p w14:paraId="5991F3D2">
            <w:pPr>
              <w:widowControl w:val="0"/>
              <w:rPr>
                <w:b/>
                <w:bCs/>
                <w:sz w:val="16"/>
                <w:szCs w:val="16"/>
              </w:rPr>
            </w:pPr>
            <w:r>
              <w:rPr>
                <w:b/>
                <w:bCs/>
                <w:sz w:val="16"/>
                <w:szCs w:val="16"/>
              </w:rPr>
              <w:t>Theme 4</w:t>
            </w:r>
          </w:p>
        </w:tc>
        <w:tc>
          <w:tcPr>
            <w:tcW w:w="0" w:type="auto"/>
            <w:tcMar>
              <w:top w:w="100" w:type="dxa"/>
              <w:left w:w="100" w:type="dxa"/>
              <w:bottom w:w="100" w:type="dxa"/>
              <w:right w:w="100" w:type="dxa"/>
            </w:tcMar>
          </w:tcPr>
          <w:p w14:paraId="5991F3D3">
            <w:pPr>
              <w:widowControl w:val="0"/>
              <w:rPr>
                <w:sz w:val="16"/>
                <w:szCs w:val="16"/>
              </w:rPr>
            </w:pPr>
            <w:r>
              <w:rPr>
                <w:sz w:val="16"/>
                <w:szCs w:val="16"/>
              </w:rPr>
              <w:t xml:space="preserve">Aderibigbe </w:t>
            </w:r>
            <w:r>
              <w:rPr>
                <w:i/>
                <w:iCs/>
                <w:sz w:val="16"/>
                <w:szCs w:val="16"/>
              </w:rPr>
              <w:t xml:space="preserve">et al. </w:t>
            </w:r>
            <w:r>
              <w:rPr>
                <w:sz w:val="16"/>
                <w:szCs w:val="16"/>
              </w:rPr>
              <w:t>(2023)</w:t>
            </w:r>
          </w:p>
        </w:tc>
        <w:tc>
          <w:tcPr>
            <w:tcW w:w="3919" w:type="dxa"/>
            <w:tcMar>
              <w:top w:w="100" w:type="dxa"/>
              <w:left w:w="100" w:type="dxa"/>
              <w:bottom w:w="100" w:type="dxa"/>
              <w:right w:w="100" w:type="dxa"/>
            </w:tcMar>
          </w:tcPr>
          <w:p w14:paraId="5991F3D4">
            <w:pPr>
              <w:widowControl w:val="0"/>
              <w:numPr>
                <w:ilvl w:val="0"/>
                <w:numId w:val="5"/>
              </w:numPr>
              <w:spacing w:before="0" w:after="0"/>
              <w:rPr>
                <w:sz w:val="16"/>
                <w:szCs w:val="16"/>
              </w:rPr>
            </w:pPr>
            <w:r>
              <w:rPr>
                <w:color w:val="000000"/>
                <w:sz w:val="16"/>
                <w:szCs w:val="16"/>
              </w:rPr>
              <w:t>Systematic literature review of peer-reviewed studies.</w:t>
            </w:r>
          </w:p>
          <w:p w14:paraId="5991F3D5">
            <w:pPr>
              <w:widowControl w:val="0"/>
              <w:numPr>
                <w:ilvl w:val="0"/>
                <w:numId w:val="5"/>
              </w:numPr>
              <w:spacing w:before="0" w:after="0"/>
              <w:rPr>
                <w:sz w:val="16"/>
                <w:szCs w:val="16"/>
              </w:rPr>
            </w:pPr>
            <w:r>
              <w:rPr>
                <w:color w:val="000000"/>
                <w:sz w:val="16"/>
                <w:szCs w:val="16"/>
              </w:rPr>
              <w:t>Comparative synthesis of ML models (LSTM, ANN, SVR, RF, XGBoost)</w:t>
            </w:r>
          </w:p>
        </w:tc>
        <w:tc>
          <w:tcPr>
            <w:tcW w:w="2873" w:type="dxa"/>
            <w:tcMar>
              <w:top w:w="100" w:type="dxa"/>
              <w:left w:w="100" w:type="dxa"/>
              <w:bottom w:w="100" w:type="dxa"/>
              <w:right w:w="100" w:type="dxa"/>
            </w:tcMar>
          </w:tcPr>
          <w:p w14:paraId="5991F3D6">
            <w:pPr>
              <w:widowControl w:val="0"/>
              <w:numPr>
                <w:ilvl w:val="0"/>
                <w:numId w:val="5"/>
              </w:numPr>
              <w:spacing w:before="0" w:after="0"/>
              <w:rPr>
                <w:sz w:val="16"/>
                <w:szCs w:val="16"/>
              </w:rPr>
            </w:pPr>
            <w:r>
              <w:rPr>
                <w:color w:val="000000"/>
                <w:sz w:val="16"/>
                <w:szCs w:val="16"/>
              </w:rPr>
              <w:t>Machine learning (ML) and deep learning models significantly outperform traditional statistical forecasting methods in accuracy and adaptability.</w:t>
            </w:r>
          </w:p>
          <w:p w14:paraId="5991F3D7">
            <w:pPr>
              <w:widowControl w:val="0"/>
              <w:numPr>
                <w:ilvl w:val="0"/>
                <w:numId w:val="5"/>
              </w:numPr>
              <w:spacing w:before="0" w:after="0"/>
              <w:rPr>
                <w:sz w:val="16"/>
                <w:szCs w:val="16"/>
              </w:rPr>
            </w:pPr>
            <w:r>
              <w:rPr>
                <w:color w:val="000000"/>
                <w:sz w:val="16"/>
                <w:szCs w:val="16"/>
              </w:rPr>
              <w:t>ML models effectively capture nonlinear relationships and manage large datasets in dynamic environments.</w:t>
            </w:r>
          </w:p>
          <w:p w14:paraId="5991F3D8">
            <w:pPr>
              <w:widowControl w:val="0"/>
              <w:numPr>
                <w:ilvl w:val="0"/>
                <w:numId w:val="5"/>
              </w:numPr>
              <w:spacing w:before="0" w:after="0"/>
              <w:rPr>
                <w:sz w:val="16"/>
                <w:szCs w:val="16"/>
              </w:rPr>
            </w:pPr>
            <w:r>
              <w:rPr>
                <w:color w:val="000000"/>
                <w:sz w:val="16"/>
                <w:szCs w:val="16"/>
              </w:rPr>
              <w:t>The authors have addressed key challenges include data privacy, cybersecurity, model scalability, and skill shortages.</w:t>
            </w:r>
          </w:p>
        </w:tc>
        <w:tc>
          <w:tcPr>
            <w:tcW w:w="0" w:type="auto"/>
            <w:tcMar>
              <w:top w:w="100" w:type="dxa"/>
              <w:left w:w="100" w:type="dxa"/>
              <w:bottom w:w="100" w:type="dxa"/>
              <w:right w:w="100" w:type="dxa"/>
            </w:tcMar>
          </w:tcPr>
          <w:p w14:paraId="5991F3D9">
            <w:pPr>
              <w:widowControl w:val="0"/>
              <w:rPr>
                <w:sz w:val="16"/>
                <w:szCs w:val="16"/>
              </w:rPr>
            </w:pPr>
            <w:r>
              <w:rPr>
                <w:sz w:val="16"/>
                <w:szCs w:val="16"/>
              </w:rPr>
              <w:t>In the context of the present study, the authors have supported predictive marketing systems that analyse complex recycling behaviour patterns, heterogeneous waste streams, and fluctuating material recovery markets. The article has also provided subjective insights, concerning a strong analytical foundation for using AI-based predictive models to forecast recycling participation rates, material return volumes, and recovery demand. Organisations can encounter significant constraints that predictive marketing systems in recycling must address, particularly data governance and ethical AI use</w:t>
            </w:r>
          </w:p>
        </w:tc>
      </w:tr>
      <w:tr w14:paraId="5991F3E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continue"/>
            <w:tcMar>
              <w:top w:w="100" w:type="dxa"/>
              <w:left w:w="100" w:type="dxa"/>
              <w:bottom w:w="100" w:type="dxa"/>
              <w:right w:w="100" w:type="dxa"/>
            </w:tcMar>
          </w:tcPr>
          <w:p w14:paraId="5991F3DB">
            <w:pPr>
              <w:widowControl w:val="0"/>
              <w:spacing w:before="0" w:after="0" w:line="276" w:lineRule="auto"/>
              <w:jc w:val="left"/>
              <w:rPr>
                <w:sz w:val="16"/>
                <w:szCs w:val="16"/>
              </w:rPr>
            </w:pPr>
          </w:p>
        </w:tc>
        <w:tc>
          <w:tcPr>
            <w:tcW w:w="0" w:type="auto"/>
            <w:tcMar>
              <w:top w:w="100" w:type="dxa"/>
              <w:left w:w="100" w:type="dxa"/>
              <w:bottom w:w="100" w:type="dxa"/>
              <w:right w:w="100" w:type="dxa"/>
            </w:tcMar>
          </w:tcPr>
          <w:p w14:paraId="5991F3DC">
            <w:pPr>
              <w:widowControl w:val="0"/>
              <w:rPr>
                <w:sz w:val="16"/>
                <w:szCs w:val="16"/>
              </w:rPr>
            </w:pPr>
            <w:r>
              <w:rPr>
                <w:sz w:val="16"/>
                <w:szCs w:val="16"/>
              </w:rPr>
              <w:t xml:space="preserve">Fang </w:t>
            </w:r>
            <w:r>
              <w:rPr>
                <w:i/>
                <w:iCs/>
                <w:sz w:val="16"/>
                <w:szCs w:val="16"/>
              </w:rPr>
              <w:t xml:space="preserve">et al. </w:t>
            </w:r>
            <w:r>
              <w:rPr>
                <w:sz w:val="16"/>
                <w:szCs w:val="16"/>
              </w:rPr>
              <w:t xml:space="preserve">(2023) </w:t>
            </w:r>
          </w:p>
        </w:tc>
        <w:tc>
          <w:tcPr>
            <w:tcW w:w="3919" w:type="dxa"/>
            <w:tcMar>
              <w:top w:w="100" w:type="dxa"/>
              <w:left w:w="100" w:type="dxa"/>
              <w:bottom w:w="100" w:type="dxa"/>
              <w:right w:w="100" w:type="dxa"/>
            </w:tcMar>
          </w:tcPr>
          <w:p w14:paraId="5991F3DD">
            <w:pPr>
              <w:widowControl w:val="0"/>
              <w:rPr>
                <w:sz w:val="16"/>
                <w:szCs w:val="16"/>
              </w:rPr>
            </w:pPr>
            <w:r>
              <w:rPr>
                <w:sz w:val="16"/>
                <w:szCs w:val="16"/>
              </w:rPr>
              <w:t>Systematic literature review</w:t>
            </w:r>
          </w:p>
        </w:tc>
        <w:tc>
          <w:tcPr>
            <w:tcW w:w="2873" w:type="dxa"/>
            <w:tcMar>
              <w:top w:w="100" w:type="dxa"/>
              <w:left w:w="100" w:type="dxa"/>
              <w:bottom w:w="100" w:type="dxa"/>
              <w:right w:w="100" w:type="dxa"/>
            </w:tcMar>
          </w:tcPr>
          <w:p w14:paraId="5991F3DE">
            <w:pPr>
              <w:widowControl w:val="0"/>
              <w:rPr>
                <w:sz w:val="16"/>
                <w:szCs w:val="16"/>
              </w:rPr>
            </w:pPr>
            <w:r>
              <w:rPr>
                <w:sz w:val="16"/>
                <w:szCs w:val="16"/>
              </w:rPr>
              <w:t>The article is focused on the stances of identifying characterization, thermochemical conversion, and bioconversion technologies.</w:t>
            </w:r>
          </w:p>
        </w:tc>
        <w:tc>
          <w:tcPr>
            <w:tcW w:w="0" w:type="auto"/>
            <w:tcMar>
              <w:top w:w="100" w:type="dxa"/>
              <w:left w:w="100" w:type="dxa"/>
              <w:bottom w:w="100" w:type="dxa"/>
              <w:right w:w="100" w:type="dxa"/>
            </w:tcMar>
          </w:tcPr>
          <w:p w14:paraId="5991F3DF">
            <w:pPr>
              <w:widowControl w:val="0"/>
              <w:rPr>
                <w:sz w:val="16"/>
                <w:szCs w:val="16"/>
              </w:rPr>
            </w:pPr>
            <w:r>
              <w:rPr>
                <w:sz w:val="16"/>
                <w:szCs w:val="16"/>
              </w:rPr>
              <w:t>The study has conceptualised AI as a powerful technology in terms of enhancing precision in sorting and identifying plastic types, significantly reducing contamination rates and improving processing efficiency.</w:t>
            </w:r>
          </w:p>
        </w:tc>
      </w:tr>
      <w:tr w14:paraId="5991F3E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rPr>
          <w:wAfter w:w="0" w:type="auto"/>
          <w:trHeight w:val="440" w:hRule="atLeast"/>
          <w:jc w:val="center"/>
        </w:trPr>
        <w:tc>
          <w:tcPr>
            <w:tcW w:w="0" w:type="auto"/>
            <w:vMerge w:val="continue"/>
            <w:tcMar>
              <w:top w:w="100" w:type="dxa"/>
              <w:left w:w="100" w:type="dxa"/>
              <w:bottom w:w="100" w:type="dxa"/>
              <w:right w:w="100" w:type="dxa"/>
            </w:tcMar>
          </w:tcPr>
          <w:p w14:paraId="5991F3E1">
            <w:pPr>
              <w:widowControl w:val="0"/>
              <w:spacing w:before="0" w:after="0" w:line="276" w:lineRule="auto"/>
              <w:jc w:val="left"/>
              <w:rPr>
                <w:sz w:val="16"/>
                <w:szCs w:val="16"/>
              </w:rPr>
            </w:pPr>
          </w:p>
        </w:tc>
        <w:tc>
          <w:tcPr>
            <w:tcW w:w="0" w:type="auto"/>
            <w:tcMar>
              <w:top w:w="100" w:type="dxa"/>
              <w:left w:w="100" w:type="dxa"/>
              <w:bottom w:w="100" w:type="dxa"/>
              <w:right w:w="100" w:type="dxa"/>
            </w:tcMar>
          </w:tcPr>
          <w:p w14:paraId="5991F3E2">
            <w:pPr>
              <w:widowControl w:val="0"/>
              <w:rPr>
                <w:sz w:val="16"/>
                <w:szCs w:val="16"/>
              </w:rPr>
            </w:pPr>
            <w:r>
              <w:rPr>
                <w:sz w:val="16"/>
                <w:szCs w:val="16"/>
              </w:rPr>
              <w:t>Oladapo</w:t>
            </w:r>
            <w:r>
              <w:rPr>
                <w:i/>
                <w:iCs/>
                <w:sz w:val="16"/>
                <w:szCs w:val="16"/>
              </w:rPr>
              <w:t xml:space="preserve"> et al. </w:t>
            </w:r>
            <w:r>
              <w:rPr>
                <w:sz w:val="16"/>
                <w:szCs w:val="16"/>
              </w:rPr>
              <w:t>2024</w:t>
            </w:r>
          </w:p>
        </w:tc>
        <w:tc>
          <w:tcPr>
            <w:tcW w:w="3919" w:type="dxa"/>
            <w:tcMar>
              <w:top w:w="100" w:type="dxa"/>
              <w:left w:w="100" w:type="dxa"/>
              <w:bottom w:w="100" w:type="dxa"/>
              <w:right w:w="100" w:type="dxa"/>
            </w:tcMar>
          </w:tcPr>
          <w:p w14:paraId="5991F3E3">
            <w:pPr>
              <w:widowControl w:val="0"/>
              <w:numPr>
                <w:ilvl w:val="0"/>
                <w:numId w:val="6"/>
              </w:numPr>
              <w:spacing w:before="0" w:after="0"/>
              <w:rPr>
                <w:sz w:val="16"/>
                <w:szCs w:val="16"/>
              </w:rPr>
            </w:pPr>
            <w:r>
              <w:rPr>
                <w:color w:val="000000"/>
                <w:sz w:val="16"/>
                <w:szCs w:val="16"/>
              </w:rPr>
              <w:t>Mixed-methods including qualitative case studies and quantitative modelling.</w:t>
            </w:r>
          </w:p>
          <w:p w14:paraId="5991F3E4">
            <w:pPr>
              <w:widowControl w:val="0"/>
              <w:numPr>
                <w:ilvl w:val="0"/>
                <w:numId w:val="6"/>
              </w:numPr>
              <w:spacing w:before="0" w:after="0"/>
              <w:rPr>
                <w:sz w:val="16"/>
                <w:szCs w:val="16"/>
              </w:rPr>
            </w:pPr>
            <w:r>
              <w:rPr>
                <w:color w:val="000000"/>
                <w:sz w:val="16"/>
                <w:szCs w:val="16"/>
              </w:rPr>
              <w:t>Quantitative modelling with validation metrics (MAPE, RMSE).</w:t>
            </w:r>
          </w:p>
          <w:p w14:paraId="5991F3E5">
            <w:pPr>
              <w:widowControl w:val="0"/>
              <w:numPr>
                <w:ilvl w:val="0"/>
                <w:numId w:val="6"/>
              </w:numPr>
              <w:spacing w:before="0" w:after="0"/>
              <w:rPr>
                <w:sz w:val="16"/>
                <w:szCs w:val="16"/>
              </w:rPr>
            </w:pPr>
            <w:r>
              <w:rPr>
                <w:color w:val="000000"/>
                <w:sz w:val="16"/>
                <w:szCs w:val="16"/>
              </w:rPr>
              <w:t>Neural network modelling and optimisation techniques.</w:t>
            </w:r>
          </w:p>
        </w:tc>
        <w:tc>
          <w:tcPr>
            <w:tcW w:w="2873" w:type="dxa"/>
            <w:tcMar>
              <w:top w:w="100" w:type="dxa"/>
              <w:left w:w="100" w:type="dxa"/>
              <w:bottom w:w="100" w:type="dxa"/>
              <w:right w:w="100" w:type="dxa"/>
            </w:tcMar>
          </w:tcPr>
          <w:p w14:paraId="5991F3E6">
            <w:pPr>
              <w:widowControl w:val="0"/>
              <w:rPr>
                <w:sz w:val="16"/>
                <w:szCs w:val="16"/>
              </w:rPr>
            </w:pPr>
            <w:r>
              <w:rPr>
                <w:sz w:val="16"/>
                <w:szCs w:val="16"/>
              </w:rPr>
              <w:t>Integration of AI with circular economy principles enables closed-loop systems, economic decoupling, and sustainable industrial growth. AI-driven analytics improve long-term sustainability planning and operational efficiency. AI optimises energy use, waste management, and recycling performance. Significant reductions in emissions, energy use, and waste across sectors. Rising consumer demand for sustainable products and increased market penetration.</w:t>
            </w:r>
          </w:p>
        </w:tc>
        <w:tc>
          <w:tcPr>
            <w:tcW w:w="0" w:type="auto"/>
            <w:tcMar>
              <w:top w:w="100" w:type="dxa"/>
              <w:left w:w="100" w:type="dxa"/>
              <w:bottom w:w="100" w:type="dxa"/>
              <w:right w:w="100" w:type="dxa"/>
            </w:tcMar>
          </w:tcPr>
          <w:p w14:paraId="5991F3E7">
            <w:pPr>
              <w:widowControl w:val="0"/>
              <w:rPr>
                <w:sz w:val="16"/>
                <w:szCs w:val="16"/>
              </w:rPr>
            </w:pPr>
            <w:r>
              <w:rPr>
                <w:sz w:val="16"/>
                <w:szCs w:val="16"/>
              </w:rPr>
              <w:t xml:space="preserve">AI predictive marketing systems to link operational recycling performance with market communication and value propositions. Fundamentally, AI plays an important role in supporting predictive marketing by enabling accurate demand–supply matching between recovered materials and secondary markets. The journal has established theoretical grounding for AI as an enabler of predictive marketing within circular recycling and material recovery systems. </w:t>
            </w:r>
          </w:p>
        </w:tc>
      </w:tr>
    </w:tbl>
    <w:p w14:paraId="5991F3E9">
      <w:pPr>
        <w:pStyle w:val="6"/>
      </w:pPr>
      <w:bookmarkStart w:id="55" w:name="_heading=h.jn7thi2lg65r" w:colFirst="0" w:colLast="0"/>
      <w:bookmarkEnd w:id="55"/>
      <w:bookmarkStart w:id="56" w:name="_Toc219739534"/>
      <w:r>
        <w:t>Table 3.2: Thematic Table</w:t>
      </w:r>
      <w:bookmarkEnd w:id="56"/>
    </w:p>
    <w:p w14:paraId="5991F3EA">
      <w:pPr>
        <w:spacing w:before="0" w:after="0"/>
        <w:jc w:val="center"/>
      </w:pPr>
      <w:r>
        <w:t>(Source: Self-developed)</w:t>
      </w:r>
      <w:r>
        <w:br w:type="textWrapping"/>
      </w:r>
    </w:p>
    <w:p w14:paraId="390B835D">
      <w:pPr>
        <w:spacing w:before="0" w:after="0"/>
        <w:jc w:val="both"/>
      </w:pPr>
    </w:p>
    <w:p w14:paraId="5991F3EB">
      <w:pPr>
        <w:pStyle w:val="3"/>
        <w:rPr>
          <w:color w:val="000000" w:themeColor="text1"/>
          <w:highlight w:val="white"/>
          <w14:textFill>
            <w14:solidFill>
              <w14:schemeClr w14:val="tx1"/>
            </w14:solidFill>
          </w14:textFill>
        </w:rPr>
      </w:pPr>
      <w:bookmarkStart w:id="57" w:name="_Toc219739510"/>
      <w:r>
        <w:rPr>
          <w:color w:val="000000" w:themeColor="text1"/>
          <w14:textFill>
            <w14:solidFill>
              <w14:schemeClr w14:val="tx1"/>
            </w14:solidFill>
          </w14:textFill>
        </w:rPr>
        <w:t>3.3 Numerical Analysis</w:t>
      </w:r>
      <w:bookmarkEnd w:id="57"/>
    </w:p>
    <w:tbl>
      <w:tblPr>
        <w:tblStyle w:val="39"/>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1266"/>
        <w:gridCol w:w="4734"/>
        <w:gridCol w:w="3000"/>
      </w:tblGrid>
      <w:tr w14:paraId="5991F3E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3EC">
            <w:pPr>
              <w:widowControl w:val="0"/>
              <w:spacing w:before="0" w:after="0" w:line="240" w:lineRule="auto"/>
              <w:jc w:val="left"/>
              <w:rPr>
                <w:b/>
                <w:bCs/>
                <w:color w:val="000000" w:themeColor="text1"/>
                <w:highlight w:val="white"/>
                <w14:textFill>
                  <w14:solidFill>
                    <w14:schemeClr w14:val="tx1"/>
                  </w14:solidFill>
                </w14:textFill>
              </w:rPr>
            </w:pPr>
            <w:r>
              <w:rPr>
                <w:b/>
                <w:bCs/>
                <w:color w:val="000000" w:themeColor="text1"/>
                <w:highlight w:val="white"/>
                <w14:textFill>
                  <w14:solidFill>
                    <w14:schemeClr w14:val="tx1"/>
                  </w14:solidFill>
                </w14:textFill>
              </w:rPr>
              <w:t>Sl.no</w:t>
            </w:r>
          </w:p>
        </w:tc>
        <w:tc>
          <w:tcPr>
            <w:tcW w:w="4734" w:type="dxa"/>
            <w:tcMar>
              <w:top w:w="100" w:type="dxa"/>
              <w:left w:w="100" w:type="dxa"/>
              <w:bottom w:w="100" w:type="dxa"/>
              <w:right w:w="100" w:type="dxa"/>
            </w:tcMar>
          </w:tcPr>
          <w:p w14:paraId="5991F3ED">
            <w:pPr>
              <w:widowControl w:val="0"/>
              <w:spacing w:before="0" w:after="0" w:line="240" w:lineRule="auto"/>
              <w:jc w:val="left"/>
              <w:rPr>
                <w:b/>
                <w:bCs/>
                <w:color w:val="000000" w:themeColor="text1"/>
                <w:highlight w:val="white"/>
                <w14:textFill>
                  <w14:solidFill>
                    <w14:schemeClr w14:val="tx1"/>
                  </w14:solidFill>
                </w14:textFill>
              </w:rPr>
            </w:pPr>
            <w:r>
              <w:rPr>
                <w:b/>
                <w:bCs/>
                <w:color w:val="000000" w:themeColor="text1"/>
                <w:highlight w:val="white"/>
                <w14:textFill>
                  <w14:solidFill>
                    <w14:schemeClr w14:val="tx1"/>
                  </w14:solidFill>
                </w14:textFill>
              </w:rPr>
              <w:t xml:space="preserve">Paper </w:t>
            </w:r>
          </w:p>
        </w:tc>
        <w:tc>
          <w:tcPr>
            <w:tcW w:w="3000" w:type="dxa"/>
            <w:tcMar>
              <w:top w:w="100" w:type="dxa"/>
              <w:left w:w="100" w:type="dxa"/>
              <w:bottom w:w="100" w:type="dxa"/>
              <w:right w:w="100" w:type="dxa"/>
            </w:tcMar>
          </w:tcPr>
          <w:p w14:paraId="5991F3EE">
            <w:pPr>
              <w:widowControl w:val="0"/>
              <w:spacing w:before="0" w:after="0" w:line="240" w:lineRule="auto"/>
              <w:jc w:val="left"/>
              <w:rPr>
                <w:b/>
                <w:bCs/>
                <w:color w:val="000000" w:themeColor="text1"/>
                <w:highlight w:val="white"/>
                <w14:textFill>
                  <w14:solidFill>
                    <w14:schemeClr w14:val="tx1"/>
                  </w14:solidFill>
                </w14:textFill>
              </w:rPr>
            </w:pPr>
            <w:r>
              <w:rPr>
                <w:b/>
                <w:bCs/>
                <w:color w:val="000000" w:themeColor="text1"/>
                <w:highlight w:val="white"/>
                <w14:textFill>
                  <w14:solidFill>
                    <w14:schemeClr w14:val="tx1"/>
                  </w14:solidFill>
                </w14:textFill>
              </w:rPr>
              <w:t>Year</w:t>
            </w:r>
          </w:p>
        </w:tc>
      </w:tr>
      <w:tr w14:paraId="5991F3F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3F0">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1</w:t>
            </w:r>
          </w:p>
        </w:tc>
        <w:tc>
          <w:tcPr>
            <w:tcW w:w="4734" w:type="dxa"/>
            <w:tcMar>
              <w:top w:w="100" w:type="dxa"/>
              <w:left w:w="100" w:type="dxa"/>
              <w:bottom w:w="100" w:type="dxa"/>
              <w:right w:w="100" w:type="dxa"/>
            </w:tcMar>
          </w:tcPr>
          <w:p w14:paraId="5991F3F1">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 xml:space="preserve">Lakhouit </w:t>
            </w:r>
          </w:p>
        </w:tc>
        <w:tc>
          <w:tcPr>
            <w:tcW w:w="3000" w:type="dxa"/>
            <w:tcMar>
              <w:top w:w="100" w:type="dxa"/>
              <w:left w:w="100" w:type="dxa"/>
              <w:bottom w:w="100" w:type="dxa"/>
              <w:right w:w="100" w:type="dxa"/>
            </w:tcMar>
          </w:tcPr>
          <w:p w14:paraId="5991F3F2">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2025</w:t>
            </w:r>
          </w:p>
        </w:tc>
      </w:tr>
      <w:tr w14:paraId="5991F3F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3F4">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2</w:t>
            </w:r>
          </w:p>
        </w:tc>
        <w:tc>
          <w:tcPr>
            <w:tcW w:w="4734" w:type="dxa"/>
            <w:tcMar>
              <w:top w:w="100" w:type="dxa"/>
              <w:left w:w="100" w:type="dxa"/>
              <w:bottom w:w="100" w:type="dxa"/>
              <w:right w:w="100" w:type="dxa"/>
            </w:tcMar>
          </w:tcPr>
          <w:p w14:paraId="5991F3F5">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 xml:space="preserve">Madhavi </w:t>
            </w:r>
            <w:r>
              <w:rPr>
                <w:i/>
                <w:iCs/>
                <w:color w:val="000000" w:themeColor="text1"/>
                <w14:textFill>
                  <w14:solidFill>
                    <w14:schemeClr w14:val="tx1"/>
                  </w14:solidFill>
                </w14:textFill>
              </w:rPr>
              <w:t xml:space="preserve">et al. </w:t>
            </w:r>
          </w:p>
        </w:tc>
        <w:tc>
          <w:tcPr>
            <w:tcW w:w="3000" w:type="dxa"/>
            <w:tcMar>
              <w:top w:w="100" w:type="dxa"/>
              <w:left w:w="100" w:type="dxa"/>
              <w:bottom w:w="100" w:type="dxa"/>
              <w:right w:w="100" w:type="dxa"/>
            </w:tcMar>
          </w:tcPr>
          <w:p w14:paraId="5991F3F6">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2025</w:t>
            </w:r>
          </w:p>
        </w:tc>
      </w:tr>
      <w:tr w14:paraId="5991F3F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3F8">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3</w:t>
            </w:r>
          </w:p>
        </w:tc>
        <w:tc>
          <w:tcPr>
            <w:tcW w:w="4734" w:type="dxa"/>
            <w:tcMar>
              <w:top w:w="100" w:type="dxa"/>
              <w:left w:w="100" w:type="dxa"/>
              <w:bottom w:w="100" w:type="dxa"/>
              <w:right w:w="100" w:type="dxa"/>
            </w:tcMar>
          </w:tcPr>
          <w:p w14:paraId="5991F3F9">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 xml:space="preserve">Fang </w:t>
            </w:r>
            <w:r>
              <w:rPr>
                <w:i/>
                <w:iCs/>
                <w:color w:val="000000" w:themeColor="text1"/>
                <w14:textFill>
                  <w14:solidFill>
                    <w14:schemeClr w14:val="tx1"/>
                  </w14:solidFill>
                </w14:textFill>
              </w:rPr>
              <w:t xml:space="preserve">et al. </w:t>
            </w:r>
          </w:p>
        </w:tc>
        <w:tc>
          <w:tcPr>
            <w:tcW w:w="3000" w:type="dxa"/>
            <w:tcMar>
              <w:top w:w="100" w:type="dxa"/>
              <w:left w:w="100" w:type="dxa"/>
              <w:bottom w:w="100" w:type="dxa"/>
              <w:right w:w="100" w:type="dxa"/>
            </w:tcMar>
          </w:tcPr>
          <w:p w14:paraId="5991F3FA">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2025</w:t>
            </w:r>
          </w:p>
        </w:tc>
      </w:tr>
      <w:tr w14:paraId="5991F3F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3FC">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4</w:t>
            </w:r>
          </w:p>
        </w:tc>
        <w:tc>
          <w:tcPr>
            <w:tcW w:w="4734" w:type="dxa"/>
            <w:tcMar>
              <w:top w:w="100" w:type="dxa"/>
              <w:left w:w="100" w:type="dxa"/>
              <w:bottom w:w="100" w:type="dxa"/>
              <w:right w:w="100" w:type="dxa"/>
            </w:tcMar>
          </w:tcPr>
          <w:p w14:paraId="5991F3FD">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Antony Jose</w:t>
            </w:r>
            <w:r>
              <w:rPr>
                <w:i/>
                <w:iCs/>
                <w:color w:val="000000" w:themeColor="text1"/>
                <w14:textFill>
                  <w14:solidFill>
                    <w14:schemeClr w14:val="tx1"/>
                  </w14:solidFill>
                </w14:textFill>
              </w:rPr>
              <w:t xml:space="preserve"> et al.</w:t>
            </w:r>
            <w:r>
              <w:rPr>
                <w:color w:val="000000" w:themeColor="text1"/>
                <w14:textFill>
                  <w14:solidFill>
                    <w14:schemeClr w14:val="tx1"/>
                  </w14:solidFill>
                </w14:textFill>
              </w:rPr>
              <w:t xml:space="preserve"> </w:t>
            </w:r>
          </w:p>
        </w:tc>
        <w:tc>
          <w:tcPr>
            <w:tcW w:w="3000" w:type="dxa"/>
            <w:tcMar>
              <w:top w:w="100" w:type="dxa"/>
              <w:left w:w="100" w:type="dxa"/>
              <w:bottom w:w="100" w:type="dxa"/>
              <w:right w:w="100" w:type="dxa"/>
            </w:tcMar>
          </w:tcPr>
          <w:p w14:paraId="5991F3FE">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2024</w:t>
            </w:r>
          </w:p>
        </w:tc>
      </w:tr>
      <w:tr w14:paraId="5991F40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400">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5</w:t>
            </w:r>
          </w:p>
        </w:tc>
        <w:tc>
          <w:tcPr>
            <w:tcW w:w="4734" w:type="dxa"/>
            <w:tcMar>
              <w:top w:w="100" w:type="dxa"/>
              <w:left w:w="100" w:type="dxa"/>
              <w:bottom w:w="100" w:type="dxa"/>
              <w:right w:w="100" w:type="dxa"/>
            </w:tcMar>
          </w:tcPr>
          <w:p w14:paraId="5991F401">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Umeliwu and Samuel</w:t>
            </w:r>
          </w:p>
        </w:tc>
        <w:tc>
          <w:tcPr>
            <w:tcW w:w="3000" w:type="dxa"/>
            <w:tcMar>
              <w:top w:w="100" w:type="dxa"/>
              <w:left w:w="100" w:type="dxa"/>
              <w:bottom w:w="100" w:type="dxa"/>
              <w:right w:w="100" w:type="dxa"/>
            </w:tcMar>
          </w:tcPr>
          <w:p w14:paraId="5991F402">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2024</w:t>
            </w:r>
          </w:p>
        </w:tc>
      </w:tr>
      <w:tr w14:paraId="5991F40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404">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6</w:t>
            </w:r>
          </w:p>
        </w:tc>
        <w:tc>
          <w:tcPr>
            <w:tcW w:w="4734" w:type="dxa"/>
            <w:tcMar>
              <w:top w:w="100" w:type="dxa"/>
              <w:left w:w="100" w:type="dxa"/>
              <w:bottom w:w="100" w:type="dxa"/>
              <w:right w:w="100" w:type="dxa"/>
            </w:tcMar>
          </w:tcPr>
          <w:p w14:paraId="5991F405">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Bashynska and Prokopenko</w:t>
            </w:r>
          </w:p>
        </w:tc>
        <w:tc>
          <w:tcPr>
            <w:tcW w:w="3000" w:type="dxa"/>
            <w:tcMar>
              <w:top w:w="100" w:type="dxa"/>
              <w:left w:w="100" w:type="dxa"/>
              <w:bottom w:w="100" w:type="dxa"/>
              <w:right w:w="100" w:type="dxa"/>
            </w:tcMar>
          </w:tcPr>
          <w:p w14:paraId="5991F406">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2024</w:t>
            </w:r>
          </w:p>
        </w:tc>
      </w:tr>
      <w:tr w14:paraId="5991F40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408">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7</w:t>
            </w:r>
          </w:p>
        </w:tc>
        <w:tc>
          <w:tcPr>
            <w:tcW w:w="4734" w:type="dxa"/>
            <w:tcMar>
              <w:top w:w="100" w:type="dxa"/>
              <w:left w:w="100" w:type="dxa"/>
              <w:bottom w:w="100" w:type="dxa"/>
              <w:right w:w="100" w:type="dxa"/>
            </w:tcMar>
          </w:tcPr>
          <w:p w14:paraId="5991F409">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Bag</w:t>
            </w:r>
            <w:r>
              <w:rPr>
                <w:i/>
                <w:iCs/>
                <w:color w:val="000000" w:themeColor="text1"/>
                <w14:textFill>
                  <w14:solidFill>
                    <w14:schemeClr w14:val="tx1"/>
                  </w14:solidFill>
                </w14:textFill>
              </w:rPr>
              <w:t xml:space="preserve"> et al.</w:t>
            </w:r>
          </w:p>
        </w:tc>
        <w:tc>
          <w:tcPr>
            <w:tcW w:w="3000" w:type="dxa"/>
            <w:tcMar>
              <w:top w:w="100" w:type="dxa"/>
              <w:left w:w="100" w:type="dxa"/>
              <w:bottom w:w="100" w:type="dxa"/>
              <w:right w:w="100" w:type="dxa"/>
            </w:tcMar>
          </w:tcPr>
          <w:p w14:paraId="5991F40A">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2022</w:t>
            </w:r>
          </w:p>
        </w:tc>
      </w:tr>
      <w:tr w14:paraId="5991F40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40C">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8</w:t>
            </w:r>
          </w:p>
        </w:tc>
        <w:tc>
          <w:tcPr>
            <w:tcW w:w="4734" w:type="dxa"/>
            <w:tcMar>
              <w:top w:w="100" w:type="dxa"/>
              <w:left w:w="100" w:type="dxa"/>
              <w:bottom w:w="100" w:type="dxa"/>
              <w:right w:w="100" w:type="dxa"/>
            </w:tcMar>
          </w:tcPr>
          <w:p w14:paraId="5991F40D">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Sahoo</w:t>
            </w:r>
            <w:r>
              <w:rPr>
                <w:i/>
                <w:iCs/>
                <w:color w:val="000000" w:themeColor="text1"/>
                <w14:textFill>
                  <w14:solidFill>
                    <w14:schemeClr w14:val="tx1"/>
                  </w14:solidFill>
                </w14:textFill>
              </w:rPr>
              <w:t xml:space="preserve"> et al. </w:t>
            </w:r>
          </w:p>
        </w:tc>
        <w:tc>
          <w:tcPr>
            <w:tcW w:w="3000" w:type="dxa"/>
            <w:tcMar>
              <w:top w:w="100" w:type="dxa"/>
              <w:left w:w="100" w:type="dxa"/>
              <w:bottom w:w="100" w:type="dxa"/>
              <w:right w:w="100" w:type="dxa"/>
            </w:tcMar>
          </w:tcPr>
          <w:p w14:paraId="5991F40E">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2025</w:t>
            </w:r>
          </w:p>
        </w:tc>
      </w:tr>
      <w:tr w14:paraId="5991F41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410">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lang w:val="en-IN"/>
                <w14:textFill>
                  <w14:solidFill>
                    <w14:schemeClr w14:val="tx1"/>
                  </w14:solidFill>
                </w14:textFill>
              </w:rPr>
              <w:t xml:space="preserve"> </w:t>
            </w:r>
            <w:r>
              <w:rPr>
                <w:color w:val="000000" w:themeColor="text1"/>
                <w:highlight w:val="white"/>
                <w14:textFill>
                  <w14:solidFill>
                    <w14:schemeClr w14:val="tx1"/>
                  </w14:solidFill>
                </w14:textFill>
              </w:rPr>
              <w:t>9</w:t>
            </w:r>
          </w:p>
        </w:tc>
        <w:tc>
          <w:tcPr>
            <w:tcW w:w="4734" w:type="dxa"/>
            <w:tcMar>
              <w:top w:w="100" w:type="dxa"/>
              <w:left w:w="100" w:type="dxa"/>
              <w:bottom w:w="100" w:type="dxa"/>
              <w:right w:w="100" w:type="dxa"/>
            </w:tcMar>
          </w:tcPr>
          <w:p w14:paraId="5991F411">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 xml:space="preserve">Chertow </w:t>
            </w:r>
            <w:r>
              <w:rPr>
                <w:i/>
                <w:iCs/>
                <w:color w:val="000000" w:themeColor="text1"/>
                <w14:textFill>
                  <w14:solidFill>
                    <w14:schemeClr w14:val="tx1"/>
                  </w14:solidFill>
                </w14:textFill>
              </w:rPr>
              <w:t xml:space="preserve">et al. </w:t>
            </w:r>
          </w:p>
        </w:tc>
        <w:tc>
          <w:tcPr>
            <w:tcW w:w="3000" w:type="dxa"/>
            <w:tcMar>
              <w:top w:w="100" w:type="dxa"/>
              <w:left w:w="100" w:type="dxa"/>
              <w:bottom w:w="100" w:type="dxa"/>
              <w:right w:w="100" w:type="dxa"/>
            </w:tcMar>
          </w:tcPr>
          <w:p w14:paraId="5991F412">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2024</w:t>
            </w:r>
          </w:p>
        </w:tc>
      </w:tr>
      <w:tr w14:paraId="5991F41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414">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10</w:t>
            </w:r>
          </w:p>
        </w:tc>
        <w:tc>
          <w:tcPr>
            <w:tcW w:w="4734" w:type="dxa"/>
            <w:tcMar>
              <w:top w:w="100" w:type="dxa"/>
              <w:left w:w="100" w:type="dxa"/>
              <w:bottom w:w="100" w:type="dxa"/>
              <w:right w:w="100" w:type="dxa"/>
            </w:tcMar>
          </w:tcPr>
          <w:p w14:paraId="5991F415">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 xml:space="preserve">Aderibigbe </w:t>
            </w:r>
            <w:r>
              <w:rPr>
                <w:i/>
                <w:iCs/>
                <w:color w:val="000000" w:themeColor="text1"/>
                <w14:textFill>
                  <w14:solidFill>
                    <w14:schemeClr w14:val="tx1"/>
                  </w14:solidFill>
                </w14:textFill>
              </w:rPr>
              <w:t>et al.</w:t>
            </w:r>
          </w:p>
        </w:tc>
        <w:tc>
          <w:tcPr>
            <w:tcW w:w="3000" w:type="dxa"/>
            <w:tcMar>
              <w:top w:w="100" w:type="dxa"/>
              <w:left w:w="100" w:type="dxa"/>
              <w:bottom w:w="100" w:type="dxa"/>
              <w:right w:w="100" w:type="dxa"/>
            </w:tcMar>
          </w:tcPr>
          <w:p w14:paraId="5991F416">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2023</w:t>
            </w:r>
          </w:p>
        </w:tc>
      </w:tr>
      <w:tr w14:paraId="5991F41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418">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11</w:t>
            </w:r>
          </w:p>
        </w:tc>
        <w:tc>
          <w:tcPr>
            <w:tcW w:w="4734" w:type="dxa"/>
            <w:tcMar>
              <w:top w:w="100" w:type="dxa"/>
              <w:left w:w="100" w:type="dxa"/>
              <w:bottom w:w="100" w:type="dxa"/>
              <w:right w:w="100" w:type="dxa"/>
            </w:tcMar>
          </w:tcPr>
          <w:p w14:paraId="5991F419">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 xml:space="preserve">Fang </w:t>
            </w:r>
            <w:r>
              <w:rPr>
                <w:i/>
                <w:iCs/>
                <w:color w:val="000000" w:themeColor="text1"/>
                <w14:textFill>
                  <w14:solidFill>
                    <w14:schemeClr w14:val="tx1"/>
                  </w14:solidFill>
                </w14:textFill>
              </w:rPr>
              <w:t xml:space="preserve">et al. </w:t>
            </w:r>
          </w:p>
        </w:tc>
        <w:tc>
          <w:tcPr>
            <w:tcW w:w="3000" w:type="dxa"/>
            <w:tcMar>
              <w:top w:w="100" w:type="dxa"/>
              <w:left w:w="100" w:type="dxa"/>
              <w:bottom w:w="100" w:type="dxa"/>
              <w:right w:w="100" w:type="dxa"/>
            </w:tcMar>
          </w:tcPr>
          <w:p w14:paraId="5991F41A">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2023</w:t>
            </w:r>
          </w:p>
        </w:tc>
      </w:tr>
      <w:tr w14:paraId="5991F41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266" w:type="dxa"/>
            <w:tcMar>
              <w:top w:w="100" w:type="dxa"/>
              <w:left w:w="100" w:type="dxa"/>
              <w:bottom w:w="100" w:type="dxa"/>
              <w:right w:w="100" w:type="dxa"/>
            </w:tcMar>
          </w:tcPr>
          <w:p w14:paraId="5991F41C">
            <w:pPr>
              <w:widowControl w:val="0"/>
              <w:spacing w:before="0" w:after="0" w:line="240" w:lineRule="auto"/>
              <w:jc w:val="left"/>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12</w:t>
            </w:r>
          </w:p>
        </w:tc>
        <w:tc>
          <w:tcPr>
            <w:tcW w:w="4734" w:type="dxa"/>
            <w:tcMar>
              <w:top w:w="100" w:type="dxa"/>
              <w:left w:w="100" w:type="dxa"/>
              <w:bottom w:w="100" w:type="dxa"/>
              <w:right w:w="100" w:type="dxa"/>
            </w:tcMar>
          </w:tcPr>
          <w:p w14:paraId="5991F41D">
            <w:pPr>
              <w:widowControl w:val="0"/>
              <w:spacing w:before="0" w:after="0"/>
              <w:rPr>
                <w:color w:val="000000" w:themeColor="text1"/>
                <w14:textFill>
                  <w14:solidFill>
                    <w14:schemeClr w14:val="tx1"/>
                  </w14:solidFill>
                </w14:textFill>
              </w:rPr>
            </w:pPr>
            <w:r>
              <w:rPr>
                <w:color w:val="000000" w:themeColor="text1"/>
                <w14:textFill>
                  <w14:solidFill>
                    <w14:schemeClr w14:val="tx1"/>
                  </w14:solidFill>
                </w14:textFill>
              </w:rPr>
              <w:t>Oladapo</w:t>
            </w:r>
            <w:r>
              <w:rPr>
                <w:i/>
                <w:iCs/>
                <w:color w:val="000000" w:themeColor="text1"/>
                <w14:textFill>
                  <w14:solidFill>
                    <w14:schemeClr w14:val="tx1"/>
                  </w14:solidFill>
                </w14:textFill>
              </w:rPr>
              <w:t xml:space="preserve"> et al. </w:t>
            </w:r>
          </w:p>
        </w:tc>
        <w:tc>
          <w:tcPr>
            <w:tcW w:w="3000" w:type="dxa"/>
            <w:tcMar>
              <w:top w:w="100" w:type="dxa"/>
              <w:left w:w="100" w:type="dxa"/>
              <w:bottom w:w="100" w:type="dxa"/>
              <w:right w:w="100" w:type="dxa"/>
            </w:tcMar>
          </w:tcPr>
          <w:p w14:paraId="5991F41E">
            <w:pPr>
              <w:widowControl w:val="0"/>
              <w:spacing w:before="0" w:after="0"/>
              <w:rPr>
                <w:color w:val="000000" w:themeColor="text1"/>
                <w:highlight w:val="white"/>
                <w14:textFill>
                  <w14:solidFill>
                    <w14:schemeClr w14:val="tx1"/>
                  </w14:solidFill>
                </w14:textFill>
              </w:rPr>
            </w:pPr>
            <w:r>
              <w:rPr>
                <w:color w:val="000000" w:themeColor="text1"/>
                <w14:textFill>
                  <w14:solidFill>
                    <w14:schemeClr w14:val="tx1"/>
                  </w14:solidFill>
                </w14:textFill>
              </w:rPr>
              <w:t>2024</w:t>
            </w:r>
          </w:p>
        </w:tc>
      </w:tr>
    </w:tbl>
    <w:p w14:paraId="5991F420">
      <w:pPr>
        <w:pStyle w:val="6"/>
        <w:rPr>
          <w:color w:val="000000" w:themeColor="text1"/>
          <w14:textFill>
            <w14:solidFill>
              <w14:schemeClr w14:val="tx1"/>
            </w14:solidFill>
          </w14:textFill>
        </w:rPr>
      </w:pPr>
      <w:bookmarkStart w:id="58" w:name="_heading=h.c5exrdpbrsbt" w:colFirst="0" w:colLast="0"/>
      <w:bookmarkEnd w:id="58"/>
      <w:bookmarkStart w:id="59" w:name="_Toc219739535"/>
      <w:r>
        <w:rPr>
          <w:color w:val="000000" w:themeColor="text1"/>
          <w14:textFill>
            <w14:solidFill>
              <w14:schemeClr w14:val="tx1"/>
            </w14:solidFill>
          </w14:textFill>
        </w:rPr>
        <w:t>Table 3.3: Articles Details Table</w:t>
      </w:r>
      <w:bookmarkEnd w:id="59"/>
    </w:p>
    <w:p w14:paraId="5991F421">
      <w:pPr>
        <w:spacing w:before="0" w:after="0"/>
        <w:jc w:val="center"/>
        <w:rPr>
          <w:color w:val="000000" w:themeColor="text1"/>
          <w14:textFill>
            <w14:solidFill>
              <w14:schemeClr w14:val="tx1"/>
            </w14:solidFill>
          </w14:textFill>
        </w:rPr>
      </w:pPr>
      <w:r>
        <w:rPr>
          <w:color w:val="000000" w:themeColor="text1"/>
          <w14:textFill>
            <w14:solidFill>
              <w14:schemeClr w14:val="tx1"/>
            </w14:solidFill>
          </w14:textFill>
        </w:rPr>
        <w:t>(Source: Self-developed)</w:t>
      </w:r>
    </w:p>
    <w:p w14:paraId="5991F422">
      <w:pPr>
        <w:rPr>
          <w:color w:val="000000" w:themeColor="text1"/>
          <w:lang w:eastAsia="en-GB"/>
          <w14:textFill>
            <w14:solidFill>
              <w14:schemeClr w14:val="tx1"/>
            </w14:solidFill>
          </w14:textFill>
        </w:rPr>
        <w:sectPr>
          <w:footerReference r:id="rId10" w:type="first"/>
          <w:footerReference r:id="rId9" w:type="default"/>
          <w:pgSz w:w="16834" w:h="11909" w:orient="landscape"/>
          <w:pgMar w:top="703" w:right="1440" w:bottom="1497" w:left="2914" w:header="720" w:footer="720" w:gutter="0"/>
          <w:pgNumType w:fmt="decimal"/>
          <w:cols w:space="720" w:num="1"/>
          <w:titlePg/>
        </w:sectPr>
      </w:pPr>
    </w:p>
    <w:p w14:paraId="6A7D6CD7">
      <w:pPr>
        <w:rPr>
          <w:color w:val="000000" w:themeColor="text1"/>
          <w:lang w:eastAsia="en-GB"/>
          <w14:textFill>
            <w14:solidFill>
              <w14:schemeClr w14:val="tx1"/>
            </w14:solidFill>
          </w14:textFill>
        </w:rPr>
      </w:pPr>
    </w:p>
    <w:p w14:paraId="259C8D59">
      <w:pPr>
        <w:rPr>
          <w:color w:val="000000" w:themeColor="text1"/>
          <w:lang w:eastAsia="en-GB"/>
          <w14:textFill>
            <w14:solidFill>
              <w14:schemeClr w14:val="tx1"/>
            </w14:solidFill>
          </w14:textFill>
        </w:rPr>
      </w:pPr>
    </w:p>
    <w:p w14:paraId="5991F423">
      <w:pPr>
        <w:rPr>
          <w:color w:val="000000" w:themeColor="text1"/>
          <w14:textFill>
            <w14:solidFill>
              <w14:schemeClr w14:val="tx1"/>
            </w14:solidFill>
          </w14:textFill>
        </w:rPr>
      </w:pPr>
      <w:r>
        <w:rPr>
          <w:color w:val="000000" w:themeColor="text1"/>
          <w:lang w:eastAsia="en-GB"/>
          <w14:textFill>
            <w14:solidFill>
              <w14:schemeClr w14:val="tx1"/>
            </w14:solidFill>
          </w14:textFill>
        </w:rPr>
        <w:drawing>
          <wp:inline distT="114300" distB="114300" distL="114300" distR="114300">
            <wp:extent cx="5730875" cy="3136900"/>
            <wp:effectExtent l="0" t="0" r="0" b="0"/>
            <wp:docPr id="2053460304" name="image6.png"/>
            <wp:cNvGraphicFramePr/>
            <a:graphic xmlns:a="http://schemas.openxmlformats.org/drawingml/2006/main">
              <a:graphicData uri="http://schemas.openxmlformats.org/drawingml/2006/picture">
                <pic:pic xmlns:pic="http://schemas.openxmlformats.org/drawingml/2006/picture">
                  <pic:nvPicPr>
                    <pic:cNvPr id="2053460304" name="image6.png"/>
                    <pic:cNvPicPr preferRelativeResize="0"/>
                  </pic:nvPicPr>
                  <pic:blipFill>
                    <a:blip r:embed="rId22"/>
                    <a:srcRect/>
                    <a:stretch>
                      <a:fillRect/>
                    </a:stretch>
                  </pic:blipFill>
                  <pic:spPr>
                    <a:xfrm>
                      <a:off x="0" y="0"/>
                      <a:ext cx="5731200" cy="3136900"/>
                    </a:xfrm>
                    <a:prstGeom prst="rect">
                      <a:avLst/>
                    </a:prstGeom>
                  </pic:spPr>
                </pic:pic>
              </a:graphicData>
            </a:graphic>
          </wp:inline>
        </w:drawing>
      </w:r>
    </w:p>
    <w:p w14:paraId="5991F424">
      <w:pPr>
        <w:pStyle w:val="5"/>
        <w:rPr>
          <w:color w:val="000000" w:themeColor="text1"/>
          <w14:textFill>
            <w14:solidFill>
              <w14:schemeClr w14:val="tx1"/>
            </w14:solidFill>
          </w14:textFill>
        </w:rPr>
      </w:pPr>
      <w:bookmarkStart w:id="60" w:name="_heading=h.bnvthjz3wt9x" w:colFirst="0" w:colLast="0"/>
      <w:bookmarkEnd w:id="60"/>
      <w:bookmarkStart w:id="61" w:name="_Toc219739530"/>
      <w:r>
        <w:rPr>
          <w:color w:val="000000" w:themeColor="text1"/>
          <w14:textFill>
            <w14:solidFill>
              <w14:schemeClr w14:val="tx1"/>
            </w14:solidFill>
          </w14:textFill>
        </w:rPr>
        <w:t>Figure 3.5: Numerical Graph of chosen papers</w:t>
      </w:r>
      <w:bookmarkEnd w:id="61"/>
      <w:r>
        <w:rPr>
          <w:color w:val="000000" w:themeColor="text1"/>
          <w14:textFill>
            <w14:solidFill>
              <w14:schemeClr w14:val="tx1"/>
            </w14:solidFill>
          </w14:textFill>
        </w:rPr>
        <w:t xml:space="preserve"> </w:t>
      </w:r>
    </w:p>
    <w:p w14:paraId="5991F425">
      <w:pPr>
        <w:jc w:val="center"/>
        <w:rPr>
          <w:color w:val="000000" w:themeColor="text1"/>
          <w14:textFill>
            <w14:solidFill>
              <w14:schemeClr w14:val="tx1"/>
            </w14:solidFill>
          </w14:textFill>
        </w:rPr>
      </w:pPr>
      <w:r>
        <w:rPr>
          <w:color w:val="000000" w:themeColor="text1"/>
          <w14:textFill>
            <w14:solidFill>
              <w14:schemeClr w14:val="tx1"/>
            </w14:solidFill>
          </w14:textFill>
        </w:rPr>
        <w:t>(Source: Self-developed)</w:t>
      </w:r>
    </w:p>
    <w:p w14:paraId="5991F426">
      <w:pPr>
        <w:rPr>
          <w:color w:val="000000" w:themeColor="text1"/>
          <w14:textFill>
            <w14:solidFill>
              <w14:schemeClr w14:val="tx1"/>
            </w14:solidFill>
          </w14:textFill>
        </w:rPr>
      </w:pPr>
      <w:r>
        <w:rPr>
          <w:color w:val="000000" w:themeColor="text1"/>
          <w14:textFill>
            <w14:solidFill>
              <w14:schemeClr w14:val="tx1"/>
            </w14:solidFill>
          </w14:textFill>
        </w:rPr>
        <w:t xml:space="preserve">The figure above suggests that 50% of the chosen peer reviewed articles in this study are published in 2024, while 4 papers are from 2025. Thus, Majority papers used for thematic analysis are less than 2 years, ensuring recent data consideration for analysis. </w:t>
      </w:r>
    </w:p>
    <w:p w14:paraId="5991F427">
      <w:pPr>
        <w:rPr>
          <w:color w:val="000000" w:themeColor="text1"/>
          <w14:textFill>
            <w14:solidFill>
              <w14:schemeClr w14:val="tx1"/>
            </w14:solidFill>
          </w14:textFill>
        </w:rPr>
      </w:pPr>
    </w:p>
    <w:p w14:paraId="5991F428">
      <w:pPr>
        <w:pStyle w:val="3"/>
      </w:pPr>
      <w:bookmarkStart w:id="62" w:name="_Toc219739511"/>
      <w:r>
        <w:t>3.3 Discussion</w:t>
      </w:r>
      <w:bookmarkEnd w:id="62"/>
    </w:p>
    <w:p w14:paraId="5991F429">
      <w:pPr>
        <w:spacing w:after="0"/>
        <w:rPr>
          <w:color w:val="000000"/>
        </w:rPr>
      </w:pPr>
      <w:r>
        <w:rPr>
          <w:b/>
          <w:bCs/>
          <w:i/>
          <w:iCs/>
          <w:color w:val="000000"/>
        </w:rPr>
        <w:t>Theme 1</w:t>
      </w:r>
    </w:p>
    <w:p w14:paraId="5991F42A">
      <w:pPr>
        <w:spacing w:after="0"/>
        <w:rPr>
          <w:color w:val="000000"/>
        </w:rPr>
      </w:pPr>
      <w:r>
        <w:rPr>
          <w:color w:val="000000"/>
        </w:rPr>
        <w:t>The first theme comprises the underlying feasibility of the AI technologies in terms of facilitating predictive marketing implications for recycling and material recovery concepts. Regarding the analytical observations, the AI-driven marketing analytics procedure has been found as a dynamic strategy that can be applied in sustainable marketing management regarding recycling and material recovery. For instance, Lakhouit (2025) has supported by highlighting how material recovery and recycling can be assessed, as well as measured through AI's predictive marketing capability, leading to sustainable business maintenance. This finding also suggests the collective approaches of forecasting and predictive implications of AI technology that can streamline marketing procedures by promoting concerns of recycling and material recovery. </w:t>
      </w:r>
    </w:p>
    <w:p w14:paraId="5991F42B">
      <w:pPr>
        <w:spacing w:after="0"/>
        <w:rPr>
          <w:color w:val="000000"/>
        </w:rPr>
      </w:pPr>
      <w:r>
        <w:rPr>
          <w:color w:val="000000"/>
        </w:rPr>
        <w:t xml:space="preserve">Besides these, the process of data-analytics through the AI technology implementation can also be observed as a potential determinant for marketing sustainability. Mainly, the particular approach of real-time waste classification has been found as an effective use of AI in terms of predictive analytics, leading to material recovery and recycling. In this regard, Madhavi </w:t>
      </w:r>
      <w:r>
        <w:rPr>
          <w:i/>
          <w:iCs/>
          <w:color w:val="000000"/>
        </w:rPr>
        <w:t xml:space="preserve">et al. </w:t>
      </w:r>
      <w:r>
        <w:rPr>
          <w:color w:val="000000"/>
        </w:rPr>
        <w:t xml:space="preserve">(2025) have found SwinConvNeXt, as an AI-driven model that has been effective in ensuring resource efficiency and reliable waste management, leading to the accurate measurement of environment-related information. Considering these technological implications within the domain of marketing, the business entities can be able to determine diverse scopes for recycling and material recovery. The sensor-based methods and AI-powered classification models have also been explored as dynamic implications for the sustainable marketing, creating value-driven outputs. On the other perspectives, Fang </w:t>
      </w:r>
      <w:r>
        <w:rPr>
          <w:i/>
          <w:iCs/>
          <w:color w:val="000000"/>
        </w:rPr>
        <w:t xml:space="preserve">et al. </w:t>
      </w:r>
      <w:r>
        <w:rPr>
          <w:color w:val="000000"/>
        </w:rPr>
        <w:t>(2025) have explored certain scientific dimensions like “characterization”, “thermochemical conversion”, and “bioconversion technologies” that are AI-based technologies for managing plastic waste. These particular scientific and technological sides of AI refer to the high-tech opticals in terms of optimising plastic degradation, leading to the sustainable development of material recovery and recycling.</w:t>
      </w:r>
    </w:p>
    <w:p w14:paraId="5991F42C">
      <w:pPr>
        <w:spacing w:after="0"/>
        <w:rPr>
          <w:color w:val="000000"/>
        </w:rPr>
      </w:pPr>
      <w:r>
        <w:rPr>
          <w:color w:val="000000"/>
        </w:rPr>
        <w:t xml:space="preserve">Synthesising the findings, the outcomes have also symbolised the operational and control dynamics related to the AI implications that can strengthen marketing formations to determine the scopes for recyclability. Mainly, the AI-driven algorithms and technological sensors have collective impacts in driving the promotional, as well as customer engagement practices to shape positive customer behaviour. Apart from these, Lakhouit (2025) has conceptualised advanced sustainability with smart determinants of AI and IoT that can help in traceability, as well as accountability throughout the records on “waste material lifecycles”. This particular strategy of AI-driven predictive marketing has also been effective in increasing the trust and accountability among the stakeholders, responsible for technology adoption. Theoretically, the forward-looking perspective of AI and blockchain has been shaped as the strategic marketing implication that can help in performing predictive analytics. In other words, Madhavi </w:t>
      </w:r>
      <w:r>
        <w:rPr>
          <w:i/>
          <w:iCs/>
          <w:color w:val="000000"/>
        </w:rPr>
        <w:t xml:space="preserve">et al. </w:t>
      </w:r>
      <w:r>
        <w:rPr>
          <w:color w:val="000000"/>
        </w:rPr>
        <w:t>(2025) have justified how the AI-driven modelings and practical options can support the AI-driven technological implications to attain accuracy in prediction, as well as forecasting in recyclability. Therefore, the discussion under the thematic underpinning can shape a broader understanding of the technical, analytical and operational feasibility of AI technology in supporting sustainable marketing with material recyclability.          </w:t>
      </w:r>
    </w:p>
    <w:p w14:paraId="5991F42D">
      <w:pPr>
        <w:spacing w:after="0"/>
        <w:rPr>
          <w:color w:val="000000"/>
        </w:rPr>
      </w:pPr>
      <w:r>
        <w:rPr>
          <w:b/>
          <w:bCs/>
          <w:i/>
          <w:iCs/>
          <w:color w:val="000000"/>
        </w:rPr>
        <w:t>Theme 2</w:t>
      </w:r>
    </w:p>
    <w:p w14:paraId="5991F42E">
      <w:pPr>
        <w:spacing w:after="0"/>
        <w:rPr>
          <w:color w:val="000000"/>
        </w:rPr>
      </w:pPr>
      <w:r>
        <w:rPr>
          <w:color w:val="000000"/>
        </w:rPr>
        <w:t xml:space="preserve">Analysis of the second theme contradicts the feasibility of the concerned technology for material sustainability in which certain challenges in AI integration for predictive marketing have been found. Mainly, the theoretical and practical justifications within this area have asserted diverse challenges like limited data distributions regarding material properties and lack of robust infrastructure for AI's integration for predictive marketing. The literature of Antony Jose </w:t>
      </w:r>
      <w:r>
        <w:rPr>
          <w:i/>
          <w:iCs/>
          <w:color w:val="000000"/>
        </w:rPr>
        <w:t>et al.</w:t>
      </w:r>
      <w:r>
        <w:rPr>
          <w:color w:val="000000"/>
        </w:rPr>
        <w:t xml:space="preserve"> (2024) has found that the distribution of data within an appropriate ecosystem or digital infrastructure has been quite challenging due to diverse sources and limited data points. This explanation refers to the internal operational and technical limitations, responsible for limiting the marketing professionals in applying AI for predictive analytics. Besides these, the challenges like requirement of high cost for AI’s implementation, lack of knowledge across employees in AI for predictive marketing and lack of data privacy and transparency can hinder the marketing operations in material recovery and recycling. </w:t>
      </w:r>
    </w:p>
    <w:p w14:paraId="5991F42F">
      <w:pPr>
        <w:spacing w:after="0"/>
        <w:rPr>
          <w:color w:val="000000"/>
        </w:rPr>
      </w:pPr>
      <w:r>
        <w:rPr>
          <w:color w:val="000000"/>
        </w:rPr>
        <w:t>Resource-based challenges like cost, resource scarcity, material shortage and lack of skilled employees with limited infrastructure have been crucial in hindering the operations to predict material recyclability. Mainly, synthesising the findings, limited employees with AI expertise, limited resources, high cost of implementation and technical complexities create barriers to the organisations in predictive analytics for material recyclability. In supporting this, Umeliwu and Samuel (2024) have theorised control mechanism, regenerative reinforcement, design implications and proactive interventions as the key requirements for the AI implementation within predictive marketing. Moreover, the authors have found how lack of knowledge on the use of data analytics can impose negative impacts over the marketing practices of the businesses, causing failure to the predictive analytics. Mainly, the skill gaps in advanced data analytics and AI implementation have been responsible for causing barriers to predictive analytics. On the other perspectives, Bashynska and Prokopenko, (2024) have identified the challenges of cyber attack, risk of data breach and ethical or secure implications of AI within predictive marketing. Besides the resource-driven challenges, these risks of cyber attacks and data breach have appeared to be technical process barriers that can hinder the productive marketing for material recovery and recyclability. </w:t>
      </w:r>
    </w:p>
    <w:p w14:paraId="5991F430">
      <w:pPr>
        <w:spacing w:after="0"/>
        <w:rPr>
          <w:color w:val="000000"/>
        </w:rPr>
      </w:pPr>
      <w:r>
        <w:rPr>
          <w:color w:val="000000"/>
        </w:rPr>
        <w:t xml:space="preserve">The resource, operational and technical diversion of the challenges related to predictive marketing have potential in creating barriers to the businesses in material recovery and recyclability. Moreover, the challenges linked with data-driven implications and technical implications can also create biased estimations, leading to the failure in predictions. Antony Jose </w:t>
      </w:r>
      <w:r>
        <w:rPr>
          <w:i/>
          <w:iCs/>
          <w:color w:val="000000"/>
        </w:rPr>
        <w:t>et al.</w:t>
      </w:r>
      <w:r>
        <w:rPr>
          <w:color w:val="000000"/>
        </w:rPr>
        <w:t xml:space="preserve"> (2024) have also referred to the complex algorithm setting and unstructured distribution of data due to fragmentation that can hinder the implementation of AI for predictive analytics. Therefore, it has been discussed that AI-driven predictive marketing plays an important role in enabling the organisations to perform sustainable marketing regarding recycling and material recovery.</w:t>
      </w:r>
    </w:p>
    <w:p w14:paraId="5991F431">
      <w:pPr>
        <w:spacing w:after="0"/>
        <w:rPr>
          <w:b/>
          <w:bCs/>
          <w:i/>
          <w:iCs/>
          <w:color w:val="000000"/>
        </w:rPr>
      </w:pPr>
      <w:r>
        <w:rPr>
          <w:b/>
          <w:bCs/>
          <w:i/>
          <w:iCs/>
          <w:color w:val="000000"/>
        </w:rPr>
        <w:t xml:space="preserve">Theme 3 </w:t>
      </w:r>
    </w:p>
    <w:p w14:paraId="5991F432">
      <w:pPr>
        <w:spacing w:after="0"/>
        <w:rPr>
          <w:color w:val="000000"/>
        </w:rPr>
      </w:pPr>
      <w:r>
        <w:rPr>
          <w:color w:val="000000"/>
        </w:rPr>
        <w:t xml:space="preserve">Based on the 3rd theme it can be discussed that AI employed predictive marketing techniques are becoming increasingly effective in enhancing customer interaction mainly because it allows organisations to gain deeper insight into how customers use and dispose of materials. Bag </w:t>
      </w:r>
      <w:r>
        <w:rPr>
          <w:i/>
          <w:iCs/>
          <w:color w:val="000000"/>
        </w:rPr>
        <w:t xml:space="preserve">et al. </w:t>
      </w:r>
      <w:r>
        <w:rPr>
          <w:color w:val="000000"/>
        </w:rPr>
        <w:t>(2022) denoted that with the help of AI-based analytics, organisations could process large amounts of consumer data and reveal the trends that would have not been found otherwise. This improved knowledge will allow the marketers to create a tailored campaign that facilitates recycling behaviour by providing incentives, reminding, and sustainability information. These individual methods are especially useful with regard to overcoming generic message fatigue, which has been a limiting factor in the effectiveness of traditional recycling campaigns.</w:t>
      </w:r>
    </w:p>
    <w:p w14:paraId="5991F433">
      <w:pPr>
        <w:spacing w:after="0"/>
        <w:rPr>
          <w:color w:val="000000"/>
        </w:rPr>
      </w:pPr>
      <w:r>
        <w:rPr>
          <w:color w:val="000000"/>
        </w:rPr>
        <w:t xml:space="preserve">Sahoo </w:t>
      </w:r>
      <w:r>
        <w:rPr>
          <w:i/>
          <w:iCs/>
          <w:color w:val="000000"/>
        </w:rPr>
        <w:t xml:space="preserve">et al. </w:t>
      </w:r>
      <w:r>
        <w:rPr>
          <w:color w:val="000000"/>
        </w:rPr>
        <w:t>(2025) provided another notion where the author stated that AI-based predictive marketing would help to enhance engagement, though the behavioural change is gradual and needs long-term intervention. The predictive marketing models will help predict the likelihood of joining but they will not be able to change deeply rooted habits overnight. This implies that AI must be perceived as a tool of engagement in the long-term, which is not a solution in the short-term. AI-based strategies have to be effective. Contradictorily, this in turn requires the presence of regular data feedback loops and the process of refining marketing messages through the continuous improvement of the marketing message.</w:t>
      </w:r>
    </w:p>
    <w:p w14:paraId="5991F434">
      <w:pPr>
        <w:spacing w:after="0"/>
        <w:rPr>
          <w:color w:val="000000"/>
        </w:rPr>
      </w:pPr>
      <w:r>
        <w:rPr>
          <w:color w:val="000000"/>
        </w:rPr>
        <w:t>Segmentation of data and quality improvement are found as very important strategic facilitators in the 3rd theme. Through the division of data by material type, use frequency, and consumer behaviour, AI systems could be used to work on the appropriate sub-sets of information and this would enhance the predictive accuracy. According to Fang</w:t>
      </w:r>
      <w:r>
        <w:rPr>
          <w:i/>
          <w:iCs/>
          <w:color w:val="000000"/>
        </w:rPr>
        <w:t xml:space="preserve"> et al. </w:t>
      </w:r>
      <w:r>
        <w:rPr>
          <w:color w:val="000000"/>
        </w:rPr>
        <w:t>(2025), AI enhances recycling participation, including behavioural targeting and operational forecasting in terms of two main mechanisms. By segmenting high and low-recycling propensity consumers, organisations will be able to better resource themselves and subsequently design engagement strategies that meet their needs. Nevertheless, there are some limitations to this strategy. As indicated by Fang</w:t>
      </w:r>
      <w:r>
        <w:rPr>
          <w:i/>
          <w:iCs/>
          <w:color w:val="000000"/>
        </w:rPr>
        <w:t xml:space="preserve"> et al. </w:t>
      </w:r>
      <w:r>
        <w:rPr>
          <w:color w:val="000000"/>
        </w:rPr>
        <w:t>(2025), recycling intentions as reported are usually inconsistent with the actual disposal behaviour, which implies that a high predictive accuracy does not necessarily translate into a reality. This inconsistency highlights the intricacy of the behavioural change and the effect of social, cultural, and situational factors that AI models cannot quantify.</w:t>
      </w:r>
    </w:p>
    <w:p w14:paraId="5991F435">
      <w:pPr>
        <w:spacing w:after="0"/>
        <w:rPr>
          <w:color w:val="000000"/>
        </w:rPr>
      </w:pPr>
      <w:r>
        <w:rPr>
          <w:color w:val="000000"/>
        </w:rPr>
        <w:t xml:space="preserve">The AI-based engagement strategies are also enhanced through incorporation of Big Data Predictive Analytics (BDPA). In terms of Resource-Based View (RBV), BDPA is an organisational capability that is a strategic approach to making organisations more responsive to customers and more environmentally friendly. According to Aderibigbe </w:t>
      </w:r>
      <w:r>
        <w:rPr>
          <w:i/>
          <w:iCs/>
          <w:color w:val="000000"/>
        </w:rPr>
        <w:t>et al.</w:t>
      </w:r>
      <w:r>
        <w:rPr>
          <w:color w:val="000000"/>
        </w:rPr>
        <w:t xml:space="preserve"> (2023), with the help of quality data, AI and machine learning models make it possible to predict in the short run, which will enhance the effectiveness of marketing. Nonetheless, the debate presents a conflict between the efficiency that is quantitative and the qualitative comprehension. Although BDPA is exceptional in identification of patter, it frequently ignores emotional, ethical and contextual motivations of recycling behaviour. Through this, it can be stated that predictive marketing based on AI is not for substitution but supplementation of the efforts of the people towards environmental sustainability.</w:t>
      </w:r>
    </w:p>
    <w:p w14:paraId="5991F436">
      <w:pPr>
        <w:spacing w:after="0"/>
        <w:rPr>
          <w:color w:val="000000"/>
        </w:rPr>
      </w:pPr>
      <w:r>
        <w:rPr>
          <w:color w:val="000000"/>
        </w:rPr>
        <w:t>The issues of privacy and trust also make engagement strategies more complicated. Predictive marketing is based on consumer data a lot such as the purchase history, geolocation and waste disposal behaviour. Bashynska and Prokopenko (2024) cautioned that data collection on an excess scale predisposes the threat of privacy breaches and algorithmic bias, which can damage the trust of consumers. Predictive marketing strategies will not succeed without transparency and ethical protection because they will discourage participation instead of boosting it. Thus, encryption, consent tools, and open communication are the keys to keeping customers engaged in AI-driven recycling campaigns to guarantee the preservation of trust.</w:t>
      </w:r>
    </w:p>
    <w:p w14:paraId="5991F437">
      <w:pPr>
        <w:spacing w:after="0"/>
        <w:rPr>
          <w:color w:val="000000"/>
        </w:rPr>
      </w:pPr>
      <w:r>
        <w:rPr>
          <w:color w:val="000000"/>
        </w:rPr>
        <w:t xml:space="preserve">Through this it is evident that the data gathered from Theme 3 is directly associated with the research aim and objectives since it shows how AI-based predictive marketing can boost customer engagement and increase their participation in recycling. In line with the research objective, the studies reviewed indicate that AI can help organisations study consumer behaviour better and create specific sustainability campaigns that can enhance the performance of recycling and material recovery. This aligns with the aim of investigating the strategies that deploy AI to enhance customer engagement as the data segmentation, behavioural targeting, and BDPA to optimise the marketing interventions prove. </w:t>
      </w:r>
    </w:p>
    <w:p w14:paraId="5991F438">
      <w:pPr>
        <w:spacing w:after="0"/>
        <w:rPr>
          <w:b/>
          <w:bCs/>
          <w:i/>
          <w:iCs/>
          <w:color w:val="000000"/>
        </w:rPr>
      </w:pPr>
      <w:r>
        <w:rPr>
          <w:b/>
          <w:bCs/>
          <w:i/>
          <w:iCs/>
          <w:color w:val="000000"/>
        </w:rPr>
        <w:t xml:space="preserve">Theme 4 </w:t>
      </w:r>
    </w:p>
    <w:p w14:paraId="5991F439">
      <w:pPr>
        <w:spacing w:after="0"/>
        <w:rPr>
          <w:color w:val="000000"/>
        </w:rPr>
      </w:pPr>
      <w:r>
        <w:rPr>
          <w:color w:val="000000"/>
        </w:rPr>
        <w:t xml:space="preserve">As per Theme 4 the trends and focuses on whether AI-driven predictive models are effective in behavioural assessment and transformed. Analysing the literature, it can be stated that AI models have superior success in predicting recycling behaviour and material recovery successes compared to other traditional statistical approaches. Aderibigbe </w:t>
      </w:r>
      <w:r>
        <w:rPr>
          <w:i/>
          <w:iCs/>
          <w:color w:val="000000"/>
        </w:rPr>
        <w:t>et al.</w:t>
      </w:r>
      <w:r>
        <w:rPr>
          <w:color w:val="000000"/>
        </w:rPr>
        <w:t xml:space="preserve"> (2023) inferred that generative and discriminative models are useful in enhancing predictive accuracy since they study the intricate datasets of behaviour. With the help of these models, organisations can overcome the simplified approach to demographic segmentation and turn to behaviour-based prediction, which is much closer to the reality of what recycling is doing.</w:t>
      </w:r>
    </w:p>
    <w:p w14:paraId="5991F43A">
      <w:pPr>
        <w:spacing w:after="0"/>
        <w:rPr>
          <w:color w:val="000000"/>
        </w:rPr>
      </w:pPr>
      <w:r>
        <w:rPr>
          <w:color w:val="000000"/>
        </w:rPr>
        <w:t xml:space="preserve">Artificial intelligence systems on computer vision and sensor systems also promote behavioural evaluation, through better operational visibility. Fang </w:t>
      </w:r>
      <w:r>
        <w:rPr>
          <w:i/>
          <w:iCs/>
          <w:color w:val="000000"/>
        </w:rPr>
        <w:t>et al.</w:t>
      </w:r>
      <w:r>
        <w:rPr>
          <w:color w:val="000000"/>
        </w:rPr>
        <w:t xml:space="preserve"> (2023) demonstrate that waste management systems in smart cities that are based on AI-based logistics and collection times are more efficient and less expensive. The indirect effects of these operational improvements are the strengthening of behavioural outcomes because recycling is now more convenient and accessible to consumers. The convenience is a determinant of behaviour that is critical and AI-optimisation can minimise conditions that encourage nonparticipation like inconsistent collection times or improper control of recycling centers.</w:t>
      </w:r>
    </w:p>
    <w:p w14:paraId="5991F43B">
      <w:pPr>
        <w:spacing w:after="0"/>
        <w:rPr>
          <w:color w:val="000000"/>
        </w:rPr>
      </w:pPr>
      <w:r>
        <w:rPr>
          <w:color w:val="000000"/>
        </w:rPr>
        <w:t>Irrespective of the strengths, the discussion indicates that predictive accuracy is not the same as behavioural certainty. Some of the studies warn that behavioural assessment models can underestimate the rate of participation when using historical or self-reported information. According to Chertow</w:t>
      </w:r>
      <w:r>
        <w:rPr>
          <w:i/>
          <w:iCs/>
          <w:color w:val="000000"/>
        </w:rPr>
        <w:t xml:space="preserve">et al. </w:t>
      </w:r>
      <w:r>
        <w:rPr>
          <w:color w:val="000000"/>
        </w:rPr>
        <w:t>(2024), the investments in AI are reasonable due to quantifiable positive effects of the method in improving sorting accuracy. However, the author denoted that reducing contamination, and increasing throughput in Material Recovery Facilities (MRFs) is difficult to measure the system-level behavioural results. This illustrates one of the main weaknesses of AI-enabled behavioural assessment, as it works well in predicting its operations but fails in socio-psychological complexity.</w:t>
      </w:r>
    </w:p>
    <w:p w14:paraId="5991F43C">
      <w:pPr>
        <w:spacing w:after="0"/>
        <w:rPr>
          <w:color w:val="000000"/>
        </w:rPr>
      </w:pPr>
      <w:r>
        <w:rPr>
          <w:color w:val="000000"/>
        </w:rPr>
        <w:t xml:space="preserve">Data localisation and infrastructure integration also determine the effectiveness of the AI-powered behavioural models. Localised datasets minimise anomalies and enhance contextual relevance, and therefore, better predictions can be made. The IoT-enabled infrastructure offers real-time feedback on consumer behaviour and has the ability to be modelled to focus on predictive models, which can be dynamically adjusted. This integration facilitates the achievement of a better assessment of behaviour by connecting marketing knowledge with the real disposal behaviours. Nevertheless, according to the literature, such infrastructure is disproportionately concentrated, which restricts the expansion of AI-based behavioural assessment to new regions and organisational conditions. </w:t>
      </w:r>
    </w:p>
    <w:p w14:paraId="5991F43D">
      <w:pPr>
        <w:spacing w:after="0"/>
        <w:rPr>
          <w:color w:val="000000"/>
        </w:rPr>
      </w:pPr>
      <w:r>
        <w:rPr>
          <w:color w:val="000000"/>
        </w:rPr>
        <w:t>Another factor of effectiveness is financial feasibility where the organisations cannot afford AI systems unless the financial support is provided. As per the opinion of Oladapo</w:t>
      </w:r>
      <w:r>
        <w:rPr>
          <w:i/>
          <w:iCs/>
          <w:color w:val="000000"/>
        </w:rPr>
        <w:t xml:space="preserve"> et al.</w:t>
      </w:r>
      <w:r>
        <w:rPr>
          <w:color w:val="000000"/>
        </w:rPr>
        <w:t xml:space="preserve"> (2024), the cooperation between investors is essential in facilitating the use of AI in predictive marketing and behavioural analysis. This supports the study that AI-based recycling plans not only need a technological ability but also economic and institutional support. Human capital is still one of the most important aspects for the measurement of the effectiveness of behavioural assessment. Employee equipment would allow organisations to learn the insights generated by AI and translate them into practical marketing measures. In the absence of a skilled employee base, misinterpretation of predictive outputs could occur and hence diminishing the behavioural aspects. This aligns with the literature, which annotates the efficacy of AI as dependent on organisational flexibility and learning.</w:t>
      </w:r>
    </w:p>
    <w:p w14:paraId="5991F43E">
      <w:pPr>
        <w:spacing w:before="0" w:after="0"/>
        <w:rPr>
          <w:color w:val="000000"/>
        </w:rPr>
      </w:pPr>
      <w:r>
        <w:rPr>
          <w:color w:val="000000"/>
        </w:rPr>
        <w:t xml:space="preserve">This theme is effectively in line with the research aim and objectives as it highlights that predictive models that use AI tools improve behavioural evaluation regarding recycling attendance and material recovery. The data confirms the goal of assessing AI efficiency in the study of consumer behaviour. It also presents such obstacles as the scarcity of data, the lack of infrastructure, and organisational preparedness that affect the predictive and practical influence of AI.  </w:t>
      </w:r>
    </w:p>
    <w:p w14:paraId="5991F43F">
      <w:pPr>
        <w:spacing w:before="0" w:after="0"/>
        <w:rPr>
          <w:color w:val="000000"/>
        </w:rPr>
      </w:pPr>
    </w:p>
    <w:p w14:paraId="5991F440">
      <w:pPr>
        <w:pStyle w:val="3"/>
      </w:pPr>
      <w:bookmarkStart w:id="63" w:name="_Toc219739512"/>
      <w:r>
        <w:t>3.4 Chapter Summary</w:t>
      </w:r>
      <w:bookmarkEnd w:id="63"/>
    </w:p>
    <w:p w14:paraId="5991F441">
      <w:r>
        <w:t xml:space="preserve">AI-enabled predictive models have been effective for analysing trends regarding customers' participating rates on recycling and recovering materials.  AI-enabled forecasting models have been significant for analysing recycling rates that contribute towards enhancing environmental sustainability. However, integration of AI-oriented predictive marketing models has generated challenges in analysing customers’ material usage trends such as lack of knowledge or data robustness. As a result, corresponding strategies such as upskilling employees, investors' support contribute towards optimising AI’s predictive behaviour, leading to increasing customers’ participation and promotion of higher recycling of materials. </w:t>
      </w:r>
    </w:p>
    <w:p w14:paraId="5991F442">
      <w:pPr>
        <w:spacing w:before="0" w:after="0"/>
      </w:pPr>
      <w:r>
        <w:rPr>
          <w:color w:val="000000"/>
        </w:rPr>
        <w:t>This chapter concluded the results of recent literature that AI-based predictive marketing can be used to boost customer engagement, recycling participation, and material recovery efficiency. Although the accuracy of prediction with the help of AI-powered behavioural models is higher, it varies according to the quality of data, ethical governance, preparedness of the organisation, and the collaboration with human-focused sustainability policies.</w:t>
      </w:r>
      <w:r>
        <w:t>The incorporation of AI’s predictive marketing role has been significant for improving operational feasibility in recovering materials. The abidance by regulatory compliance is significant for assuring ethics and integrity in recovering material and fostering sustainability. AI’s role in predictive marketing is significant for appraising the visibility of technical procedures in interpreting material usage rates and assisting relevant counterparts in developing strategies in enhancing recyclability.</w:t>
      </w:r>
    </w:p>
    <w:p w14:paraId="5991F443">
      <w:pPr>
        <w:spacing w:before="0" w:after="0"/>
        <w:rPr>
          <w:color w:val="000000"/>
        </w:rPr>
      </w:pPr>
    </w:p>
    <w:p w14:paraId="5991F444">
      <w:pPr>
        <w:rPr>
          <w:b/>
          <w:bCs/>
        </w:rPr>
      </w:pPr>
      <w:r>
        <w:br w:type="page"/>
      </w:r>
    </w:p>
    <w:p w14:paraId="5991F445">
      <w:pPr>
        <w:pStyle w:val="2"/>
        <w:rPr>
          <w:color w:val="FF0000"/>
        </w:rPr>
      </w:pPr>
      <w:bookmarkStart w:id="64" w:name="_Toc219739513"/>
      <w:r>
        <w:rPr>
          <w:color w:val="FF0000"/>
        </w:rPr>
        <w:t>Chapter 4: Implications, Limitations, and Future Research Directions</w:t>
      </w:r>
      <w:bookmarkEnd w:id="64"/>
    </w:p>
    <w:p w14:paraId="5991F446">
      <w:pPr>
        <w:pStyle w:val="3"/>
      </w:pPr>
      <w:bookmarkStart w:id="65" w:name="_Toc219739514"/>
      <w:r>
        <w:t>4.1 Implications</w:t>
      </w:r>
      <w:bookmarkEnd w:id="65"/>
    </w:p>
    <w:p w14:paraId="5991F447">
      <w:pPr>
        <w:spacing w:before="0" w:after="0"/>
        <w:rPr>
          <w:color w:val="000000" w:themeColor="text1"/>
          <w14:textFill>
            <w14:solidFill>
              <w14:schemeClr w14:val="tx1"/>
            </w14:solidFill>
          </w14:textFill>
        </w:rPr>
      </w:pPr>
      <w:r>
        <w:rPr>
          <w:color w:val="000000" w:themeColor="text1"/>
          <w14:textFill>
            <w14:solidFill>
              <w14:schemeClr w14:val="tx1"/>
            </w14:solidFill>
          </w14:textFill>
        </w:rPr>
        <w:t xml:space="preserve">The study implicates on the effectiveness of AI for predicting customer intention and behavioural patterns for engaging with recycling and material reuse that was able to meet the second research objective. The secondary analysis also explored the real-life adoption of predictive analytics is negatively affected by incomplete data quality, lack of consistent digital infrastructure, high implementation costs, and employee skills gap. Furthermore, low customer trust and regulatory compliance can have a negative impact on the prediction accuracy and its effective use. Findings elaborated that the challenges, such as lack of infrastructure is connected with the issue of low budget affecting skill gap for effective predictive marketing integration to promote recycling activities by organisations. Additionally, the outcome of this study suggests AI has a role in analysing behavioural insights and social interventions of the target population. Thus, the findings implies a balanced use of AI-based data insights with creativity to develop unique and personalised recycling marketing, meeting the fourth research objective. </w:t>
      </w:r>
    </w:p>
    <w:p w14:paraId="5991F448">
      <w:pPr>
        <w:pStyle w:val="3"/>
      </w:pPr>
      <w:bookmarkStart w:id="66" w:name="_Toc219739515"/>
      <w:r>
        <w:t>4.2 Linking Findings with Research Objectives</w:t>
      </w:r>
      <w:bookmarkEnd w:id="66"/>
    </w:p>
    <w:p w14:paraId="5991F449">
      <w:pPr>
        <w:spacing w:before="0" w:after="0"/>
        <w:rPr>
          <w:b/>
          <w:bCs/>
          <w:i/>
          <w:iCs/>
        </w:rPr>
      </w:pPr>
      <w:r>
        <w:rPr>
          <w:b/>
          <w:bCs/>
          <w:i/>
          <w:iCs/>
        </w:rPr>
        <w:t>Linking with research objective 1: To examine the feasibility of artificial intelligence technologies in strengthening predictive marketing strategies within recycling operations and material recovery processes across diverse industries.</w:t>
      </w:r>
    </w:p>
    <w:p w14:paraId="5991F44A">
      <w:pPr>
        <w:spacing w:before="0" w:after="0"/>
      </w:pPr>
      <w:r>
        <w:t xml:space="preserve">The findings of this study have been able to support AI’s effectiveness for improving predictive analytics for designing marketing to promote recycling and material recovery for meeting research objective 1. Therefore, based on the data analysis outcome, this study was able to link the findings with the first research objective for examining the feasibility of AI to support predictive marketing within recycling operations. </w:t>
      </w:r>
    </w:p>
    <w:p w14:paraId="5991F44B">
      <w:pPr>
        <w:spacing w:before="0" w:after="0"/>
        <w:rPr>
          <w:b/>
          <w:bCs/>
          <w:i/>
          <w:iCs/>
        </w:rPr>
      </w:pPr>
      <w:r>
        <w:rPr>
          <w:b/>
          <w:bCs/>
          <w:i/>
          <w:iCs/>
        </w:rPr>
        <w:t>Linking with research objective 2: To evaluate the effectiveness of AI-powered predictive models in understanding consumer behaviour patterns influencing recycling participation and sustainable material usage decisions.</w:t>
      </w:r>
    </w:p>
    <w:p w14:paraId="5991F44C">
      <w:pPr>
        <w:spacing w:before="0" w:after="0"/>
      </w:pPr>
      <w:r>
        <w:t xml:space="preserve">The research findings concluded that consumer behaviour patterns significantly affect recycling participation by consumers, as well as sustainable material consumption AI-based predictive models. Thus, the second objective was addressed based on results that indicate AI’s ineffectiveness for properly explaining complex human decision-making that leads to positive recycling engagement upon marketing influence. </w:t>
      </w:r>
    </w:p>
    <w:p w14:paraId="5991F44D">
      <w:pPr>
        <w:spacing w:before="0" w:after="0"/>
        <w:rPr>
          <w:b/>
          <w:bCs/>
          <w:i/>
          <w:iCs/>
        </w:rPr>
      </w:pPr>
      <w:r>
        <w:rPr>
          <w:b/>
          <w:bCs/>
          <w:i/>
          <w:iCs/>
        </w:rPr>
        <w:t>Linking with research objective 3: To investigate key challenges organisations encounter when integrating AI systems into predictive marketing frameworks for recycling improvement and material recovery enhancement.</w:t>
      </w:r>
    </w:p>
    <w:p w14:paraId="5991F44E">
      <w:pPr>
        <w:spacing w:before="0" w:after="0"/>
      </w:pPr>
      <w:r>
        <w:t xml:space="preserve">The study findings elaborated on use of AI based predictive marketing for recycling and material recovery facing infrastructure, recourse and skill gaps for meeting the third objective. Thus, the research outcome has highlighted common issues faced by organisations in terms of infrastructure culture, workforce skills and customer perception that affected predictive marketing effectiveness for meeting a third research objective. </w:t>
      </w:r>
    </w:p>
    <w:p w14:paraId="5991F44F">
      <w:pPr>
        <w:spacing w:before="0" w:after="0"/>
        <w:rPr>
          <w:b/>
          <w:bCs/>
          <w:i/>
          <w:iCs/>
        </w:rPr>
      </w:pPr>
      <w:r>
        <w:rPr>
          <w:b/>
          <w:bCs/>
          <w:i/>
          <w:iCs/>
        </w:rPr>
        <w:t>Linking with research objective 4: To explore strategies that utilise AI-driven predictive marketing to increase customer engagement and promote higher recycling participation rates within various consumer segments.</w:t>
      </w:r>
    </w:p>
    <w:p w14:paraId="5991F450">
      <w:pPr>
        <w:spacing w:before="0" w:after="0"/>
      </w:pPr>
      <w:r>
        <w:t xml:space="preserve">The research has evaluated innovative methods supported by AI and ML based predictive analytics for target marketing plans to better relate with customers. The research further added that organisations can improve engagement by tailoring recycling messaging to particular usage patterns through data segmentation, customisation, and behaviour-based targeting. </w:t>
      </w:r>
    </w:p>
    <w:p w14:paraId="5991F451">
      <w:pPr>
        <w:pStyle w:val="3"/>
      </w:pPr>
      <w:bookmarkStart w:id="67" w:name="_Toc219739516"/>
      <w:r>
        <w:t>4.3 Recommendations</w:t>
      </w:r>
      <w:bookmarkEnd w:id="67"/>
    </w:p>
    <w:p w14:paraId="5991F452">
      <w:pPr>
        <w:spacing w:before="0" w:after="0"/>
        <w:rPr>
          <w:b/>
          <w:bCs/>
          <w:i/>
          <w:iCs/>
        </w:rPr>
      </w:pPr>
      <w:r>
        <w:rPr>
          <w:b/>
          <w:bCs/>
          <w:i/>
          <w:iCs/>
        </w:rPr>
        <w:t>Recommendation 1: Aligning AI’s predictive marketing role with circular economy principles</w:t>
      </w:r>
    </w:p>
    <w:p w14:paraId="5991F453">
      <w:pPr>
        <w:spacing w:before="0" w:after="0"/>
        <w:rPr>
          <w:rFonts w:ascii="Calibri" w:hAnsi="Calibri" w:eastAsia="Calibri" w:cs="Calibri"/>
        </w:rPr>
      </w:pPr>
      <w:r>
        <w:t>Integrating AI’s predictive marketing indicates improvement in managing wastes that aligns with circular economy (CE) principles. Okeleke</w:t>
      </w:r>
      <w:r>
        <w:rPr>
          <w:i/>
          <w:iCs/>
        </w:rPr>
        <w:t xml:space="preserve"> et al.</w:t>
      </w:r>
      <w:r>
        <w:t xml:space="preserve"> (2024) stated that AI’s predictive analytics models are important for interpreting consumers’ consumption patterns. The resultant output influences adherence to CE principle that motivates AI users in opting for sustainable materials that increases chances of recovery. AI’s predictive marketing can be significant for interpreting the rates of customers’ behaviour in discarding disposable material for further recovery. Lakhouit (2025) commented that AI’s predictive models are important for analysing changes in behaviour across people in returning recyclable materials. The recommendation can be effective for fostering environmental sustainability based on rates of disposing material as analysed by AI’s predictive marketing models. The strategy in integrating AI’s predictive marketing role with circular economy principles can contribute towards enhancing optimisation of resources across firms. As a result, the recommendation can be effective for manufacturers in focusing on ethical and natural assortment for material development which increases the rates of recovery and recycling.</w:t>
      </w:r>
    </w:p>
    <w:p w14:paraId="5991F454">
      <w:pPr>
        <w:spacing w:before="0" w:after="0"/>
        <w:rPr>
          <w:b/>
          <w:bCs/>
          <w:i/>
          <w:iCs/>
        </w:rPr>
      </w:pPr>
      <w:r>
        <w:rPr>
          <w:b/>
          <w:bCs/>
          <w:i/>
          <w:iCs/>
        </w:rPr>
        <w:t>Recommendation 2: Improving quality of data across AI-empowered models</w:t>
      </w:r>
    </w:p>
    <w:p w14:paraId="5991F455">
      <w:pPr>
        <w:spacing w:before="0" w:after="0"/>
      </w:pPr>
      <w:r>
        <w:t>AI is resource intensive application that can preserve the behaviour of the data patterns comparing multiple elements. Alagarsundaram (2023) stated that robust data sets are required to be integrated across AI-enabled algorithms for conducting intensive predictive data analysis. The statement signifies that complicated data regarding customers' purchasing behaviour and usage of materials is important for AI-enabled algorithms for conducting predictive marketing management. As a result, manufacturers can understand the necessity of modifying material usage that could improve corresponding recovery after disposal. Improvement in data quality optimises the flow of information across AI-enabled predictive models for interpreting the degree of recovering/recycling materials. In addition, Adekunle</w:t>
      </w:r>
      <w:r>
        <w:rPr>
          <w:i/>
          <w:iCs/>
        </w:rPr>
        <w:t xml:space="preserve"> et al.</w:t>
      </w:r>
      <w:r>
        <w:t xml:space="preserve"> (2023) stated that predictive marketing involves analysing customer engagement data for the AI model in analysing rates of material recovery. The consistency of seamless output regarding material recovery can be anticipated from the patterns of waste accumulation across customers using AI’s predictive marketing. The interpretation of recycling behaviour using AI-based predictive models helps in analysing the trends of material usage (Reza</w:t>
      </w:r>
      <w:r>
        <w:rPr>
          <w:i/>
          <w:iCs/>
        </w:rPr>
        <w:t xml:space="preserve"> et al</w:t>
      </w:r>
      <w:r>
        <w:t>. 2024). Therefore, the necessity of robust data is required to be integrated across AI’s algorithm for improving the reliability of predictions concerning future material recovery/recycling.</w:t>
      </w:r>
    </w:p>
    <w:p w14:paraId="5991F456">
      <w:pPr>
        <w:spacing w:before="0" w:after="0"/>
        <w:rPr>
          <w:b/>
          <w:bCs/>
          <w:i/>
          <w:iCs/>
        </w:rPr>
      </w:pPr>
      <w:r>
        <w:rPr>
          <w:b/>
          <w:bCs/>
          <w:i/>
          <w:iCs/>
        </w:rPr>
        <w:t xml:space="preserve">Recommendation 3: Integrating explainable AI frameworks for enhancing accuracy of predictive marketing models </w:t>
      </w:r>
    </w:p>
    <w:p w14:paraId="5991F457">
      <w:pPr>
        <w:spacing w:before="0" w:after="0"/>
      </w:pPr>
      <w:r>
        <w:t>The integration of explainable AI frameworks are important for delving into complex information regarding customers' material usage behaviour. However, Arunkumar</w:t>
      </w:r>
      <w:r>
        <w:rPr>
          <w:i/>
          <w:iCs/>
        </w:rPr>
        <w:t xml:space="preserve"> et al. </w:t>
      </w:r>
      <w:r>
        <w:t>(2025) argued that model training is vital for optimising the interpretive behaviour of AI’s predictive algorithms while navigating vast data sets. The AI-enabled framework can be effective for manufacturers in modifying marketing decisions based on customer purchasing behaviours. Explainable AI frameworks help in fostering transparency for operation regarding the procurement of raw materials and delivery (Rane</w:t>
      </w:r>
      <w:r>
        <w:rPr>
          <w:i/>
          <w:iCs/>
        </w:rPr>
        <w:t xml:space="preserve"> et al.</w:t>
      </w:r>
      <w:r>
        <w:t xml:space="preserve"> 2025). As a result, the recommendation can be beneficial for developing eco-friendly materials and fostering trust across budget-friendly customers. The recommendation influences integration of innovation across industries that are crucial for enhancing the rates of material recovery/recycling. On the other hand, the incorporation of explainable AI frameworks helps in uncovering significant changes in usage of materials from vast data sets. As per the views of Chinnaraju (2025), explainable AI frameworks help in treating the existing AI-models for improving accuracy of prediction based on a given data set.  As a result, the AI-enabled models can apply decisive predictions on material recovery and recyclability that leads to enhancement in environmental sustainability.</w:t>
      </w:r>
    </w:p>
    <w:p w14:paraId="5991F458">
      <w:pPr>
        <w:spacing w:before="0" w:after="0"/>
        <w:rPr>
          <w:b/>
          <w:bCs/>
          <w:i/>
          <w:iCs/>
        </w:rPr>
      </w:pPr>
      <w:r>
        <w:rPr>
          <w:b/>
          <w:bCs/>
          <w:i/>
          <w:iCs/>
        </w:rPr>
        <w:t xml:space="preserve">Recommendation 4: Training stakeholders in using AI-enabled predictive models for improving material recovery and recycling rates  </w:t>
      </w:r>
    </w:p>
    <w:p w14:paraId="5991F459">
      <w:pPr>
        <w:spacing w:before="0" w:after="0"/>
      </w:pPr>
      <w:r>
        <w:t>The necessity of providing training across industrial stakeholders regarding the use of AI’s predictive models can be significant for enhancing material recovery rates. Hulugh and Ikeh (2025) commented that training stakeholders on using AI is effective for analysing tests of material usage across customers. The strategy in improving organisational capability through training also helps in enhancing the effectiveness of AI-empowered predictive models for interpreting material recovery. Stakeholder training on AI’s predictive marketing includes abidance by ethical perspective for retailing against data manipulation (Naz and Kashif, 2025). The recommendation influences guiding the stakeholder in encrypting data from being breached/manipulated  which could have hindered accurate data finding on material recovery. The recommendation is significant for mitigating risks related to data management concerning material usage and customers’ consumption patterns that will help in obtaining accurate results.</w:t>
      </w:r>
    </w:p>
    <w:p w14:paraId="5991F45A">
      <w:pPr>
        <w:pStyle w:val="3"/>
      </w:pPr>
      <w:bookmarkStart w:id="68" w:name="_Toc219739517"/>
      <w:r>
        <w:t>4.4 Limitations of the study</w:t>
      </w:r>
      <w:bookmarkEnd w:id="68"/>
    </w:p>
    <w:p w14:paraId="5991F45B">
      <w:pPr>
        <w:spacing w:before="0" w:after="0"/>
      </w:pPr>
      <w:r>
        <w:rPr>
          <w:color w:val="000000" w:themeColor="text1"/>
          <w14:textFill>
            <w14:solidFill>
              <w14:schemeClr w14:val="tx1"/>
            </w14:solidFill>
          </w14:textFill>
        </w:rPr>
        <w:t>The study is limited to selecting few articles which hindered the procurement of further information on AI’s role in predictive marketing for material recovery and recycling. The impact relates to a hindrance in delving into further insights concerning operative marketing behaviour using AI for recovering and recycling materials. In addition, the inclusion of more articles could have contributed to developing further themes that could have helped in achieving the research objective effectively. However, quantitative information could have been beneficial for delving to precise insight on the efficiency of AI in enhancing the recovery and recycling materials. Contrarily, the consideration of secondary qualitative evidence is limited to delving into predefined information, leading to gaining a limited knowledge on the research context. The incorporation of a limited number of theories hindered the clarity of perspectives concerning AI’s predictive marketing for material recovery/recycling. The research is limited to articulating textual data unlike more figurative or statistical visualisation that could have helped in understanding AI’s ro</w:t>
      </w:r>
      <w:r>
        <w:t>le. The incorporation of imagery illustration could have helped in gaining better concepts on AI’s role in predictive marketing for recycling and recovering materials.</w:t>
      </w:r>
    </w:p>
    <w:p w14:paraId="5991F45C">
      <w:pPr>
        <w:pStyle w:val="3"/>
      </w:pPr>
      <w:bookmarkStart w:id="69" w:name="_Toc219739518"/>
      <w:r>
        <w:t>4.5 Future Research Direction</w:t>
      </w:r>
      <w:bookmarkEnd w:id="69"/>
    </w:p>
    <w:p w14:paraId="5991F45D">
      <w:pPr>
        <w:spacing w:before="0" w:after="0"/>
        <w:rPr>
          <w:color w:val="000000" w:themeColor="text1"/>
          <w14:textFill>
            <w14:solidFill>
              <w14:schemeClr w14:val="tx1"/>
            </w14:solidFill>
          </w14:textFill>
        </w:rPr>
      </w:pPr>
      <w:r>
        <w:t>The research will uphold the significance of innovation across multiple industries that deal in material management and recyclability. The research strategy is crucial for future marketers in evolving their own material management system using AI’s predictive marketing models and reducing material waste.</w:t>
      </w:r>
      <w:r>
        <w:rPr>
          <w:color w:val="000000" w:themeColor="text1"/>
          <w14:textFill>
            <w14:solidFill>
              <w14:schemeClr w14:val="tx1"/>
            </w14:solidFill>
          </w14:textFill>
        </w:rPr>
        <w:t xml:space="preserve"> The future direction of this research will entail evolving trends of AI-empowered predictive marketing methods for analysing future customers' preferences. Thus, the research will also include incorporation of mixed methods while developing further research on AI’s predictive role. </w:t>
      </w:r>
    </w:p>
    <w:p w14:paraId="5991F45E">
      <w:pPr>
        <w:spacing w:before="0" w:after="0"/>
        <w:rPr>
          <w:color w:val="000000" w:themeColor="text1"/>
          <w14:textFill>
            <w14:solidFill>
              <w14:schemeClr w14:val="tx1"/>
            </w14:solidFill>
          </w14:textFill>
        </w:rPr>
      </w:pPr>
      <w:r>
        <w:rPr>
          <w:color w:val="000000" w:themeColor="text1"/>
          <w14:textFill>
            <w14:solidFill>
              <w14:schemeClr w14:val="tx1"/>
            </w14:solidFill>
          </w14:textFill>
        </w:rPr>
        <w:t>The strategy will help in validating current qualitative information across future tech-based companies in reducing adverse environmental impact. The research will influence future entrepreneurs in investing on AI training and development that will contribute towards analysing material usage and customers' consumption patterns. The future research will enable deeper analysis across robust data sets regarding the material usage that can contribute towards enhancing environmental stability. Additionally, the research will influence articulation of real-time data analytics on material recovery and recycling that will help in integrating smart waste management methods using AI-enabled predictive marketing. The information provided in this research will help researchers and technical experts in investing on AI training and development for enhancing predictive marketing accuracy while recovering and recycling materials. The statement signifies that the research will contribute towards dynamically adjusting marketing strategies across future industrial counterparts in enhancing material recovery and recycling.</w:t>
      </w:r>
    </w:p>
    <w:p w14:paraId="7CCBE5C7">
      <w:pPr>
        <w:spacing w:before="0" w:after="0"/>
        <w:rPr>
          <w:color w:val="000000" w:themeColor="text1"/>
          <w14:textFill>
            <w14:solidFill>
              <w14:schemeClr w14:val="tx1"/>
            </w14:solidFill>
          </w14:textFill>
        </w:rPr>
      </w:pPr>
    </w:p>
    <w:p w14:paraId="5BF0EA62">
      <w:pPr>
        <w:spacing w:before="0" w:after="0"/>
        <w:rPr>
          <w:color w:val="000000" w:themeColor="text1"/>
          <w14:textFill>
            <w14:solidFill>
              <w14:schemeClr w14:val="tx1"/>
            </w14:solidFill>
          </w14:textFill>
        </w:rPr>
      </w:pPr>
    </w:p>
    <w:p w14:paraId="6568422C">
      <w:pPr>
        <w:spacing w:before="0" w:after="0"/>
        <w:rPr>
          <w:color w:val="000000" w:themeColor="text1"/>
          <w14:textFill>
            <w14:solidFill>
              <w14:schemeClr w14:val="tx1"/>
            </w14:solidFill>
          </w14:textFill>
        </w:rPr>
      </w:pPr>
    </w:p>
    <w:p w14:paraId="10D70200">
      <w:pPr>
        <w:spacing w:before="0" w:after="0"/>
        <w:rPr>
          <w:color w:val="000000" w:themeColor="text1"/>
          <w14:textFill>
            <w14:solidFill>
              <w14:schemeClr w14:val="tx1"/>
            </w14:solidFill>
          </w14:textFill>
        </w:rPr>
      </w:pPr>
    </w:p>
    <w:p w14:paraId="2028FB90">
      <w:pPr>
        <w:spacing w:before="0" w:after="0"/>
        <w:rPr>
          <w:color w:val="000000" w:themeColor="text1"/>
          <w14:textFill>
            <w14:solidFill>
              <w14:schemeClr w14:val="tx1"/>
            </w14:solidFill>
          </w14:textFill>
        </w:rPr>
      </w:pPr>
    </w:p>
    <w:p w14:paraId="395FB669">
      <w:pPr>
        <w:spacing w:before="0" w:after="0"/>
        <w:rPr>
          <w:color w:val="000000" w:themeColor="text1"/>
          <w14:textFill>
            <w14:solidFill>
              <w14:schemeClr w14:val="tx1"/>
            </w14:solidFill>
          </w14:textFill>
        </w:rPr>
      </w:pPr>
    </w:p>
    <w:p w14:paraId="4EBB052F">
      <w:pPr>
        <w:spacing w:before="0" w:after="0"/>
        <w:rPr>
          <w:color w:val="000000" w:themeColor="text1"/>
          <w14:textFill>
            <w14:solidFill>
              <w14:schemeClr w14:val="tx1"/>
            </w14:solidFill>
          </w14:textFill>
        </w:rPr>
      </w:pPr>
    </w:p>
    <w:p w14:paraId="7456D258">
      <w:pPr>
        <w:spacing w:before="0" w:after="0"/>
        <w:rPr>
          <w:color w:val="000000" w:themeColor="text1"/>
          <w14:textFill>
            <w14:solidFill>
              <w14:schemeClr w14:val="tx1"/>
            </w14:solidFill>
          </w14:textFill>
        </w:rPr>
      </w:pPr>
    </w:p>
    <w:p w14:paraId="08FCC327">
      <w:pPr>
        <w:spacing w:before="0" w:after="0"/>
        <w:rPr>
          <w:color w:val="000000" w:themeColor="text1"/>
          <w14:textFill>
            <w14:solidFill>
              <w14:schemeClr w14:val="tx1"/>
            </w14:solidFill>
          </w14:textFill>
        </w:rPr>
      </w:pPr>
    </w:p>
    <w:p w14:paraId="19C5D540">
      <w:pPr>
        <w:spacing w:before="0" w:after="0"/>
        <w:rPr>
          <w:color w:val="000000" w:themeColor="text1"/>
          <w14:textFill>
            <w14:solidFill>
              <w14:schemeClr w14:val="tx1"/>
            </w14:solidFill>
          </w14:textFill>
        </w:rPr>
      </w:pPr>
    </w:p>
    <w:p w14:paraId="75EDB246">
      <w:pPr>
        <w:spacing w:before="0" w:after="0"/>
        <w:rPr>
          <w:color w:val="000000" w:themeColor="text1"/>
          <w14:textFill>
            <w14:solidFill>
              <w14:schemeClr w14:val="tx1"/>
            </w14:solidFill>
          </w14:textFill>
        </w:rPr>
      </w:pPr>
    </w:p>
    <w:p w14:paraId="4920314A">
      <w:pPr>
        <w:spacing w:before="0" w:after="0"/>
        <w:rPr>
          <w:color w:val="000000" w:themeColor="text1"/>
          <w14:textFill>
            <w14:solidFill>
              <w14:schemeClr w14:val="tx1"/>
            </w14:solidFill>
          </w14:textFill>
        </w:rPr>
      </w:pPr>
    </w:p>
    <w:p w14:paraId="46433115">
      <w:pPr>
        <w:pStyle w:val="2"/>
        <w:rPr>
          <w:color w:val="000000" w:themeColor="text1"/>
          <w14:textFill>
            <w14:solidFill>
              <w14:schemeClr w14:val="tx1"/>
            </w14:solidFill>
          </w14:textFill>
        </w:rPr>
      </w:pPr>
      <w:bookmarkStart w:id="70" w:name="_Toc219739519"/>
    </w:p>
    <w:p w14:paraId="5991F45F">
      <w:pPr>
        <w:pStyle w:val="2"/>
        <w:rPr>
          <w:color w:val="000000" w:themeColor="text1"/>
          <w14:textFill>
            <w14:solidFill>
              <w14:schemeClr w14:val="tx1"/>
            </w14:solidFill>
          </w14:textFill>
        </w:rPr>
      </w:pPr>
      <w:r>
        <w:rPr>
          <w:color w:val="FF0000"/>
        </w:rPr>
        <w:t>Chapter 5: Conclusion</w:t>
      </w:r>
      <w:bookmarkEnd w:id="70"/>
    </w:p>
    <w:p w14:paraId="5991F460">
      <w:pPr>
        <w:pStyle w:val="3"/>
        <w:rPr>
          <w:color w:val="000000" w:themeColor="text1"/>
          <w14:textFill>
            <w14:solidFill>
              <w14:schemeClr w14:val="tx1"/>
            </w14:solidFill>
          </w14:textFill>
        </w:rPr>
      </w:pPr>
      <w:bookmarkStart w:id="71" w:name="_Toc219739520"/>
      <w:r>
        <w:rPr>
          <w:color w:val="000000" w:themeColor="text1"/>
          <w14:textFill>
            <w14:solidFill>
              <w14:schemeClr w14:val="tx1"/>
            </w14:solidFill>
          </w14:textFill>
        </w:rPr>
        <w:t>5.1 Conclusion</w:t>
      </w:r>
      <w:bookmarkEnd w:id="71"/>
    </w:p>
    <w:p w14:paraId="5991F461">
      <w:pPr>
        <w:spacing w:before="0" w:after="0"/>
        <w:rPr>
          <w:color w:val="000000" w:themeColor="text1"/>
          <w14:textFill>
            <w14:solidFill>
              <w14:schemeClr w14:val="tx1"/>
            </w14:solidFill>
          </w14:textFill>
        </w:rPr>
      </w:pPr>
      <w:r>
        <w:rPr>
          <w:color w:val="000000" w:themeColor="text1"/>
          <w14:textFill>
            <w14:solidFill>
              <w14:schemeClr w14:val="tx1"/>
            </w14:solidFill>
          </w14:textFill>
        </w:rPr>
        <w:t>The outcome of this study suggests the significant impact of AI on having an enhanced predictive marketing planning for recycling activities by highlighting higher customer engagement along with operational effectiveness. AI based predictive models have shown higher competency for predicting waste production, analysing recycling trends, and helping focus marketing campaigns that promote eco-friendly consumer behaviour. Additionally, advanced ML strategies like computer vision and sensors help lower contamination and operating inefficiencies from recycling systems by better material categorisation, sorting accuracy, and recovery rates. Further analysis of the secondary dataset emphasises on predictive analytics being less reliable due to data-related issues that includes biased, or unstructured datasets. Although, these limitations of using predictive analytics can have a direct impact on organisation's capacity to effectively forecast trends in material consumption and customer behaviour. Furthermore, the adoption of predictive analytics for understanding recycling activities is negatively affected by lack of reliable digital infrastructure, expensive implementation costs, and inadequate staff knowledge of AI analytics. Regardless, the study explored concerns about data privacy, transparency, and trust were also noted as crucial problems that, if not sufficiently handled, might erode customer confidence and organisational credibility.</w:t>
      </w:r>
    </w:p>
    <w:p w14:paraId="5991F462">
      <w:pPr>
        <w:spacing w:before="0" w:after="0"/>
        <w:rPr>
          <w:color w:val="000000" w:themeColor="text1"/>
          <w14:textFill>
            <w14:solidFill>
              <w14:schemeClr w14:val="tx1"/>
            </w14:solidFill>
          </w14:textFill>
        </w:rPr>
      </w:pPr>
      <w:r>
        <w:rPr>
          <w:color w:val="000000" w:themeColor="text1"/>
          <w14:textFill>
            <w14:solidFill>
              <w14:schemeClr w14:val="tx1"/>
            </w14:solidFill>
          </w14:textFill>
        </w:rPr>
        <w:t>Despite these obstacles, the study finds a number of practical ways to optimise the benefits of AI-driven predictive marketing. Real-time monitoring and forecasting accuracy are strengthened by the integration of IoT-enabled smart infrastructure and data localisation. Furthermore, cooperation with investors helps alleviate financial limitations, and personnel upskilling guarantees that businesses can effectively use AI potential. Enhancing cybersecurity and AI model training also promotes the ethical, open, and reliable usage of customer data. Furthermore, the findings indicated AI’s strong technical viability for using computer vision, ML classification models, and sensor-integrated systems for increased prediction accuracy, scalability, and operational efficiency. Contrarily, the efficacy of predictive marketing can have a different outcome based on company’s internal competencies since AI can be ineffective for evaluating behavioural complexities of the people. Having a targeted predictive marketing plan can be supported by ML and data-driven models for observing behavioural trends, such as waste disposal frequency, contamination rates, and customer engagement with recycling infrastructure. However, using AI based predictive analytics can face difficulty in converting self-reported engagement into in-person recycling activities. Therefore, this research found that although AI-powered predictive marketing has a lot of promise to improve material recovery and recycling participation, its effectiveness depends on organisational preparedness, strategic investment, and appropriate data governance.</w:t>
      </w:r>
    </w:p>
    <w:p w14:paraId="5991F463">
      <w:pPr>
        <w:spacing w:before="0" w:after="0"/>
        <w:rPr>
          <w:color w:val="000000" w:themeColor="text1"/>
          <w14:textFill>
            <w14:solidFill>
              <w14:schemeClr w14:val="tx1"/>
            </w14:solidFill>
          </w14:textFill>
        </w:rPr>
      </w:pPr>
    </w:p>
    <w:p w14:paraId="5991F464">
      <w:pPr>
        <w:rPr>
          <w:color w:val="000000" w:themeColor="text1"/>
          <w14:textFill>
            <w14:solidFill>
              <w14:schemeClr w14:val="tx1"/>
            </w14:solidFill>
          </w14:textFill>
        </w:rPr>
      </w:pPr>
    </w:p>
    <w:p w14:paraId="5991F465">
      <w:pPr>
        <w:rPr>
          <w:color w:val="000000" w:themeColor="text1"/>
          <w14:textFill>
            <w14:solidFill>
              <w14:schemeClr w14:val="tx1"/>
            </w14:solidFill>
          </w14:textFill>
        </w:rPr>
      </w:pPr>
    </w:p>
    <w:p w14:paraId="5991F466">
      <w:pPr>
        <w:spacing w:before="0" w:after="0"/>
        <w:rPr>
          <w:color w:val="000000" w:themeColor="text1"/>
          <w14:textFill>
            <w14:solidFill>
              <w14:schemeClr w14:val="tx1"/>
            </w14:solidFill>
          </w14:textFill>
        </w:rPr>
      </w:pPr>
      <w:bookmarkStart w:id="72" w:name="_heading=h.xsil8q1fw7uj" w:colFirst="0" w:colLast="0"/>
      <w:bookmarkEnd w:id="72"/>
    </w:p>
    <w:p w14:paraId="5991F467">
      <w:pPr>
        <w:rPr>
          <w:rFonts w:hint="default"/>
          <w:color w:val="000000" w:themeColor="text1"/>
          <w:lang w:val="en-IN"/>
          <w14:textFill>
            <w14:solidFill>
              <w14:schemeClr w14:val="tx1"/>
            </w14:solidFill>
          </w14:textFill>
        </w:rPr>
      </w:pPr>
      <w:r>
        <w:rPr>
          <w:color w:val="000000" w:themeColor="text1"/>
          <w14:textFill>
            <w14:solidFill>
              <w14:schemeClr w14:val="tx1"/>
            </w14:solidFill>
          </w14:textFill>
        </w:rPr>
        <w:br w:type="page"/>
      </w:r>
      <w:r>
        <w:rPr>
          <w:rFonts w:hint="default"/>
          <w:color w:val="000000" w:themeColor="text1"/>
          <w:lang w:val="en-IN"/>
          <w14:textFill>
            <w14:solidFill>
              <w14:schemeClr w14:val="tx1"/>
            </w14:solidFill>
          </w14:textFill>
        </w:rPr>
        <w:t>/</w:t>
      </w:r>
      <w:bookmarkStart w:id="74" w:name="_GoBack"/>
      <w:bookmarkEnd w:id="74"/>
    </w:p>
    <w:p w14:paraId="5991F468">
      <w:pPr>
        <w:pStyle w:val="2"/>
        <w:rPr>
          <w:color w:val="FF0000"/>
        </w:rPr>
      </w:pPr>
      <w:bookmarkStart w:id="73" w:name="_Toc219739521"/>
      <w:r>
        <w:rPr>
          <w:color w:val="FF0000"/>
        </w:rPr>
        <w:t>References</w:t>
      </w:r>
      <w:bookmarkEnd w:id="73"/>
    </w:p>
    <w:p w14:paraId="5991F469">
      <w:pPr>
        <w:spacing w:before="0"/>
        <w:rPr>
          <w:b/>
          <w:bCs/>
          <w:i/>
          <w:iCs/>
          <w:color w:val="000000" w:themeColor="text1"/>
          <w14:textFill>
            <w14:solidFill>
              <w14:schemeClr w14:val="tx1"/>
            </w14:solidFill>
          </w14:textFill>
        </w:rPr>
      </w:pPr>
      <w:r>
        <w:rPr>
          <w:b/>
          <w:bCs/>
          <w:i/>
          <w:iCs/>
          <w:color w:val="000000" w:themeColor="text1"/>
          <w14:textFill>
            <w14:solidFill>
              <w14:schemeClr w14:val="tx1"/>
            </w14:solidFill>
          </w14:textFill>
        </w:rPr>
        <w:t>Chapter 1</w:t>
      </w:r>
    </w:p>
    <w:p w14:paraId="5991F46A">
      <w:pPr>
        <w:spacing w:before="0"/>
        <w:rPr>
          <w:color w:val="000000" w:themeColor="text1"/>
          <w14:textFill>
            <w14:solidFill>
              <w14:schemeClr w14:val="tx1"/>
            </w14:solidFill>
          </w14:textFill>
        </w:rPr>
      </w:pPr>
      <w:r>
        <w:rPr>
          <w:color w:val="000000" w:themeColor="text1"/>
          <w14:textFill>
            <w14:solidFill>
              <w14:schemeClr w14:val="tx1"/>
            </w14:solidFill>
          </w14:textFill>
        </w:rPr>
        <w:t xml:space="preserve">Alimi, K., Jin, R., Nguyen, B.N., Nguyen, Q., Chen, W. and Hosking, L., (2025). Exploring artificial intelligence applications in construction and demolition waste management: a review of existing literature. </w:t>
      </w:r>
      <w:r>
        <w:rPr>
          <w:i/>
          <w:iCs/>
          <w:color w:val="000000" w:themeColor="text1"/>
          <w14:textFill>
            <w14:solidFill>
              <w14:schemeClr w14:val="tx1"/>
            </w14:solidFill>
          </w14:textFill>
        </w:rPr>
        <w:t>Journal of Science and Transport Technology</w:t>
      </w:r>
      <w:r>
        <w:rPr>
          <w:color w:val="000000" w:themeColor="text1"/>
          <w14:textFill>
            <w14:solidFill>
              <w14:schemeClr w14:val="tx1"/>
            </w14:solidFill>
          </w14:textFill>
        </w:rPr>
        <w:t xml:space="preserve">, pp.104-136. DOI: </w:t>
      </w:r>
      <w:r>
        <w:fldChar w:fldCharType="begin"/>
      </w:r>
      <w:r>
        <w:instrText xml:space="preserve"> HYPERLINK "https://doi.org/10.58845/jstt.utt.2025.en.5.1.104-136" \h </w:instrText>
      </w:r>
      <w:r>
        <w:fldChar w:fldCharType="separate"/>
      </w:r>
      <w:r>
        <w:rPr>
          <w:color w:val="000000" w:themeColor="text1"/>
          <w:u w:val="single"/>
          <w14:textFill>
            <w14:solidFill>
              <w14:schemeClr w14:val="tx1"/>
            </w14:solidFill>
          </w14:textFill>
        </w:rPr>
        <w:t>https://doi.org/10.58845/jstt.utt.2025.en.5.1.104-136</w:t>
      </w:r>
      <w:r>
        <w:rPr>
          <w:color w:val="000000" w:themeColor="text1"/>
          <w:u w:val="single"/>
          <w14:textFill>
            <w14:solidFill>
              <w14:schemeClr w14:val="tx1"/>
            </w14:solidFill>
          </w14:textFill>
        </w:rPr>
        <w:fldChar w:fldCharType="end"/>
      </w:r>
    </w:p>
    <w:p w14:paraId="5991F46B">
      <w:pPr>
        <w:spacing w:before="0"/>
        <w:rPr>
          <w:color w:val="000000" w:themeColor="text1"/>
          <w14:textFill>
            <w14:solidFill>
              <w14:schemeClr w14:val="tx1"/>
            </w14:solidFill>
          </w14:textFill>
        </w:rPr>
      </w:pPr>
      <w:r>
        <w:rPr>
          <w:color w:val="000000" w:themeColor="text1"/>
          <w14:textFill>
            <w14:solidFill>
              <w14:schemeClr w14:val="tx1"/>
            </w14:solidFill>
          </w14:textFill>
        </w:rPr>
        <w:t xml:space="preserve">Alvinger, V., Balkö, I. and Hasslow, E., (2025). Implementing and Designing AI-Powered Chatbots: Organisational Perspectives on Data Quality, Key Drivers, and Barriers in Medium and Large Swedish Enterprises. DOI: </w:t>
      </w:r>
      <w:r>
        <w:fldChar w:fldCharType="begin"/>
      </w:r>
      <w:r>
        <w:instrText xml:space="preserve"> HYPERLINK "http://lup.lub.lu.se/student-papers/record/9202497" \h </w:instrText>
      </w:r>
      <w:r>
        <w:fldChar w:fldCharType="separate"/>
      </w:r>
      <w:r>
        <w:rPr>
          <w:color w:val="000000" w:themeColor="text1"/>
          <w:u w:val="single"/>
          <w14:textFill>
            <w14:solidFill>
              <w14:schemeClr w14:val="tx1"/>
            </w14:solidFill>
          </w14:textFill>
        </w:rPr>
        <w:t>http://lup.lub.lu.se/student-papers/record/9202497</w:t>
      </w:r>
      <w:r>
        <w:rPr>
          <w:color w:val="000000" w:themeColor="text1"/>
          <w:u w:val="single"/>
          <w14:textFill>
            <w14:solidFill>
              <w14:schemeClr w14:val="tx1"/>
            </w14:solidFill>
          </w14:textFill>
        </w:rPr>
        <w:fldChar w:fldCharType="end"/>
      </w:r>
    </w:p>
    <w:p w14:paraId="5991F46C">
      <w:pPr>
        <w:spacing w:before="0" w:after="240"/>
        <w:rPr>
          <w:color w:val="000000" w:themeColor="text1"/>
          <w14:textFill>
            <w14:solidFill>
              <w14:schemeClr w14:val="tx1"/>
            </w14:solidFill>
          </w14:textFill>
        </w:rPr>
      </w:pPr>
      <w:r>
        <w:rPr>
          <w:color w:val="000000" w:themeColor="text1"/>
          <w14:textFill>
            <w14:solidFill>
              <w14:schemeClr w14:val="tx1"/>
            </w14:solidFill>
          </w14:textFill>
        </w:rPr>
        <w:t xml:space="preserve">Bano, A. (2024) ‘A summary of solid waste generation and management strategy’, </w:t>
      </w:r>
      <w:r>
        <w:rPr>
          <w:i/>
          <w:iCs/>
          <w:color w:val="000000" w:themeColor="text1"/>
          <w14:textFill>
            <w14:solidFill>
              <w14:schemeClr w14:val="tx1"/>
            </w14:solidFill>
          </w14:textFill>
        </w:rPr>
        <w:t>1</w:t>
      </w:r>
      <w:r>
        <w:rPr>
          <w:color w:val="000000" w:themeColor="text1"/>
          <w14:textFill>
            <w14:solidFill>
              <w14:schemeClr w14:val="tx1"/>
            </w14:solidFill>
          </w14:textFill>
        </w:rPr>
        <w:t xml:space="preserve">, 1, pp. 3–29. Available at: </w:t>
      </w:r>
      <w:r>
        <w:fldChar w:fldCharType="begin"/>
      </w:r>
      <w:r>
        <w:instrText xml:space="preserve"> HYPERLINK "https://doi.org/10.1016/B978-0-443-22356-3.00001-4" \h </w:instrText>
      </w:r>
      <w:r>
        <w:fldChar w:fldCharType="separate"/>
      </w:r>
      <w:r>
        <w:rPr>
          <w:color w:val="000000" w:themeColor="text1"/>
          <w:u w:val="single"/>
          <w14:textFill>
            <w14:solidFill>
              <w14:schemeClr w14:val="tx1"/>
            </w14:solidFill>
          </w14:textFill>
        </w:rPr>
        <w:t>https://doi.org/10.1016/B978-0-443-22356-3.00001-4</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w:t>
      </w:r>
    </w:p>
    <w:p w14:paraId="5991F46D">
      <w:pPr>
        <w:spacing w:before="0" w:after="240"/>
        <w:rPr>
          <w:color w:val="000000" w:themeColor="text1"/>
          <w14:textFill>
            <w14:solidFill>
              <w14:schemeClr w14:val="tx1"/>
            </w14:solidFill>
          </w14:textFill>
        </w:rPr>
      </w:pPr>
      <w:r>
        <w:rPr>
          <w:color w:val="000000" w:themeColor="text1"/>
          <w14:textFill>
            <w14:solidFill>
              <w14:schemeClr w14:val="tx1"/>
            </w14:solidFill>
          </w14:textFill>
        </w:rPr>
        <w:t xml:space="preserve">Edwards, S. (2025) </w:t>
      </w:r>
      <w:r>
        <w:rPr>
          <w:i/>
          <w:iCs/>
          <w:color w:val="000000" w:themeColor="text1"/>
          <w14:textFill>
            <w14:solidFill>
              <w14:schemeClr w14:val="tx1"/>
            </w14:solidFill>
          </w14:textFill>
        </w:rPr>
        <w:t>How gamification drives retail sustainability engagement</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Sherwen.com</w:t>
      </w:r>
      <w:r>
        <w:rPr>
          <w:color w:val="000000" w:themeColor="text1"/>
          <w14:textFill>
            <w14:solidFill>
              <w14:schemeClr w14:val="tx1"/>
            </w14:solidFill>
          </w14:textFill>
        </w:rPr>
        <w:t xml:space="preserve">. Available at: </w:t>
      </w:r>
      <w:r>
        <w:fldChar w:fldCharType="begin"/>
      </w:r>
      <w:r>
        <w:instrText xml:space="preserve"> HYPERLINK "https://www.sherwen.com/insights/gamification-retail-recycling-sustainability-rewards" \h </w:instrText>
      </w:r>
      <w:r>
        <w:fldChar w:fldCharType="separate"/>
      </w:r>
      <w:r>
        <w:rPr>
          <w:color w:val="000000" w:themeColor="text1"/>
          <w:u w:val="single"/>
          <w14:textFill>
            <w14:solidFill>
              <w14:schemeClr w14:val="tx1"/>
            </w14:solidFill>
          </w14:textFill>
        </w:rPr>
        <w:t>https://www.sherwen.com/insights/gamification-retail-recycling-sustainability-rewards</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on: 22 December 2025].</w:t>
      </w:r>
    </w:p>
    <w:p w14:paraId="5991F46E">
      <w:pPr>
        <w:spacing w:before="0" w:after="240"/>
        <w:rPr>
          <w:color w:val="000000" w:themeColor="text1"/>
          <w14:textFill>
            <w14:solidFill>
              <w14:schemeClr w14:val="tx1"/>
            </w14:solidFill>
          </w14:textFill>
        </w:rPr>
      </w:pPr>
      <w:r>
        <w:rPr>
          <w:color w:val="000000" w:themeColor="text1"/>
          <w14:textFill>
            <w14:solidFill>
              <w14:schemeClr w14:val="tx1"/>
            </w14:solidFill>
          </w14:textFill>
        </w:rPr>
        <w:t xml:space="preserve">Eurostat (2025) </w:t>
      </w:r>
      <w:r>
        <w:rPr>
          <w:i/>
          <w:iCs/>
          <w:color w:val="000000" w:themeColor="text1"/>
          <w14:textFill>
            <w14:solidFill>
              <w14:schemeClr w14:val="tx1"/>
            </w14:solidFill>
          </w14:textFill>
        </w:rPr>
        <w:t>Municipal waste statistics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ec.europa.eu</w:t>
      </w:r>
      <w:r>
        <w:rPr>
          <w:color w:val="000000" w:themeColor="text1"/>
          <w14:textFill>
            <w14:solidFill>
              <w14:schemeClr w14:val="tx1"/>
            </w14:solidFill>
          </w14:textFill>
        </w:rPr>
        <w:t xml:space="preserve">. Available at: </w:t>
      </w:r>
      <w:r>
        <w:fldChar w:fldCharType="begin"/>
      </w:r>
      <w:r>
        <w:instrText xml:space="preserve"> HYPERLINK "https://ec.europa.eu/eurostat/statistics-explained/index.php?title=Municipal_waste_statistics" \h </w:instrText>
      </w:r>
      <w:r>
        <w:fldChar w:fldCharType="separate"/>
      </w:r>
      <w:r>
        <w:rPr>
          <w:color w:val="000000" w:themeColor="text1"/>
          <w:u w:val="single"/>
          <w14:textFill>
            <w14:solidFill>
              <w14:schemeClr w14:val="tx1"/>
            </w14:solidFill>
          </w14:textFill>
        </w:rPr>
        <w:t>https://ec.europa.eu/eurostat/statistics-explained/index.php?title=Municipal_waste_statistics</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on: 20 December 2025].</w:t>
      </w:r>
    </w:p>
    <w:p w14:paraId="5991F46F">
      <w:pPr>
        <w:spacing w:before="0"/>
        <w:rPr>
          <w:color w:val="000000" w:themeColor="text1"/>
          <w14:textFill>
            <w14:solidFill>
              <w14:schemeClr w14:val="tx1"/>
            </w14:solidFill>
          </w14:textFill>
        </w:rPr>
      </w:pPr>
      <w:r>
        <w:rPr>
          <w:color w:val="000000" w:themeColor="text1"/>
          <w14:textFill>
            <w14:solidFill>
              <w14:schemeClr w14:val="tx1"/>
            </w14:solidFill>
          </w14:textFill>
        </w:rPr>
        <w:t xml:space="preserve">Faiz, F., Ninduwezuor-Ehiobu, N., Adanma, U.M. and Solomon, N.O., (2024). AI-Powered waste management: Predictive modeling for sustainable landfill operations. </w:t>
      </w:r>
      <w:r>
        <w:rPr>
          <w:i/>
          <w:iCs/>
          <w:color w:val="000000" w:themeColor="text1"/>
          <w14:textFill>
            <w14:solidFill>
              <w14:schemeClr w14:val="tx1"/>
            </w14:solidFill>
          </w14:textFill>
        </w:rPr>
        <w:t>Comprehensive Research and Reviews in Science and Technology</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w:t>
      </w:r>
      <w:r>
        <w:rPr>
          <w:color w:val="000000" w:themeColor="text1"/>
          <w14:textFill>
            <w14:solidFill>
              <w14:schemeClr w14:val="tx1"/>
            </w14:solidFill>
          </w14:textFill>
        </w:rPr>
        <w:t xml:space="preserve">(1), pp.020-044. DOI: </w:t>
      </w:r>
      <w:r>
        <w:fldChar w:fldCharType="begin"/>
      </w:r>
      <w:r>
        <w:instrText xml:space="preserve"> HYPERLINK "https://doi.org/10.57219/crrst.2024.2.1.0031" \h </w:instrText>
      </w:r>
      <w:r>
        <w:fldChar w:fldCharType="separate"/>
      </w:r>
      <w:r>
        <w:rPr>
          <w:color w:val="000000" w:themeColor="text1"/>
          <w:u w:val="single"/>
          <w14:textFill>
            <w14:solidFill>
              <w14:schemeClr w14:val="tx1"/>
            </w14:solidFill>
          </w14:textFill>
        </w:rPr>
        <w:t>https://doi.org/10.57219/crrst.2024.2.1.0031</w:t>
      </w:r>
      <w:r>
        <w:rPr>
          <w:color w:val="000000" w:themeColor="text1"/>
          <w:u w:val="single"/>
          <w14:textFill>
            <w14:solidFill>
              <w14:schemeClr w14:val="tx1"/>
            </w14:solidFill>
          </w14:textFill>
        </w:rPr>
        <w:fldChar w:fldCharType="end"/>
      </w:r>
    </w:p>
    <w:p w14:paraId="5991F470">
      <w:pPr>
        <w:spacing w:before="0"/>
        <w:rPr>
          <w:color w:val="000000" w:themeColor="text1"/>
          <w14:textFill>
            <w14:solidFill>
              <w14:schemeClr w14:val="tx1"/>
            </w14:solidFill>
          </w14:textFill>
        </w:rPr>
      </w:pPr>
      <w:r>
        <w:rPr>
          <w:color w:val="000000" w:themeColor="text1"/>
          <w14:textFill>
            <w14:solidFill>
              <w14:schemeClr w14:val="tx1"/>
            </w14:solidFill>
          </w14:textFill>
        </w:rPr>
        <w:t xml:space="preserve">Felemban, H., Sohail, M. and Ruikar, K., (2024). Exploring the readiness of organisations to adopt artificial intelligence. </w:t>
      </w:r>
      <w:r>
        <w:rPr>
          <w:i/>
          <w:iCs/>
          <w:color w:val="000000" w:themeColor="text1"/>
          <w14:textFill>
            <w14:solidFill>
              <w14:schemeClr w14:val="tx1"/>
            </w14:solidFill>
          </w14:textFill>
        </w:rPr>
        <w:t>Buildings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14</w:t>
      </w:r>
      <w:r>
        <w:rPr>
          <w:color w:val="000000" w:themeColor="text1"/>
          <w14:textFill>
            <w14:solidFill>
              <w14:schemeClr w14:val="tx1"/>
            </w14:solidFill>
          </w14:textFill>
        </w:rPr>
        <w:t xml:space="preserve">(8), p.2460. </w:t>
      </w:r>
      <w:r>
        <w:fldChar w:fldCharType="begin"/>
      </w:r>
      <w:r>
        <w:instrText xml:space="preserve"> HYPERLINK "https://doi.org/10.3390/buildings14082460" \h </w:instrText>
      </w:r>
      <w:r>
        <w:fldChar w:fldCharType="separate"/>
      </w:r>
      <w:r>
        <w:rPr>
          <w:color w:val="000000" w:themeColor="text1"/>
          <w:u w:val="single"/>
          <w14:textFill>
            <w14:solidFill>
              <w14:schemeClr w14:val="tx1"/>
            </w14:solidFill>
          </w14:textFill>
        </w:rPr>
        <w:t>https://doi.org/10.3390/buildings14082460</w:t>
      </w:r>
      <w:r>
        <w:rPr>
          <w:color w:val="000000" w:themeColor="text1"/>
          <w:u w:val="single"/>
          <w14:textFill>
            <w14:solidFill>
              <w14:schemeClr w14:val="tx1"/>
            </w14:solidFill>
          </w14:textFill>
        </w:rPr>
        <w:fldChar w:fldCharType="end"/>
      </w:r>
    </w:p>
    <w:p w14:paraId="5991F471">
      <w:pPr>
        <w:spacing w:before="0"/>
        <w:rPr>
          <w:color w:val="000000" w:themeColor="text1"/>
          <w14:textFill>
            <w14:solidFill>
              <w14:schemeClr w14:val="tx1"/>
            </w14:solidFill>
          </w14:textFill>
        </w:rPr>
      </w:pPr>
      <w:r>
        <w:rPr>
          <w:color w:val="000000" w:themeColor="text1"/>
          <w14:textFill>
            <w14:solidFill>
              <w14:schemeClr w14:val="tx1"/>
            </w14:solidFill>
          </w14:textFill>
        </w:rPr>
        <w:t xml:space="preserve">Islam, F.S., (2025). Artificial Intelligence-Driven Optimization and Decision Support for Integrated Waste-to-Energy Systems in Climate-Vulnerable Megacities: A Case Study of Dhaka, Bangladesh. </w:t>
      </w:r>
      <w:r>
        <w:rPr>
          <w:i/>
          <w:iCs/>
          <w:color w:val="000000" w:themeColor="text1"/>
          <w14:textFill>
            <w14:solidFill>
              <w14:schemeClr w14:val="tx1"/>
            </w14:solidFill>
          </w14:textFill>
        </w:rPr>
        <w:t>International Journal of Applied and Natural Sciences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3</w:t>
      </w:r>
      <w:r>
        <w:rPr>
          <w:color w:val="000000" w:themeColor="text1"/>
          <w14:textFill>
            <w14:solidFill>
              <w14:schemeClr w14:val="tx1"/>
            </w14:solidFill>
          </w14:textFill>
        </w:rPr>
        <w:t>(2), pp.01-34. DOI: 10.61424/ijans</w:t>
      </w:r>
    </w:p>
    <w:p w14:paraId="5991F472">
      <w:pPr>
        <w:spacing w:before="0"/>
        <w:rPr>
          <w:color w:val="000000" w:themeColor="text1"/>
          <w14:textFill>
            <w14:solidFill>
              <w14:schemeClr w14:val="tx1"/>
            </w14:solidFill>
          </w14:textFill>
        </w:rPr>
      </w:pPr>
      <w:r>
        <w:rPr>
          <w:color w:val="000000" w:themeColor="text1"/>
          <w14:textFill>
            <w14:solidFill>
              <w14:schemeClr w14:val="tx1"/>
            </w14:solidFill>
          </w14:textFill>
        </w:rPr>
        <w:t xml:space="preserve">Lakhouit, A., (2025). Revolutionizing urban solid waste management with AI and IoT: a review of smart solutions for waste collection, sorting, and recycling. </w:t>
      </w:r>
      <w:r>
        <w:rPr>
          <w:i/>
          <w:iCs/>
          <w:color w:val="000000" w:themeColor="text1"/>
          <w14:textFill>
            <w14:solidFill>
              <w14:schemeClr w14:val="tx1"/>
            </w14:solidFill>
          </w14:textFill>
        </w:rPr>
        <w:t>Results in Engineering</w:t>
      </w:r>
      <w:r>
        <w:rPr>
          <w:color w:val="000000" w:themeColor="text1"/>
          <w14:textFill>
            <w14:solidFill>
              <w14:schemeClr w14:val="tx1"/>
            </w14:solidFill>
          </w14:textFill>
        </w:rPr>
        <w:t xml:space="preserve">, p.104018. </w:t>
      </w:r>
      <w:r>
        <w:fldChar w:fldCharType="begin"/>
      </w:r>
      <w:r>
        <w:instrText xml:space="preserve"> HYPERLINK "https://doi.org/10.1016/j.rineng.2025.104018" \h </w:instrText>
      </w:r>
      <w:r>
        <w:fldChar w:fldCharType="separate"/>
      </w:r>
      <w:r>
        <w:rPr>
          <w:color w:val="000000" w:themeColor="text1"/>
          <w:u w:val="single"/>
          <w14:textFill>
            <w14:solidFill>
              <w14:schemeClr w14:val="tx1"/>
            </w14:solidFill>
          </w14:textFill>
        </w:rPr>
        <w:t>https://doi.org/10.1016/j.rineng.2025.104018</w:t>
      </w:r>
      <w:r>
        <w:rPr>
          <w:color w:val="000000" w:themeColor="text1"/>
          <w:u w:val="single"/>
          <w14:textFill>
            <w14:solidFill>
              <w14:schemeClr w14:val="tx1"/>
            </w14:solidFill>
          </w14:textFill>
        </w:rPr>
        <w:fldChar w:fldCharType="end"/>
      </w:r>
    </w:p>
    <w:p w14:paraId="5991F473">
      <w:pPr>
        <w:spacing w:before="0" w:after="240"/>
        <w:rPr>
          <w:color w:val="000000" w:themeColor="text1"/>
          <w14:textFill>
            <w14:solidFill>
              <w14:schemeClr w14:val="tx1"/>
            </w14:solidFill>
          </w14:textFill>
        </w:rPr>
      </w:pPr>
      <w:r>
        <w:rPr>
          <w:color w:val="000000" w:themeColor="text1"/>
          <w14:textFill>
            <w14:solidFill>
              <w14:schemeClr w14:val="tx1"/>
            </w14:solidFill>
          </w14:textFill>
        </w:rPr>
        <w:t xml:space="preserve">Linde, N., Balian, A., Shabatura, T., Gryshova, I. and Hnatieva, T. (2024) ‘Artificial Intelligence in Waste Management in the Context of Implementing Circular Economy’, </w:t>
      </w:r>
      <w:r>
        <w:rPr>
          <w:i/>
          <w:iCs/>
          <w:color w:val="000000" w:themeColor="text1"/>
          <w14:textFill>
            <w14:solidFill>
              <w14:schemeClr w14:val="tx1"/>
            </w14:solidFill>
          </w14:textFill>
        </w:rPr>
        <w:t>Grassroots Journal of Natural Resources</w:t>
      </w:r>
      <w:r>
        <w:rPr>
          <w:color w:val="000000" w:themeColor="text1"/>
          <w14:textFill>
            <w14:solidFill>
              <w14:schemeClr w14:val="tx1"/>
            </w14:solidFill>
          </w14:textFill>
        </w:rPr>
        <w:t xml:space="preserve">, 7(3), pp. s149–s172. Available at: </w:t>
      </w:r>
      <w:r>
        <w:fldChar w:fldCharType="begin"/>
      </w:r>
      <w:r>
        <w:instrText xml:space="preserve"> HYPERLINK "https://doi.org/10.33002/nr2581.6853.0703ukr08" \h </w:instrText>
      </w:r>
      <w:r>
        <w:fldChar w:fldCharType="separate"/>
      </w:r>
      <w:r>
        <w:rPr>
          <w:color w:val="000000" w:themeColor="text1"/>
          <w:u w:val="single"/>
          <w14:textFill>
            <w14:solidFill>
              <w14:schemeClr w14:val="tx1"/>
            </w14:solidFill>
          </w14:textFill>
        </w:rPr>
        <w:t>https://doi.org/10.33002/nr2581.6853.0703ukr08</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w:t>
      </w:r>
    </w:p>
    <w:p w14:paraId="5991F474">
      <w:pPr>
        <w:spacing w:before="0"/>
        <w:rPr>
          <w:color w:val="000000" w:themeColor="text1"/>
          <w14:textFill>
            <w14:solidFill>
              <w14:schemeClr w14:val="tx1"/>
            </w14:solidFill>
          </w14:textFill>
        </w:rPr>
      </w:pPr>
      <w:r>
        <w:rPr>
          <w:color w:val="000000" w:themeColor="text1"/>
          <w14:textFill>
            <w14:solidFill>
              <w14:schemeClr w14:val="tx1"/>
            </w14:solidFill>
          </w14:textFill>
        </w:rPr>
        <w:t xml:space="preserve">Noman, A.A., Akter, U.H., Pranto, T.H. and Haque, A.K.M., (2022). Machine learning and artificial intelligence in circular economy: a bibliometric analysis and systematic literature review. </w:t>
      </w:r>
      <w:r>
        <w:rPr>
          <w:i/>
          <w:iCs/>
          <w:color w:val="000000" w:themeColor="text1"/>
          <w14:textFill>
            <w14:solidFill>
              <w14:schemeClr w14:val="tx1"/>
            </w14:solidFill>
          </w14:textFill>
        </w:rPr>
        <w:t>Annals of Emerging Technologies in Computing (AETiC)</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6</w:t>
      </w:r>
      <w:r>
        <w:rPr>
          <w:color w:val="000000" w:themeColor="text1"/>
          <w14:textFill>
            <w14:solidFill>
              <w14:schemeClr w14:val="tx1"/>
            </w14:solidFill>
          </w14:textFill>
        </w:rPr>
        <w:t xml:space="preserve">(2), pp.13-40. DOI: </w:t>
      </w:r>
      <w:r>
        <w:fldChar w:fldCharType="begin"/>
      </w:r>
      <w:r>
        <w:instrText xml:space="preserve"> HYPERLINK "https://doi.org/10.33166/AETiC.2022.02.002" \h </w:instrText>
      </w:r>
      <w:r>
        <w:fldChar w:fldCharType="separate"/>
      </w:r>
      <w:r>
        <w:rPr>
          <w:color w:val="000000" w:themeColor="text1"/>
          <w:u w:val="single"/>
          <w14:textFill>
            <w14:solidFill>
              <w14:schemeClr w14:val="tx1"/>
            </w14:solidFill>
          </w14:textFill>
        </w:rPr>
        <w:t>https://doi.org/10.33166/AETiC.2022.02.002</w:t>
      </w:r>
      <w:r>
        <w:rPr>
          <w:color w:val="000000" w:themeColor="text1"/>
          <w:u w:val="single"/>
          <w14:textFill>
            <w14:solidFill>
              <w14:schemeClr w14:val="tx1"/>
            </w14:solidFill>
          </w14:textFill>
        </w:rPr>
        <w:fldChar w:fldCharType="end"/>
      </w:r>
    </w:p>
    <w:p w14:paraId="5991F475">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Unep, (2025). </w:t>
      </w:r>
      <w:r>
        <w:rPr>
          <w:i/>
          <w:iCs/>
          <w:color w:val="000000" w:themeColor="text1"/>
          <w14:textFill>
            <w14:solidFill>
              <w14:schemeClr w14:val="tx1"/>
            </w14:solidFill>
          </w14:textFill>
        </w:rPr>
        <w:t xml:space="preserve">Global Waste Management Outlook (2024) </w:t>
      </w:r>
      <w:r>
        <w:rPr>
          <w:color w:val="000000" w:themeColor="text1"/>
          <w14:textFill>
            <w14:solidFill>
              <w14:schemeClr w14:val="tx1"/>
            </w14:solidFill>
          </w14:textFill>
        </w:rPr>
        <w:t>Available at:</w:t>
      </w:r>
      <w:r>
        <w:fldChar w:fldCharType="begin"/>
      </w:r>
      <w:r>
        <w:instrText xml:space="preserve"> HYPERLINK "https://www.unep.org/resources/global-waste-management-outlook-2024" \h </w:instrText>
      </w:r>
      <w:r>
        <w:fldChar w:fldCharType="separate"/>
      </w:r>
      <w:r>
        <w:rPr>
          <w:color w:val="000000" w:themeColor="text1"/>
          <w:u w:val="single"/>
          <w14:textFill>
            <w14:solidFill>
              <w14:schemeClr w14:val="tx1"/>
            </w14:solidFill>
          </w14:textFill>
        </w:rPr>
        <w:t>https://www.unep.org/resources/global-waste-management-outlook-(2024)</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on: 08.11.2025]</w:t>
      </w:r>
    </w:p>
    <w:p w14:paraId="5991F476">
      <w:pPr>
        <w:spacing w:before="240" w:after="240"/>
        <w:rPr>
          <w:b/>
          <w:bCs/>
          <w:i/>
          <w:iCs/>
          <w:color w:val="000000" w:themeColor="text1"/>
          <w14:textFill>
            <w14:solidFill>
              <w14:schemeClr w14:val="tx1"/>
            </w14:solidFill>
          </w14:textFill>
        </w:rPr>
      </w:pPr>
      <w:r>
        <w:rPr>
          <w:b/>
          <w:bCs/>
          <w:i/>
          <w:iCs/>
          <w:color w:val="000000" w:themeColor="text1"/>
          <w14:textFill>
            <w14:solidFill>
              <w14:schemeClr w14:val="tx1"/>
            </w14:solidFill>
          </w14:textFill>
        </w:rPr>
        <w:t>Chapter 2</w:t>
      </w:r>
    </w:p>
    <w:p w14:paraId="5991F477">
      <w:pPr>
        <w:rPr>
          <w:color w:val="000000" w:themeColor="text1"/>
          <w14:textFill>
            <w14:solidFill>
              <w14:schemeClr w14:val="tx1"/>
            </w14:solidFill>
          </w14:textFill>
        </w:rPr>
      </w:pPr>
      <w:r>
        <w:rPr>
          <w:color w:val="000000" w:themeColor="text1"/>
          <w14:textFill>
            <w14:solidFill>
              <w14:schemeClr w14:val="tx1"/>
            </w14:solidFill>
          </w14:textFill>
        </w:rPr>
        <w:t xml:space="preserve">Adebayo, V.I., Paul, P.O. and Eyo-Udo, N.L., (2024). The role of data analysis and reporting in modern procurement: Enhancing decision-making and supplier management. </w:t>
      </w:r>
      <w:r>
        <w:rPr>
          <w:i/>
          <w:iCs/>
          <w:color w:val="000000" w:themeColor="text1"/>
          <w14:textFill>
            <w14:solidFill>
              <w14:schemeClr w14:val="tx1"/>
            </w14:solidFill>
          </w14:textFill>
        </w:rPr>
        <w:t>GSC Advanced Research and Reviews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20</w:t>
      </w:r>
      <w:r>
        <w:rPr>
          <w:color w:val="000000" w:themeColor="text1"/>
          <w14:textFill>
            <w14:solidFill>
              <w14:schemeClr w14:val="tx1"/>
            </w14:solidFill>
          </w14:textFill>
        </w:rPr>
        <w:t xml:space="preserve">(1), pp.088-097. Available at: </w:t>
      </w:r>
      <w:r>
        <w:fldChar w:fldCharType="begin"/>
      </w:r>
      <w:r>
        <w:instrText xml:space="preserve"> HYPERLINK "https://doi.org/10.30574/gscarr.2024.20.1.0246" \h </w:instrText>
      </w:r>
      <w:r>
        <w:fldChar w:fldCharType="separate"/>
      </w:r>
      <w:r>
        <w:rPr>
          <w:color w:val="000000" w:themeColor="text1"/>
          <w:u w:val="single"/>
          <w14:textFill>
            <w14:solidFill>
              <w14:schemeClr w14:val="tx1"/>
            </w14:solidFill>
          </w14:textFill>
        </w:rPr>
        <w:t>https://doi.org/10.30574/gscarr.2024.20.1.0246</w:t>
      </w:r>
      <w:r>
        <w:rPr>
          <w:color w:val="000000" w:themeColor="text1"/>
          <w:u w:val="single"/>
          <w14:textFill>
            <w14:solidFill>
              <w14:schemeClr w14:val="tx1"/>
            </w14:solidFill>
          </w14:textFill>
        </w:rPr>
        <w:fldChar w:fldCharType="end"/>
      </w:r>
    </w:p>
    <w:p w14:paraId="5991F478">
      <w:pPr>
        <w:rPr>
          <w:color w:val="000000" w:themeColor="text1"/>
          <w14:textFill>
            <w14:solidFill>
              <w14:schemeClr w14:val="tx1"/>
            </w14:solidFill>
          </w14:textFill>
        </w:rPr>
      </w:pPr>
      <w:r>
        <w:rPr>
          <w:color w:val="000000" w:themeColor="text1"/>
          <w14:textFill>
            <w14:solidFill>
              <w14:schemeClr w14:val="tx1"/>
            </w14:solidFill>
          </w14:textFill>
        </w:rPr>
        <w:t xml:space="preserve">Aguinis, H., Li, Z.A. and Der Foo, M., (2024). The research transparency index. </w:t>
      </w:r>
      <w:r>
        <w:rPr>
          <w:i/>
          <w:iCs/>
          <w:color w:val="000000" w:themeColor="text1"/>
          <w14:textFill>
            <w14:solidFill>
              <w14:schemeClr w14:val="tx1"/>
            </w14:solidFill>
          </w14:textFill>
        </w:rPr>
        <w:t>The Leadership Quarterly</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35</w:t>
      </w:r>
      <w:r>
        <w:rPr>
          <w:color w:val="000000" w:themeColor="text1"/>
          <w14:textFill>
            <w14:solidFill>
              <w14:schemeClr w14:val="tx1"/>
            </w14:solidFill>
          </w14:textFill>
        </w:rPr>
        <w:t xml:space="preserve">(4), p.101809. Available at: </w:t>
      </w:r>
      <w:r>
        <w:fldChar w:fldCharType="begin"/>
      </w:r>
      <w:r>
        <w:instrText xml:space="preserve"> HYPERLINK "https://doi.org/10.1016/j.leaqua.2024.101809" \h </w:instrText>
      </w:r>
      <w:r>
        <w:fldChar w:fldCharType="separate"/>
      </w:r>
      <w:r>
        <w:rPr>
          <w:color w:val="000000" w:themeColor="text1"/>
          <w:u w:val="single"/>
          <w14:textFill>
            <w14:solidFill>
              <w14:schemeClr w14:val="tx1"/>
            </w14:solidFill>
          </w14:textFill>
        </w:rPr>
        <w:t>https://doi.org/10.1016/j.leaqua.2024.101809</w:t>
      </w:r>
      <w:r>
        <w:rPr>
          <w:color w:val="000000" w:themeColor="text1"/>
          <w:u w:val="single"/>
          <w14:textFill>
            <w14:solidFill>
              <w14:schemeClr w14:val="tx1"/>
            </w14:solidFill>
          </w14:textFill>
        </w:rPr>
        <w:fldChar w:fldCharType="end"/>
      </w:r>
    </w:p>
    <w:p w14:paraId="5991F479">
      <w:pPr>
        <w:rPr>
          <w:color w:val="000000" w:themeColor="text1"/>
          <w14:textFill>
            <w14:solidFill>
              <w14:schemeClr w14:val="tx1"/>
            </w14:solidFill>
          </w14:textFill>
        </w:rPr>
      </w:pPr>
      <w:r>
        <w:rPr>
          <w:color w:val="000000" w:themeColor="text1"/>
          <w14:textFill>
            <w14:solidFill>
              <w14:schemeClr w14:val="tx1"/>
            </w14:solidFill>
          </w14:textFill>
        </w:rPr>
        <w:t xml:space="preserve">Ahmad, M. and Wilkins, S., (2025). Purposive sampling in qualitative research: A framework for the entire journey. </w:t>
      </w:r>
      <w:r>
        <w:rPr>
          <w:i/>
          <w:iCs/>
          <w:color w:val="000000" w:themeColor="text1"/>
          <w14:textFill>
            <w14:solidFill>
              <w14:schemeClr w14:val="tx1"/>
            </w14:solidFill>
          </w14:textFill>
        </w:rPr>
        <w:t>Quality &amp; Quantity</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59</w:t>
      </w:r>
      <w:r>
        <w:rPr>
          <w:color w:val="000000" w:themeColor="text1"/>
          <w14:textFill>
            <w14:solidFill>
              <w14:schemeClr w14:val="tx1"/>
            </w14:solidFill>
          </w14:textFill>
        </w:rPr>
        <w:t xml:space="preserve">(2), pp.1461-1479. Available at: </w:t>
      </w:r>
      <w:r>
        <w:fldChar w:fldCharType="begin"/>
      </w:r>
      <w:r>
        <w:instrText xml:space="preserve"> HYPERLINK "https://doi.org/10.1007/s11135-024-02022-5" \h </w:instrText>
      </w:r>
      <w:r>
        <w:fldChar w:fldCharType="separate"/>
      </w:r>
      <w:r>
        <w:rPr>
          <w:color w:val="000000" w:themeColor="text1"/>
          <w:u w:val="single"/>
          <w14:textFill>
            <w14:solidFill>
              <w14:schemeClr w14:val="tx1"/>
            </w14:solidFill>
          </w14:textFill>
        </w:rPr>
        <w:t>https://doi.org/10.1007/s11135-024-02022-5</w:t>
      </w:r>
      <w:r>
        <w:rPr>
          <w:color w:val="000000" w:themeColor="text1"/>
          <w:u w:val="single"/>
          <w14:textFill>
            <w14:solidFill>
              <w14:schemeClr w14:val="tx1"/>
            </w14:solidFill>
          </w14:textFill>
        </w:rPr>
        <w:fldChar w:fldCharType="end"/>
      </w:r>
    </w:p>
    <w:p w14:paraId="5991F47A">
      <w:pPr>
        <w:spacing w:before="0" w:after="240"/>
        <w:rPr>
          <w:color w:val="000000" w:themeColor="text1"/>
          <w14:textFill>
            <w14:solidFill>
              <w14:schemeClr w14:val="tx1"/>
            </w14:solidFill>
          </w14:textFill>
        </w:rPr>
      </w:pPr>
      <w:r>
        <w:rPr>
          <w:color w:val="000000" w:themeColor="text1"/>
          <w14:textFill>
            <w14:solidFill>
              <w14:schemeClr w14:val="tx1"/>
            </w14:solidFill>
          </w14:textFill>
        </w:rPr>
        <w:t xml:space="preserve">Ali, M., Al-Obaydi, A. and Shari, A. (2023) ‘The Impact of Predictive Analytics and AI on Digital Marketing Strategy and ROI’, </w:t>
      </w:r>
      <w:r>
        <w:rPr>
          <w:i/>
          <w:iCs/>
          <w:color w:val="000000" w:themeColor="text1"/>
          <w14:textFill>
            <w14:solidFill>
              <w14:schemeClr w14:val="tx1"/>
            </w14:solidFill>
          </w14:textFill>
        </w:rPr>
        <w:t>Studies in big data</w:t>
      </w:r>
      <w:r>
        <w:rPr>
          <w:color w:val="000000" w:themeColor="text1"/>
          <w14:textFill>
            <w14:solidFill>
              <w14:schemeClr w14:val="tx1"/>
            </w14:solidFill>
          </w14:textFill>
        </w:rPr>
        <w:t xml:space="preserve">, 136, pp. 367–379. Available at: </w:t>
      </w:r>
      <w:r>
        <w:fldChar w:fldCharType="begin"/>
      </w:r>
      <w:r>
        <w:instrText xml:space="preserve"> HYPERLINK "https://doi.org/10.1007/978-3-031-42455-7_31" \h </w:instrText>
      </w:r>
      <w:r>
        <w:fldChar w:fldCharType="separate"/>
      </w:r>
      <w:r>
        <w:rPr>
          <w:color w:val="000000" w:themeColor="text1"/>
          <w:u w:val="single"/>
          <w14:textFill>
            <w14:solidFill>
              <w14:schemeClr w14:val="tx1"/>
            </w14:solidFill>
          </w14:textFill>
        </w:rPr>
        <w:t>https://doi.org/10.1007/978-3-031-42455-7_31</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w:t>
      </w:r>
    </w:p>
    <w:p w14:paraId="5991F47B">
      <w:pPr>
        <w:rPr>
          <w:color w:val="000000" w:themeColor="text1"/>
          <w14:textFill>
            <w14:solidFill>
              <w14:schemeClr w14:val="tx1"/>
            </w14:solidFill>
          </w14:textFill>
        </w:rPr>
      </w:pPr>
      <w:r>
        <w:rPr>
          <w:color w:val="000000" w:themeColor="text1"/>
          <w14:textFill>
            <w14:solidFill>
              <w14:schemeClr w14:val="tx1"/>
            </w14:solidFill>
          </w14:textFill>
        </w:rPr>
        <w:t xml:space="preserve">Cheong, H.I., Lyons, A., Houghton, R. and Majumdar, A., (2023). Secondary qualitative research methodology using online data within the context of social sciences. </w:t>
      </w:r>
      <w:r>
        <w:rPr>
          <w:i/>
          <w:iCs/>
          <w:color w:val="000000" w:themeColor="text1"/>
          <w14:textFill>
            <w14:solidFill>
              <w14:schemeClr w14:val="tx1"/>
            </w14:solidFill>
          </w14:textFill>
        </w:rPr>
        <w:t>International Journal of Qualitative Methods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22</w:t>
      </w:r>
      <w:r>
        <w:rPr>
          <w:color w:val="000000" w:themeColor="text1"/>
          <w14:textFill>
            <w14:solidFill>
              <w14:schemeClr w14:val="tx1"/>
            </w14:solidFill>
          </w14:textFill>
        </w:rPr>
        <w:t xml:space="preserve">, p.16094069231180160. Available at: </w:t>
      </w:r>
      <w:r>
        <w:fldChar w:fldCharType="begin"/>
      </w:r>
      <w:r>
        <w:instrText xml:space="preserve"> HYPERLINK "https://doi.org/10.1177/16094069231180160" \h </w:instrText>
      </w:r>
      <w:r>
        <w:fldChar w:fldCharType="separate"/>
      </w:r>
      <w:r>
        <w:rPr>
          <w:color w:val="000000" w:themeColor="text1"/>
          <w:u w:val="single"/>
          <w14:textFill>
            <w14:solidFill>
              <w14:schemeClr w14:val="tx1"/>
            </w14:solidFill>
          </w14:textFill>
        </w:rPr>
        <w:t>https://doi.org/10.1177/16094069231180160</w:t>
      </w:r>
      <w:r>
        <w:rPr>
          <w:color w:val="000000" w:themeColor="text1"/>
          <w:u w:val="single"/>
          <w14:textFill>
            <w14:solidFill>
              <w14:schemeClr w14:val="tx1"/>
            </w14:solidFill>
          </w14:textFill>
        </w:rPr>
        <w:fldChar w:fldCharType="end"/>
      </w:r>
    </w:p>
    <w:p w14:paraId="5991F47C">
      <w:pPr>
        <w:rPr>
          <w:color w:val="000000" w:themeColor="text1"/>
          <w14:textFill>
            <w14:solidFill>
              <w14:schemeClr w14:val="tx1"/>
            </w14:solidFill>
          </w14:textFill>
        </w:rPr>
      </w:pPr>
      <w:r>
        <w:rPr>
          <w:color w:val="000000" w:themeColor="text1"/>
          <w14:textFill>
            <w14:solidFill>
              <w14:schemeClr w14:val="tx1"/>
            </w14:solidFill>
          </w14:textFill>
        </w:rPr>
        <w:t xml:space="preserve">Fife, S.T. and Gossner, J.D., (2024). Deductive qualitative analysis: Evaluating, expanding, and refining theory. </w:t>
      </w:r>
      <w:r>
        <w:rPr>
          <w:i/>
          <w:iCs/>
          <w:color w:val="000000" w:themeColor="text1"/>
          <w14:textFill>
            <w14:solidFill>
              <w14:schemeClr w14:val="tx1"/>
            </w14:solidFill>
          </w14:textFill>
        </w:rPr>
        <w:t>International Journal of Qualitative Methods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23</w:t>
      </w:r>
      <w:r>
        <w:rPr>
          <w:color w:val="000000" w:themeColor="text1"/>
          <w14:textFill>
            <w14:solidFill>
              <w14:schemeClr w14:val="tx1"/>
            </w14:solidFill>
          </w14:textFill>
        </w:rPr>
        <w:t xml:space="preserve">, p.16094069241244856. Available at: </w:t>
      </w:r>
      <w:r>
        <w:fldChar w:fldCharType="begin"/>
      </w:r>
      <w:r>
        <w:instrText xml:space="preserve"> HYPERLINK "https://doi.org/10.1177/16094069241244856" \h </w:instrText>
      </w:r>
      <w:r>
        <w:fldChar w:fldCharType="separate"/>
      </w:r>
      <w:r>
        <w:rPr>
          <w:color w:val="000000" w:themeColor="text1"/>
          <w:u w:val="single"/>
          <w14:textFill>
            <w14:solidFill>
              <w14:schemeClr w14:val="tx1"/>
            </w14:solidFill>
          </w14:textFill>
        </w:rPr>
        <w:t>https://doi.org/10.1177/16094069241244856</w:t>
      </w:r>
      <w:r>
        <w:rPr>
          <w:color w:val="000000" w:themeColor="text1"/>
          <w:u w:val="single"/>
          <w14:textFill>
            <w14:solidFill>
              <w14:schemeClr w14:val="tx1"/>
            </w14:solidFill>
          </w14:textFill>
        </w:rPr>
        <w:fldChar w:fldCharType="end"/>
      </w:r>
    </w:p>
    <w:p w14:paraId="5991F47D">
      <w:pPr>
        <w:rPr>
          <w:color w:val="000000" w:themeColor="text1"/>
          <w14:textFill>
            <w14:solidFill>
              <w14:schemeClr w14:val="tx1"/>
            </w14:solidFill>
          </w14:textFill>
        </w:rPr>
      </w:pPr>
      <w:r>
        <w:rPr>
          <w:color w:val="000000" w:themeColor="text1"/>
          <w14:textFill>
            <w14:solidFill>
              <w14:schemeClr w14:val="tx1"/>
            </w14:solidFill>
          </w14:textFill>
        </w:rPr>
        <w:t xml:space="preserve">Ganesha, H.R. and Aithal, P.S., (2022). How to choose an appropriate research data collection method and method choice among various research data collection methods and method choices during Ph. D. program in India. </w:t>
      </w:r>
      <w:r>
        <w:rPr>
          <w:i/>
          <w:iCs/>
          <w:color w:val="000000" w:themeColor="text1"/>
          <w14:textFill>
            <w14:solidFill>
              <w14:schemeClr w14:val="tx1"/>
            </w14:solidFill>
          </w14:textFill>
        </w:rPr>
        <w:t>International Journal of Management, Technology, and Social Sciences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7</w:t>
      </w:r>
      <w:r>
        <w:rPr>
          <w:color w:val="000000" w:themeColor="text1"/>
          <w14:textFill>
            <w14:solidFill>
              <w14:schemeClr w14:val="tx1"/>
            </w14:solidFill>
          </w14:textFill>
        </w:rPr>
        <w:t xml:space="preserve">(2), pp.455-489. Available at: </w:t>
      </w:r>
      <w:r>
        <w:fldChar w:fldCharType="begin"/>
      </w:r>
      <w:r>
        <w:instrText xml:space="preserve"> HYPERLINK "https://doi.org/10.5281/zenodo.7277944" \h </w:instrText>
      </w:r>
      <w:r>
        <w:fldChar w:fldCharType="separate"/>
      </w:r>
      <w:r>
        <w:rPr>
          <w:color w:val="000000" w:themeColor="text1"/>
          <w:u w:val="single"/>
          <w14:textFill>
            <w14:solidFill>
              <w14:schemeClr w14:val="tx1"/>
            </w14:solidFill>
          </w14:textFill>
        </w:rPr>
        <w:t>https://doi.org/10.5281/zenodo.7277944</w:t>
      </w:r>
      <w:r>
        <w:rPr>
          <w:color w:val="000000" w:themeColor="text1"/>
          <w:u w:val="single"/>
          <w14:textFill>
            <w14:solidFill>
              <w14:schemeClr w14:val="tx1"/>
            </w14:solidFill>
          </w14:textFill>
        </w:rPr>
        <w:fldChar w:fldCharType="end"/>
      </w:r>
    </w:p>
    <w:p w14:paraId="5991F47E">
      <w:pPr>
        <w:rPr>
          <w:color w:val="000000" w:themeColor="text1"/>
          <w14:textFill>
            <w14:solidFill>
              <w14:schemeClr w14:val="tx1"/>
            </w14:solidFill>
          </w14:textFill>
        </w:rPr>
      </w:pPr>
      <w:r>
        <w:rPr>
          <w:color w:val="000000" w:themeColor="text1"/>
          <w14:textFill>
            <w14:solidFill>
              <w14:schemeClr w14:val="tx1"/>
            </w14:solidFill>
          </w14:textFill>
        </w:rPr>
        <w:t xml:space="preserve">Guo, L. and Keles, S., (2025). A systematic review of studies with parent-involved interventions for children with specific learning disabilities. </w:t>
      </w:r>
      <w:r>
        <w:rPr>
          <w:i/>
          <w:iCs/>
          <w:color w:val="000000" w:themeColor="text1"/>
          <w14:textFill>
            <w14:solidFill>
              <w14:schemeClr w14:val="tx1"/>
            </w14:solidFill>
          </w14:textFill>
        </w:rPr>
        <w:t>European Journal of Special Needs Education</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40</w:t>
      </w:r>
      <w:r>
        <w:rPr>
          <w:color w:val="000000" w:themeColor="text1"/>
          <w14:textFill>
            <w14:solidFill>
              <w14:schemeClr w14:val="tx1"/>
            </w14:solidFill>
          </w14:textFill>
        </w:rPr>
        <w:t xml:space="preserve">(4), pp.755-772. Available at: </w:t>
      </w:r>
      <w:r>
        <w:fldChar w:fldCharType="begin"/>
      </w:r>
      <w:r>
        <w:instrText xml:space="preserve"> HYPERLINK "https://doi.org/10.1080/08856257.2024.2421112" \h </w:instrText>
      </w:r>
      <w:r>
        <w:fldChar w:fldCharType="separate"/>
      </w:r>
      <w:r>
        <w:rPr>
          <w:color w:val="000000" w:themeColor="text1"/>
          <w:u w:val="single"/>
          <w14:textFill>
            <w14:solidFill>
              <w14:schemeClr w14:val="tx1"/>
            </w14:solidFill>
          </w14:textFill>
        </w:rPr>
        <w:t>https://doi.org/10.1080/08856257.2024.2421112</w:t>
      </w:r>
      <w:r>
        <w:rPr>
          <w:color w:val="000000" w:themeColor="text1"/>
          <w:u w:val="single"/>
          <w14:textFill>
            <w14:solidFill>
              <w14:schemeClr w14:val="tx1"/>
            </w14:solidFill>
          </w14:textFill>
        </w:rPr>
        <w:fldChar w:fldCharType="end"/>
      </w:r>
    </w:p>
    <w:p w14:paraId="5991F47F">
      <w:pPr>
        <w:rPr>
          <w:color w:val="000000" w:themeColor="text1"/>
          <w14:textFill>
            <w14:solidFill>
              <w14:schemeClr w14:val="tx1"/>
            </w14:solidFill>
          </w14:textFill>
        </w:rPr>
      </w:pPr>
      <w:r>
        <w:rPr>
          <w:color w:val="000000" w:themeColor="text1"/>
          <w14:textFill>
            <w14:solidFill>
              <w14:schemeClr w14:val="tx1"/>
            </w14:solidFill>
          </w14:textFill>
        </w:rPr>
        <w:t xml:space="preserve">Holmberg, B., Bennesved, A. and Bremer, A., (2023). Caring for older patients with reduced decision-making capacity: a deductive exploratory study of ambulance clinicians’ ethical competence. </w:t>
      </w:r>
      <w:r>
        <w:rPr>
          <w:i/>
          <w:iCs/>
          <w:color w:val="000000" w:themeColor="text1"/>
          <w14:textFill>
            <w14:solidFill>
              <w14:schemeClr w14:val="tx1"/>
            </w14:solidFill>
          </w14:textFill>
        </w:rPr>
        <w:t>BMC Medical Ethics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24</w:t>
      </w:r>
      <w:r>
        <w:rPr>
          <w:color w:val="000000" w:themeColor="text1"/>
          <w14:textFill>
            <w14:solidFill>
              <w14:schemeClr w14:val="tx1"/>
            </w14:solidFill>
          </w14:textFill>
        </w:rPr>
        <w:t xml:space="preserve">(1), p.60. Available at: </w:t>
      </w:r>
      <w:r>
        <w:fldChar w:fldCharType="begin"/>
      </w:r>
      <w:r>
        <w:instrText xml:space="preserve"> HYPERLINK "https://doi.org/10.1186/s12910-023-00941-w" \h </w:instrText>
      </w:r>
      <w:r>
        <w:fldChar w:fldCharType="separate"/>
      </w:r>
      <w:r>
        <w:rPr>
          <w:color w:val="000000" w:themeColor="text1"/>
          <w:u w:val="single"/>
          <w14:textFill>
            <w14:solidFill>
              <w14:schemeClr w14:val="tx1"/>
            </w14:solidFill>
          </w14:textFill>
        </w:rPr>
        <w:t>https://doi.org/10.1186/s12910-023-00941-w</w:t>
      </w:r>
      <w:r>
        <w:rPr>
          <w:color w:val="000000" w:themeColor="text1"/>
          <w:u w:val="single"/>
          <w14:textFill>
            <w14:solidFill>
              <w14:schemeClr w14:val="tx1"/>
            </w14:solidFill>
          </w14:textFill>
        </w:rPr>
        <w:fldChar w:fldCharType="end"/>
      </w:r>
    </w:p>
    <w:p w14:paraId="5991F480">
      <w:pPr>
        <w:spacing w:before="0" w:after="240"/>
        <w:rPr>
          <w:color w:val="000000" w:themeColor="text1"/>
          <w14:textFill>
            <w14:solidFill>
              <w14:schemeClr w14:val="tx1"/>
            </w14:solidFill>
          </w14:textFill>
        </w:rPr>
      </w:pPr>
      <w:r>
        <w:rPr>
          <w:color w:val="000000" w:themeColor="text1"/>
          <w:highlight w:val="white"/>
          <w14:textFill>
            <w14:solidFill>
              <w14:schemeClr w14:val="tx1"/>
            </w14:solidFill>
          </w14:textFill>
        </w:rPr>
        <w:t xml:space="preserve">Kekeya, J., (2021). Qualitative case study research design: The commonalities and differences between collective, intrinsic and instrumental case studies. </w:t>
      </w:r>
      <w:r>
        <w:rPr>
          <w:i/>
          <w:iCs/>
          <w:color w:val="000000" w:themeColor="text1"/>
          <w:highlight w:val="white"/>
          <w14:textFill>
            <w14:solidFill>
              <w14:schemeClr w14:val="tx1"/>
            </w14:solidFill>
          </w14:textFill>
        </w:rPr>
        <w:t>Contemporary PNG Studies</w:t>
      </w:r>
      <w:r>
        <w:rPr>
          <w:color w:val="000000" w:themeColor="text1"/>
          <w:highlight w:val="white"/>
          <w14:textFill>
            <w14:solidFill>
              <w14:schemeClr w14:val="tx1"/>
            </w14:solidFill>
          </w14:textFill>
        </w:rPr>
        <w:t xml:space="preserve">, </w:t>
      </w:r>
      <w:r>
        <w:rPr>
          <w:i/>
          <w:iCs/>
          <w:color w:val="000000" w:themeColor="text1"/>
          <w:highlight w:val="white"/>
          <w14:textFill>
            <w14:solidFill>
              <w14:schemeClr w14:val="tx1"/>
            </w14:solidFill>
          </w14:textFill>
        </w:rPr>
        <w:t>36</w:t>
      </w:r>
      <w:r>
        <w:rPr>
          <w:color w:val="000000" w:themeColor="text1"/>
          <w:highlight w:val="white"/>
          <w14:textFill>
            <w14:solidFill>
              <w14:schemeClr w14:val="tx1"/>
            </w14:solidFill>
          </w14:textFill>
        </w:rPr>
        <w:t xml:space="preserve">, pp.28-37. </w:t>
      </w:r>
      <w:r>
        <w:rPr>
          <w:color w:val="000000" w:themeColor="text1"/>
          <w14:textFill>
            <w14:solidFill>
              <w14:schemeClr w14:val="tx1"/>
            </w14:solidFill>
          </w14:textFill>
        </w:rPr>
        <w:t xml:space="preserve">Available at: </w:t>
      </w:r>
      <w:r>
        <w:fldChar w:fldCharType="begin"/>
      </w:r>
      <w:r>
        <w:instrText xml:space="preserve"> HYPERLINK "https://doi/abs/10.3316/informit.356219476950585" \h </w:instrText>
      </w:r>
      <w:r>
        <w:fldChar w:fldCharType="separate"/>
      </w:r>
      <w:r>
        <w:rPr>
          <w:color w:val="000000" w:themeColor="text1"/>
          <w:u w:val="single"/>
          <w14:textFill>
            <w14:solidFill>
              <w14:schemeClr w14:val="tx1"/>
            </w14:solidFill>
          </w14:textFill>
        </w:rPr>
        <w:t>https://doi/abs/10.3316/informit.356219476950585</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w:t>
      </w:r>
    </w:p>
    <w:p w14:paraId="5991F481">
      <w:pPr>
        <w:rPr>
          <w:color w:val="000000" w:themeColor="text1"/>
          <w14:textFill>
            <w14:solidFill>
              <w14:schemeClr w14:val="tx1"/>
            </w14:solidFill>
          </w14:textFill>
        </w:rPr>
      </w:pPr>
      <w:r>
        <w:rPr>
          <w:color w:val="000000" w:themeColor="text1"/>
          <w14:textFill>
            <w14:solidFill>
              <w14:schemeClr w14:val="tx1"/>
            </w14:solidFill>
          </w14:textFill>
        </w:rPr>
        <w:t xml:space="preserve">Lim, W.M., (2025). What is qualitative research? An overview and guidelines. </w:t>
      </w:r>
      <w:r>
        <w:rPr>
          <w:i/>
          <w:iCs/>
          <w:color w:val="000000" w:themeColor="text1"/>
          <w14:textFill>
            <w14:solidFill>
              <w14:schemeClr w14:val="tx1"/>
            </w14:solidFill>
          </w14:textFill>
        </w:rPr>
        <w:t>Australasian Marketing Journal</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33</w:t>
      </w:r>
      <w:r>
        <w:rPr>
          <w:color w:val="000000" w:themeColor="text1"/>
          <w14:textFill>
            <w14:solidFill>
              <w14:schemeClr w14:val="tx1"/>
            </w14:solidFill>
          </w14:textFill>
        </w:rPr>
        <w:t xml:space="preserve">(2), pp.199-229. Available at: </w:t>
      </w:r>
      <w:r>
        <w:fldChar w:fldCharType="begin"/>
      </w:r>
      <w:r>
        <w:instrText xml:space="preserve"> HYPERLINK "http://doi.org/10.1177/14413582241264619" \h </w:instrText>
      </w:r>
      <w:r>
        <w:fldChar w:fldCharType="separate"/>
      </w:r>
      <w:r>
        <w:rPr>
          <w:color w:val="000000" w:themeColor="text1"/>
          <w:u w:val="single"/>
          <w14:textFill>
            <w14:solidFill>
              <w14:schemeClr w14:val="tx1"/>
            </w14:solidFill>
          </w14:textFill>
        </w:rPr>
        <w:t>http://doi.org/10.1177/14413582241264619</w:t>
      </w:r>
      <w:r>
        <w:rPr>
          <w:color w:val="000000" w:themeColor="text1"/>
          <w:u w:val="single"/>
          <w14:textFill>
            <w14:solidFill>
              <w14:schemeClr w14:val="tx1"/>
            </w14:solidFill>
          </w14:textFill>
        </w:rPr>
        <w:fldChar w:fldCharType="end"/>
      </w:r>
    </w:p>
    <w:p w14:paraId="5991F482">
      <w:pPr>
        <w:rPr>
          <w:color w:val="000000" w:themeColor="text1"/>
          <w14:textFill>
            <w14:solidFill>
              <w14:schemeClr w14:val="tx1"/>
            </w14:solidFill>
          </w14:textFill>
        </w:rPr>
      </w:pPr>
      <w:r>
        <w:rPr>
          <w:color w:val="000000" w:themeColor="text1"/>
          <w14:textFill>
            <w14:solidFill>
              <w14:schemeClr w14:val="tx1"/>
            </w14:solidFill>
          </w14:textFill>
        </w:rPr>
        <w:t xml:space="preserve">Munasinghe, D. and Ranasinghe, S., (2023). How to conduct a literature review effectively using effective searching techniques. </w:t>
      </w:r>
      <w:r>
        <w:rPr>
          <w:i/>
          <w:iCs/>
          <w:color w:val="000000" w:themeColor="text1"/>
          <w14:textFill>
            <w14:solidFill>
              <w14:schemeClr w14:val="tx1"/>
            </w14:solidFill>
          </w14:textFill>
        </w:rPr>
        <w:t>The Sri Lankan Journal of Orthopaedic Surgery</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9</w:t>
      </w:r>
      <w:r>
        <w:rPr>
          <w:color w:val="000000" w:themeColor="text1"/>
          <w14:textFill>
            <w14:solidFill>
              <w14:schemeClr w14:val="tx1"/>
            </w14:solidFill>
          </w14:textFill>
        </w:rPr>
        <w:t xml:space="preserve">(1). Available at: </w:t>
      </w:r>
      <w:r>
        <w:fldChar w:fldCharType="begin"/>
      </w:r>
      <w:r>
        <w:instrText xml:space="preserve"> HYPERLINK "https://doi.org/10.4038/tsljos.v9i1.23" \h </w:instrText>
      </w:r>
      <w:r>
        <w:fldChar w:fldCharType="separate"/>
      </w:r>
      <w:r>
        <w:rPr>
          <w:color w:val="000000" w:themeColor="text1"/>
          <w:u w:val="single"/>
          <w14:textFill>
            <w14:solidFill>
              <w14:schemeClr w14:val="tx1"/>
            </w14:solidFill>
          </w14:textFill>
        </w:rPr>
        <w:t>https://doi.org/10.4038/tsljos.v9i1.23</w:t>
      </w:r>
      <w:r>
        <w:rPr>
          <w:color w:val="000000" w:themeColor="text1"/>
          <w:u w:val="single"/>
          <w14:textFill>
            <w14:solidFill>
              <w14:schemeClr w14:val="tx1"/>
            </w14:solidFill>
          </w14:textFill>
        </w:rPr>
        <w:fldChar w:fldCharType="end"/>
      </w:r>
    </w:p>
    <w:p w14:paraId="5991F483">
      <w:pPr>
        <w:spacing w:before="0" w:after="240"/>
        <w:rPr>
          <w:color w:val="000000" w:themeColor="text1"/>
          <w14:textFill>
            <w14:solidFill>
              <w14:schemeClr w14:val="tx1"/>
            </w14:solidFill>
          </w14:textFill>
        </w:rPr>
      </w:pPr>
      <w:r>
        <w:rPr>
          <w:color w:val="000000" w:themeColor="text1"/>
          <w14:textFill>
            <w14:solidFill>
              <w14:schemeClr w14:val="tx1"/>
            </w14:solidFill>
          </w14:textFill>
        </w:rPr>
        <w:t xml:space="preserve">Nezameslami, R., Nezameslami, A., Mehdikhani, B., Mosavi-Jarrahi, A., Shahbazi, A., Rahmani, A., Masoudi, A., Yeganegi, M., Akhondzardaini, R., Bahrami, M., Aghili, K. and Neamatzadeh, H. (2025) ‘Adapting PRISMA Guidelines to Enhance Reporting Quality in Genetic Association Studies: A Framework Proposal’, </w:t>
      </w:r>
      <w:r>
        <w:rPr>
          <w:i/>
          <w:iCs/>
          <w:color w:val="000000" w:themeColor="text1"/>
          <w14:textFill>
            <w14:solidFill>
              <w14:schemeClr w14:val="tx1"/>
            </w14:solidFill>
          </w14:textFill>
        </w:rPr>
        <w:t>Asian Pacific Journal of Cancer Prevention</w:t>
      </w:r>
      <w:r>
        <w:rPr>
          <w:color w:val="000000" w:themeColor="text1"/>
          <w14:textFill>
            <w14:solidFill>
              <w14:schemeClr w14:val="tx1"/>
            </w14:solidFill>
          </w14:textFill>
        </w:rPr>
        <w:t xml:space="preserve">, 26(5), pp. 1641–1651. Available at: </w:t>
      </w:r>
      <w:r>
        <w:fldChar w:fldCharType="begin"/>
      </w:r>
      <w:r>
        <w:instrText xml:space="preserve"> HYPERLINK "https://doi.org/10.31557/apjcp.2025.26.5.1641" \h </w:instrText>
      </w:r>
      <w:r>
        <w:fldChar w:fldCharType="separate"/>
      </w:r>
      <w:r>
        <w:rPr>
          <w:color w:val="000000" w:themeColor="text1"/>
          <w:u w:val="single"/>
          <w14:textFill>
            <w14:solidFill>
              <w14:schemeClr w14:val="tx1"/>
            </w14:solidFill>
          </w14:textFill>
        </w:rPr>
        <w:t>https://doi.org/10.31557/apjcp.2025.26.5.1641</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w:t>
      </w:r>
    </w:p>
    <w:p w14:paraId="5991F484">
      <w:pPr>
        <w:rPr>
          <w:color w:val="000000" w:themeColor="text1"/>
          <w14:textFill>
            <w14:solidFill>
              <w14:schemeClr w14:val="tx1"/>
            </w14:solidFill>
          </w14:textFill>
        </w:rPr>
      </w:pPr>
      <w:r>
        <w:rPr>
          <w:color w:val="000000" w:themeColor="text1"/>
          <w14:textFill>
            <w14:solidFill>
              <w14:schemeClr w14:val="tx1"/>
            </w14:solidFill>
          </w14:textFill>
        </w:rPr>
        <w:t xml:space="preserve">Nyimbili, F. and Nyimbili, L., (2024). Types of purposive sampling techniques with their examples and application in qualitative research studies. Available at: </w:t>
      </w:r>
      <w:r>
        <w:fldChar w:fldCharType="begin"/>
      </w:r>
      <w:r>
        <w:instrText xml:space="preserve"> HYPERLINK "https://doi.org/10.37745/bjmas.2022.0196" \h </w:instrText>
      </w:r>
      <w:r>
        <w:fldChar w:fldCharType="separate"/>
      </w:r>
      <w:r>
        <w:rPr>
          <w:color w:val="000000" w:themeColor="text1"/>
          <w:u w:val="single"/>
          <w14:textFill>
            <w14:solidFill>
              <w14:schemeClr w14:val="tx1"/>
            </w14:solidFill>
          </w14:textFill>
        </w:rPr>
        <w:t>https://doi.org/10.37745/bjmas.2022.0196</w:t>
      </w:r>
      <w:r>
        <w:rPr>
          <w:color w:val="000000" w:themeColor="text1"/>
          <w:u w:val="single"/>
          <w14:textFill>
            <w14:solidFill>
              <w14:schemeClr w14:val="tx1"/>
            </w14:solidFill>
          </w14:textFill>
        </w:rPr>
        <w:fldChar w:fldCharType="end"/>
      </w:r>
    </w:p>
    <w:p w14:paraId="5991F485">
      <w:pPr>
        <w:rPr>
          <w:b/>
          <w:bCs/>
          <w:i/>
          <w:iCs/>
          <w:color w:val="000000" w:themeColor="text1"/>
          <w:highlight w:val="white"/>
          <w14:textFill>
            <w14:solidFill>
              <w14:schemeClr w14:val="tx1"/>
            </w14:solidFill>
          </w14:textFill>
        </w:rPr>
      </w:pPr>
      <w:r>
        <w:rPr>
          <w:b/>
          <w:bCs/>
          <w:i/>
          <w:iCs/>
          <w:color w:val="000000" w:themeColor="text1"/>
          <w:highlight w:val="white"/>
          <w14:textFill>
            <w14:solidFill>
              <w14:schemeClr w14:val="tx1"/>
            </w14:solidFill>
          </w14:textFill>
        </w:rPr>
        <w:t>Chapter 3</w:t>
      </w:r>
    </w:p>
    <w:p w14:paraId="5991F486">
      <w:pPr>
        <w:rPr>
          <w:color w:val="000000" w:themeColor="text1"/>
          <w14:textFill>
            <w14:solidFill>
              <w14:schemeClr w14:val="tx1"/>
            </w14:solidFill>
          </w14:textFill>
        </w:rPr>
      </w:pPr>
      <w:r>
        <w:rPr>
          <w:color w:val="000000" w:themeColor="text1"/>
          <w14:textFill>
            <w14:solidFill>
              <w14:schemeClr w14:val="tx1"/>
            </w14:solidFill>
          </w14:textFill>
        </w:rPr>
        <w:t xml:space="preserve">Aderibigbe, A.O., Ani, E.C., Ohenhen, P.E., Ohalete, N.C. and Daraojimba, D.O. (2023). Enhancing energy efficiency with ai: a review of machine learning models in electricity demand forecasting. </w:t>
      </w:r>
      <w:r>
        <w:rPr>
          <w:i/>
          <w:iCs/>
          <w:color w:val="000000" w:themeColor="text1"/>
          <w14:textFill>
            <w14:solidFill>
              <w14:schemeClr w14:val="tx1"/>
            </w14:solidFill>
          </w14:textFill>
        </w:rPr>
        <w:t>Engineering Science &amp; Technology Journal</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4</w:t>
      </w:r>
      <w:r>
        <w:rPr>
          <w:color w:val="000000" w:themeColor="text1"/>
          <w14:textFill>
            <w14:solidFill>
              <w14:schemeClr w14:val="tx1"/>
            </w14:solidFill>
          </w14:textFill>
        </w:rPr>
        <w:t>(6), pp.341-356. DOI: 10.51594/estj.v4i6.636</w:t>
      </w:r>
    </w:p>
    <w:p w14:paraId="5991F487">
      <w:pPr>
        <w:rPr>
          <w:color w:val="000000" w:themeColor="text1"/>
          <w14:textFill>
            <w14:solidFill>
              <w14:schemeClr w14:val="tx1"/>
            </w14:solidFill>
          </w14:textFill>
        </w:rPr>
      </w:pPr>
      <w:r>
        <w:rPr>
          <w:color w:val="000000" w:themeColor="text1"/>
          <w14:textFill>
            <w14:solidFill>
              <w14:schemeClr w14:val="tx1"/>
            </w14:solidFill>
          </w14:textFill>
        </w:rPr>
        <w:t xml:space="preserve">Antony Jose, S., Cook, C.A.D., Palacios, J., Seo, H., Torres Ramirez, C.E., Wu, J. and Menezes, P.L., (2024). Recent Advancements in Artificial Intelligence in Battery Recycling. </w:t>
      </w:r>
      <w:r>
        <w:rPr>
          <w:i/>
          <w:iCs/>
          <w:color w:val="000000" w:themeColor="text1"/>
          <w14:textFill>
            <w14:solidFill>
              <w14:schemeClr w14:val="tx1"/>
            </w14:solidFill>
          </w14:textFill>
        </w:rPr>
        <w:t>Batteries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10</w:t>
      </w:r>
      <w:r>
        <w:rPr>
          <w:color w:val="000000" w:themeColor="text1"/>
          <w14:textFill>
            <w14:solidFill>
              <w14:schemeClr w14:val="tx1"/>
            </w14:solidFill>
          </w14:textFill>
        </w:rPr>
        <w:t>(12). DOI:</w:t>
      </w:r>
      <w:r>
        <w:fldChar w:fldCharType="begin"/>
      </w:r>
      <w:r>
        <w:instrText xml:space="preserve"> HYPERLINK "https://doi.org/10.3390/batteries10120440" \h </w:instrText>
      </w:r>
      <w:r>
        <w:fldChar w:fldCharType="separate"/>
      </w:r>
      <w:r>
        <w:rPr>
          <w:color w:val="000000" w:themeColor="text1"/>
          <w:u w:val="single"/>
          <w14:textFill>
            <w14:solidFill>
              <w14:schemeClr w14:val="tx1"/>
            </w14:solidFill>
          </w14:textFill>
        </w:rPr>
        <w:t>https://doi.org/10.3390/batteries10120440</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w:t>
      </w:r>
    </w:p>
    <w:p w14:paraId="5991F488">
      <w:pPr>
        <w:rPr>
          <w:color w:val="000000" w:themeColor="text1"/>
          <w14:textFill>
            <w14:solidFill>
              <w14:schemeClr w14:val="tx1"/>
            </w14:solidFill>
          </w14:textFill>
        </w:rPr>
      </w:pPr>
      <w:r>
        <w:rPr>
          <w:color w:val="000000" w:themeColor="text1"/>
          <w14:textFill>
            <w14:solidFill>
              <w14:schemeClr w14:val="tx1"/>
            </w14:solidFill>
          </w14:textFill>
        </w:rPr>
        <w:t xml:space="preserve">Bag, S., Srivastava, G., Bashir, M.M.A., Kumari, S., Giannakis, M. and Chowdhury, A.H., (2022). Journey of customers in this digital era: Understanding the role of artificial intelligence technologies in user engagement and conversion. </w:t>
      </w:r>
      <w:r>
        <w:rPr>
          <w:i/>
          <w:iCs/>
          <w:color w:val="000000" w:themeColor="text1"/>
          <w14:textFill>
            <w14:solidFill>
              <w14:schemeClr w14:val="tx1"/>
            </w14:solidFill>
          </w14:textFill>
        </w:rPr>
        <w:t>Benchmarking: An International Journal</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29</w:t>
      </w:r>
      <w:r>
        <w:rPr>
          <w:color w:val="000000" w:themeColor="text1"/>
          <w14:textFill>
            <w14:solidFill>
              <w14:schemeClr w14:val="tx1"/>
            </w14:solidFill>
          </w14:textFill>
        </w:rPr>
        <w:t xml:space="preserve">(7), pp.2074-2098. DOI: </w:t>
      </w:r>
      <w:r>
        <w:fldChar w:fldCharType="begin"/>
      </w:r>
      <w:r>
        <w:instrText xml:space="preserve"> HYPERLINK "https://doi.org/10.1108/BIJ-07-2021-0415" \h </w:instrText>
      </w:r>
      <w:r>
        <w:fldChar w:fldCharType="separate"/>
      </w:r>
      <w:r>
        <w:rPr>
          <w:color w:val="000000" w:themeColor="text1"/>
          <w:u w:val="single"/>
          <w14:textFill>
            <w14:solidFill>
              <w14:schemeClr w14:val="tx1"/>
            </w14:solidFill>
          </w14:textFill>
        </w:rPr>
        <w:t>https://doi.org/10.1108/BIJ-07-(2021)-0415</w:t>
      </w:r>
      <w:r>
        <w:rPr>
          <w:color w:val="000000" w:themeColor="text1"/>
          <w:u w:val="single"/>
          <w14:textFill>
            <w14:solidFill>
              <w14:schemeClr w14:val="tx1"/>
            </w14:solidFill>
          </w14:textFill>
        </w:rPr>
        <w:fldChar w:fldCharType="end"/>
      </w:r>
    </w:p>
    <w:p w14:paraId="5991F489">
      <w:pPr>
        <w:rPr>
          <w:color w:val="000000" w:themeColor="text1"/>
          <w14:textFill>
            <w14:solidFill>
              <w14:schemeClr w14:val="tx1"/>
            </w14:solidFill>
          </w14:textFill>
        </w:rPr>
      </w:pPr>
      <w:r>
        <w:rPr>
          <w:color w:val="000000" w:themeColor="text1"/>
          <w14:textFill>
            <w14:solidFill>
              <w14:schemeClr w14:val="tx1"/>
            </w14:solidFill>
          </w14:textFill>
        </w:rPr>
        <w:t xml:space="preserve">Bashynska, I. and Prokopenko, O., (2024). Mitigating Cyber Risks in AI-Driven Circular Economy Implementations. </w:t>
      </w:r>
      <w:r>
        <w:rPr>
          <w:i/>
          <w:iCs/>
          <w:color w:val="000000" w:themeColor="text1"/>
          <w14:textFill>
            <w14:solidFill>
              <w14:schemeClr w14:val="tx1"/>
            </w14:solidFill>
          </w14:textFill>
        </w:rPr>
        <w:t>Scientific Journal of Bielsko-Biala School of Finance and Law</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28</w:t>
      </w:r>
      <w:r>
        <w:rPr>
          <w:color w:val="000000" w:themeColor="text1"/>
          <w14:textFill>
            <w14:solidFill>
              <w14:schemeClr w14:val="tx1"/>
            </w14:solidFill>
          </w14:textFill>
        </w:rPr>
        <w:t>(4). DOI:</w:t>
      </w:r>
      <w:r>
        <w:fldChar w:fldCharType="begin"/>
      </w:r>
      <w:r>
        <w:instrText xml:space="preserve"> HYPERLINK "https://doi.org/10.19192/wsfip.sj4.2024.10" \h </w:instrText>
      </w:r>
      <w:r>
        <w:fldChar w:fldCharType="separate"/>
      </w:r>
      <w:r>
        <w:rPr>
          <w:color w:val="000000" w:themeColor="text1"/>
          <w:u w:val="single"/>
          <w14:textFill>
            <w14:solidFill>
              <w14:schemeClr w14:val="tx1"/>
            </w14:solidFill>
          </w14:textFill>
        </w:rPr>
        <w:t>https://doi.org/10.19192/wsfip.sj4.(2024).10</w:t>
      </w:r>
      <w:r>
        <w:rPr>
          <w:color w:val="000000" w:themeColor="text1"/>
          <w:u w:val="single"/>
          <w14:textFill>
            <w14:solidFill>
              <w14:schemeClr w14:val="tx1"/>
            </w14:solidFill>
          </w14:textFill>
        </w:rPr>
        <w:fldChar w:fldCharType="end"/>
      </w:r>
    </w:p>
    <w:p w14:paraId="5991F48A">
      <w:pPr>
        <w:rPr>
          <w:color w:val="000000" w:themeColor="text1"/>
          <w14:textFill>
            <w14:solidFill>
              <w14:schemeClr w14:val="tx1"/>
            </w14:solidFill>
          </w14:textFill>
        </w:rPr>
      </w:pPr>
      <w:r>
        <w:rPr>
          <w:color w:val="000000" w:themeColor="text1"/>
          <w14:textFill>
            <w14:solidFill>
              <w14:schemeClr w14:val="tx1"/>
            </w14:solidFill>
          </w14:textFill>
        </w:rPr>
        <w:t xml:space="preserve">Chertow, M., Reck, B.K., Wrzesniewski, A. and Calli, B. (2024). Outlook on the future role of robots and AI in material recovery facilities: Implications for US recycling and the workforce. </w:t>
      </w:r>
      <w:r>
        <w:rPr>
          <w:i/>
          <w:iCs/>
          <w:color w:val="000000" w:themeColor="text1"/>
          <w14:textFill>
            <w14:solidFill>
              <w14:schemeClr w14:val="tx1"/>
            </w14:solidFill>
          </w14:textFill>
        </w:rPr>
        <w:t>Journal of Cleaner Production</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470</w:t>
      </w:r>
      <w:r>
        <w:rPr>
          <w:color w:val="000000" w:themeColor="text1"/>
          <w14:textFill>
            <w14:solidFill>
              <w14:schemeClr w14:val="tx1"/>
            </w14:solidFill>
          </w14:textFill>
        </w:rPr>
        <w:t xml:space="preserve">, p.143234. DOI: </w:t>
      </w:r>
      <w:r>
        <w:fldChar w:fldCharType="begin"/>
      </w:r>
      <w:r>
        <w:instrText xml:space="preserve"> HYPERLINK "https://doi.org/10.1016/j.jclepro.2024.143234" \h </w:instrText>
      </w:r>
      <w:r>
        <w:fldChar w:fldCharType="separate"/>
      </w:r>
      <w:r>
        <w:rPr>
          <w:color w:val="000000" w:themeColor="text1"/>
          <w:u w:val="single"/>
          <w14:textFill>
            <w14:solidFill>
              <w14:schemeClr w14:val="tx1"/>
            </w14:solidFill>
          </w14:textFill>
        </w:rPr>
        <w:t>https://doi.org/10.1016/j.jclepro.2024.143234</w:t>
      </w:r>
      <w:r>
        <w:rPr>
          <w:color w:val="000000" w:themeColor="text1"/>
          <w:u w:val="single"/>
          <w14:textFill>
            <w14:solidFill>
              <w14:schemeClr w14:val="tx1"/>
            </w14:solidFill>
          </w14:textFill>
        </w:rPr>
        <w:fldChar w:fldCharType="end"/>
      </w:r>
    </w:p>
    <w:p w14:paraId="5991F48B">
      <w:pPr>
        <w:rPr>
          <w:color w:val="000000" w:themeColor="text1"/>
          <w14:textFill>
            <w14:solidFill>
              <w14:schemeClr w14:val="tx1"/>
            </w14:solidFill>
          </w14:textFill>
        </w:rPr>
      </w:pPr>
      <w:r>
        <w:rPr>
          <w:color w:val="000000" w:themeColor="text1"/>
          <w14:textFill>
            <w14:solidFill>
              <w14:schemeClr w14:val="tx1"/>
            </w14:solidFill>
          </w14:textFill>
        </w:rPr>
        <w:t xml:space="preserve">Fang, B., Yu, J., Chen, Z., Osman, A.I., Farghali, M., Ihara, I., Hamza, E.H., Rooney, D.W. and Yap, P.S. (2023). ‘Artificial intelligence for waste management in smart cities: a review’. </w:t>
      </w:r>
      <w:r>
        <w:rPr>
          <w:i/>
          <w:iCs/>
          <w:color w:val="000000" w:themeColor="text1"/>
          <w14:textFill>
            <w14:solidFill>
              <w14:schemeClr w14:val="tx1"/>
            </w14:solidFill>
          </w14:textFill>
        </w:rPr>
        <w:t>Environmental Chemistry Letters, 21</w:t>
      </w:r>
      <w:r>
        <w:rPr>
          <w:color w:val="000000" w:themeColor="text1"/>
          <w14:textFill>
            <w14:solidFill>
              <w14:schemeClr w14:val="tx1"/>
            </w14:solidFill>
          </w14:textFill>
        </w:rPr>
        <w:t xml:space="preserve">(4), pp.1959-1989. DOI: </w:t>
      </w:r>
      <w:r>
        <w:fldChar w:fldCharType="begin"/>
      </w:r>
      <w:r>
        <w:instrText xml:space="preserve"> HYPERLINK "https://doi.org/10.1007/s10311-023-01604-3" \h </w:instrText>
      </w:r>
      <w:r>
        <w:fldChar w:fldCharType="separate"/>
      </w:r>
      <w:r>
        <w:rPr>
          <w:color w:val="000000" w:themeColor="text1"/>
          <w:u w:val="single"/>
          <w14:textFill>
            <w14:solidFill>
              <w14:schemeClr w14:val="tx1"/>
            </w14:solidFill>
          </w14:textFill>
        </w:rPr>
        <w:t>https://doi.org/10.1007/s10311-023-01604-3</w:t>
      </w:r>
      <w:r>
        <w:rPr>
          <w:color w:val="000000" w:themeColor="text1"/>
          <w:u w:val="single"/>
          <w14:textFill>
            <w14:solidFill>
              <w14:schemeClr w14:val="tx1"/>
            </w14:solidFill>
          </w14:textFill>
        </w:rPr>
        <w:fldChar w:fldCharType="end"/>
      </w:r>
    </w:p>
    <w:p w14:paraId="5991F48C">
      <w:pPr>
        <w:rPr>
          <w:color w:val="000000" w:themeColor="text1"/>
          <w14:textFill>
            <w14:solidFill>
              <w14:schemeClr w14:val="tx1"/>
            </w14:solidFill>
          </w14:textFill>
        </w:rPr>
      </w:pPr>
      <w:r>
        <w:rPr>
          <w:color w:val="000000" w:themeColor="text1"/>
          <w14:textFill>
            <w14:solidFill>
              <w14:schemeClr w14:val="tx1"/>
            </w14:solidFill>
          </w14:textFill>
        </w:rPr>
        <w:t xml:space="preserve">Fang, Y., Wen, Y., Dai, L., Wang, C.H., You, S. and Li, W. (2025). Artificial intelligence in plastic recycling and conversion: A review. </w:t>
      </w:r>
      <w:r>
        <w:rPr>
          <w:i/>
          <w:iCs/>
          <w:color w:val="000000" w:themeColor="text1"/>
          <w14:textFill>
            <w14:solidFill>
              <w14:schemeClr w14:val="tx1"/>
            </w14:solidFill>
          </w14:textFill>
        </w:rPr>
        <w:t>Resources, Conservation and Recycling</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215</w:t>
      </w:r>
      <w:r>
        <w:rPr>
          <w:color w:val="000000" w:themeColor="text1"/>
          <w14:textFill>
            <w14:solidFill>
              <w14:schemeClr w14:val="tx1"/>
            </w14:solidFill>
          </w14:textFill>
        </w:rPr>
        <w:t xml:space="preserve">, p.108090. DOI: </w:t>
      </w:r>
      <w:r>
        <w:fldChar w:fldCharType="begin"/>
      </w:r>
      <w:r>
        <w:instrText xml:space="preserve"> HYPERLINK "https://doi.org/10.1016/j.resconrec.2024.108090" \h </w:instrText>
      </w:r>
      <w:r>
        <w:fldChar w:fldCharType="separate"/>
      </w:r>
      <w:r>
        <w:rPr>
          <w:color w:val="000000" w:themeColor="text1"/>
          <w:u w:val="single"/>
          <w14:textFill>
            <w14:solidFill>
              <w14:schemeClr w14:val="tx1"/>
            </w14:solidFill>
          </w14:textFill>
        </w:rPr>
        <w:t>https://doi.org/10.1016/j.resconrec.2024.108090</w:t>
      </w:r>
      <w:r>
        <w:rPr>
          <w:color w:val="000000" w:themeColor="text1"/>
          <w:u w:val="single"/>
          <w14:textFill>
            <w14:solidFill>
              <w14:schemeClr w14:val="tx1"/>
            </w14:solidFill>
          </w14:textFill>
        </w:rPr>
        <w:fldChar w:fldCharType="end"/>
      </w:r>
    </w:p>
    <w:p w14:paraId="5991F48D">
      <w:pPr>
        <w:rPr>
          <w:color w:val="000000" w:themeColor="text1"/>
          <w14:textFill>
            <w14:solidFill>
              <w14:schemeClr w14:val="tx1"/>
            </w14:solidFill>
          </w14:textFill>
        </w:rPr>
      </w:pPr>
      <w:r>
        <w:rPr>
          <w:color w:val="000000" w:themeColor="text1"/>
          <w14:textFill>
            <w14:solidFill>
              <w14:schemeClr w14:val="tx1"/>
            </w14:solidFill>
          </w14:textFill>
        </w:rPr>
        <w:t xml:space="preserve">Lakhouit, A., (2025). Revolutionizing urban solid waste management with AI and IoT: a review of smart solutions for waste collection, sorting, and recycling. </w:t>
      </w:r>
      <w:r>
        <w:rPr>
          <w:i/>
          <w:iCs/>
          <w:color w:val="000000" w:themeColor="text1"/>
          <w14:textFill>
            <w14:solidFill>
              <w14:schemeClr w14:val="tx1"/>
            </w14:solidFill>
          </w14:textFill>
        </w:rPr>
        <w:t>Results in Engineering</w:t>
      </w:r>
      <w:r>
        <w:rPr>
          <w:color w:val="000000" w:themeColor="text1"/>
          <w14:textFill>
            <w14:solidFill>
              <w14:schemeClr w14:val="tx1"/>
            </w14:solidFill>
          </w14:textFill>
        </w:rPr>
        <w:t xml:space="preserve">, p.104018. DOI: </w:t>
      </w:r>
      <w:r>
        <w:fldChar w:fldCharType="begin"/>
      </w:r>
      <w:r>
        <w:instrText xml:space="preserve"> HYPERLINK "https://doi.org/10.1016/j.rineng.2025.104018" \h </w:instrText>
      </w:r>
      <w:r>
        <w:fldChar w:fldCharType="separate"/>
      </w:r>
      <w:r>
        <w:rPr>
          <w:color w:val="000000" w:themeColor="text1"/>
          <w:u w:val="single"/>
          <w14:textFill>
            <w14:solidFill>
              <w14:schemeClr w14:val="tx1"/>
            </w14:solidFill>
          </w14:textFill>
        </w:rPr>
        <w:t>https://doi.org/10.1016/j.rineng.(2025).104018</w:t>
      </w:r>
      <w:r>
        <w:rPr>
          <w:color w:val="000000" w:themeColor="text1"/>
          <w:u w:val="single"/>
          <w14:textFill>
            <w14:solidFill>
              <w14:schemeClr w14:val="tx1"/>
            </w14:solidFill>
          </w14:textFill>
        </w:rPr>
        <w:fldChar w:fldCharType="end"/>
      </w:r>
    </w:p>
    <w:p w14:paraId="5991F48E">
      <w:pPr>
        <w:rPr>
          <w:color w:val="000000" w:themeColor="text1"/>
          <w14:textFill>
            <w14:solidFill>
              <w14:schemeClr w14:val="tx1"/>
            </w14:solidFill>
          </w14:textFill>
        </w:rPr>
      </w:pPr>
      <w:r>
        <w:rPr>
          <w:color w:val="000000" w:themeColor="text1"/>
          <w14:textFill>
            <w14:solidFill>
              <w14:schemeClr w14:val="tx1"/>
            </w14:solidFill>
          </w14:textFill>
        </w:rPr>
        <w:t xml:space="preserve">Madhavi, B., Mahanty, M., Lin, C.C., Lakshmi Jagan, B.O., Rai, H.M., Agarwal, S. and Agarwal, N. (2024). ‘SwinConvNeXt: a fused deep learning architecture for Real-time garbage image classification’. </w:t>
      </w:r>
      <w:r>
        <w:rPr>
          <w:i/>
          <w:iCs/>
          <w:color w:val="000000" w:themeColor="text1"/>
          <w14:textFill>
            <w14:solidFill>
              <w14:schemeClr w14:val="tx1"/>
            </w14:solidFill>
          </w14:textFill>
        </w:rPr>
        <w:t>Scientific Reports, 15</w:t>
      </w:r>
      <w:r>
        <w:rPr>
          <w:color w:val="000000" w:themeColor="text1"/>
          <w14:textFill>
            <w14:solidFill>
              <w14:schemeClr w14:val="tx1"/>
            </w14:solidFill>
          </w14:textFill>
        </w:rPr>
        <w:t xml:space="preserve">(1), p.7995. DOI: </w:t>
      </w:r>
      <w:r>
        <w:fldChar w:fldCharType="begin"/>
      </w:r>
      <w:r>
        <w:instrText xml:space="preserve"> HYPERLINK "https://doi.org/10.1038/s41598-025-91302-7" \h </w:instrText>
      </w:r>
      <w:r>
        <w:fldChar w:fldCharType="separate"/>
      </w:r>
      <w:r>
        <w:rPr>
          <w:color w:val="000000" w:themeColor="text1"/>
          <w:u w:val="single"/>
          <w14:textFill>
            <w14:solidFill>
              <w14:schemeClr w14:val="tx1"/>
            </w14:solidFill>
          </w14:textFill>
        </w:rPr>
        <w:t>https://doi.org/10.1038/s41598-025-91302-7</w:t>
      </w:r>
      <w:r>
        <w:rPr>
          <w:color w:val="000000" w:themeColor="text1"/>
          <w:u w:val="single"/>
          <w14:textFill>
            <w14:solidFill>
              <w14:schemeClr w14:val="tx1"/>
            </w14:solidFill>
          </w14:textFill>
        </w:rPr>
        <w:fldChar w:fldCharType="end"/>
      </w:r>
    </w:p>
    <w:p w14:paraId="5991F48F">
      <w:pPr>
        <w:rPr>
          <w:color w:val="000000" w:themeColor="text1"/>
          <w14:textFill>
            <w14:solidFill>
              <w14:schemeClr w14:val="tx1"/>
            </w14:solidFill>
          </w14:textFill>
        </w:rPr>
      </w:pPr>
      <w:r>
        <w:rPr>
          <w:color w:val="000000" w:themeColor="text1"/>
          <w14:textFill>
            <w14:solidFill>
              <w14:schemeClr w14:val="tx1"/>
            </w14:solidFill>
          </w14:textFill>
        </w:rPr>
        <w:t xml:space="preserve">Oladapo, B.I., Olawumi, M.A. and Omigbodun, F.T., (2024). AI-Driven Circular Economy of Enhancing Sustainability and Efficiency in Industrial Operations. </w:t>
      </w:r>
      <w:r>
        <w:rPr>
          <w:i/>
          <w:iCs/>
          <w:color w:val="000000" w:themeColor="text1"/>
          <w14:textFill>
            <w14:solidFill>
              <w14:schemeClr w14:val="tx1"/>
            </w14:solidFill>
          </w14:textFill>
        </w:rPr>
        <w:t>Sustainability</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16</w:t>
      </w:r>
      <w:r>
        <w:rPr>
          <w:color w:val="000000" w:themeColor="text1"/>
          <w14:textFill>
            <w14:solidFill>
              <w14:schemeClr w14:val="tx1"/>
            </w14:solidFill>
          </w14:textFill>
        </w:rPr>
        <w:t xml:space="preserve">(23), p.10358. DOI: </w:t>
      </w:r>
      <w:r>
        <w:fldChar w:fldCharType="begin"/>
      </w:r>
      <w:r>
        <w:instrText xml:space="preserve"> HYPERLINK "https://doi.org/10.3390/su162310358" \h </w:instrText>
      </w:r>
      <w:r>
        <w:fldChar w:fldCharType="separate"/>
      </w:r>
      <w:r>
        <w:rPr>
          <w:color w:val="000000" w:themeColor="text1"/>
          <w:u w:val="single"/>
          <w14:textFill>
            <w14:solidFill>
              <w14:schemeClr w14:val="tx1"/>
            </w14:solidFill>
          </w14:textFill>
        </w:rPr>
        <w:t>https://doi.org/10.3390/su162310358</w:t>
      </w:r>
      <w:r>
        <w:rPr>
          <w:color w:val="000000" w:themeColor="text1"/>
          <w:u w:val="single"/>
          <w14:textFill>
            <w14:solidFill>
              <w14:schemeClr w14:val="tx1"/>
            </w14:solidFill>
          </w14:textFill>
        </w:rPr>
        <w:fldChar w:fldCharType="end"/>
      </w:r>
    </w:p>
    <w:p w14:paraId="5991F490">
      <w:pPr>
        <w:rPr>
          <w:color w:val="000000" w:themeColor="text1"/>
          <w14:textFill>
            <w14:solidFill>
              <w14:schemeClr w14:val="tx1"/>
            </w14:solidFill>
          </w14:textFill>
        </w:rPr>
      </w:pPr>
      <w:r>
        <w:rPr>
          <w:color w:val="000000" w:themeColor="text1"/>
          <w14:textFill>
            <w14:solidFill>
              <w14:schemeClr w14:val="tx1"/>
            </w14:solidFill>
          </w14:textFill>
        </w:rPr>
        <w:t xml:space="preserve">Sahoo, S.K., Fabus, J., Garbarova, M., Kvasnicova-Galovicova, T., Pattnaik, L. and Sahoo, S., (2025). Devising AI-Based Customer Engagement to Foster Positive Attitude Towards Green Purchase Intentions. </w:t>
      </w:r>
      <w:r>
        <w:rPr>
          <w:i/>
          <w:iCs/>
          <w:color w:val="000000" w:themeColor="text1"/>
          <w14:textFill>
            <w14:solidFill>
              <w14:schemeClr w14:val="tx1"/>
            </w14:solidFill>
          </w14:textFill>
        </w:rPr>
        <w:t>Sustainability</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17</w:t>
      </w:r>
      <w:r>
        <w:rPr>
          <w:color w:val="000000" w:themeColor="text1"/>
          <w14:textFill>
            <w14:solidFill>
              <w14:schemeClr w14:val="tx1"/>
            </w14:solidFill>
          </w14:textFill>
        </w:rPr>
        <w:t xml:space="preserve">(20), p.9282. DOI: </w:t>
      </w:r>
      <w:r>
        <w:fldChar w:fldCharType="begin"/>
      </w:r>
      <w:r>
        <w:instrText xml:space="preserve"> HYPERLINK "https://doi.org/10.3390/su17209282" \h </w:instrText>
      </w:r>
      <w:r>
        <w:fldChar w:fldCharType="separate"/>
      </w:r>
      <w:r>
        <w:rPr>
          <w:color w:val="000000" w:themeColor="text1"/>
          <w:u w:val="single"/>
          <w14:textFill>
            <w14:solidFill>
              <w14:schemeClr w14:val="tx1"/>
            </w14:solidFill>
          </w14:textFill>
        </w:rPr>
        <w:t>https://doi.org/10.3390/su17209282</w:t>
      </w:r>
      <w:r>
        <w:rPr>
          <w:color w:val="000000" w:themeColor="text1"/>
          <w:u w:val="single"/>
          <w14:textFill>
            <w14:solidFill>
              <w14:schemeClr w14:val="tx1"/>
            </w14:solidFill>
          </w14:textFill>
        </w:rPr>
        <w:fldChar w:fldCharType="end"/>
      </w:r>
    </w:p>
    <w:p w14:paraId="5991F491">
      <w:pPr>
        <w:rPr>
          <w:color w:val="000000" w:themeColor="text1"/>
          <w14:textFill>
            <w14:solidFill>
              <w14:schemeClr w14:val="tx1"/>
            </w14:solidFill>
          </w14:textFill>
        </w:rPr>
      </w:pPr>
      <w:r>
        <w:rPr>
          <w:color w:val="000000" w:themeColor="text1"/>
          <w14:textFill>
            <w14:solidFill>
              <w14:schemeClr w14:val="tx1"/>
            </w14:solidFill>
          </w14:textFill>
        </w:rPr>
        <w:t xml:space="preserve">Umeliwu, O.A. and Samuel, B.O., (2024). Challenges and Opportunities of Artificial Intelligence on Composite Material Engineering. </w:t>
      </w:r>
      <w:r>
        <w:rPr>
          <w:i/>
          <w:iCs/>
          <w:color w:val="000000" w:themeColor="text1"/>
          <w14:textFill>
            <w14:solidFill>
              <w14:schemeClr w14:val="tx1"/>
            </w14:solidFill>
          </w14:textFill>
        </w:rPr>
        <w:t>Journal of Sustainable Materials Processing and Management</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4</w:t>
      </w:r>
      <w:r>
        <w:rPr>
          <w:color w:val="000000" w:themeColor="text1"/>
          <w14:textFill>
            <w14:solidFill>
              <w14:schemeClr w14:val="tx1"/>
            </w14:solidFill>
          </w14:textFill>
        </w:rPr>
        <w:t xml:space="preserve">(2), pp.61-76. DOI: </w:t>
      </w:r>
      <w:r>
        <w:fldChar w:fldCharType="begin"/>
      </w:r>
      <w:r>
        <w:instrText xml:space="preserve"> HYPERLINK "https://doi.org/10.30880/jsmpm.2024.04.02.007" \h </w:instrText>
      </w:r>
      <w:r>
        <w:fldChar w:fldCharType="separate"/>
      </w:r>
      <w:r>
        <w:rPr>
          <w:color w:val="000000" w:themeColor="text1"/>
          <w:u w:val="single"/>
          <w14:textFill>
            <w14:solidFill>
              <w14:schemeClr w14:val="tx1"/>
            </w14:solidFill>
          </w14:textFill>
        </w:rPr>
        <w:t>https://doi.org/10.30880/jsmpm.(2024).04.02.007</w:t>
      </w:r>
      <w:r>
        <w:rPr>
          <w:color w:val="000000" w:themeColor="text1"/>
          <w:u w:val="single"/>
          <w14:textFill>
            <w14:solidFill>
              <w14:schemeClr w14:val="tx1"/>
            </w14:solidFill>
          </w14:textFill>
        </w:rPr>
        <w:fldChar w:fldCharType="end"/>
      </w:r>
    </w:p>
    <w:p w14:paraId="5991F492">
      <w:pPr>
        <w:rPr>
          <w:b/>
          <w:bCs/>
          <w:i/>
          <w:iCs/>
          <w:color w:val="000000" w:themeColor="text1"/>
          <w14:textFill>
            <w14:solidFill>
              <w14:schemeClr w14:val="tx1"/>
            </w14:solidFill>
          </w14:textFill>
        </w:rPr>
      </w:pPr>
      <w:r>
        <w:rPr>
          <w:b/>
          <w:bCs/>
          <w:i/>
          <w:iCs/>
          <w:color w:val="000000" w:themeColor="text1"/>
          <w14:textFill>
            <w14:solidFill>
              <w14:schemeClr w14:val="tx1"/>
            </w14:solidFill>
          </w14:textFill>
        </w:rPr>
        <w:t>Chapter 4</w:t>
      </w:r>
    </w:p>
    <w:p w14:paraId="5991F493">
      <w:pPr>
        <w:rPr>
          <w:color w:val="000000" w:themeColor="text1"/>
          <w14:textFill>
            <w14:solidFill>
              <w14:schemeClr w14:val="tx1"/>
            </w14:solidFill>
          </w14:textFill>
        </w:rPr>
      </w:pPr>
      <w:r>
        <w:rPr>
          <w:color w:val="000000" w:themeColor="text1"/>
          <w14:textFill>
            <w14:solidFill>
              <w14:schemeClr w14:val="tx1"/>
            </w14:solidFill>
          </w14:textFill>
        </w:rPr>
        <w:t xml:space="preserve">Adekunle, B.I., Chukwuma-Eke, E.C., Balogun, E.D. and Ogunsola, K.O., (2023). Improving customer retention through machine learning: A predictive approach to churn prevention and engagement strategies. </w:t>
      </w:r>
      <w:r>
        <w:rPr>
          <w:i/>
          <w:iCs/>
          <w:color w:val="000000" w:themeColor="text1"/>
          <w14:textFill>
            <w14:solidFill>
              <w14:schemeClr w14:val="tx1"/>
            </w14:solidFill>
          </w14:textFill>
        </w:rPr>
        <w:t>International Journal of Scientific Research in Computer Science, Engineering and Information Technology</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9</w:t>
      </w:r>
      <w:r>
        <w:rPr>
          <w:color w:val="000000" w:themeColor="text1"/>
          <w14:textFill>
            <w14:solidFill>
              <w14:schemeClr w14:val="tx1"/>
            </w14:solidFill>
          </w14:textFill>
        </w:rPr>
        <w:t xml:space="preserve">(4), pp.507-523. Available at: </w:t>
      </w:r>
      <w:r>
        <w:fldChar w:fldCharType="begin"/>
      </w:r>
      <w:r>
        <w:instrText xml:space="preserve"> HYPERLINK "https://doi.org/10.32628/IJSRCSEIT" \h </w:instrText>
      </w:r>
      <w:r>
        <w:fldChar w:fldCharType="separate"/>
      </w:r>
      <w:r>
        <w:rPr>
          <w:color w:val="000000" w:themeColor="text1"/>
          <w:u w:val="single"/>
          <w14:textFill>
            <w14:solidFill>
              <w14:schemeClr w14:val="tx1"/>
            </w14:solidFill>
          </w14:textFill>
        </w:rPr>
        <w:t>https://doi.org/10.32628/IJSRCSEIT</w:t>
      </w:r>
      <w:r>
        <w:rPr>
          <w:color w:val="000000" w:themeColor="text1"/>
          <w:u w:val="single"/>
          <w14:textFill>
            <w14:solidFill>
              <w14:schemeClr w14:val="tx1"/>
            </w14:solidFill>
          </w14:textFill>
        </w:rPr>
        <w:fldChar w:fldCharType="end"/>
      </w:r>
    </w:p>
    <w:p w14:paraId="5991F494">
      <w:pPr>
        <w:rPr>
          <w:color w:val="000000" w:themeColor="text1"/>
          <w14:textFill>
            <w14:solidFill>
              <w14:schemeClr w14:val="tx1"/>
            </w14:solidFill>
          </w14:textFill>
        </w:rPr>
      </w:pPr>
      <w:r>
        <w:rPr>
          <w:color w:val="000000" w:themeColor="text1"/>
          <w14:textFill>
            <w14:solidFill>
              <w14:schemeClr w14:val="tx1"/>
            </w14:solidFill>
          </w14:textFill>
        </w:rPr>
        <w:t xml:space="preserve">Alagarsundaram, P., (2023). AI-powered data processing for advanced case investigation technology. </w:t>
      </w:r>
      <w:r>
        <w:rPr>
          <w:i/>
          <w:iCs/>
          <w:color w:val="000000" w:themeColor="text1"/>
          <w14:textFill>
            <w14:solidFill>
              <w14:schemeClr w14:val="tx1"/>
            </w14:solidFill>
          </w14:textFill>
        </w:rPr>
        <w:t>Technology</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8</w:t>
      </w:r>
      <w:r>
        <w:rPr>
          <w:color w:val="000000" w:themeColor="text1"/>
          <w14:textFill>
            <w14:solidFill>
              <w14:schemeClr w14:val="tx1"/>
            </w14:solidFill>
          </w14:textFill>
        </w:rPr>
        <w:t xml:space="preserve">(08).  Available at: </w:t>
      </w:r>
      <w:r>
        <w:fldChar w:fldCharType="begin"/>
      </w:r>
      <w:r>
        <w:instrText xml:space="preserve"> HYPERLINK "https://doi.org/10.46243/jst.2023.v8.i08.pp18-" \h </w:instrText>
      </w:r>
      <w:r>
        <w:fldChar w:fldCharType="separate"/>
      </w:r>
      <w:r>
        <w:rPr>
          <w:color w:val="000000" w:themeColor="text1"/>
          <w:u w:val="single"/>
          <w14:textFill>
            <w14:solidFill>
              <w14:schemeClr w14:val="tx1"/>
            </w14:solidFill>
          </w14:textFill>
        </w:rPr>
        <w:t>https://doi.org/10.46243/jst.2023.v8.i08.pp18-</w:t>
      </w:r>
      <w:r>
        <w:rPr>
          <w:color w:val="000000" w:themeColor="text1"/>
          <w:u w:val="single"/>
          <w14:textFill>
            <w14:solidFill>
              <w14:schemeClr w14:val="tx1"/>
            </w14:solidFill>
          </w14:textFill>
        </w:rPr>
        <w:fldChar w:fldCharType="end"/>
      </w:r>
    </w:p>
    <w:p w14:paraId="5991F495">
      <w:pPr>
        <w:rPr>
          <w:color w:val="000000" w:themeColor="text1"/>
          <w14:textFill>
            <w14:solidFill>
              <w14:schemeClr w14:val="tx1"/>
            </w14:solidFill>
          </w14:textFill>
        </w:rPr>
      </w:pPr>
      <w:r>
        <w:rPr>
          <w:color w:val="000000" w:themeColor="text1"/>
          <w14:textFill>
            <w14:solidFill>
              <w14:schemeClr w14:val="tx1"/>
            </w14:solidFill>
          </w14:textFill>
        </w:rPr>
        <w:t xml:space="preserve">Arunkumar, M., Rajkumar, K., Jeyaseelan, W.R. and Natraj, N.A., (2025). Data Mining, Machine Learning, and Statistical Modeling for Predictive Analytics with Behavioral Big Data. </w:t>
      </w:r>
      <w:r>
        <w:rPr>
          <w:i/>
          <w:iCs/>
          <w:color w:val="000000" w:themeColor="text1"/>
          <w14:textFill>
            <w14:solidFill>
              <w14:schemeClr w14:val="tx1"/>
            </w14:solidFill>
          </w14:textFill>
        </w:rPr>
        <w:t>Tehničkivjesnik</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32</w:t>
      </w:r>
      <w:r>
        <w:rPr>
          <w:color w:val="000000" w:themeColor="text1"/>
          <w14:textFill>
            <w14:solidFill>
              <w14:schemeClr w14:val="tx1"/>
            </w14:solidFill>
          </w14:textFill>
        </w:rPr>
        <w:t xml:space="preserve">(1), pp.72-77. Available at: </w:t>
      </w:r>
      <w:r>
        <w:fldChar w:fldCharType="begin"/>
      </w:r>
      <w:r>
        <w:instrText xml:space="preserve"> HYPERLINK "https://doi.org/10.9734/acri/2025/v25i51206" \h </w:instrText>
      </w:r>
      <w:r>
        <w:fldChar w:fldCharType="separate"/>
      </w:r>
      <w:r>
        <w:rPr>
          <w:color w:val="000000" w:themeColor="text1"/>
          <w:u w:val="single"/>
          <w14:textFill>
            <w14:solidFill>
              <w14:schemeClr w14:val="tx1"/>
            </w14:solidFill>
          </w14:textFill>
        </w:rPr>
        <w:t>https://doi.org/10.9734/acri/2025/v25i51206</w:t>
      </w:r>
      <w:r>
        <w:rPr>
          <w:color w:val="000000" w:themeColor="text1"/>
          <w:u w:val="single"/>
          <w14:textFill>
            <w14:solidFill>
              <w14:schemeClr w14:val="tx1"/>
            </w14:solidFill>
          </w14:textFill>
        </w:rPr>
        <w:fldChar w:fldCharType="end"/>
      </w:r>
    </w:p>
    <w:p w14:paraId="5991F496">
      <w:pPr>
        <w:rPr>
          <w:color w:val="000000" w:themeColor="text1"/>
          <w14:textFill>
            <w14:solidFill>
              <w14:schemeClr w14:val="tx1"/>
            </w14:solidFill>
          </w14:textFill>
        </w:rPr>
      </w:pPr>
      <w:r>
        <w:rPr>
          <w:color w:val="000000" w:themeColor="text1"/>
          <w14:textFill>
            <w14:solidFill>
              <w14:schemeClr w14:val="tx1"/>
            </w14:solidFill>
          </w14:textFill>
        </w:rPr>
        <w:t xml:space="preserve">Chinnaraju, A., (2025). Explainable AI (XAI) for trustworthy and transparent decision-making: A theoretical framework for AI interpretability. </w:t>
      </w:r>
      <w:r>
        <w:rPr>
          <w:i/>
          <w:iCs/>
          <w:color w:val="000000" w:themeColor="text1"/>
          <w14:textFill>
            <w14:solidFill>
              <w14:schemeClr w14:val="tx1"/>
            </w14:solidFill>
          </w14:textFill>
        </w:rPr>
        <w:t>World Journal of Advanced Engineering Technology and Sciences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14</w:t>
      </w:r>
      <w:r>
        <w:rPr>
          <w:color w:val="000000" w:themeColor="text1"/>
          <w14:textFill>
            <w14:solidFill>
              <w14:schemeClr w14:val="tx1"/>
            </w14:solidFill>
          </w14:textFill>
        </w:rPr>
        <w:t xml:space="preserve">(3), pp.170-207. Available at: </w:t>
      </w:r>
      <w:r>
        <w:fldChar w:fldCharType="begin"/>
      </w:r>
      <w:r>
        <w:instrText xml:space="preserve"> HYPERLINK "https://doi.org/10.30574/wjaets.2025.14.3.0106" \h </w:instrText>
      </w:r>
      <w:r>
        <w:fldChar w:fldCharType="separate"/>
      </w:r>
      <w:r>
        <w:rPr>
          <w:color w:val="000000" w:themeColor="text1"/>
          <w:u w:val="single"/>
          <w14:textFill>
            <w14:solidFill>
              <w14:schemeClr w14:val="tx1"/>
            </w14:solidFill>
          </w14:textFill>
        </w:rPr>
        <w:t>https://doi.org/10.30574/wjaets.2025.14.3.0106</w:t>
      </w:r>
      <w:r>
        <w:rPr>
          <w:color w:val="000000" w:themeColor="text1"/>
          <w:u w:val="single"/>
          <w14:textFill>
            <w14:solidFill>
              <w14:schemeClr w14:val="tx1"/>
            </w14:solidFill>
          </w14:textFill>
        </w:rPr>
        <w:fldChar w:fldCharType="end"/>
      </w:r>
    </w:p>
    <w:p w14:paraId="5991F497">
      <w:pPr>
        <w:rPr>
          <w:color w:val="000000" w:themeColor="text1"/>
          <w14:textFill>
            <w14:solidFill>
              <w14:schemeClr w14:val="tx1"/>
            </w14:solidFill>
          </w14:textFill>
        </w:rPr>
      </w:pPr>
      <w:r>
        <w:rPr>
          <w:color w:val="000000" w:themeColor="text1"/>
          <w14:textFill>
            <w14:solidFill>
              <w14:schemeClr w14:val="tx1"/>
            </w14:solidFill>
          </w14:textFill>
        </w:rPr>
        <w:t xml:space="preserve">Hulugh, T. and Ikeh, C.O., (2025). Artificial Intelligence in product management: Automating roadmap prioritization through sentiment analysis and customer feature demand modeling.pp.1-20 Available at: </w:t>
      </w:r>
      <w:r>
        <w:fldChar w:fldCharType="begin"/>
      </w:r>
      <w:r>
        <w:instrText xml:space="preserve"> HYPERLINK "https://papers.ssrn.com/sol3/papers.cfm?abstract_id=5237065" \h </w:instrText>
      </w:r>
      <w:r>
        <w:fldChar w:fldCharType="separate"/>
      </w:r>
      <w:r>
        <w:rPr>
          <w:color w:val="000000" w:themeColor="text1"/>
          <w:u w:val="single"/>
          <w14:textFill>
            <w14:solidFill>
              <w14:schemeClr w14:val="tx1"/>
            </w14:solidFill>
          </w14:textFill>
        </w:rPr>
        <w:t>https://papers.ssrn.com/sol3/papers.cfm?abstract_id=5237065</w:t>
      </w:r>
      <w:r>
        <w:rPr>
          <w:color w:val="000000" w:themeColor="text1"/>
          <w:u w:val="single"/>
          <w14:textFill>
            <w14:solidFill>
              <w14:schemeClr w14:val="tx1"/>
            </w14:solidFill>
          </w14:textFill>
        </w:rPr>
        <w:fldChar w:fldCharType="end"/>
      </w:r>
    </w:p>
    <w:p w14:paraId="5991F498">
      <w:pPr>
        <w:rPr>
          <w:color w:val="000000" w:themeColor="text1"/>
          <w14:textFill>
            <w14:solidFill>
              <w14:schemeClr w14:val="tx1"/>
            </w14:solidFill>
          </w14:textFill>
        </w:rPr>
      </w:pPr>
      <w:r>
        <w:rPr>
          <w:color w:val="000000" w:themeColor="text1"/>
          <w14:textFill>
            <w14:solidFill>
              <w14:schemeClr w14:val="tx1"/>
            </w14:solidFill>
          </w14:textFill>
        </w:rPr>
        <w:t xml:space="preserve">Lakhouit, A., (2025). Revolutionizing urban solid waste management with AI and IoT: a review of smart solutions for waste collection, sorting, and recycling. </w:t>
      </w:r>
      <w:r>
        <w:rPr>
          <w:i/>
          <w:iCs/>
          <w:color w:val="000000" w:themeColor="text1"/>
          <w14:textFill>
            <w14:solidFill>
              <w14:schemeClr w14:val="tx1"/>
            </w14:solidFill>
          </w14:textFill>
        </w:rPr>
        <w:t>Results in Engineering</w:t>
      </w:r>
      <w:r>
        <w:rPr>
          <w:color w:val="000000" w:themeColor="text1"/>
          <w14:textFill>
            <w14:solidFill>
              <w14:schemeClr w14:val="tx1"/>
            </w14:solidFill>
          </w14:textFill>
        </w:rPr>
        <w:t xml:space="preserve">, p.104018. Available at: </w:t>
      </w:r>
      <w:r>
        <w:fldChar w:fldCharType="begin"/>
      </w:r>
      <w:r>
        <w:instrText xml:space="preserve"> HYPERLINK "https://doi.org/10.1016/j.rineng.2025.104018" \h </w:instrText>
      </w:r>
      <w:r>
        <w:fldChar w:fldCharType="separate"/>
      </w:r>
      <w:r>
        <w:rPr>
          <w:color w:val="000000" w:themeColor="text1"/>
          <w:u w:val="single"/>
          <w14:textFill>
            <w14:solidFill>
              <w14:schemeClr w14:val="tx1"/>
            </w14:solidFill>
          </w14:textFill>
        </w:rPr>
        <w:t>https://doi.org/10.1016/j.rineng.2025.104018</w:t>
      </w:r>
      <w:r>
        <w:rPr>
          <w:color w:val="000000" w:themeColor="text1"/>
          <w:u w:val="single"/>
          <w14:textFill>
            <w14:solidFill>
              <w14:schemeClr w14:val="tx1"/>
            </w14:solidFill>
          </w14:textFill>
        </w:rPr>
        <w:fldChar w:fldCharType="end"/>
      </w:r>
    </w:p>
    <w:p w14:paraId="5991F499">
      <w:pPr>
        <w:rPr>
          <w:color w:val="000000" w:themeColor="text1"/>
          <w14:textFill>
            <w14:solidFill>
              <w14:schemeClr w14:val="tx1"/>
            </w14:solidFill>
          </w14:textFill>
        </w:rPr>
      </w:pPr>
      <w:r>
        <w:rPr>
          <w:color w:val="000000" w:themeColor="text1"/>
          <w14:textFill>
            <w14:solidFill>
              <w14:schemeClr w14:val="tx1"/>
            </w14:solidFill>
          </w14:textFill>
        </w:rPr>
        <w:t xml:space="preserve">Naz, H. and Kashif, M., (2025). Artificial intelligence and predictive marketing: an ethical framework from managers’ perspective. </w:t>
      </w:r>
      <w:r>
        <w:rPr>
          <w:i/>
          <w:iCs/>
          <w:color w:val="000000" w:themeColor="text1"/>
          <w14:textFill>
            <w14:solidFill>
              <w14:schemeClr w14:val="tx1"/>
            </w14:solidFill>
          </w14:textFill>
        </w:rPr>
        <w:t>Spanish Journal of Marketing-ESIC</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29</w:t>
      </w:r>
      <w:r>
        <w:rPr>
          <w:color w:val="000000" w:themeColor="text1"/>
          <w14:textFill>
            <w14:solidFill>
              <w14:schemeClr w14:val="tx1"/>
            </w14:solidFill>
          </w14:textFill>
        </w:rPr>
        <w:t xml:space="preserve">(1), pp.22-45. Available at: </w:t>
      </w:r>
      <w:r>
        <w:fldChar w:fldCharType="begin"/>
      </w:r>
      <w:r>
        <w:instrText xml:space="preserve"> HYPERLINK "http://dx.doi.org/10.1108/SJME-06-2023-0154" \h </w:instrText>
      </w:r>
      <w:r>
        <w:fldChar w:fldCharType="separate"/>
      </w:r>
      <w:r>
        <w:rPr>
          <w:color w:val="000000" w:themeColor="text1"/>
          <w:u w:val="single"/>
          <w14:textFill>
            <w14:solidFill>
              <w14:schemeClr w14:val="tx1"/>
            </w14:solidFill>
          </w14:textFill>
        </w:rPr>
        <w:t>http://dx.doi.org/10.1108/SJME-06-2023-0154</w:t>
      </w:r>
      <w:r>
        <w:rPr>
          <w:color w:val="000000" w:themeColor="text1"/>
          <w:u w:val="single"/>
          <w14:textFill>
            <w14:solidFill>
              <w14:schemeClr w14:val="tx1"/>
            </w14:solidFill>
          </w14:textFill>
        </w:rPr>
        <w:fldChar w:fldCharType="end"/>
      </w:r>
    </w:p>
    <w:p w14:paraId="5991F49A">
      <w:pPr>
        <w:rPr>
          <w:color w:val="000000" w:themeColor="text1"/>
          <w14:textFill>
            <w14:solidFill>
              <w14:schemeClr w14:val="tx1"/>
            </w14:solidFill>
          </w14:textFill>
        </w:rPr>
      </w:pPr>
      <w:r>
        <w:rPr>
          <w:color w:val="000000" w:themeColor="text1"/>
          <w14:textFill>
            <w14:solidFill>
              <w14:schemeClr w14:val="tx1"/>
            </w14:solidFill>
          </w14:textFill>
        </w:rPr>
        <w:t xml:space="preserve">Okeleke, P.A., Ajiga, D., Folorunsho, S.O. and Ezeigweneme, C., (2024). Predictive analytics for market trends using AI: A study in consumer behavior. </w:t>
      </w:r>
      <w:r>
        <w:rPr>
          <w:i/>
          <w:iCs/>
          <w:color w:val="000000" w:themeColor="text1"/>
          <w14:textFill>
            <w14:solidFill>
              <w14:schemeClr w14:val="tx1"/>
            </w14:solidFill>
          </w14:textFill>
        </w:rPr>
        <w:t>International Journal of Engineering Research Updates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7</w:t>
      </w:r>
      <w:r>
        <w:rPr>
          <w:color w:val="000000" w:themeColor="text1"/>
          <w14:textFill>
            <w14:solidFill>
              <w14:schemeClr w14:val="tx1"/>
            </w14:solidFill>
          </w14:textFill>
        </w:rPr>
        <w:t xml:space="preserve">(1), pp.36-49. Available at: </w:t>
      </w:r>
      <w:r>
        <w:fldChar w:fldCharType="begin"/>
      </w:r>
      <w:r>
        <w:instrText xml:space="preserve"> HYPERLINK "https://doi.org/10.53430/ijeru.2024.7.1.0032" \h </w:instrText>
      </w:r>
      <w:r>
        <w:fldChar w:fldCharType="separate"/>
      </w:r>
      <w:r>
        <w:rPr>
          <w:color w:val="000000" w:themeColor="text1"/>
          <w:u w:val="single"/>
          <w14:textFill>
            <w14:solidFill>
              <w14:schemeClr w14:val="tx1"/>
            </w14:solidFill>
          </w14:textFill>
        </w:rPr>
        <w:t>https://doi.org/10.53430/ijeru.2024.7.1.0032</w:t>
      </w:r>
      <w:r>
        <w:rPr>
          <w:color w:val="000000" w:themeColor="text1"/>
          <w:u w:val="single"/>
          <w14:textFill>
            <w14:solidFill>
              <w14:schemeClr w14:val="tx1"/>
            </w14:solidFill>
          </w14:textFill>
        </w:rPr>
        <w:fldChar w:fldCharType="end"/>
      </w:r>
    </w:p>
    <w:p w14:paraId="5991F49B">
      <w:pPr>
        <w:rPr>
          <w:color w:val="000000" w:themeColor="text1"/>
          <w14:textFill>
            <w14:solidFill>
              <w14:schemeClr w14:val="tx1"/>
            </w14:solidFill>
          </w14:textFill>
        </w:rPr>
      </w:pPr>
      <w:r>
        <w:rPr>
          <w:color w:val="000000" w:themeColor="text1"/>
          <w14:textFill>
            <w14:solidFill>
              <w14:schemeClr w14:val="tx1"/>
            </w14:solidFill>
          </w14:textFill>
        </w:rPr>
        <w:t xml:space="preserve">Rane, J., AmolChaudhari, R. and Rane, N., (2025). Enhancing Supply Chain Resilience through Generative Artificial Intelligence, Explainable AI, and Federated Learning. </w:t>
      </w:r>
      <w:r>
        <w:rPr>
          <w:i/>
          <w:iCs/>
          <w:color w:val="000000" w:themeColor="text1"/>
          <w14:textFill>
            <w14:solidFill>
              <w14:schemeClr w14:val="tx1"/>
            </w14:solidFill>
          </w14:textFill>
        </w:rPr>
        <w:t>Nitin, Enhancing Supply Chain Resilience through Generative Artificial Intelligence, Explainable AI, and Federated Learning (July 24, 2025)</w:t>
      </w:r>
      <w:r>
        <w:rPr>
          <w:color w:val="000000" w:themeColor="text1"/>
          <w14:textFill>
            <w14:solidFill>
              <w14:schemeClr w14:val="tx1"/>
            </w14:solidFill>
          </w14:textFill>
        </w:rPr>
        <w:t xml:space="preserve">. Available at: </w:t>
      </w:r>
      <w:r>
        <w:fldChar w:fldCharType="begin"/>
      </w:r>
      <w:r>
        <w:instrText xml:space="preserve"> HYPERLINK "https://papers.ssrn.com/sol3/papers.cfm?abstract_id=5366932" \h </w:instrText>
      </w:r>
      <w:r>
        <w:fldChar w:fldCharType="separate"/>
      </w:r>
      <w:r>
        <w:rPr>
          <w:color w:val="000000" w:themeColor="text1"/>
          <w:u w:val="single"/>
          <w14:textFill>
            <w14:solidFill>
              <w14:schemeClr w14:val="tx1"/>
            </w14:solidFill>
          </w14:textFill>
        </w:rPr>
        <w:t>https://papers.ssrn.com/sol3/papers.cfm?abstract_id=5366932</w:t>
      </w:r>
      <w:r>
        <w:rPr>
          <w:color w:val="000000" w:themeColor="text1"/>
          <w:u w:val="single"/>
          <w14:textFill>
            <w14:solidFill>
              <w14:schemeClr w14:val="tx1"/>
            </w14:solidFill>
          </w14:textFill>
        </w:rPr>
        <w:fldChar w:fldCharType="end"/>
      </w:r>
    </w:p>
    <w:p w14:paraId="5991F49C">
      <w:pPr>
        <w:rPr>
          <w:color w:val="000000" w:themeColor="text1"/>
          <w:highlight w:val="white"/>
          <w14:textFill>
            <w14:solidFill>
              <w14:schemeClr w14:val="tx1"/>
            </w14:solidFill>
          </w14:textFill>
        </w:rPr>
      </w:pPr>
      <w:r>
        <w:rPr>
          <w:color w:val="000000" w:themeColor="text1"/>
          <w14:textFill>
            <w14:solidFill>
              <w14:schemeClr w14:val="tx1"/>
            </w14:solidFill>
          </w14:textFill>
        </w:rPr>
        <w:t xml:space="preserve">Reza, S.A., Chowdhury, M.S.R., Hossain, S., Hasanuzzaman, M., Shawon, R.E.R., Chowdhury, B.R. and Rana, M.S., (2024). Global plastic waste management: Analyzing trends, economic and social implications, and predictive modeling using artificial intelligence. </w:t>
      </w:r>
      <w:r>
        <w:rPr>
          <w:i/>
          <w:iCs/>
          <w:color w:val="000000" w:themeColor="text1"/>
          <w14:textFill>
            <w14:solidFill>
              <w14:schemeClr w14:val="tx1"/>
            </w14:solidFill>
          </w14:textFill>
        </w:rPr>
        <w:t>Journal of Environmental and Agricultural Studies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5</w:t>
      </w:r>
      <w:r>
        <w:rPr>
          <w:color w:val="000000" w:themeColor="text1"/>
          <w14:textFill>
            <w14:solidFill>
              <w14:schemeClr w14:val="tx1"/>
            </w14:solidFill>
          </w14:textFill>
        </w:rPr>
        <w:t xml:space="preserve">(3), pp.42-58. Available at: </w:t>
      </w:r>
      <w:r>
        <w:fldChar w:fldCharType="begin"/>
      </w:r>
      <w:r>
        <w:instrText xml:space="preserve"> HYPERLINK "http://doi.org/10.32996/jeas.2024.5.3.5" \h </w:instrText>
      </w:r>
      <w:r>
        <w:fldChar w:fldCharType="separate"/>
      </w:r>
      <w:r>
        <w:rPr>
          <w:color w:val="000000" w:themeColor="text1"/>
          <w:u w:val="single"/>
          <w14:textFill>
            <w14:solidFill>
              <w14:schemeClr w14:val="tx1"/>
            </w14:solidFill>
          </w14:textFill>
        </w:rPr>
        <w:t>http://doi.org/10.32996/jeas.2024.5.3.5</w:t>
      </w:r>
      <w:r>
        <w:rPr>
          <w:color w:val="000000" w:themeColor="text1"/>
          <w:u w:val="single"/>
          <w14:textFill>
            <w14:solidFill>
              <w14:schemeClr w14:val="tx1"/>
            </w14:solidFill>
          </w14:textFill>
        </w:rPr>
        <w:fldChar w:fldCharType="end"/>
      </w:r>
    </w:p>
    <w:sectPr>
      <w:pgSz w:w="11909" w:h="16834"/>
      <w:pgMar w:top="1440" w:right="1440" w:bottom="1440" w:left="1440" w:header="720" w:footer="720" w:gutter="0"/>
      <w:pgNumType w:fmt="decimal"/>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F43054D2-6898-465F-9FBA-ECC496A1B51F}"/>
  </w:font>
  <w:font w:name="Arial">
    <w:panose1 w:val="020B0604020202020204"/>
    <w:charset w:val="00"/>
    <w:family w:val="swiss"/>
    <w:pitch w:val="default"/>
    <w:sig w:usb0="E0002EFF" w:usb1="C000785B" w:usb2="00000009" w:usb3="00000000" w:csb0="400001FF" w:csb1="FFFF0000"/>
    <w:embedRegular r:id="rId2" w:fontKey="{310A625D-69F7-415C-80A2-C859F5A0578F}"/>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5BFF5007-EEF4-419A-A8A7-D32CB540E74D}"/>
  </w:font>
  <w:font w:name="Wingdings">
    <w:panose1 w:val="05000000000000000000"/>
    <w:charset w:val="02"/>
    <w:family w:val="auto"/>
    <w:pitch w:val="default"/>
    <w:sig w:usb0="00000000" w:usb1="00000000" w:usb2="00000000" w:usb3="00000000" w:csb0="80000000" w:csb1="00000000"/>
    <w:embedRegular r:id="rId4" w:fontKey="{F84ABE97-3B6B-4BB5-B04E-8F36B0284C65}"/>
  </w:font>
  <w:font w:name="Calibri">
    <w:panose1 w:val="020F0502020204030204"/>
    <w:charset w:val="00"/>
    <w:family w:val="swiss"/>
    <w:pitch w:val="default"/>
    <w:sig w:usb0="E4002EFF" w:usb1="C200247B" w:usb2="00000009" w:usb3="00000000" w:csb0="200001FF" w:csb1="00000000"/>
    <w:embedRegular r:id="rId5" w:fontKey="{DDA927F7-DD11-49BC-914D-C69715A11298}"/>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embedRegular r:id="rId6" w:fontKey="{49E35652-563C-42B4-BBAA-5A1A1C7FF901}"/>
  </w:font>
  <w:font w:name="Cambria">
    <w:panose1 w:val="02040503050406030204"/>
    <w:charset w:val="00"/>
    <w:family w:val="roman"/>
    <w:pitch w:val="default"/>
    <w:sig w:usb0="E00006FF" w:usb1="420024FF" w:usb2="02000000" w:usb3="00000000" w:csb0="2000019F" w:csb1="00000000"/>
    <w:embedRegular r:id="rId7" w:fontKey="{407181F6-60FA-4E1C-91E1-2610706B8953}"/>
  </w:font>
  <w:font w:name="Segoe UI">
    <w:panose1 w:val="020B0502040204020203"/>
    <w:charset w:val="00"/>
    <w:family w:val="swiss"/>
    <w:pitch w:val="default"/>
    <w:sig w:usb0="E4002EFF" w:usb1="C000E47F" w:usb2="00000009" w:usb3="00000000" w:csb0="200001FF" w:csb1="00000000"/>
    <w:embedRegular r:id="rId8" w:fontKey="{7EBDEA5A-9739-4D29-965A-ECFF5B3165F8}"/>
  </w:font>
  <w:font w:name="Noto Sans Symbol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embedRegular r:id="rId9" w:fontKey="{F31B5343-605A-411C-B73D-E7AD40ECEF7C}"/>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991F4B8">
    <w:pPr>
      <w:tabs>
        <w:tab w:val="center" w:pos="4513"/>
        <w:tab w:val="right" w:pos="9026"/>
      </w:tabs>
      <w:spacing w:before="0" w:after="0" w:line="240" w:lineRule="auto"/>
      <w:jc w:val="right"/>
      <w:rPr>
        <w:color w:val="000000"/>
        <w:sz w:val="20"/>
        <w:szCs w:val="20"/>
      </w:rPr>
    </w:pPr>
    <w:r>
      <w:rPr>
        <w:sz w:val="20"/>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370A056">
                          <w:pPr>
                            <w:pStyle w:val="1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D1C/SyACAABi&#10;BAAADgAAAAAAAAABACAAAAAfAQAAZHJzL2Uyb0RvYy54bWxQSwUGAAAAAAYABgBZAQAAsQUAAAAA&#10;">
              <v:fill on="f" focussize="0,0"/>
              <v:stroke on="f" weight="0.5pt"/>
              <v:imagedata o:title=""/>
              <o:lock v:ext="edit" aspectratio="f"/>
              <v:textbox inset="0mm,0mm,0mm,0mm" style="mso-fit-shape-to-text:t;">
                <w:txbxContent>
                  <w:p w14:paraId="5370A056">
                    <w:pPr>
                      <w:pStyle w:val="13"/>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991F4B9">
    <w:pPr>
      <w:pStyle w:val="13"/>
      <w:rPr>
        <w:rFonts w:hint="default"/>
        <w:lang w:val="en-IN"/>
      </w:rPr>
    </w:pPr>
    <w: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991F4C0">
                          <w:pPr>
                            <w:pStyle w:val="13"/>
                            <w:rPr>
                              <w:rFonts w:hint="default"/>
                              <w:lang w:val="en-IN"/>
                            </w:rPr>
                          </w:pPr>
                          <w:r>
                            <w:rPr>
                              <w:rFonts w:hint="default"/>
                              <w:lang w:val="en-IN"/>
                            </w:rPr>
                            <w:t>40</w:t>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CzSVju0AAAAAUBAAAPAAAAAAAA&#10;AAEAIAAAACIAAABkcnMvZG93bnJldi54bWxQSwECFAAUAAAACACHTuJAa6mK4BoCAABUBAAADgAA&#10;AAAAAAABACAAAAAfAQAAZHJzL2Uyb0RvYy54bWxQSwUGAAAAAAYABgBZAQAAqwUAAAAA&#10;">
              <v:fill on="f" focussize="0,0"/>
              <v:stroke on="f" weight="0.5pt"/>
              <v:imagedata o:title=""/>
              <o:lock v:ext="edit" aspectratio="f"/>
              <v:textbox inset="0mm,0mm,0mm,0mm" style="mso-fit-shape-to-text:t;">
                <w:txbxContent>
                  <w:p w14:paraId="5991F4C0">
                    <w:pPr>
                      <w:pStyle w:val="13"/>
                      <w:rPr>
                        <w:rFonts w:hint="default"/>
                        <w:lang w:val="en-IN"/>
                      </w:rPr>
                    </w:pPr>
                    <w:r>
                      <w:rPr>
                        <w:rFonts w:hint="default"/>
                        <w:lang w:val="en-IN"/>
                      </w:rPr>
                      <w:t>40</w:t>
                    </w:r>
                  </w:p>
                </w:txbxContent>
              </v:textbox>
            </v:shape>
          </w:pict>
        </mc:Fallback>
      </mc:AlternateContent>
    </w:r>
    <w:r>
      <w:rPr>
        <w:lang w:val="en-IN"/>
      </w:rPr>
      <w:t xml:space="preserve">                                                                                                                                                                                                        </w:t>
    </w:r>
    <w:r>
      <w:rPr>
        <w:rFonts w:hint="default"/>
        <w:lang w:val="en-IN"/>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D6872">
    <w:pPr>
      <w:tabs>
        <w:tab w:val="center" w:pos="4513"/>
        <w:tab w:val="right" w:pos="9026"/>
      </w:tabs>
      <w:spacing w:before="0" w:after="0" w:line="240" w:lineRule="auto"/>
      <w:jc w:val="right"/>
      <w:rPr>
        <w:color w:val="000000"/>
        <w:sz w:val="20"/>
        <w:szCs w:val="20"/>
      </w:rPr>
    </w:pPr>
    <w:r>
      <w:rPr>
        <w:sz w:val="20"/>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7D67A17">
                          <w:pPr>
                            <w:pStyle w:val="13"/>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EBXAAQhAgAA&#10;YgQAAA4AAAAAAAAAAQAgAAAAHwEAAGRycy9lMm9Eb2MueG1sUEsFBgAAAAAGAAYAWQEAALIFAAAA&#10;AA==&#10;">
              <v:fill on="f" focussize="0,0"/>
              <v:stroke on="f" weight="0.5pt"/>
              <v:imagedata o:title=""/>
              <o:lock v:ext="edit" aspectratio="f"/>
              <v:textbox inset="0mm,0mm,0mm,0mm" style="mso-fit-shape-to-text:t;">
                <w:txbxContent>
                  <w:p w14:paraId="07D67A17">
                    <w:pPr>
                      <w:pStyle w:val="13"/>
                    </w:pPr>
                    <w:r>
                      <w:fldChar w:fldCharType="begin"/>
                    </w:r>
                    <w:r>
                      <w:instrText xml:space="preserve"> PAGE  \* MERGEFORMAT </w:instrText>
                    </w:r>
                    <w:r>
                      <w:fldChar w:fldCharType="separate"/>
                    </w:r>
                    <w:r>
                      <w:t>3</w:t>
                    </w:r>
                    <w: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2361443">
    <w:pPr>
      <w:pStyle w:val="13"/>
      <w:rPr>
        <w:rFonts w:hint="default"/>
        <w:lang w:val="en-IN"/>
      </w:rPr>
    </w:pPr>
    <w:r>
      <w:rPr>
        <w:sz w:val="24"/>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BE9485B">
                          <w:pPr>
                            <w:pStyle w:val="13"/>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Btb66EhAgAA&#10;YgQAAA4AAAAAAAAAAQAgAAAAHwEAAGRycy9lMm9Eb2MueG1sUEsFBgAAAAAGAAYAWQEAALIFAAAA&#10;AA==&#10;">
              <v:fill on="f" focussize="0,0"/>
              <v:stroke on="f" weight="0.5pt"/>
              <v:imagedata o:title=""/>
              <o:lock v:ext="edit" aspectratio="f"/>
              <v:textbox inset="0mm,0mm,0mm,0mm" style="mso-fit-shape-to-text:t;">
                <w:txbxContent>
                  <w:p w14:paraId="0BE9485B">
                    <w:pPr>
                      <w:pStyle w:val="13"/>
                    </w:pPr>
                    <w:r>
                      <w:fldChar w:fldCharType="begin"/>
                    </w:r>
                    <w:r>
                      <w:instrText xml:space="preserve"> PAGE  \* MERGEFORMAT </w:instrText>
                    </w:r>
                    <w:r>
                      <w:fldChar w:fldCharType="separate"/>
                    </w:r>
                    <w:r>
                      <w:t>2</w:t>
                    </w:r>
                    <w:r>
                      <w:fldChar w:fldCharType="end"/>
                    </w:r>
                  </w:p>
                </w:txbxContent>
              </v:textbox>
            </v:shape>
          </w:pict>
        </mc:Fallback>
      </mc:AlternateContent>
    </w:r>
    <w:r>
      <w:rPr>
        <w:lang w:val="en-IN"/>
      </w:rPr>
      <w:t xml:space="preserve">                                                                                                                                                                                                        </w:t>
    </w:r>
    <w:r>
      <w:rPr>
        <w:rFonts w:hint="default"/>
        <w:lang w:val="en-IN"/>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991F4B7">
    <w:pPr>
      <w:pStyle w:val="14"/>
    </w:pPr>
    <w: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991F4C1">
                          <w:pPr>
                            <w:pStyle w:val="14"/>
                            <w:rPr>
                              <w:color w:val="953735" w:themeColor="accent2" w:themeShade="BF"/>
                              <w:lang w:val="en-IN"/>
                            </w:rPr>
                          </w:pPr>
                          <w:r>
                            <w:rPr>
                              <w:color w:val="953735" w:themeColor="accent2" w:themeShade="BF"/>
                              <w:lang w:val="en-IN"/>
                            </w:rPr>
                            <w:t>Vishal Prajapati - 2428336</w:t>
                          </w:r>
                        </w:p>
                        <w:p w14:paraId="5991F4C2">
                          <w:pPr>
                            <w:pStyle w:val="14"/>
                            <w:rPr>
                              <w:lang w:val="en-IN"/>
                            </w:rPr>
                          </w:pP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CzSVju0AAAAAUBAAAPAAAAAAAA&#10;AAEAIAAAACIAAABkcnMvZG93bnJldi54bWxQSwECFAAUAAAACACHTuJAnFEXqBoCAABUBAAADgAA&#10;AAAAAAABACAAAAAfAQAAZHJzL2Uyb0RvYy54bWxQSwUGAAAAAAYABgBZAQAAqwUAAAAA&#10;">
              <v:fill on="f" focussize="0,0"/>
              <v:stroke on="f" weight="0.5pt"/>
              <v:imagedata o:title=""/>
              <o:lock v:ext="edit" aspectratio="f"/>
              <v:textbox inset="0mm,0mm,0mm,0mm" style="mso-fit-shape-to-text:t;">
                <w:txbxContent>
                  <w:p w14:paraId="5991F4C1">
                    <w:pPr>
                      <w:pStyle w:val="14"/>
                      <w:rPr>
                        <w:color w:val="953735" w:themeColor="accent2" w:themeShade="BF"/>
                        <w:lang w:val="en-IN"/>
                      </w:rPr>
                    </w:pPr>
                    <w:r>
                      <w:rPr>
                        <w:color w:val="953735" w:themeColor="accent2" w:themeShade="BF"/>
                        <w:lang w:val="en-IN"/>
                      </w:rPr>
                      <w:t>Vishal Prajapati - 2428336</w:t>
                    </w:r>
                  </w:p>
                  <w:p w14:paraId="5991F4C2">
                    <w:pPr>
                      <w:pStyle w:val="14"/>
                      <w:rPr>
                        <w:lang w:val="en-IN"/>
                      </w:rPr>
                    </w:pPr>
                  </w:p>
                </w:txbxContent>
              </v:textbox>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E7C894E">
    <w:pPr>
      <w:pStyle w:val="14"/>
      <w:rPr>
        <w:rFonts w:hint="default"/>
        <w:lang w:val="en-IN"/>
      </w:rPr>
    </w:pPr>
    <w:r>
      <w:rPr>
        <w:rFonts w:hint="default"/>
        <w:lang w:val="en-IN"/>
      </w:rPr>
      <w:t xml:space="preserve">                                                                                                                                                                                             </w:t>
    </w:r>
    <w:r>
      <w:rPr>
        <w:rFonts w:hint="default"/>
        <w:color w:val="632523" w:themeColor="accent2" w:themeShade="80"/>
        <w:lang w:val="en-IN"/>
      </w:rPr>
      <w:t>Vishal Prajapati - 2428336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ED436D"/>
    <w:multiLevelType w:val="multilevel"/>
    <w:tmpl w:val="00ED436D"/>
    <w:lvl w:ilvl="0" w:tentative="0">
      <w:start w:val="1"/>
      <w:numFmt w:val="bullet"/>
      <w:lvlText w:val="●"/>
      <w:lvlJc w:val="left"/>
      <w:pPr>
        <w:ind w:left="360" w:hanging="360"/>
      </w:pPr>
      <w:rPr>
        <w:rFonts w:ascii="Noto Sans Symbols" w:hAnsi="Noto Sans Symbols" w:eastAsia="Noto Sans Symbols" w:cs="Noto Sans Symbols"/>
      </w:rPr>
    </w:lvl>
    <w:lvl w:ilvl="1" w:tentative="0">
      <w:start w:val="1"/>
      <w:numFmt w:val="bullet"/>
      <w:lvlText w:val="o"/>
      <w:lvlJc w:val="left"/>
      <w:pPr>
        <w:ind w:left="1080" w:hanging="360"/>
      </w:pPr>
      <w:rPr>
        <w:rFonts w:ascii="Courier New" w:hAnsi="Courier New" w:eastAsia="Courier New" w:cs="Courier New"/>
      </w:rPr>
    </w:lvl>
    <w:lvl w:ilvl="2" w:tentative="0">
      <w:start w:val="1"/>
      <w:numFmt w:val="bullet"/>
      <w:lvlText w:val="▪"/>
      <w:lvlJc w:val="left"/>
      <w:pPr>
        <w:ind w:left="1800" w:hanging="360"/>
      </w:pPr>
      <w:rPr>
        <w:rFonts w:ascii="Noto Sans Symbols" w:hAnsi="Noto Sans Symbols" w:eastAsia="Noto Sans Symbols" w:cs="Noto Sans Symbols"/>
      </w:rPr>
    </w:lvl>
    <w:lvl w:ilvl="3" w:tentative="0">
      <w:start w:val="1"/>
      <w:numFmt w:val="bullet"/>
      <w:lvlText w:val="●"/>
      <w:lvlJc w:val="left"/>
      <w:pPr>
        <w:ind w:left="2520" w:hanging="360"/>
      </w:pPr>
      <w:rPr>
        <w:rFonts w:ascii="Noto Sans Symbols" w:hAnsi="Noto Sans Symbols" w:eastAsia="Noto Sans Symbols" w:cs="Noto Sans Symbols"/>
      </w:rPr>
    </w:lvl>
    <w:lvl w:ilvl="4" w:tentative="0">
      <w:start w:val="1"/>
      <w:numFmt w:val="bullet"/>
      <w:lvlText w:val="o"/>
      <w:lvlJc w:val="left"/>
      <w:pPr>
        <w:ind w:left="3240" w:hanging="360"/>
      </w:pPr>
      <w:rPr>
        <w:rFonts w:ascii="Courier New" w:hAnsi="Courier New" w:eastAsia="Courier New" w:cs="Courier New"/>
      </w:rPr>
    </w:lvl>
    <w:lvl w:ilvl="5" w:tentative="0">
      <w:start w:val="1"/>
      <w:numFmt w:val="bullet"/>
      <w:lvlText w:val="▪"/>
      <w:lvlJc w:val="left"/>
      <w:pPr>
        <w:ind w:left="3960" w:hanging="360"/>
      </w:pPr>
      <w:rPr>
        <w:rFonts w:ascii="Noto Sans Symbols" w:hAnsi="Noto Sans Symbols" w:eastAsia="Noto Sans Symbols" w:cs="Noto Sans Symbols"/>
      </w:rPr>
    </w:lvl>
    <w:lvl w:ilvl="6" w:tentative="0">
      <w:start w:val="1"/>
      <w:numFmt w:val="bullet"/>
      <w:lvlText w:val="●"/>
      <w:lvlJc w:val="left"/>
      <w:pPr>
        <w:ind w:left="4680" w:hanging="360"/>
      </w:pPr>
      <w:rPr>
        <w:rFonts w:ascii="Noto Sans Symbols" w:hAnsi="Noto Sans Symbols" w:eastAsia="Noto Sans Symbols" w:cs="Noto Sans Symbols"/>
      </w:rPr>
    </w:lvl>
    <w:lvl w:ilvl="7" w:tentative="0">
      <w:start w:val="1"/>
      <w:numFmt w:val="bullet"/>
      <w:lvlText w:val="o"/>
      <w:lvlJc w:val="left"/>
      <w:pPr>
        <w:ind w:left="5400" w:hanging="360"/>
      </w:pPr>
      <w:rPr>
        <w:rFonts w:ascii="Courier New" w:hAnsi="Courier New" w:eastAsia="Courier New" w:cs="Courier New"/>
      </w:rPr>
    </w:lvl>
    <w:lvl w:ilvl="8" w:tentative="0">
      <w:start w:val="1"/>
      <w:numFmt w:val="bullet"/>
      <w:lvlText w:val="▪"/>
      <w:lvlJc w:val="left"/>
      <w:pPr>
        <w:ind w:left="6120" w:hanging="360"/>
      </w:pPr>
      <w:rPr>
        <w:rFonts w:ascii="Noto Sans Symbols" w:hAnsi="Noto Sans Symbols" w:eastAsia="Noto Sans Symbols" w:cs="Noto Sans Symbols"/>
      </w:rPr>
    </w:lvl>
  </w:abstractNum>
  <w:abstractNum w:abstractNumId="1">
    <w:nsid w:val="1C936E37"/>
    <w:multiLevelType w:val="multilevel"/>
    <w:tmpl w:val="1C936E37"/>
    <w:lvl w:ilvl="0" w:tentative="0">
      <w:start w:val="1"/>
      <w:numFmt w:val="bullet"/>
      <w:lvlText w:val="●"/>
      <w:lvlJc w:val="left"/>
      <w:pPr>
        <w:ind w:left="360" w:hanging="360"/>
      </w:pPr>
      <w:rPr>
        <w:rFonts w:ascii="Noto Sans Symbols" w:hAnsi="Noto Sans Symbols" w:eastAsia="Noto Sans Symbols" w:cs="Noto Sans Symbols"/>
      </w:rPr>
    </w:lvl>
    <w:lvl w:ilvl="1" w:tentative="0">
      <w:start w:val="1"/>
      <w:numFmt w:val="bullet"/>
      <w:lvlText w:val="o"/>
      <w:lvlJc w:val="left"/>
      <w:pPr>
        <w:ind w:left="1080" w:hanging="360"/>
      </w:pPr>
      <w:rPr>
        <w:rFonts w:ascii="Courier New" w:hAnsi="Courier New" w:eastAsia="Courier New" w:cs="Courier New"/>
      </w:rPr>
    </w:lvl>
    <w:lvl w:ilvl="2" w:tentative="0">
      <w:start w:val="1"/>
      <w:numFmt w:val="bullet"/>
      <w:lvlText w:val="▪"/>
      <w:lvlJc w:val="left"/>
      <w:pPr>
        <w:ind w:left="1800" w:hanging="360"/>
      </w:pPr>
      <w:rPr>
        <w:rFonts w:ascii="Noto Sans Symbols" w:hAnsi="Noto Sans Symbols" w:eastAsia="Noto Sans Symbols" w:cs="Noto Sans Symbols"/>
      </w:rPr>
    </w:lvl>
    <w:lvl w:ilvl="3" w:tentative="0">
      <w:start w:val="1"/>
      <w:numFmt w:val="bullet"/>
      <w:lvlText w:val="●"/>
      <w:lvlJc w:val="left"/>
      <w:pPr>
        <w:ind w:left="2520" w:hanging="360"/>
      </w:pPr>
      <w:rPr>
        <w:rFonts w:ascii="Noto Sans Symbols" w:hAnsi="Noto Sans Symbols" w:eastAsia="Noto Sans Symbols" w:cs="Noto Sans Symbols"/>
      </w:rPr>
    </w:lvl>
    <w:lvl w:ilvl="4" w:tentative="0">
      <w:start w:val="1"/>
      <w:numFmt w:val="bullet"/>
      <w:lvlText w:val="o"/>
      <w:lvlJc w:val="left"/>
      <w:pPr>
        <w:ind w:left="3240" w:hanging="360"/>
      </w:pPr>
      <w:rPr>
        <w:rFonts w:ascii="Courier New" w:hAnsi="Courier New" w:eastAsia="Courier New" w:cs="Courier New"/>
      </w:rPr>
    </w:lvl>
    <w:lvl w:ilvl="5" w:tentative="0">
      <w:start w:val="1"/>
      <w:numFmt w:val="bullet"/>
      <w:lvlText w:val="▪"/>
      <w:lvlJc w:val="left"/>
      <w:pPr>
        <w:ind w:left="3960" w:hanging="360"/>
      </w:pPr>
      <w:rPr>
        <w:rFonts w:ascii="Noto Sans Symbols" w:hAnsi="Noto Sans Symbols" w:eastAsia="Noto Sans Symbols" w:cs="Noto Sans Symbols"/>
      </w:rPr>
    </w:lvl>
    <w:lvl w:ilvl="6" w:tentative="0">
      <w:start w:val="1"/>
      <w:numFmt w:val="bullet"/>
      <w:lvlText w:val="●"/>
      <w:lvlJc w:val="left"/>
      <w:pPr>
        <w:ind w:left="4680" w:hanging="360"/>
      </w:pPr>
      <w:rPr>
        <w:rFonts w:ascii="Noto Sans Symbols" w:hAnsi="Noto Sans Symbols" w:eastAsia="Noto Sans Symbols" w:cs="Noto Sans Symbols"/>
      </w:rPr>
    </w:lvl>
    <w:lvl w:ilvl="7" w:tentative="0">
      <w:start w:val="1"/>
      <w:numFmt w:val="bullet"/>
      <w:lvlText w:val="o"/>
      <w:lvlJc w:val="left"/>
      <w:pPr>
        <w:ind w:left="5400" w:hanging="360"/>
      </w:pPr>
      <w:rPr>
        <w:rFonts w:ascii="Courier New" w:hAnsi="Courier New" w:eastAsia="Courier New" w:cs="Courier New"/>
      </w:rPr>
    </w:lvl>
    <w:lvl w:ilvl="8" w:tentative="0">
      <w:start w:val="1"/>
      <w:numFmt w:val="bullet"/>
      <w:lvlText w:val="▪"/>
      <w:lvlJc w:val="left"/>
      <w:pPr>
        <w:ind w:left="6120" w:hanging="360"/>
      </w:pPr>
      <w:rPr>
        <w:rFonts w:ascii="Noto Sans Symbols" w:hAnsi="Noto Sans Symbols" w:eastAsia="Noto Sans Symbols" w:cs="Noto Sans Symbols"/>
      </w:rPr>
    </w:lvl>
  </w:abstractNum>
  <w:abstractNum w:abstractNumId="2">
    <w:nsid w:val="200E716A"/>
    <w:multiLevelType w:val="multilevel"/>
    <w:tmpl w:val="200E716A"/>
    <w:lvl w:ilvl="0" w:tentative="0">
      <w:start w:val="1"/>
      <w:numFmt w:val="bullet"/>
      <w:lvlText w:val="●"/>
      <w:lvlJc w:val="left"/>
      <w:pPr>
        <w:ind w:left="360" w:hanging="360"/>
      </w:pPr>
      <w:rPr>
        <w:rFonts w:ascii="Noto Sans Symbols" w:hAnsi="Noto Sans Symbols" w:eastAsia="Noto Sans Symbols" w:cs="Noto Sans Symbols"/>
      </w:rPr>
    </w:lvl>
    <w:lvl w:ilvl="1" w:tentative="0">
      <w:start w:val="1"/>
      <w:numFmt w:val="bullet"/>
      <w:lvlText w:val="o"/>
      <w:lvlJc w:val="left"/>
      <w:pPr>
        <w:ind w:left="1080" w:hanging="360"/>
      </w:pPr>
      <w:rPr>
        <w:rFonts w:ascii="Courier New" w:hAnsi="Courier New" w:eastAsia="Courier New" w:cs="Courier New"/>
      </w:rPr>
    </w:lvl>
    <w:lvl w:ilvl="2" w:tentative="0">
      <w:start w:val="1"/>
      <w:numFmt w:val="bullet"/>
      <w:lvlText w:val="▪"/>
      <w:lvlJc w:val="left"/>
      <w:pPr>
        <w:ind w:left="1800" w:hanging="360"/>
      </w:pPr>
      <w:rPr>
        <w:rFonts w:ascii="Noto Sans Symbols" w:hAnsi="Noto Sans Symbols" w:eastAsia="Noto Sans Symbols" w:cs="Noto Sans Symbols"/>
      </w:rPr>
    </w:lvl>
    <w:lvl w:ilvl="3" w:tentative="0">
      <w:start w:val="1"/>
      <w:numFmt w:val="bullet"/>
      <w:lvlText w:val="●"/>
      <w:lvlJc w:val="left"/>
      <w:pPr>
        <w:ind w:left="2520" w:hanging="360"/>
      </w:pPr>
      <w:rPr>
        <w:rFonts w:ascii="Noto Sans Symbols" w:hAnsi="Noto Sans Symbols" w:eastAsia="Noto Sans Symbols" w:cs="Noto Sans Symbols"/>
      </w:rPr>
    </w:lvl>
    <w:lvl w:ilvl="4" w:tentative="0">
      <w:start w:val="1"/>
      <w:numFmt w:val="bullet"/>
      <w:lvlText w:val="o"/>
      <w:lvlJc w:val="left"/>
      <w:pPr>
        <w:ind w:left="3240" w:hanging="360"/>
      </w:pPr>
      <w:rPr>
        <w:rFonts w:ascii="Courier New" w:hAnsi="Courier New" w:eastAsia="Courier New" w:cs="Courier New"/>
      </w:rPr>
    </w:lvl>
    <w:lvl w:ilvl="5" w:tentative="0">
      <w:start w:val="1"/>
      <w:numFmt w:val="bullet"/>
      <w:lvlText w:val="▪"/>
      <w:lvlJc w:val="left"/>
      <w:pPr>
        <w:ind w:left="3960" w:hanging="360"/>
      </w:pPr>
      <w:rPr>
        <w:rFonts w:ascii="Noto Sans Symbols" w:hAnsi="Noto Sans Symbols" w:eastAsia="Noto Sans Symbols" w:cs="Noto Sans Symbols"/>
      </w:rPr>
    </w:lvl>
    <w:lvl w:ilvl="6" w:tentative="0">
      <w:start w:val="1"/>
      <w:numFmt w:val="bullet"/>
      <w:lvlText w:val="●"/>
      <w:lvlJc w:val="left"/>
      <w:pPr>
        <w:ind w:left="4680" w:hanging="360"/>
      </w:pPr>
      <w:rPr>
        <w:rFonts w:ascii="Noto Sans Symbols" w:hAnsi="Noto Sans Symbols" w:eastAsia="Noto Sans Symbols" w:cs="Noto Sans Symbols"/>
      </w:rPr>
    </w:lvl>
    <w:lvl w:ilvl="7" w:tentative="0">
      <w:start w:val="1"/>
      <w:numFmt w:val="bullet"/>
      <w:lvlText w:val="o"/>
      <w:lvlJc w:val="left"/>
      <w:pPr>
        <w:ind w:left="5400" w:hanging="360"/>
      </w:pPr>
      <w:rPr>
        <w:rFonts w:ascii="Courier New" w:hAnsi="Courier New" w:eastAsia="Courier New" w:cs="Courier New"/>
      </w:rPr>
    </w:lvl>
    <w:lvl w:ilvl="8" w:tentative="0">
      <w:start w:val="1"/>
      <w:numFmt w:val="bullet"/>
      <w:lvlText w:val="▪"/>
      <w:lvlJc w:val="left"/>
      <w:pPr>
        <w:ind w:left="6120" w:hanging="360"/>
      </w:pPr>
      <w:rPr>
        <w:rFonts w:ascii="Noto Sans Symbols" w:hAnsi="Noto Sans Symbols" w:eastAsia="Noto Sans Symbols" w:cs="Noto Sans Symbols"/>
      </w:rPr>
    </w:lvl>
  </w:abstractNum>
  <w:abstractNum w:abstractNumId="3">
    <w:nsid w:val="212E23B1"/>
    <w:multiLevelType w:val="multilevel"/>
    <w:tmpl w:val="212E23B1"/>
    <w:lvl w:ilvl="0" w:tentative="0">
      <w:start w:val="1"/>
      <w:numFmt w:val="bullet"/>
      <w:lvlText w:val="●"/>
      <w:lvlJc w:val="left"/>
      <w:pPr>
        <w:ind w:left="360" w:hanging="360"/>
      </w:pPr>
      <w:rPr>
        <w:rFonts w:ascii="Noto Sans Symbols" w:hAnsi="Noto Sans Symbols" w:eastAsia="Noto Sans Symbols" w:cs="Noto Sans Symbols"/>
      </w:rPr>
    </w:lvl>
    <w:lvl w:ilvl="1" w:tentative="0">
      <w:start w:val="1"/>
      <w:numFmt w:val="bullet"/>
      <w:lvlText w:val="o"/>
      <w:lvlJc w:val="left"/>
      <w:pPr>
        <w:ind w:left="1080" w:hanging="360"/>
      </w:pPr>
      <w:rPr>
        <w:rFonts w:ascii="Courier New" w:hAnsi="Courier New" w:eastAsia="Courier New" w:cs="Courier New"/>
      </w:rPr>
    </w:lvl>
    <w:lvl w:ilvl="2" w:tentative="0">
      <w:start w:val="1"/>
      <w:numFmt w:val="bullet"/>
      <w:lvlText w:val="▪"/>
      <w:lvlJc w:val="left"/>
      <w:pPr>
        <w:ind w:left="1800" w:hanging="360"/>
      </w:pPr>
      <w:rPr>
        <w:rFonts w:ascii="Noto Sans Symbols" w:hAnsi="Noto Sans Symbols" w:eastAsia="Noto Sans Symbols" w:cs="Noto Sans Symbols"/>
      </w:rPr>
    </w:lvl>
    <w:lvl w:ilvl="3" w:tentative="0">
      <w:start w:val="1"/>
      <w:numFmt w:val="bullet"/>
      <w:lvlText w:val="●"/>
      <w:lvlJc w:val="left"/>
      <w:pPr>
        <w:ind w:left="2520" w:hanging="360"/>
      </w:pPr>
      <w:rPr>
        <w:rFonts w:ascii="Noto Sans Symbols" w:hAnsi="Noto Sans Symbols" w:eastAsia="Noto Sans Symbols" w:cs="Noto Sans Symbols"/>
      </w:rPr>
    </w:lvl>
    <w:lvl w:ilvl="4" w:tentative="0">
      <w:start w:val="1"/>
      <w:numFmt w:val="bullet"/>
      <w:lvlText w:val="o"/>
      <w:lvlJc w:val="left"/>
      <w:pPr>
        <w:ind w:left="3240" w:hanging="360"/>
      </w:pPr>
      <w:rPr>
        <w:rFonts w:ascii="Courier New" w:hAnsi="Courier New" w:eastAsia="Courier New" w:cs="Courier New"/>
      </w:rPr>
    </w:lvl>
    <w:lvl w:ilvl="5" w:tentative="0">
      <w:start w:val="1"/>
      <w:numFmt w:val="bullet"/>
      <w:lvlText w:val="▪"/>
      <w:lvlJc w:val="left"/>
      <w:pPr>
        <w:ind w:left="3960" w:hanging="360"/>
      </w:pPr>
      <w:rPr>
        <w:rFonts w:ascii="Noto Sans Symbols" w:hAnsi="Noto Sans Symbols" w:eastAsia="Noto Sans Symbols" w:cs="Noto Sans Symbols"/>
      </w:rPr>
    </w:lvl>
    <w:lvl w:ilvl="6" w:tentative="0">
      <w:start w:val="1"/>
      <w:numFmt w:val="bullet"/>
      <w:lvlText w:val="●"/>
      <w:lvlJc w:val="left"/>
      <w:pPr>
        <w:ind w:left="4680" w:hanging="360"/>
      </w:pPr>
      <w:rPr>
        <w:rFonts w:ascii="Noto Sans Symbols" w:hAnsi="Noto Sans Symbols" w:eastAsia="Noto Sans Symbols" w:cs="Noto Sans Symbols"/>
      </w:rPr>
    </w:lvl>
    <w:lvl w:ilvl="7" w:tentative="0">
      <w:start w:val="1"/>
      <w:numFmt w:val="bullet"/>
      <w:lvlText w:val="o"/>
      <w:lvlJc w:val="left"/>
      <w:pPr>
        <w:ind w:left="5400" w:hanging="360"/>
      </w:pPr>
      <w:rPr>
        <w:rFonts w:ascii="Courier New" w:hAnsi="Courier New" w:eastAsia="Courier New" w:cs="Courier New"/>
      </w:rPr>
    </w:lvl>
    <w:lvl w:ilvl="8" w:tentative="0">
      <w:start w:val="1"/>
      <w:numFmt w:val="bullet"/>
      <w:lvlText w:val="▪"/>
      <w:lvlJc w:val="left"/>
      <w:pPr>
        <w:ind w:left="6120" w:hanging="360"/>
      </w:pPr>
      <w:rPr>
        <w:rFonts w:ascii="Noto Sans Symbols" w:hAnsi="Noto Sans Symbols" w:eastAsia="Noto Sans Symbols" w:cs="Noto Sans Symbols"/>
      </w:rPr>
    </w:lvl>
  </w:abstractNum>
  <w:abstractNum w:abstractNumId="4">
    <w:nsid w:val="66035A4C"/>
    <w:multiLevelType w:val="multilevel"/>
    <w:tmpl w:val="66035A4C"/>
    <w:lvl w:ilvl="0" w:tentative="0">
      <w:start w:val="1"/>
      <w:numFmt w:val="bullet"/>
      <w:lvlText w:val="●"/>
      <w:lvlJc w:val="left"/>
      <w:pPr>
        <w:ind w:left="360" w:hanging="360"/>
      </w:pPr>
      <w:rPr>
        <w:rFonts w:ascii="Noto Sans Symbols" w:hAnsi="Noto Sans Symbols" w:eastAsia="Noto Sans Symbols" w:cs="Noto Sans Symbols"/>
      </w:rPr>
    </w:lvl>
    <w:lvl w:ilvl="1" w:tentative="0">
      <w:start w:val="1"/>
      <w:numFmt w:val="bullet"/>
      <w:lvlText w:val="o"/>
      <w:lvlJc w:val="left"/>
      <w:pPr>
        <w:ind w:left="1080" w:hanging="360"/>
      </w:pPr>
      <w:rPr>
        <w:rFonts w:ascii="Courier New" w:hAnsi="Courier New" w:eastAsia="Courier New" w:cs="Courier New"/>
      </w:rPr>
    </w:lvl>
    <w:lvl w:ilvl="2" w:tentative="0">
      <w:start w:val="1"/>
      <w:numFmt w:val="bullet"/>
      <w:lvlText w:val="▪"/>
      <w:lvlJc w:val="left"/>
      <w:pPr>
        <w:ind w:left="1800" w:hanging="360"/>
      </w:pPr>
      <w:rPr>
        <w:rFonts w:ascii="Noto Sans Symbols" w:hAnsi="Noto Sans Symbols" w:eastAsia="Noto Sans Symbols" w:cs="Noto Sans Symbols"/>
      </w:rPr>
    </w:lvl>
    <w:lvl w:ilvl="3" w:tentative="0">
      <w:start w:val="1"/>
      <w:numFmt w:val="bullet"/>
      <w:lvlText w:val="●"/>
      <w:lvlJc w:val="left"/>
      <w:pPr>
        <w:ind w:left="2520" w:hanging="360"/>
      </w:pPr>
      <w:rPr>
        <w:rFonts w:ascii="Noto Sans Symbols" w:hAnsi="Noto Sans Symbols" w:eastAsia="Noto Sans Symbols" w:cs="Noto Sans Symbols"/>
      </w:rPr>
    </w:lvl>
    <w:lvl w:ilvl="4" w:tentative="0">
      <w:start w:val="1"/>
      <w:numFmt w:val="bullet"/>
      <w:lvlText w:val="o"/>
      <w:lvlJc w:val="left"/>
      <w:pPr>
        <w:ind w:left="3240" w:hanging="360"/>
      </w:pPr>
      <w:rPr>
        <w:rFonts w:ascii="Courier New" w:hAnsi="Courier New" w:eastAsia="Courier New" w:cs="Courier New"/>
      </w:rPr>
    </w:lvl>
    <w:lvl w:ilvl="5" w:tentative="0">
      <w:start w:val="1"/>
      <w:numFmt w:val="bullet"/>
      <w:lvlText w:val="▪"/>
      <w:lvlJc w:val="left"/>
      <w:pPr>
        <w:ind w:left="3960" w:hanging="360"/>
      </w:pPr>
      <w:rPr>
        <w:rFonts w:ascii="Noto Sans Symbols" w:hAnsi="Noto Sans Symbols" w:eastAsia="Noto Sans Symbols" w:cs="Noto Sans Symbols"/>
      </w:rPr>
    </w:lvl>
    <w:lvl w:ilvl="6" w:tentative="0">
      <w:start w:val="1"/>
      <w:numFmt w:val="bullet"/>
      <w:lvlText w:val="●"/>
      <w:lvlJc w:val="left"/>
      <w:pPr>
        <w:ind w:left="4680" w:hanging="360"/>
      </w:pPr>
      <w:rPr>
        <w:rFonts w:ascii="Noto Sans Symbols" w:hAnsi="Noto Sans Symbols" w:eastAsia="Noto Sans Symbols" w:cs="Noto Sans Symbols"/>
      </w:rPr>
    </w:lvl>
    <w:lvl w:ilvl="7" w:tentative="0">
      <w:start w:val="1"/>
      <w:numFmt w:val="bullet"/>
      <w:lvlText w:val="o"/>
      <w:lvlJc w:val="left"/>
      <w:pPr>
        <w:ind w:left="5400" w:hanging="360"/>
      </w:pPr>
      <w:rPr>
        <w:rFonts w:ascii="Courier New" w:hAnsi="Courier New" w:eastAsia="Courier New" w:cs="Courier New"/>
      </w:rPr>
    </w:lvl>
    <w:lvl w:ilvl="8" w:tentative="0">
      <w:start w:val="1"/>
      <w:numFmt w:val="bullet"/>
      <w:lvlText w:val="▪"/>
      <w:lvlJc w:val="left"/>
      <w:pPr>
        <w:ind w:left="6120" w:hanging="360"/>
      </w:pPr>
      <w:rPr>
        <w:rFonts w:ascii="Noto Sans Symbols" w:hAnsi="Noto Sans Symbols" w:eastAsia="Noto Sans Symbols" w:cs="Noto Sans Symbols"/>
      </w:rPr>
    </w:lvl>
  </w:abstractNum>
  <w:abstractNum w:abstractNumId="5">
    <w:nsid w:val="70303329"/>
    <w:multiLevelType w:val="multilevel"/>
    <w:tmpl w:val="70303329"/>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5"/>
  </w:num>
  <w:num w:numId="2">
    <w:abstractNumId w:val="4"/>
  </w:num>
  <w:num w:numId="3">
    <w:abstractNumId w:val="3"/>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1"/>
  <w:embedTrueTypeFonts/>
  <w:documentProtection w:enforcement="0"/>
  <w:defaultTabStop w:val="720"/>
  <w:noPunctuationKerning w:val="1"/>
  <w:characterSpacingControl w:val="doNotCompress"/>
  <w:footnotePr>
    <w:footnote w:id="0"/>
    <w:footnote w:id="1"/>
  </w:footnotePr>
  <w:endnotePr>
    <w:endnote w:id="0"/>
    <w:endnote w:id="1"/>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0E6F"/>
    <w:rsid w:val="000D02EC"/>
    <w:rsid w:val="00226A7F"/>
    <w:rsid w:val="002747B9"/>
    <w:rsid w:val="002D37B5"/>
    <w:rsid w:val="003A770C"/>
    <w:rsid w:val="004C0843"/>
    <w:rsid w:val="00594A0C"/>
    <w:rsid w:val="0060166B"/>
    <w:rsid w:val="00737AE2"/>
    <w:rsid w:val="00810644"/>
    <w:rsid w:val="00852C6F"/>
    <w:rsid w:val="008828A3"/>
    <w:rsid w:val="008E0E6F"/>
    <w:rsid w:val="0096403A"/>
    <w:rsid w:val="00970A90"/>
    <w:rsid w:val="00A86C07"/>
    <w:rsid w:val="00AE1FAD"/>
    <w:rsid w:val="00B61D3C"/>
    <w:rsid w:val="00DA7317"/>
    <w:rsid w:val="00EA77E4"/>
    <w:rsid w:val="00ED0A9B"/>
    <w:rsid w:val="00F34475"/>
    <w:rsid w:val="01491C34"/>
    <w:rsid w:val="02F05262"/>
    <w:rsid w:val="04E91BE4"/>
    <w:rsid w:val="04EF6F26"/>
    <w:rsid w:val="050C4366"/>
    <w:rsid w:val="07A04291"/>
    <w:rsid w:val="081E2961"/>
    <w:rsid w:val="099A78CF"/>
    <w:rsid w:val="0A1914A2"/>
    <w:rsid w:val="0A6C7C27"/>
    <w:rsid w:val="0AE92A74"/>
    <w:rsid w:val="0C0679C8"/>
    <w:rsid w:val="0F5C0E92"/>
    <w:rsid w:val="109B0C9F"/>
    <w:rsid w:val="10CF7921"/>
    <w:rsid w:val="15484278"/>
    <w:rsid w:val="16A072F1"/>
    <w:rsid w:val="1DC660DA"/>
    <w:rsid w:val="1DC76782"/>
    <w:rsid w:val="1E6750EF"/>
    <w:rsid w:val="1E69422B"/>
    <w:rsid w:val="1E9F4539"/>
    <w:rsid w:val="1F325ABD"/>
    <w:rsid w:val="1FF468A2"/>
    <w:rsid w:val="2043117D"/>
    <w:rsid w:val="229A5862"/>
    <w:rsid w:val="22C9023E"/>
    <w:rsid w:val="237B5B5E"/>
    <w:rsid w:val="28BB2020"/>
    <w:rsid w:val="28D635F2"/>
    <w:rsid w:val="2AC718BC"/>
    <w:rsid w:val="30CB379B"/>
    <w:rsid w:val="317D1040"/>
    <w:rsid w:val="344D3308"/>
    <w:rsid w:val="37284616"/>
    <w:rsid w:val="372A0312"/>
    <w:rsid w:val="384564E0"/>
    <w:rsid w:val="390F39AA"/>
    <w:rsid w:val="394B1A11"/>
    <w:rsid w:val="3B715159"/>
    <w:rsid w:val="3C6C15A0"/>
    <w:rsid w:val="3CB90F2D"/>
    <w:rsid w:val="3CD659B0"/>
    <w:rsid w:val="3D0D09B7"/>
    <w:rsid w:val="3D10193C"/>
    <w:rsid w:val="3FEE2DD7"/>
    <w:rsid w:val="40903AFC"/>
    <w:rsid w:val="42CC668E"/>
    <w:rsid w:val="43934590"/>
    <w:rsid w:val="455B1487"/>
    <w:rsid w:val="45A65225"/>
    <w:rsid w:val="49197743"/>
    <w:rsid w:val="4A6B168E"/>
    <w:rsid w:val="4D2177AB"/>
    <w:rsid w:val="4F806AD8"/>
    <w:rsid w:val="4FE22714"/>
    <w:rsid w:val="53350B0D"/>
    <w:rsid w:val="534E3B3B"/>
    <w:rsid w:val="55163126"/>
    <w:rsid w:val="556641AA"/>
    <w:rsid w:val="55C44544"/>
    <w:rsid w:val="58636C4F"/>
    <w:rsid w:val="58C00FDC"/>
    <w:rsid w:val="59114FB0"/>
    <w:rsid w:val="5B674F9A"/>
    <w:rsid w:val="5FA45319"/>
    <w:rsid w:val="60277016"/>
    <w:rsid w:val="64AD616F"/>
    <w:rsid w:val="655962D4"/>
    <w:rsid w:val="658E655E"/>
    <w:rsid w:val="68415D17"/>
    <w:rsid w:val="6A1A5824"/>
    <w:rsid w:val="6B3A6CFA"/>
    <w:rsid w:val="6BA10BC7"/>
    <w:rsid w:val="6C344993"/>
    <w:rsid w:val="6DD14C5E"/>
    <w:rsid w:val="6E3269D7"/>
    <w:rsid w:val="706A6AB7"/>
    <w:rsid w:val="70951A45"/>
    <w:rsid w:val="70B756DD"/>
    <w:rsid w:val="721B4FB2"/>
    <w:rsid w:val="74F97922"/>
    <w:rsid w:val="77133CA5"/>
    <w:rsid w:val="77D9247F"/>
    <w:rsid w:val="78395B82"/>
    <w:rsid w:val="7A220D2C"/>
    <w:rsid w:val="7FB1158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00" w:after="200" w:line="36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outlineLvl w:val="0"/>
    </w:pPr>
    <w:rPr>
      <w:b/>
      <w:bCs/>
    </w:rPr>
  </w:style>
  <w:style w:type="paragraph" w:styleId="3">
    <w:name w:val="heading 2"/>
    <w:basedOn w:val="1"/>
    <w:next w:val="1"/>
    <w:unhideWhenUsed/>
    <w:qFormat/>
    <w:uiPriority w:val="9"/>
    <w:pPr>
      <w:keepNext/>
      <w:keepLines/>
      <w:outlineLvl w:val="1"/>
    </w:pPr>
    <w:rPr>
      <w:b/>
      <w:bCs/>
    </w:rPr>
  </w:style>
  <w:style w:type="paragraph" w:styleId="4">
    <w:name w:val="heading 3"/>
    <w:basedOn w:val="1"/>
    <w:next w:val="1"/>
    <w:unhideWhenUsed/>
    <w:qFormat/>
    <w:uiPriority w:val="9"/>
    <w:pPr>
      <w:keepNext/>
      <w:keepLines/>
      <w:outlineLvl w:val="2"/>
    </w:pPr>
    <w:rPr>
      <w:b/>
      <w:bCs/>
      <w:i/>
      <w:iCs/>
    </w:rPr>
  </w:style>
  <w:style w:type="paragraph" w:styleId="5">
    <w:name w:val="heading 4"/>
    <w:basedOn w:val="1"/>
    <w:next w:val="1"/>
    <w:unhideWhenUsed/>
    <w:qFormat/>
    <w:uiPriority w:val="9"/>
    <w:pPr>
      <w:keepNext/>
      <w:keepLines/>
      <w:jc w:val="center"/>
      <w:outlineLvl w:val="3"/>
    </w:pPr>
    <w:rPr>
      <w:b/>
      <w:bCs/>
    </w:rPr>
  </w:style>
  <w:style w:type="paragraph" w:styleId="6">
    <w:name w:val="heading 5"/>
    <w:basedOn w:val="1"/>
    <w:next w:val="1"/>
    <w:unhideWhenUsed/>
    <w:qFormat/>
    <w:uiPriority w:val="9"/>
    <w:pPr>
      <w:keepNext/>
      <w:keepLines/>
      <w:spacing w:before="240" w:after="80"/>
      <w:jc w:val="center"/>
      <w:outlineLvl w:val="4"/>
    </w:pPr>
    <w:rPr>
      <w:b/>
      <w:bCs/>
      <w:i/>
      <w:iCs/>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30"/>
    <w:semiHidden/>
    <w:unhideWhenUsed/>
    <w:qFormat/>
    <w:uiPriority w:val="99"/>
    <w:pPr>
      <w:spacing w:before="0" w:after="0" w:line="240" w:lineRule="auto"/>
    </w:pPr>
    <w:rPr>
      <w:rFonts w:ascii="Tahoma" w:hAnsi="Tahoma" w:cs="Tahoma"/>
      <w:sz w:val="16"/>
      <w:szCs w:val="16"/>
    </w:rPr>
  </w:style>
  <w:style w:type="character" w:styleId="11">
    <w:name w:val="annotation reference"/>
    <w:basedOn w:val="8"/>
    <w:semiHidden/>
    <w:unhideWhenUsed/>
    <w:qFormat/>
    <w:uiPriority w:val="99"/>
    <w:rPr>
      <w:sz w:val="16"/>
      <w:szCs w:val="16"/>
    </w:rPr>
  </w:style>
  <w:style w:type="paragraph" w:styleId="12">
    <w:name w:val="annotation text"/>
    <w:basedOn w:val="1"/>
    <w:link w:val="35"/>
    <w:semiHidden/>
    <w:unhideWhenUsed/>
    <w:qFormat/>
    <w:uiPriority w:val="99"/>
    <w:pPr>
      <w:spacing w:line="240" w:lineRule="auto"/>
    </w:pPr>
    <w:rPr>
      <w:sz w:val="20"/>
      <w:szCs w:val="20"/>
    </w:rPr>
  </w:style>
  <w:style w:type="paragraph" w:styleId="13">
    <w:name w:val="footer"/>
    <w:basedOn w:val="1"/>
    <w:link w:val="26"/>
    <w:unhideWhenUsed/>
    <w:qFormat/>
    <w:uiPriority w:val="99"/>
    <w:pPr>
      <w:tabs>
        <w:tab w:val="center" w:pos="4513"/>
        <w:tab w:val="right" w:pos="9026"/>
      </w:tabs>
      <w:spacing w:before="0" w:after="0" w:line="240" w:lineRule="auto"/>
    </w:pPr>
  </w:style>
  <w:style w:type="paragraph" w:styleId="14">
    <w:name w:val="header"/>
    <w:basedOn w:val="1"/>
    <w:link w:val="25"/>
    <w:unhideWhenUsed/>
    <w:qFormat/>
    <w:uiPriority w:val="99"/>
    <w:pPr>
      <w:tabs>
        <w:tab w:val="center" w:pos="4513"/>
        <w:tab w:val="right" w:pos="9026"/>
      </w:tabs>
      <w:spacing w:before="0" w:after="0" w:line="240" w:lineRule="auto"/>
    </w:pPr>
  </w:style>
  <w:style w:type="character" w:styleId="15">
    <w:name w:val="Hyperlink"/>
    <w:basedOn w:val="8"/>
    <w:unhideWhenUsed/>
    <w:qFormat/>
    <w:uiPriority w:val="99"/>
    <w:rPr>
      <w:color w:val="0000FF" w:themeColor="hyperlink"/>
      <w:u w:val="single"/>
      <w14:textFill>
        <w14:solidFill>
          <w14:schemeClr w14:val="hlink"/>
        </w14:solidFill>
      </w14:textFill>
    </w:rPr>
  </w:style>
  <w:style w:type="paragraph" w:styleId="16">
    <w:name w:val="Normal (Web)"/>
    <w:basedOn w:val="1"/>
    <w:unhideWhenUsed/>
    <w:qFormat/>
    <w:uiPriority w:val="99"/>
    <w:pPr>
      <w:spacing w:before="0" w:after="160"/>
    </w:pPr>
    <w:rPr>
      <w:rFonts w:eastAsiaTheme="minorHAnsi"/>
      <w:kern w:val="2"/>
      <w:lang w:eastAsia="en-US"/>
    </w:rPr>
  </w:style>
  <w:style w:type="character" w:styleId="17">
    <w:name w:val="Strong"/>
    <w:basedOn w:val="8"/>
    <w:qFormat/>
    <w:uiPriority w:val="22"/>
    <w:rPr>
      <w:b/>
      <w:bCs/>
    </w:rPr>
  </w:style>
  <w:style w:type="paragraph" w:styleId="18">
    <w:name w:val="Subtitle"/>
    <w:basedOn w:val="1"/>
    <w:next w:val="1"/>
    <w:qFormat/>
    <w:uiPriority w:val="11"/>
    <w:pPr>
      <w:keepNext/>
      <w:keepLines/>
      <w:spacing w:before="0" w:after="320"/>
    </w:pPr>
    <w:rPr>
      <w:rFonts w:ascii="Arial" w:hAnsi="Arial" w:eastAsia="Arial" w:cs="Arial"/>
      <w:color w:val="666666"/>
      <w:sz w:val="30"/>
      <w:szCs w:val="30"/>
    </w:rPr>
  </w:style>
  <w:style w:type="paragraph" w:styleId="19">
    <w:name w:val="table of figures"/>
    <w:basedOn w:val="1"/>
    <w:next w:val="1"/>
    <w:unhideWhenUsed/>
    <w:qFormat/>
    <w:uiPriority w:val="99"/>
    <w:pPr>
      <w:spacing w:after="0"/>
    </w:pPr>
    <w:rPr>
      <w:szCs w:val="30"/>
    </w:rPr>
  </w:style>
  <w:style w:type="paragraph" w:styleId="20">
    <w:name w:val="Title"/>
    <w:basedOn w:val="1"/>
    <w:next w:val="1"/>
    <w:qFormat/>
    <w:uiPriority w:val="10"/>
    <w:pPr>
      <w:keepNext/>
      <w:keepLines/>
      <w:spacing w:before="0" w:after="60"/>
    </w:pPr>
    <w:rPr>
      <w:sz w:val="52"/>
      <w:szCs w:val="52"/>
    </w:rPr>
  </w:style>
  <w:style w:type="paragraph" w:styleId="21">
    <w:name w:val="toc 1"/>
    <w:basedOn w:val="1"/>
    <w:next w:val="1"/>
    <w:autoRedefine/>
    <w:unhideWhenUsed/>
    <w:qFormat/>
    <w:uiPriority w:val="39"/>
    <w:pPr>
      <w:spacing w:after="100"/>
    </w:pPr>
  </w:style>
  <w:style w:type="paragraph" w:styleId="22">
    <w:name w:val="toc 2"/>
    <w:basedOn w:val="1"/>
    <w:next w:val="1"/>
    <w:autoRedefine/>
    <w:unhideWhenUsed/>
    <w:qFormat/>
    <w:uiPriority w:val="39"/>
    <w:pPr>
      <w:spacing w:after="100"/>
      <w:ind w:left="240"/>
    </w:pPr>
  </w:style>
  <w:style w:type="paragraph" w:styleId="23">
    <w:name w:val="toc 3"/>
    <w:basedOn w:val="1"/>
    <w:next w:val="1"/>
    <w:autoRedefine/>
    <w:unhideWhenUsed/>
    <w:qFormat/>
    <w:uiPriority w:val="39"/>
    <w:pPr>
      <w:spacing w:after="100"/>
      <w:ind w:left="480"/>
    </w:pPr>
  </w:style>
  <w:style w:type="table" w:customStyle="1" w:styleId="24">
    <w:name w:val="TableNormal"/>
    <w:qFormat/>
    <w:uiPriority w:val="0"/>
    <w:tblPr>
      <w:tblCellMar>
        <w:top w:w="100" w:type="dxa"/>
        <w:left w:w="100" w:type="dxa"/>
        <w:bottom w:w="100" w:type="dxa"/>
        <w:right w:w="100" w:type="dxa"/>
      </w:tblCellMar>
    </w:tblPr>
  </w:style>
  <w:style w:type="character" w:customStyle="1" w:styleId="25">
    <w:name w:val="Header Char"/>
    <w:basedOn w:val="8"/>
    <w:link w:val="14"/>
    <w:qFormat/>
    <w:uiPriority w:val="99"/>
  </w:style>
  <w:style w:type="character" w:customStyle="1" w:styleId="26">
    <w:name w:val="Footer Char"/>
    <w:basedOn w:val="8"/>
    <w:link w:val="13"/>
    <w:qFormat/>
    <w:uiPriority w:val="99"/>
  </w:style>
  <w:style w:type="paragraph" w:customStyle="1" w:styleId="27">
    <w:name w:val="TOC Heading1"/>
    <w:basedOn w:val="2"/>
    <w:next w:val="1"/>
    <w:unhideWhenUsed/>
    <w:qFormat/>
    <w:uiPriority w:val="39"/>
    <w:pPr>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val="en-US" w:eastAsia="en-US"/>
    </w:rPr>
  </w:style>
  <w:style w:type="paragraph" w:customStyle="1" w:styleId="28">
    <w:name w:val="Revision1"/>
    <w:hidden/>
    <w:semiHidden/>
    <w:qFormat/>
    <w:uiPriority w:val="99"/>
    <w:rPr>
      <w:rFonts w:ascii="Times New Roman" w:hAnsi="Times New Roman" w:eastAsia="Times New Roman" w:cs="Times New Roman"/>
      <w:sz w:val="24"/>
      <w:szCs w:val="24"/>
      <w:lang w:val="en-GB" w:eastAsia="en-IN" w:bidi="ar-SA"/>
    </w:rPr>
  </w:style>
  <w:style w:type="paragraph" w:styleId="29">
    <w:name w:val="List Paragraph"/>
    <w:basedOn w:val="1"/>
    <w:qFormat/>
    <w:uiPriority w:val="34"/>
    <w:pPr>
      <w:ind w:left="720"/>
      <w:contextualSpacing/>
    </w:pPr>
  </w:style>
  <w:style w:type="character" w:customStyle="1" w:styleId="30">
    <w:name w:val="Balloon Text Char"/>
    <w:basedOn w:val="8"/>
    <w:link w:val="10"/>
    <w:semiHidden/>
    <w:qFormat/>
    <w:uiPriority w:val="99"/>
    <w:rPr>
      <w:rFonts w:ascii="Tahoma" w:hAnsi="Tahoma" w:cs="Tahoma"/>
      <w:sz w:val="16"/>
      <w:szCs w:val="16"/>
    </w:rPr>
  </w:style>
  <w:style w:type="paragraph" w:customStyle="1" w:styleId="31">
    <w:name w:val="Normal1"/>
    <w:qFormat/>
    <w:uiPriority w:val="0"/>
    <w:pPr>
      <w:spacing w:line="360" w:lineRule="auto"/>
      <w:jc w:val="both"/>
    </w:pPr>
    <w:rPr>
      <w:rFonts w:ascii="Times New Roman" w:hAnsi="Times New Roman" w:eastAsia="Times New Roman" w:cs="Times New Roman"/>
      <w:sz w:val="24"/>
      <w:szCs w:val="24"/>
      <w:lang w:val="en-US" w:eastAsia="en-US" w:bidi="ar-SA"/>
    </w:rPr>
  </w:style>
  <w:style w:type="table" w:customStyle="1" w:styleId="32">
    <w:name w:val="_Style 30"/>
    <w:basedOn w:val="9"/>
    <w:qFormat/>
    <w:uiPriority w:val="0"/>
    <w:tblPr>
      <w:tblCellMar>
        <w:left w:w="115" w:type="dxa"/>
        <w:right w:w="115" w:type="dxa"/>
      </w:tblCellMar>
    </w:tblPr>
  </w:style>
  <w:style w:type="table" w:customStyle="1" w:styleId="33">
    <w:name w:val="_Style 31"/>
    <w:basedOn w:val="9"/>
    <w:qFormat/>
    <w:uiPriority w:val="0"/>
    <w:tblPr>
      <w:tblCellMar>
        <w:left w:w="115" w:type="dxa"/>
        <w:right w:w="115" w:type="dxa"/>
      </w:tblCellMar>
    </w:tblPr>
  </w:style>
  <w:style w:type="table" w:customStyle="1" w:styleId="34">
    <w:name w:val="_Style 32"/>
    <w:basedOn w:val="9"/>
    <w:qFormat/>
    <w:uiPriority w:val="0"/>
    <w:tblPr>
      <w:tblCellMar>
        <w:left w:w="115" w:type="dxa"/>
        <w:right w:w="115" w:type="dxa"/>
      </w:tblCellMar>
    </w:tblPr>
  </w:style>
  <w:style w:type="character" w:customStyle="1" w:styleId="35">
    <w:name w:val="Comment Text Char"/>
    <w:basedOn w:val="8"/>
    <w:link w:val="12"/>
    <w:semiHidden/>
    <w:qFormat/>
    <w:uiPriority w:val="99"/>
    <w:rPr>
      <w:sz w:val="20"/>
      <w:szCs w:val="20"/>
    </w:rPr>
  </w:style>
  <w:style w:type="table" w:customStyle="1" w:styleId="36">
    <w:name w:val="_Style 37"/>
    <w:basedOn w:val="9"/>
    <w:qFormat/>
    <w:uiPriority w:val="0"/>
    <w:tblPr>
      <w:tblCellMar>
        <w:left w:w="115" w:type="dxa"/>
        <w:right w:w="115" w:type="dxa"/>
      </w:tblCellMar>
    </w:tblPr>
  </w:style>
  <w:style w:type="table" w:customStyle="1" w:styleId="37">
    <w:name w:val="_Style 38"/>
    <w:basedOn w:val="9"/>
    <w:qFormat/>
    <w:uiPriority w:val="0"/>
    <w:tblPr>
      <w:tblCellMar>
        <w:left w:w="115" w:type="dxa"/>
        <w:right w:w="115" w:type="dxa"/>
      </w:tblCellMar>
    </w:tblPr>
  </w:style>
  <w:style w:type="table" w:customStyle="1" w:styleId="38">
    <w:name w:val="_Style 39"/>
    <w:basedOn w:val="9"/>
    <w:qFormat/>
    <w:uiPriority w:val="0"/>
    <w:tblPr>
      <w:tblCellMar>
        <w:left w:w="115" w:type="dxa"/>
        <w:right w:w="115" w:type="dxa"/>
      </w:tblCellMar>
    </w:tblPr>
  </w:style>
  <w:style w:type="table" w:customStyle="1" w:styleId="39">
    <w:name w:val="_Style 40"/>
    <w:basedOn w:val="9"/>
    <w:qFormat/>
    <w:uiPriority w:val="0"/>
  </w:style>
</w:styles>
</file>

<file path=word/_rels/document.xml.rels><?xml version="1.0" encoding="UTF-8" standalone="yes"?>
<Relationships xmlns="http://schemas.openxmlformats.org/package/2006/relationships"><Relationship Id="rId9" Type="http://schemas.openxmlformats.org/officeDocument/2006/relationships/footer" Target="foot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7" Type="http://schemas.openxmlformats.org/officeDocument/2006/relationships/fontTable" Target="fontTable.xml"/><Relationship Id="rId26" Type="http://schemas.openxmlformats.org/officeDocument/2006/relationships/customXml" Target="../customXml/item3.xml"/><Relationship Id="rId25" Type="http://schemas.openxmlformats.org/officeDocument/2006/relationships/customXml" Target="../customXml/item2.xml"/><Relationship Id="rId24" Type="http://schemas.openxmlformats.org/officeDocument/2006/relationships/numbering" Target="numbering.xml"/><Relationship Id="rId23" Type="http://schemas.openxmlformats.org/officeDocument/2006/relationships/customXml" Target="../customXml/item1.xml"/><Relationship Id="rId22" Type="http://schemas.openxmlformats.org/officeDocument/2006/relationships/image" Target="media/image11.png"/><Relationship Id="rId21" Type="http://schemas.openxmlformats.org/officeDocument/2006/relationships/image" Target="media/image10.png"/><Relationship Id="rId20" Type="http://schemas.openxmlformats.org/officeDocument/2006/relationships/image" Target="media/image9.png"/><Relationship Id="rId2" Type="http://schemas.openxmlformats.org/officeDocument/2006/relationships/settings" Target="settings.xml"/><Relationship Id="rId19" Type="http://schemas.openxmlformats.org/officeDocument/2006/relationships/image" Target="media/image8.png"/><Relationship Id="rId18" Type="http://schemas.openxmlformats.org/officeDocument/2006/relationships/image" Target="media/image7.png"/><Relationship Id="rId17" Type="http://schemas.openxmlformats.org/officeDocument/2006/relationships/image" Target="media/image6.png"/><Relationship Id="rId16" Type="http://schemas.openxmlformats.org/officeDocument/2006/relationships/image" Target="media/image5.png"/><Relationship Id="rId15" Type="http://schemas.openxmlformats.org/officeDocument/2006/relationships/image" Target="media/image4.png"/><Relationship Id="rId14" Type="http://schemas.openxmlformats.org/officeDocument/2006/relationships/image" Target="media/image3.png"/><Relationship Id="rId13" Type="http://schemas.openxmlformats.org/officeDocument/2006/relationships/image" Target="media/image2.png"/><Relationship Id="rId12" Type="http://schemas.openxmlformats.org/officeDocument/2006/relationships/image" Target="media/image1.GIF"/><Relationship Id="rId11" Type="http://schemas.openxmlformats.org/officeDocument/2006/relationships/theme" Target="theme/theme1.xml"/><Relationship Id="rId10" Type="http://schemas.openxmlformats.org/officeDocument/2006/relationships/footer" Target="footer4.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WTBKLhBfPQR54QkIaYXLHZrMSQ==">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</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datastoreItem>
</file>

<file path=customXml/itemProps3.xml><?xml version="1.0" encoding="utf-8"?>
<ds:datastoreItem xmlns:ds="http://schemas.openxmlformats.org/officeDocument/2006/customXml" ds:itemID="{8BB7613A-6050-4DE0-9957-224A1CE4EBD8}">
  <ds:schemaRefs/>
</ds:datastoreItem>
</file>

<file path=docProps/app.xml><?xml version="1.0" encoding="utf-8"?>
<Properties xmlns="http://schemas.openxmlformats.org/officeDocument/2006/extended-properties" xmlns:vt="http://schemas.openxmlformats.org/officeDocument/2006/docPropsVTypes">
  <Template>Normal</Template>
  <Pages>68</Pages>
  <Words>20486</Words>
  <Characters>116776</Characters>
  <Lines>973</Lines>
  <Paragraphs>273</Paragraphs>
  <TotalTime>264</TotalTime>
  <ScaleCrop>false</ScaleCrop>
  <LinksUpToDate>false</LinksUpToDate>
  <CharactersWithSpaces>136989</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2026-02-01T19:28:00Z</dcterms:created>
  <dc:creator>Asus</dc:creator>
  <cp:lastModifiedBy>Vishal Prajapati</cp:lastModifiedBy>
  <dcterms:modified xsi:type="dcterms:W3CDTF">2026-02-03T00:06:05Z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27d56a37-a78c-45e1-b4d3-3c378962f543</vt:lpwstr>
  </property>
  <property fmtid="{D5CDD505-2E9C-101B-9397-08002B2CF9AE}" pid="3" name="KSOProductBuildVer">
    <vt:lpwstr>1033-12.2.0.23196</vt:lpwstr>
  </property>
  <property fmtid="{D5CDD505-2E9C-101B-9397-08002B2CF9AE}" pid="4" name="ICV">
    <vt:lpwstr>0ADD74FA510E43A299AED9C85BBDFE7B_12</vt:lpwstr>
  </property>
</Properties>
</file>