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4BCF4B" w14:textId="77777777" w:rsidR="0007477B" w:rsidRDefault="0007477B" w:rsidP="0007477B">
      <w:pPr>
        <w:widowControl/>
        <w:pBdr>
          <w:bottom w:val="single" w:sz="8" w:space="4" w:color="4472C4"/>
        </w:pBdr>
        <w:spacing w:before="100" w:beforeAutospacing="1" w:after="100" w:afterAutospacing="1" w:line="360" w:lineRule="auto"/>
        <w:contextualSpacing/>
        <w:jc w:val="center"/>
        <w:rPr>
          <w:rFonts w:ascii="Arial" w:eastAsia="等线 Light" w:hAnsi="Arial" w:cs="Arial"/>
          <w:color w:val="323E4F"/>
          <w:spacing w:val="5"/>
          <w:kern w:val="0"/>
          <w:sz w:val="24"/>
          <w:szCs w:val="24"/>
        </w:rPr>
      </w:pPr>
    </w:p>
    <w:p w14:paraId="46499F1B" w14:textId="77777777" w:rsidR="0007477B" w:rsidRDefault="0007477B" w:rsidP="0007477B">
      <w:pPr>
        <w:widowControl/>
        <w:pBdr>
          <w:bottom w:val="single" w:sz="8" w:space="4" w:color="4472C4"/>
        </w:pBdr>
        <w:spacing w:before="100" w:beforeAutospacing="1" w:after="100" w:afterAutospacing="1" w:line="360" w:lineRule="auto"/>
        <w:contextualSpacing/>
        <w:jc w:val="center"/>
        <w:rPr>
          <w:rFonts w:ascii="Arial" w:eastAsia="等线 Light" w:hAnsi="Arial" w:cs="Arial"/>
          <w:color w:val="323E4F"/>
          <w:spacing w:val="5"/>
          <w:kern w:val="0"/>
          <w:sz w:val="24"/>
          <w:szCs w:val="24"/>
        </w:rPr>
      </w:pPr>
    </w:p>
    <w:p w14:paraId="1EFEA864" w14:textId="77777777" w:rsidR="0007477B" w:rsidRDefault="0007477B" w:rsidP="0007477B">
      <w:pPr>
        <w:widowControl/>
        <w:pBdr>
          <w:bottom w:val="single" w:sz="8" w:space="4" w:color="4472C4"/>
        </w:pBdr>
        <w:spacing w:before="100" w:beforeAutospacing="1" w:after="100" w:afterAutospacing="1" w:line="360" w:lineRule="auto"/>
        <w:contextualSpacing/>
        <w:jc w:val="center"/>
        <w:rPr>
          <w:rFonts w:ascii="Arial" w:eastAsia="等线 Light" w:hAnsi="Arial" w:cs="Arial"/>
          <w:color w:val="323E4F"/>
          <w:spacing w:val="5"/>
          <w:kern w:val="0"/>
          <w:sz w:val="24"/>
          <w:szCs w:val="24"/>
        </w:rPr>
      </w:pPr>
    </w:p>
    <w:p w14:paraId="425BD26B" w14:textId="77777777" w:rsidR="0007477B" w:rsidRDefault="0007477B" w:rsidP="0007477B">
      <w:pPr>
        <w:widowControl/>
        <w:pBdr>
          <w:bottom w:val="single" w:sz="8" w:space="4" w:color="4472C4"/>
        </w:pBdr>
        <w:spacing w:before="100" w:beforeAutospacing="1" w:after="100" w:afterAutospacing="1" w:line="360" w:lineRule="auto"/>
        <w:contextualSpacing/>
        <w:jc w:val="center"/>
        <w:rPr>
          <w:rFonts w:ascii="Arial" w:eastAsia="等线 Light" w:hAnsi="Arial" w:cs="Arial"/>
          <w:color w:val="323E4F"/>
          <w:spacing w:val="5"/>
          <w:kern w:val="0"/>
          <w:sz w:val="24"/>
          <w:szCs w:val="24"/>
        </w:rPr>
      </w:pPr>
    </w:p>
    <w:p w14:paraId="139A961D" w14:textId="112C6975" w:rsidR="0007477B" w:rsidRPr="001D022A" w:rsidRDefault="0007477B" w:rsidP="001D022A">
      <w:pPr>
        <w:widowControl/>
        <w:pBdr>
          <w:bottom w:val="single" w:sz="8" w:space="4" w:color="4472C4"/>
        </w:pBdr>
        <w:spacing w:before="100" w:beforeAutospacing="1" w:after="100" w:afterAutospacing="1" w:line="360" w:lineRule="auto"/>
        <w:contextualSpacing/>
        <w:jc w:val="center"/>
        <w:rPr>
          <w:rFonts w:ascii="Arial" w:eastAsia="等线 Light" w:hAnsi="Arial" w:cs="Arial"/>
          <w:color w:val="323E4F"/>
          <w:spacing w:val="5"/>
          <w:kern w:val="0"/>
          <w:sz w:val="24"/>
          <w:szCs w:val="24"/>
        </w:rPr>
      </w:pPr>
      <w:r w:rsidRPr="001D022A">
        <w:rPr>
          <w:rFonts w:ascii="Arial" w:eastAsia="等线 Light" w:hAnsi="Arial" w:cs="Arial"/>
          <w:color w:val="323E4F"/>
          <w:spacing w:val="5"/>
          <w:kern w:val="0"/>
          <w:sz w:val="24"/>
          <w:szCs w:val="24"/>
        </w:rPr>
        <w:t>Unit name: Strategic Marketing</w:t>
      </w:r>
    </w:p>
    <w:p w14:paraId="5DCC85B3" w14:textId="4590BD28" w:rsidR="0007477B" w:rsidRPr="001D022A" w:rsidRDefault="0007477B" w:rsidP="001D022A">
      <w:pPr>
        <w:widowControl/>
        <w:pBdr>
          <w:bottom w:val="single" w:sz="8" w:space="4" w:color="4472C4"/>
        </w:pBdr>
        <w:spacing w:before="100" w:beforeAutospacing="1" w:after="100" w:afterAutospacing="1" w:line="360" w:lineRule="auto"/>
        <w:contextualSpacing/>
        <w:jc w:val="center"/>
        <w:rPr>
          <w:rFonts w:ascii="Arial" w:eastAsia="等线 Light" w:hAnsi="Arial" w:cs="Arial"/>
          <w:b/>
          <w:color w:val="323E4F"/>
          <w:spacing w:val="5"/>
          <w:kern w:val="0"/>
          <w:sz w:val="24"/>
          <w:szCs w:val="24"/>
        </w:rPr>
      </w:pPr>
      <w:r w:rsidRPr="001D022A">
        <w:rPr>
          <w:rFonts w:ascii="Arial" w:eastAsia="等线 Light" w:hAnsi="Arial" w:cs="Arial"/>
          <w:b/>
          <w:color w:val="323E4F"/>
          <w:spacing w:val="5"/>
          <w:kern w:val="0"/>
          <w:sz w:val="24"/>
          <w:szCs w:val="24"/>
        </w:rPr>
        <w:t>Taco Bell Strategic Environmental Analysis and Sustainability Report</w:t>
      </w:r>
    </w:p>
    <w:p w14:paraId="6B269897" w14:textId="0A31FE9F" w:rsidR="0007477B" w:rsidRPr="001D022A" w:rsidRDefault="0007477B" w:rsidP="001D022A">
      <w:pPr>
        <w:widowControl/>
        <w:spacing w:before="100" w:beforeAutospacing="1" w:after="100" w:afterAutospacing="1" w:line="360" w:lineRule="auto"/>
        <w:jc w:val="center"/>
        <w:rPr>
          <w:rFonts w:ascii="Arial" w:eastAsia="等线" w:hAnsi="Arial" w:cs="Arial"/>
          <w:kern w:val="0"/>
          <w:sz w:val="24"/>
          <w:szCs w:val="24"/>
        </w:rPr>
      </w:pPr>
      <w:r w:rsidRPr="001D022A">
        <w:rPr>
          <w:rFonts w:ascii="Arial" w:eastAsia="等线" w:hAnsi="Arial" w:cs="Arial"/>
          <w:kern w:val="0"/>
          <w:sz w:val="24"/>
          <w:szCs w:val="24"/>
        </w:rPr>
        <w:t>Written by: Wang Yaozheng</w:t>
      </w:r>
    </w:p>
    <w:p w14:paraId="42B8CB32" w14:textId="77777777" w:rsidR="0007477B" w:rsidRPr="001D022A" w:rsidRDefault="0007477B" w:rsidP="001D022A">
      <w:pPr>
        <w:widowControl/>
        <w:spacing w:before="100" w:beforeAutospacing="1" w:after="100" w:afterAutospacing="1" w:line="360" w:lineRule="auto"/>
        <w:jc w:val="center"/>
        <w:rPr>
          <w:rFonts w:ascii="Arial" w:eastAsia="等线" w:hAnsi="Arial" w:cs="Arial"/>
          <w:kern w:val="0"/>
          <w:sz w:val="24"/>
          <w:szCs w:val="24"/>
        </w:rPr>
      </w:pPr>
      <w:r w:rsidRPr="001D022A">
        <w:rPr>
          <w:rFonts w:ascii="Arial" w:eastAsia="等线" w:hAnsi="Arial" w:cs="Arial"/>
          <w:kern w:val="0"/>
          <w:sz w:val="24"/>
          <w:szCs w:val="24"/>
        </w:rPr>
        <w:t>Student ID: 2416609</w:t>
      </w:r>
    </w:p>
    <w:p w14:paraId="46581E32" w14:textId="42F5A098" w:rsidR="0007477B" w:rsidRPr="001D022A" w:rsidRDefault="0007477B" w:rsidP="001D022A">
      <w:pPr>
        <w:widowControl/>
        <w:spacing w:before="100" w:beforeAutospacing="1" w:after="100" w:afterAutospacing="1" w:line="360" w:lineRule="auto"/>
        <w:jc w:val="center"/>
        <w:rPr>
          <w:rFonts w:ascii="Arial" w:eastAsia="等线" w:hAnsi="Arial" w:cs="Arial"/>
          <w:kern w:val="0"/>
          <w:sz w:val="24"/>
          <w:szCs w:val="24"/>
        </w:rPr>
      </w:pPr>
      <w:r w:rsidRPr="001D022A">
        <w:rPr>
          <w:rFonts w:ascii="Arial" w:eastAsia="等线" w:hAnsi="Arial" w:cs="Arial"/>
          <w:kern w:val="0"/>
          <w:sz w:val="24"/>
          <w:szCs w:val="24"/>
        </w:rPr>
        <w:t>Date submitted: March 28, 2025</w:t>
      </w:r>
    </w:p>
    <w:p w14:paraId="392FE304" w14:textId="576AF7D5" w:rsidR="005435A1" w:rsidRPr="001D022A" w:rsidRDefault="005435A1" w:rsidP="001D022A">
      <w:pPr>
        <w:widowControl/>
        <w:spacing w:line="360" w:lineRule="auto"/>
        <w:jc w:val="left"/>
        <w:rPr>
          <w:rFonts w:ascii="Arial" w:hAnsi="Arial" w:cs="Arial"/>
          <w:sz w:val="24"/>
          <w:szCs w:val="24"/>
        </w:rPr>
      </w:pPr>
    </w:p>
    <w:p w14:paraId="6780E8AC" w14:textId="5A4FA042" w:rsidR="008D52AC" w:rsidRPr="001D022A" w:rsidRDefault="005435A1" w:rsidP="001D022A">
      <w:pPr>
        <w:widowControl/>
        <w:spacing w:line="360" w:lineRule="auto"/>
        <w:jc w:val="left"/>
        <w:rPr>
          <w:rFonts w:ascii="Arial" w:hAnsi="Arial" w:cs="Arial"/>
          <w:sz w:val="24"/>
          <w:szCs w:val="24"/>
        </w:rPr>
      </w:pPr>
      <w:r w:rsidRPr="001D022A">
        <w:rPr>
          <w:rFonts w:ascii="Arial" w:hAnsi="Arial" w:cs="Arial"/>
          <w:sz w:val="24"/>
          <w:szCs w:val="24"/>
        </w:rPr>
        <w:br w:type="page"/>
      </w:r>
    </w:p>
    <w:p w14:paraId="19A2913F" w14:textId="6F458D6E" w:rsidR="005435A1" w:rsidRPr="001D022A" w:rsidRDefault="005435A1" w:rsidP="001D022A">
      <w:pPr>
        <w:pStyle w:val="1"/>
        <w:spacing w:line="360" w:lineRule="auto"/>
        <w:rPr>
          <w:rFonts w:ascii="Arial" w:hAnsi="Arial" w:cs="Arial"/>
          <w:sz w:val="24"/>
          <w:szCs w:val="24"/>
        </w:rPr>
      </w:pPr>
      <w:bookmarkStart w:id="0" w:name="_Toc194114096"/>
      <w:r w:rsidRPr="001D022A">
        <w:rPr>
          <w:rFonts w:ascii="Arial" w:hAnsi="Arial" w:cs="Arial"/>
          <w:sz w:val="24"/>
          <w:szCs w:val="24"/>
        </w:rPr>
        <w:lastRenderedPageBreak/>
        <w:t>Summary</w:t>
      </w:r>
      <w:bookmarkEnd w:id="0"/>
    </w:p>
    <w:p w14:paraId="0CAAEB97" w14:textId="77777777" w:rsidR="005435A1" w:rsidRPr="001D022A" w:rsidRDefault="005435A1" w:rsidP="001D022A">
      <w:pPr>
        <w:widowControl/>
        <w:spacing w:line="360" w:lineRule="auto"/>
        <w:jc w:val="left"/>
        <w:rPr>
          <w:rFonts w:ascii="Arial" w:hAnsi="Arial" w:cs="Arial"/>
          <w:sz w:val="24"/>
          <w:szCs w:val="24"/>
        </w:rPr>
      </w:pPr>
      <w:r w:rsidRPr="001D022A">
        <w:rPr>
          <w:rFonts w:ascii="Arial" w:hAnsi="Arial" w:cs="Arial"/>
          <w:sz w:val="24"/>
          <w:szCs w:val="24"/>
        </w:rPr>
        <w:t>Taco Bell’s strategic positioning within the global quick-service restaurant industry reflects a balance of innovation-driven strengths and evolving market challenges. As a subsidiary of Yum! Brands, the company leverages its extensive franchise network—comprising over 8,500 locations across 30+ countries—to maintain market agility. Core competencies include rapid product innovation, exemplified by 32 limited-time offerings launched in 2025, and a digital ecosystem contributing 30% of U.S. sales through mobile app integrations. However, external pressures such as inflationary supply chain costs, regulatory shifts like single-use plastics bans, and rising health-conscious consumer demands necessitate strategic recalibration.</w:t>
      </w:r>
    </w:p>
    <w:p w14:paraId="141CC132" w14:textId="77777777" w:rsidR="005435A1" w:rsidRPr="001D022A" w:rsidRDefault="005435A1" w:rsidP="001D022A">
      <w:pPr>
        <w:widowControl/>
        <w:spacing w:line="360" w:lineRule="auto"/>
        <w:jc w:val="left"/>
        <w:rPr>
          <w:rFonts w:ascii="Arial" w:hAnsi="Arial" w:cs="Arial"/>
          <w:sz w:val="24"/>
          <w:szCs w:val="24"/>
        </w:rPr>
      </w:pPr>
    </w:p>
    <w:p w14:paraId="2E2C5DA0" w14:textId="77777777" w:rsidR="005435A1" w:rsidRPr="001D022A" w:rsidRDefault="005435A1" w:rsidP="001D022A">
      <w:pPr>
        <w:widowControl/>
        <w:spacing w:line="360" w:lineRule="auto"/>
        <w:jc w:val="left"/>
        <w:rPr>
          <w:rFonts w:ascii="Arial" w:hAnsi="Arial" w:cs="Arial"/>
          <w:sz w:val="24"/>
          <w:szCs w:val="24"/>
        </w:rPr>
      </w:pPr>
      <w:r w:rsidRPr="001D022A">
        <w:rPr>
          <w:rFonts w:ascii="Arial" w:hAnsi="Arial" w:cs="Arial"/>
          <w:sz w:val="24"/>
          <w:szCs w:val="24"/>
        </w:rPr>
        <w:t>The hybrid strategy combines cost leadership and differentiation to address these challenges. Initiatives such as regional sourcing hubs in Mexico and India aim to reduce logistics expenses by 12 million USD annually while mitigating geopolitical risks. Concurrently, AI-driven menu personalization via the Fan Style app bridges health perceptions and profitability, targeting a 22% increase in plant-based adoption by 2026. Sustainability commitments, including transitioning 50% of U.S. stores to compostable packaging by 2025, align with both regulatory requirements and consumer expectations, projected to reduce carbon intensity per meal by 18%.</w:t>
      </w:r>
    </w:p>
    <w:p w14:paraId="7710A162" w14:textId="77777777" w:rsidR="005435A1" w:rsidRPr="001D022A" w:rsidRDefault="005435A1" w:rsidP="001D022A">
      <w:pPr>
        <w:widowControl/>
        <w:spacing w:line="360" w:lineRule="auto"/>
        <w:jc w:val="left"/>
        <w:rPr>
          <w:rFonts w:ascii="Arial" w:hAnsi="Arial" w:cs="Arial"/>
          <w:sz w:val="24"/>
          <w:szCs w:val="24"/>
        </w:rPr>
      </w:pPr>
    </w:p>
    <w:p w14:paraId="3B0442E3" w14:textId="540C19C5" w:rsidR="008D52AC" w:rsidRPr="001D022A" w:rsidRDefault="005435A1" w:rsidP="001D022A">
      <w:pPr>
        <w:widowControl/>
        <w:spacing w:line="360" w:lineRule="auto"/>
        <w:jc w:val="left"/>
        <w:rPr>
          <w:rFonts w:ascii="Arial" w:hAnsi="Arial" w:cs="Arial"/>
          <w:sz w:val="24"/>
          <w:szCs w:val="24"/>
        </w:rPr>
      </w:pPr>
      <w:r w:rsidRPr="001D022A">
        <w:rPr>
          <w:rFonts w:ascii="Arial" w:hAnsi="Arial" w:cs="Arial"/>
          <w:sz w:val="24"/>
          <w:szCs w:val="24"/>
        </w:rPr>
        <w:t xml:space="preserve">Looking ahead, Taco Bell’s roadmap prioritizes global expansion and operational resilience. Franchise incentives such as tax holidays in Southeast Asia and cultural adaptation grants aim to capture 15% international revenue growth by 2026. Workforce stabilization programs addressing 150% turnover rates through tuition reimbursements and AI-optimized scheduling further strengthen execution capabilities. Financial projections indicate potential to secure 23% of the 287 billion USD global QSR market by 2027, with EBIT </w:t>
      </w:r>
      <w:r w:rsidRPr="001D022A">
        <w:rPr>
          <w:rFonts w:ascii="Arial" w:hAnsi="Arial" w:cs="Arial"/>
          <w:sz w:val="24"/>
          <w:szCs w:val="24"/>
        </w:rPr>
        <w:lastRenderedPageBreak/>
        <w:t>margins sustained above 18%. By harmonizing technological agility with localized execution, the brand is positioned to redefine industry leadership while navigating economic uncertainty and shifting consumer paradigms.</w:t>
      </w:r>
      <w:r w:rsidR="008D52AC" w:rsidRPr="001D022A">
        <w:rPr>
          <w:rFonts w:ascii="Arial" w:hAnsi="Arial" w:cs="Arial"/>
          <w:sz w:val="24"/>
          <w:szCs w:val="24"/>
        </w:rPr>
        <w:br w:type="page"/>
      </w:r>
    </w:p>
    <w:sdt>
      <w:sdtPr>
        <w:rPr>
          <w:rFonts w:ascii="Arial" w:eastAsiaTheme="minorEastAsia" w:hAnsi="Arial" w:cs="Arial"/>
          <w:color w:val="auto"/>
          <w:kern w:val="2"/>
          <w:sz w:val="28"/>
          <w:szCs w:val="28"/>
          <w:lang w:val="zh-CN"/>
        </w:rPr>
        <w:id w:val="418903960"/>
        <w:docPartObj>
          <w:docPartGallery w:val="Table of Contents"/>
          <w:docPartUnique/>
        </w:docPartObj>
      </w:sdtPr>
      <w:sdtEndPr>
        <w:rPr>
          <w:b/>
          <w:bCs/>
          <w:sz w:val="24"/>
          <w:szCs w:val="24"/>
        </w:rPr>
      </w:sdtEndPr>
      <w:sdtContent>
        <w:p w14:paraId="2494F1FE" w14:textId="1A4C1C82" w:rsidR="005435A1" w:rsidRPr="00FB18C3" w:rsidRDefault="005435A1" w:rsidP="001D022A">
          <w:pPr>
            <w:pStyle w:val="TOC"/>
            <w:spacing w:line="360" w:lineRule="auto"/>
            <w:rPr>
              <w:rFonts w:ascii="Arial" w:hAnsi="Arial" w:cs="Arial"/>
              <w:sz w:val="28"/>
              <w:szCs w:val="28"/>
            </w:rPr>
          </w:pPr>
          <w:r w:rsidRPr="00FB18C3">
            <w:rPr>
              <w:rFonts w:ascii="Arial" w:hAnsi="Arial" w:cs="Arial"/>
              <w:sz w:val="28"/>
              <w:szCs w:val="28"/>
              <w:lang w:val="zh-CN"/>
            </w:rPr>
            <w:t>Contents</w:t>
          </w:r>
          <w:r w:rsidR="006466D9" w:rsidRPr="00FB18C3">
            <w:rPr>
              <w:rFonts w:ascii="Arial" w:hAnsi="Arial" w:cs="Arial"/>
              <w:sz w:val="28"/>
              <w:szCs w:val="28"/>
              <w:lang w:val="zh-CN"/>
            </w:rPr>
            <w:t xml:space="preserve">  </w:t>
          </w:r>
        </w:p>
        <w:p w14:paraId="32613077" w14:textId="44C7D757" w:rsidR="00D775C7" w:rsidRPr="00FB18C3" w:rsidRDefault="005435A1">
          <w:pPr>
            <w:pStyle w:val="TOC1"/>
            <w:tabs>
              <w:tab w:val="right" w:leader="dot" w:pos="8296"/>
            </w:tabs>
            <w:rPr>
              <w:rFonts w:ascii="Arial" w:hAnsi="Arial" w:cs="Arial"/>
              <w:noProof/>
              <w:sz w:val="28"/>
              <w:szCs w:val="28"/>
              <w14:ligatures w14:val="standardContextual"/>
            </w:rPr>
          </w:pPr>
          <w:r w:rsidRPr="00FB18C3">
            <w:rPr>
              <w:rFonts w:ascii="Arial" w:hAnsi="Arial" w:cs="Arial"/>
              <w:sz w:val="28"/>
              <w:szCs w:val="28"/>
            </w:rPr>
            <w:fldChar w:fldCharType="begin"/>
          </w:r>
          <w:r w:rsidRPr="00FB18C3">
            <w:rPr>
              <w:rFonts w:ascii="Arial" w:hAnsi="Arial" w:cs="Arial"/>
              <w:sz w:val="28"/>
              <w:szCs w:val="28"/>
            </w:rPr>
            <w:instrText xml:space="preserve"> TOC \o "1-3" \h \z \u </w:instrText>
          </w:r>
          <w:r w:rsidRPr="00FB18C3">
            <w:rPr>
              <w:rFonts w:ascii="Arial" w:hAnsi="Arial" w:cs="Arial"/>
              <w:sz w:val="28"/>
              <w:szCs w:val="28"/>
            </w:rPr>
            <w:fldChar w:fldCharType="separate"/>
          </w:r>
          <w:hyperlink w:anchor="_Toc194114096" w:history="1">
            <w:r w:rsidR="00D775C7" w:rsidRPr="00FB18C3">
              <w:rPr>
                <w:rStyle w:val="af4"/>
                <w:rFonts w:ascii="Arial" w:hAnsi="Arial" w:cs="Arial"/>
                <w:noProof/>
                <w:sz w:val="28"/>
                <w:szCs w:val="28"/>
              </w:rPr>
              <w:t>Summary</w:t>
            </w:r>
            <w:r w:rsidR="00D775C7" w:rsidRPr="00FB18C3">
              <w:rPr>
                <w:rFonts w:ascii="Arial" w:hAnsi="Arial" w:cs="Arial"/>
                <w:noProof/>
                <w:webHidden/>
                <w:sz w:val="28"/>
                <w:szCs w:val="28"/>
              </w:rPr>
              <w:tab/>
            </w:r>
            <w:r w:rsidR="00D775C7" w:rsidRPr="00FB18C3">
              <w:rPr>
                <w:rFonts w:ascii="Arial" w:hAnsi="Arial" w:cs="Arial"/>
                <w:noProof/>
                <w:webHidden/>
                <w:sz w:val="28"/>
                <w:szCs w:val="28"/>
              </w:rPr>
              <w:fldChar w:fldCharType="begin"/>
            </w:r>
            <w:r w:rsidR="00D775C7" w:rsidRPr="00FB18C3">
              <w:rPr>
                <w:rFonts w:ascii="Arial" w:hAnsi="Arial" w:cs="Arial"/>
                <w:noProof/>
                <w:webHidden/>
                <w:sz w:val="28"/>
                <w:szCs w:val="28"/>
              </w:rPr>
              <w:instrText xml:space="preserve"> PAGEREF _Toc194114096 \h </w:instrText>
            </w:r>
            <w:r w:rsidR="00D775C7" w:rsidRPr="00FB18C3">
              <w:rPr>
                <w:rFonts w:ascii="Arial" w:hAnsi="Arial" w:cs="Arial"/>
                <w:noProof/>
                <w:webHidden/>
                <w:sz w:val="28"/>
                <w:szCs w:val="28"/>
              </w:rPr>
            </w:r>
            <w:r w:rsidR="00D775C7" w:rsidRPr="00FB18C3">
              <w:rPr>
                <w:rFonts w:ascii="Arial" w:hAnsi="Arial" w:cs="Arial"/>
                <w:noProof/>
                <w:webHidden/>
                <w:sz w:val="28"/>
                <w:szCs w:val="28"/>
              </w:rPr>
              <w:fldChar w:fldCharType="separate"/>
            </w:r>
            <w:r w:rsidR="00D775C7" w:rsidRPr="00FB18C3">
              <w:rPr>
                <w:rFonts w:ascii="Arial" w:hAnsi="Arial" w:cs="Arial"/>
                <w:noProof/>
                <w:webHidden/>
                <w:sz w:val="28"/>
                <w:szCs w:val="28"/>
              </w:rPr>
              <w:t>2</w:t>
            </w:r>
            <w:r w:rsidR="00D775C7" w:rsidRPr="00FB18C3">
              <w:rPr>
                <w:rFonts w:ascii="Arial" w:hAnsi="Arial" w:cs="Arial"/>
                <w:noProof/>
                <w:webHidden/>
                <w:sz w:val="28"/>
                <w:szCs w:val="28"/>
              </w:rPr>
              <w:fldChar w:fldCharType="end"/>
            </w:r>
          </w:hyperlink>
        </w:p>
        <w:p w14:paraId="558D08F7" w14:textId="0E010A03" w:rsidR="00D775C7" w:rsidRPr="00FB18C3" w:rsidRDefault="00D775C7">
          <w:pPr>
            <w:pStyle w:val="TOC1"/>
            <w:tabs>
              <w:tab w:val="right" w:leader="dot" w:pos="8296"/>
            </w:tabs>
            <w:rPr>
              <w:rFonts w:ascii="Arial" w:hAnsi="Arial" w:cs="Arial"/>
              <w:noProof/>
              <w:sz w:val="28"/>
              <w:szCs w:val="28"/>
              <w14:ligatures w14:val="standardContextual"/>
            </w:rPr>
          </w:pPr>
          <w:hyperlink w:anchor="_Toc194114097" w:history="1">
            <w:r w:rsidRPr="00FB18C3">
              <w:rPr>
                <w:rStyle w:val="af4"/>
                <w:rFonts w:ascii="Arial" w:hAnsi="Arial" w:cs="Arial"/>
                <w:noProof/>
                <w:sz w:val="28"/>
                <w:szCs w:val="28"/>
              </w:rPr>
              <w:t>1.0 Introduction</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_Toc194114097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5</w:t>
            </w:r>
            <w:r w:rsidRPr="00FB18C3">
              <w:rPr>
                <w:rFonts w:ascii="Arial" w:hAnsi="Arial" w:cs="Arial"/>
                <w:noProof/>
                <w:webHidden/>
                <w:sz w:val="28"/>
                <w:szCs w:val="28"/>
              </w:rPr>
              <w:fldChar w:fldCharType="end"/>
            </w:r>
          </w:hyperlink>
        </w:p>
        <w:p w14:paraId="1E9DCD5D" w14:textId="1A05B0CE" w:rsidR="00D775C7" w:rsidRPr="00FB18C3" w:rsidRDefault="00D775C7">
          <w:pPr>
            <w:pStyle w:val="TOC1"/>
            <w:tabs>
              <w:tab w:val="right" w:leader="dot" w:pos="8296"/>
            </w:tabs>
            <w:rPr>
              <w:rFonts w:ascii="Arial" w:hAnsi="Arial" w:cs="Arial"/>
              <w:noProof/>
              <w:sz w:val="28"/>
              <w:szCs w:val="28"/>
              <w14:ligatures w14:val="standardContextual"/>
            </w:rPr>
          </w:pPr>
          <w:hyperlink w:anchor="_Toc194114098" w:history="1">
            <w:r w:rsidRPr="00FB18C3">
              <w:rPr>
                <w:rStyle w:val="af4"/>
                <w:rFonts w:ascii="Arial" w:hAnsi="Arial" w:cs="Arial"/>
                <w:noProof/>
                <w:sz w:val="28"/>
                <w:szCs w:val="28"/>
              </w:rPr>
              <w:t>2.0 External Analysis</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_Toc194114098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6</w:t>
            </w:r>
            <w:r w:rsidRPr="00FB18C3">
              <w:rPr>
                <w:rFonts w:ascii="Arial" w:hAnsi="Arial" w:cs="Arial"/>
                <w:noProof/>
                <w:webHidden/>
                <w:sz w:val="28"/>
                <w:szCs w:val="28"/>
              </w:rPr>
              <w:fldChar w:fldCharType="end"/>
            </w:r>
          </w:hyperlink>
        </w:p>
        <w:p w14:paraId="26DC3643" w14:textId="3A9CE209" w:rsidR="00D775C7" w:rsidRPr="00FB18C3" w:rsidRDefault="00D775C7">
          <w:pPr>
            <w:pStyle w:val="TOC2"/>
            <w:tabs>
              <w:tab w:val="right" w:leader="dot" w:pos="8296"/>
            </w:tabs>
            <w:rPr>
              <w:rFonts w:ascii="Arial" w:hAnsi="Arial" w:cs="Arial"/>
              <w:noProof/>
              <w:sz w:val="28"/>
              <w:szCs w:val="28"/>
              <w14:ligatures w14:val="standardContextual"/>
            </w:rPr>
          </w:pPr>
          <w:hyperlink w:anchor="_Toc194114099" w:history="1">
            <w:r w:rsidRPr="00FB18C3">
              <w:rPr>
                <w:rStyle w:val="af4"/>
                <w:rFonts w:ascii="Arial" w:hAnsi="Arial" w:cs="Arial"/>
                <w:noProof/>
                <w:kern w:val="0"/>
                <w:sz w:val="28"/>
                <w:szCs w:val="28"/>
              </w:rPr>
              <w:t>2.1 Macro-Environmental Analysis through PESTEL Framework</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_Toc194114099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6</w:t>
            </w:r>
            <w:r w:rsidRPr="00FB18C3">
              <w:rPr>
                <w:rFonts w:ascii="Arial" w:hAnsi="Arial" w:cs="Arial"/>
                <w:noProof/>
                <w:webHidden/>
                <w:sz w:val="28"/>
                <w:szCs w:val="28"/>
              </w:rPr>
              <w:fldChar w:fldCharType="end"/>
            </w:r>
          </w:hyperlink>
        </w:p>
        <w:p w14:paraId="691A7B22" w14:textId="2C09A485"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0" w:history="1">
            <w:r w:rsidRPr="00FB18C3">
              <w:rPr>
                <w:rStyle w:val="af4"/>
                <w:rFonts w:ascii="Arial" w:hAnsi="Arial" w:cs="Arial"/>
                <w:noProof/>
                <w:kern w:val="0"/>
                <w:sz w:val="28"/>
                <w:szCs w:val="28"/>
              </w:rPr>
              <w:t>2.2 Industry Dynamics through Porter’s Five Forces</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_Toc194114100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8</w:t>
            </w:r>
            <w:r w:rsidRPr="00FB18C3">
              <w:rPr>
                <w:rFonts w:ascii="Arial" w:hAnsi="Arial" w:cs="Arial"/>
                <w:noProof/>
                <w:webHidden/>
                <w:sz w:val="28"/>
                <w:szCs w:val="28"/>
              </w:rPr>
              <w:fldChar w:fldCharType="end"/>
            </w:r>
          </w:hyperlink>
        </w:p>
        <w:p w14:paraId="37F2BC8A" w14:textId="24630E96"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1" w:history="1">
            <w:r w:rsidRPr="00FB18C3">
              <w:rPr>
                <w:rStyle w:val="af4"/>
                <w:rFonts w:ascii="Arial" w:hAnsi="Arial" w:cs="Arial"/>
                <w:noProof/>
                <w:kern w:val="0"/>
                <w:sz w:val="28"/>
                <w:szCs w:val="28"/>
              </w:rPr>
              <w:t>2.3 Strategic Recommendations</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_Toc194114101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8</w:t>
            </w:r>
            <w:r w:rsidRPr="00FB18C3">
              <w:rPr>
                <w:rFonts w:ascii="Arial" w:hAnsi="Arial" w:cs="Arial"/>
                <w:noProof/>
                <w:webHidden/>
                <w:sz w:val="28"/>
                <w:szCs w:val="28"/>
              </w:rPr>
              <w:fldChar w:fldCharType="end"/>
            </w:r>
          </w:hyperlink>
        </w:p>
        <w:p w14:paraId="7637D744" w14:textId="6596551F" w:rsidR="00D775C7" w:rsidRPr="00FB18C3" w:rsidRDefault="00D775C7">
          <w:pPr>
            <w:pStyle w:val="TOC1"/>
            <w:tabs>
              <w:tab w:val="right" w:leader="dot" w:pos="8296"/>
            </w:tabs>
            <w:rPr>
              <w:rFonts w:ascii="Arial" w:hAnsi="Arial" w:cs="Arial"/>
              <w:noProof/>
              <w:sz w:val="28"/>
              <w:szCs w:val="28"/>
              <w14:ligatures w14:val="standardContextual"/>
            </w:rPr>
          </w:pPr>
          <w:hyperlink w:anchor="_Toc194114102" w:history="1">
            <w:r w:rsidRPr="00FB18C3">
              <w:rPr>
                <w:rStyle w:val="af4"/>
                <w:rFonts w:ascii="Arial" w:hAnsi="Arial" w:cs="Arial"/>
                <w:noProof/>
                <w:sz w:val="28"/>
                <w:szCs w:val="28"/>
              </w:rPr>
              <w:t>3.0 Internal Analysis</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_Toc194114102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9</w:t>
            </w:r>
            <w:r w:rsidRPr="00FB18C3">
              <w:rPr>
                <w:rFonts w:ascii="Arial" w:hAnsi="Arial" w:cs="Arial"/>
                <w:noProof/>
                <w:webHidden/>
                <w:sz w:val="28"/>
                <w:szCs w:val="28"/>
              </w:rPr>
              <w:fldChar w:fldCharType="end"/>
            </w:r>
          </w:hyperlink>
        </w:p>
        <w:p w14:paraId="574A4370" w14:textId="70805AD2"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3" w:history="1">
            <w:r w:rsidRPr="00FB18C3">
              <w:rPr>
                <w:rStyle w:val="af4"/>
                <w:rFonts w:ascii="Arial" w:hAnsi="Arial" w:cs="Arial"/>
                <w:noProof/>
                <w:sz w:val="28"/>
                <w:szCs w:val="28"/>
              </w:rPr>
              <w:t>3.1 SWOT Evaluation</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_Toc194114103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9</w:t>
            </w:r>
            <w:r w:rsidRPr="00FB18C3">
              <w:rPr>
                <w:rFonts w:ascii="Arial" w:hAnsi="Arial" w:cs="Arial"/>
                <w:noProof/>
                <w:webHidden/>
                <w:sz w:val="28"/>
                <w:szCs w:val="28"/>
              </w:rPr>
              <w:fldChar w:fldCharType="end"/>
            </w:r>
          </w:hyperlink>
        </w:p>
        <w:p w14:paraId="570A03B7" w14:textId="3ADF9027"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4" w:history="1">
            <w:r w:rsidRPr="00FB18C3">
              <w:rPr>
                <w:rStyle w:val="af4"/>
                <w:rFonts w:ascii="Arial" w:hAnsi="Arial" w:cs="Arial"/>
                <w:noProof/>
                <w:sz w:val="28"/>
                <w:szCs w:val="28"/>
              </w:rPr>
              <w:t>3.2 Resource-Based View Assessment</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_Toc194114104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10</w:t>
            </w:r>
            <w:r w:rsidRPr="00FB18C3">
              <w:rPr>
                <w:rFonts w:ascii="Arial" w:hAnsi="Arial" w:cs="Arial"/>
                <w:noProof/>
                <w:webHidden/>
                <w:sz w:val="28"/>
                <w:szCs w:val="28"/>
              </w:rPr>
              <w:fldChar w:fldCharType="end"/>
            </w:r>
          </w:hyperlink>
        </w:p>
        <w:p w14:paraId="363D7021" w14:textId="37D32878"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5" w:history="1">
            <w:r w:rsidRPr="00FB18C3">
              <w:rPr>
                <w:rStyle w:val="af4"/>
                <w:rFonts w:ascii="Arial" w:hAnsi="Arial" w:cs="Arial"/>
                <w:noProof/>
                <w:sz w:val="28"/>
                <w:szCs w:val="28"/>
              </w:rPr>
              <w:t>3.3 Strategic Recommendation</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_Toc194114105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11</w:t>
            </w:r>
            <w:r w:rsidRPr="00FB18C3">
              <w:rPr>
                <w:rFonts w:ascii="Arial" w:hAnsi="Arial" w:cs="Arial"/>
                <w:noProof/>
                <w:webHidden/>
                <w:sz w:val="28"/>
                <w:szCs w:val="28"/>
              </w:rPr>
              <w:fldChar w:fldCharType="end"/>
            </w:r>
          </w:hyperlink>
        </w:p>
        <w:p w14:paraId="6E0363FF" w14:textId="7BC97F03" w:rsidR="00D775C7" w:rsidRPr="00FB18C3" w:rsidRDefault="00D775C7">
          <w:pPr>
            <w:pStyle w:val="TOC1"/>
            <w:tabs>
              <w:tab w:val="right" w:leader="dot" w:pos="8296"/>
            </w:tabs>
            <w:rPr>
              <w:rFonts w:ascii="Arial" w:hAnsi="Arial" w:cs="Arial"/>
              <w:noProof/>
              <w:sz w:val="28"/>
              <w:szCs w:val="28"/>
              <w14:ligatures w14:val="standardContextual"/>
            </w:rPr>
          </w:pPr>
          <w:hyperlink w:anchor="_Toc194114106" w:history="1">
            <w:r w:rsidRPr="00FB18C3">
              <w:rPr>
                <w:rStyle w:val="af4"/>
                <w:rFonts w:ascii="Arial" w:hAnsi="Arial" w:cs="Arial"/>
                <w:noProof/>
                <w:sz w:val="28"/>
                <w:szCs w:val="28"/>
              </w:rPr>
              <w:t>4.0 Strategic planning for the future</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_Toc194114106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12</w:t>
            </w:r>
            <w:r w:rsidRPr="00FB18C3">
              <w:rPr>
                <w:rFonts w:ascii="Arial" w:hAnsi="Arial" w:cs="Arial"/>
                <w:noProof/>
                <w:webHidden/>
                <w:sz w:val="28"/>
                <w:szCs w:val="28"/>
              </w:rPr>
              <w:fldChar w:fldCharType="end"/>
            </w:r>
          </w:hyperlink>
        </w:p>
        <w:p w14:paraId="13202ED1" w14:textId="2A6256C8"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7" w:history="1">
            <w:r w:rsidRPr="00FB18C3">
              <w:rPr>
                <w:rStyle w:val="af4"/>
                <w:rFonts w:ascii="Arial" w:hAnsi="Arial" w:cs="Arial"/>
                <w:noProof/>
                <w:sz w:val="28"/>
                <w:szCs w:val="28"/>
              </w:rPr>
              <w:t>4.1 SOSTAC Strategic Framework</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_Toc194114107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12</w:t>
            </w:r>
            <w:r w:rsidRPr="00FB18C3">
              <w:rPr>
                <w:rFonts w:ascii="Arial" w:hAnsi="Arial" w:cs="Arial"/>
                <w:noProof/>
                <w:webHidden/>
                <w:sz w:val="28"/>
                <w:szCs w:val="28"/>
              </w:rPr>
              <w:fldChar w:fldCharType="end"/>
            </w:r>
          </w:hyperlink>
        </w:p>
        <w:p w14:paraId="54B0C118" w14:textId="0E234022"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08" w:history="1">
            <w:r w:rsidRPr="00FB18C3">
              <w:rPr>
                <w:rStyle w:val="af4"/>
                <w:rFonts w:ascii="Arial" w:hAnsi="Arial" w:cs="Arial"/>
                <w:noProof/>
                <w:sz w:val="28"/>
                <w:szCs w:val="28"/>
              </w:rPr>
              <w:t>4.2 Hybrid Competitive Positioning</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_Toc194114108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13</w:t>
            </w:r>
            <w:r w:rsidRPr="00FB18C3">
              <w:rPr>
                <w:rFonts w:ascii="Arial" w:hAnsi="Arial" w:cs="Arial"/>
                <w:noProof/>
                <w:webHidden/>
                <w:sz w:val="28"/>
                <w:szCs w:val="28"/>
              </w:rPr>
              <w:fldChar w:fldCharType="end"/>
            </w:r>
          </w:hyperlink>
        </w:p>
        <w:p w14:paraId="1BECA643" w14:textId="6241BC2C" w:rsidR="00D775C7" w:rsidRPr="00FB18C3" w:rsidRDefault="00D775C7">
          <w:pPr>
            <w:pStyle w:val="TOC1"/>
            <w:tabs>
              <w:tab w:val="right" w:leader="dot" w:pos="8296"/>
            </w:tabs>
            <w:rPr>
              <w:rFonts w:ascii="Arial" w:hAnsi="Arial" w:cs="Arial"/>
              <w:noProof/>
              <w:sz w:val="28"/>
              <w:szCs w:val="28"/>
              <w14:ligatures w14:val="standardContextual"/>
            </w:rPr>
          </w:pPr>
          <w:hyperlink w:anchor="_Toc194114109" w:history="1">
            <w:r w:rsidRPr="00FB18C3">
              <w:rPr>
                <w:rStyle w:val="af4"/>
                <w:rFonts w:ascii="Arial" w:hAnsi="Arial" w:cs="Arial"/>
                <w:noProof/>
                <w:sz w:val="28"/>
                <w:szCs w:val="28"/>
              </w:rPr>
              <w:t>5.0 Sustainability Recommendations</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_Toc194114109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14</w:t>
            </w:r>
            <w:r w:rsidRPr="00FB18C3">
              <w:rPr>
                <w:rFonts w:ascii="Arial" w:hAnsi="Arial" w:cs="Arial"/>
                <w:noProof/>
                <w:webHidden/>
                <w:sz w:val="28"/>
                <w:szCs w:val="28"/>
              </w:rPr>
              <w:fldChar w:fldCharType="end"/>
            </w:r>
          </w:hyperlink>
        </w:p>
        <w:p w14:paraId="60B32B6F" w14:textId="486AF37B"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10" w:history="1">
            <w:r w:rsidRPr="00FB18C3">
              <w:rPr>
                <w:rStyle w:val="af4"/>
                <w:rFonts w:ascii="Arial" w:hAnsi="Arial" w:cs="Arial"/>
                <w:noProof/>
                <w:sz w:val="28"/>
                <w:szCs w:val="28"/>
              </w:rPr>
              <w:t>5.1 Sustainability Initiatives</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_Toc194114110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14</w:t>
            </w:r>
            <w:r w:rsidRPr="00FB18C3">
              <w:rPr>
                <w:rFonts w:ascii="Arial" w:hAnsi="Arial" w:cs="Arial"/>
                <w:noProof/>
                <w:webHidden/>
                <w:sz w:val="28"/>
                <w:szCs w:val="28"/>
              </w:rPr>
              <w:fldChar w:fldCharType="end"/>
            </w:r>
          </w:hyperlink>
        </w:p>
        <w:p w14:paraId="54962C05" w14:textId="3EB7F6BA" w:rsidR="00D775C7" w:rsidRPr="00FB18C3" w:rsidRDefault="00D775C7">
          <w:pPr>
            <w:pStyle w:val="TOC2"/>
            <w:tabs>
              <w:tab w:val="right" w:leader="dot" w:pos="8296"/>
            </w:tabs>
            <w:rPr>
              <w:rFonts w:ascii="Arial" w:hAnsi="Arial" w:cs="Arial"/>
              <w:noProof/>
              <w:sz w:val="28"/>
              <w:szCs w:val="28"/>
              <w14:ligatures w14:val="standardContextual"/>
            </w:rPr>
          </w:pPr>
          <w:hyperlink w:anchor="_Toc194114111" w:history="1">
            <w:r w:rsidRPr="00FB18C3">
              <w:rPr>
                <w:rStyle w:val="af4"/>
                <w:rFonts w:ascii="Arial" w:hAnsi="Arial" w:cs="Arial"/>
                <w:noProof/>
                <w:sz w:val="28"/>
                <w:szCs w:val="28"/>
              </w:rPr>
              <w:t>5.2 Strategic Recommendations for Long-Term Growth</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_Toc194114111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14</w:t>
            </w:r>
            <w:r w:rsidRPr="00FB18C3">
              <w:rPr>
                <w:rFonts w:ascii="Arial" w:hAnsi="Arial" w:cs="Arial"/>
                <w:noProof/>
                <w:webHidden/>
                <w:sz w:val="28"/>
                <w:szCs w:val="28"/>
              </w:rPr>
              <w:fldChar w:fldCharType="end"/>
            </w:r>
          </w:hyperlink>
        </w:p>
        <w:p w14:paraId="2023AED5" w14:textId="3C8C5077" w:rsidR="00D775C7" w:rsidRPr="00FB18C3" w:rsidRDefault="00D775C7">
          <w:pPr>
            <w:pStyle w:val="TOC1"/>
            <w:tabs>
              <w:tab w:val="right" w:leader="dot" w:pos="8296"/>
            </w:tabs>
            <w:rPr>
              <w:rFonts w:ascii="Arial" w:hAnsi="Arial" w:cs="Arial"/>
              <w:noProof/>
              <w:sz w:val="28"/>
              <w:szCs w:val="28"/>
              <w14:ligatures w14:val="standardContextual"/>
            </w:rPr>
          </w:pPr>
          <w:hyperlink w:anchor="_Toc194114112" w:history="1">
            <w:r w:rsidRPr="00FB18C3">
              <w:rPr>
                <w:rStyle w:val="af4"/>
                <w:rFonts w:ascii="Arial" w:hAnsi="Arial" w:cs="Arial"/>
                <w:noProof/>
                <w:sz w:val="28"/>
                <w:szCs w:val="28"/>
              </w:rPr>
              <w:t>6.0 Conclusion</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_Toc194114112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16</w:t>
            </w:r>
            <w:r w:rsidRPr="00FB18C3">
              <w:rPr>
                <w:rFonts w:ascii="Arial" w:hAnsi="Arial" w:cs="Arial"/>
                <w:noProof/>
                <w:webHidden/>
                <w:sz w:val="28"/>
                <w:szCs w:val="28"/>
              </w:rPr>
              <w:fldChar w:fldCharType="end"/>
            </w:r>
          </w:hyperlink>
        </w:p>
        <w:p w14:paraId="13F6F441" w14:textId="728DA0CD" w:rsidR="00D775C7" w:rsidRPr="00FB18C3" w:rsidRDefault="00D775C7">
          <w:pPr>
            <w:pStyle w:val="TOC1"/>
            <w:tabs>
              <w:tab w:val="right" w:leader="dot" w:pos="8296"/>
            </w:tabs>
            <w:rPr>
              <w:rFonts w:ascii="Arial" w:hAnsi="Arial" w:cs="Arial"/>
              <w:noProof/>
              <w:sz w:val="28"/>
              <w:szCs w:val="28"/>
              <w14:ligatures w14:val="standardContextual"/>
            </w:rPr>
          </w:pPr>
          <w:hyperlink w:anchor="_Toc194114113" w:history="1">
            <w:r w:rsidRPr="00FB18C3">
              <w:rPr>
                <w:rStyle w:val="af4"/>
                <w:rFonts w:ascii="Arial" w:hAnsi="Arial" w:cs="Arial"/>
                <w:noProof/>
                <w:sz w:val="28"/>
                <w:szCs w:val="28"/>
              </w:rPr>
              <w:t>7.0 Reference</w:t>
            </w:r>
            <w:r w:rsidRPr="00FB18C3">
              <w:rPr>
                <w:rFonts w:ascii="Arial" w:hAnsi="Arial" w:cs="Arial"/>
                <w:noProof/>
                <w:webHidden/>
                <w:sz w:val="28"/>
                <w:szCs w:val="28"/>
              </w:rPr>
              <w:tab/>
            </w:r>
            <w:r w:rsidRPr="00FB18C3">
              <w:rPr>
                <w:rFonts w:ascii="Arial" w:hAnsi="Arial" w:cs="Arial"/>
                <w:noProof/>
                <w:webHidden/>
                <w:sz w:val="28"/>
                <w:szCs w:val="28"/>
              </w:rPr>
              <w:fldChar w:fldCharType="begin"/>
            </w:r>
            <w:r w:rsidRPr="00FB18C3">
              <w:rPr>
                <w:rFonts w:ascii="Arial" w:hAnsi="Arial" w:cs="Arial"/>
                <w:noProof/>
                <w:webHidden/>
                <w:sz w:val="28"/>
                <w:szCs w:val="28"/>
              </w:rPr>
              <w:instrText xml:space="preserve"> PAGEREF _Toc194114113 \h </w:instrText>
            </w:r>
            <w:r w:rsidRPr="00FB18C3">
              <w:rPr>
                <w:rFonts w:ascii="Arial" w:hAnsi="Arial" w:cs="Arial"/>
                <w:noProof/>
                <w:webHidden/>
                <w:sz w:val="28"/>
                <w:szCs w:val="28"/>
              </w:rPr>
            </w:r>
            <w:r w:rsidRPr="00FB18C3">
              <w:rPr>
                <w:rFonts w:ascii="Arial" w:hAnsi="Arial" w:cs="Arial"/>
                <w:noProof/>
                <w:webHidden/>
                <w:sz w:val="28"/>
                <w:szCs w:val="28"/>
              </w:rPr>
              <w:fldChar w:fldCharType="separate"/>
            </w:r>
            <w:r w:rsidRPr="00FB18C3">
              <w:rPr>
                <w:rFonts w:ascii="Arial" w:hAnsi="Arial" w:cs="Arial"/>
                <w:noProof/>
                <w:webHidden/>
                <w:sz w:val="28"/>
                <w:szCs w:val="28"/>
              </w:rPr>
              <w:t>17</w:t>
            </w:r>
            <w:r w:rsidRPr="00FB18C3">
              <w:rPr>
                <w:rFonts w:ascii="Arial" w:hAnsi="Arial" w:cs="Arial"/>
                <w:noProof/>
                <w:webHidden/>
                <w:sz w:val="28"/>
                <w:szCs w:val="28"/>
              </w:rPr>
              <w:fldChar w:fldCharType="end"/>
            </w:r>
          </w:hyperlink>
        </w:p>
        <w:p w14:paraId="01146043" w14:textId="0405110C" w:rsidR="005435A1" w:rsidRPr="001D022A" w:rsidRDefault="005435A1" w:rsidP="001D022A">
          <w:pPr>
            <w:spacing w:line="360" w:lineRule="auto"/>
            <w:rPr>
              <w:rFonts w:ascii="Arial" w:hAnsi="Arial" w:cs="Arial"/>
              <w:sz w:val="24"/>
              <w:szCs w:val="24"/>
            </w:rPr>
          </w:pPr>
          <w:r w:rsidRPr="00FB18C3">
            <w:rPr>
              <w:rFonts w:ascii="Arial" w:hAnsi="Arial" w:cs="Arial"/>
              <w:b/>
              <w:bCs/>
              <w:sz w:val="28"/>
              <w:szCs w:val="28"/>
              <w:lang w:val="zh-CN"/>
            </w:rPr>
            <w:fldChar w:fldCharType="end"/>
          </w:r>
        </w:p>
      </w:sdtContent>
    </w:sdt>
    <w:p w14:paraId="5FB33ACF" w14:textId="77777777" w:rsidR="008D52AC" w:rsidRPr="001D022A" w:rsidRDefault="008D52AC" w:rsidP="001D022A">
      <w:pPr>
        <w:widowControl/>
        <w:spacing w:line="360" w:lineRule="auto"/>
        <w:jc w:val="left"/>
        <w:rPr>
          <w:rFonts w:ascii="Arial" w:hAnsi="Arial" w:cs="Arial"/>
          <w:sz w:val="24"/>
          <w:szCs w:val="24"/>
        </w:rPr>
      </w:pPr>
    </w:p>
    <w:p w14:paraId="4432C901" w14:textId="77777777" w:rsidR="008D52AC" w:rsidRPr="001D022A" w:rsidRDefault="008D52AC" w:rsidP="001D022A">
      <w:pPr>
        <w:widowControl/>
        <w:spacing w:line="360" w:lineRule="auto"/>
        <w:jc w:val="left"/>
        <w:rPr>
          <w:rFonts w:ascii="Arial" w:hAnsi="Arial" w:cs="Arial"/>
          <w:sz w:val="24"/>
          <w:szCs w:val="24"/>
        </w:rPr>
      </w:pPr>
      <w:r w:rsidRPr="001D022A">
        <w:rPr>
          <w:rFonts w:ascii="Arial" w:hAnsi="Arial" w:cs="Arial"/>
          <w:sz w:val="24"/>
          <w:szCs w:val="24"/>
        </w:rPr>
        <w:br w:type="page"/>
      </w:r>
    </w:p>
    <w:p w14:paraId="196E45D2" w14:textId="6285919B" w:rsidR="00EC12C5" w:rsidRPr="001D022A" w:rsidRDefault="00EC12C5" w:rsidP="001D022A">
      <w:pPr>
        <w:pStyle w:val="1"/>
        <w:spacing w:line="360" w:lineRule="auto"/>
        <w:rPr>
          <w:rFonts w:ascii="Arial" w:hAnsi="Arial" w:cs="Arial"/>
          <w:sz w:val="24"/>
          <w:szCs w:val="24"/>
        </w:rPr>
      </w:pPr>
      <w:bookmarkStart w:id="1" w:name="_Toc194114097"/>
      <w:r w:rsidRPr="001D022A">
        <w:rPr>
          <w:rFonts w:ascii="Arial" w:hAnsi="Arial" w:cs="Arial"/>
          <w:sz w:val="24"/>
          <w:szCs w:val="24"/>
        </w:rPr>
        <w:lastRenderedPageBreak/>
        <w:t>1.0 Introduction</w:t>
      </w:r>
      <w:bookmarkEnd w:id="1"/>
    </w:p>
    <w:p w14:paraId="104FC5A3" w14:textId="20A30253" w:rsidR="00D7649C" w:rsidRPr="001D022A" w:rsidRDefault="00D7649C" w:rsidP="001D022A">
      <w:pPr>
        <w:widowControl/>
        <w:spacing w:before="100" w:beforeAutospacing="1" w:after="100" w:afterAutospacing="1" w:line="360" w:lineRule="auto"/>
        <w:jc w:val="left"/>
        <w:rPr>
          <w:rFonts w:ascii="Arial" w:eastAsia="宋体" w:hAnsi="Arial" w:cs="Arial"/>
          <w:color w:val="404040"/>
          <w:kern w:val="0"/>
          <w:sz w:val="24"/>
          <w:szCs w:val="24"/>
        </w:rPr>
      </w:pPr>
      <w:r w:rsidRPr="001D022A">
        <w:rPr>
          <w:rFonts w:ascii="Arial" w:eastAsia="宋体" w:hAnsi="Arial" w:cs="Arial"/>
          <w:color w:val="404040"/>
          <w:kern w:val="0"/>
          <w:sz w:val="24"/>
          <w:szCs w:val="24"/>
        </w:rPr>
        <w:t>Taco Bell has established itself as a global quick-service leader through its innovative Mexican-inspired cuisine and culturally attuned marketing strategies. With over 8,500 outlets across 30+ countries by 2025, the brand prioritizes digital transformation, sustainability, and localized menu adaptation. However, macroeconomic pressures</w:t>
      </w:r>
      <w:r w:rsidR="00065627" w:rsidRPr="001D022A">
        <w:rPr>
          <w:rFonts w:ascii="Arial" w:eastAsia="宋体" w:hAnsi="Arial" w:cs="Arial"/>
          <w:color w:val="404040"/>
          <w:kern w:val="0"/>
          <w:sz w:val="24"/>
          <w:szCs w:val="24"/>
        </w:rPr>
        <w:t xml:space="preserve"> </w:t>
      </w:r>
      <w:r w:rsidRPr="001D022A">
        <w:rPr>
          <w:rFonts w:ascii="Arial" w:eastAsia="宋体" w:hAnsi="Arial" w:cs="Arial"/>
          <w:color w:val="404040"/>
          <w:kern w:val="0"/>
          <w:sz w:val="24"/>
          <w:szCs w:val="24"/>
        </w:rPr>
        <w:t>including volatile inflation, geopolitical supply chain risks, and shifting consumer demands for customizable, plant-based options</w:t>
      </w:r>
      <w:r w:rsidR="00065627" w:rsidRPr="001D022A">
        <w:rPr>
          <w:rFonts w:ascii="Arial" w:eastAsia="宋体" w:hAnsi="Arial" w:cs="Arial"/>
          <w:color w:val="404040"/>
          <w:kern w:val="0"/>
          <w:sz w:val="24"/>
          <w:szCs w:val="24"/>
        </w:rPr>
        <w:t xml:space="preserve"> </w:t>
      </w:r>
      <w:r w:rsidRPr="001D022A">
        <w:rPr>
          <w:rFonts w:ascii="Arial" w:eastAsia="宋体" w:hAnsi="Arial" w:cs="Arial"/>
          <w:color w:val="404040"/>
          <w:kern w:val="0"/>
          <w:sz w:val="24"/>
          <w:szCs w:val="24"/>
        </w:rPr>
        <w:t>necessitate strategic recalibration. Younger demographics now drive 62% of sales, emphasizing the urgency to align operations with health-conscious trends and regulatory changes, such as calorie disclosure mandates and sodium-reduction policies in key markets.</w:t>
      </w:r>
    </w:p>
    <w:p w14:paraId="5F5DC89E" w14:textId="77777777" w:rsidR="00D7649C" w:rsidRPr="001D022A" w:rsidRDefault="00D7649C" w:rsidP="001D022A">
      <w:pPr>
        <w:widowControl/>
        <w:spacing w:before="100" w:beforeAutospacing="1" w:after="100" w:afterAutospacing="1" w:line="360" w:lineRule="auto"/>
        <w:jc w:val="left"/>
        <w:rPr>
          <w:rFonts w:ascii="Arial" w:eastAsia="宋体" w:hAnsi="Arial" w:cs="Arial"/>
          <w:color w:val="404040"/>
          <w:kern w:val="0"/>
          <w:sz w:val="24"/>
          <w:szCs w:val="24"/>
        </w:rPr>
      </w:pPr>
    </w:p>
    <w:p w14:paraId="3ACE5064" w14:textId="35167630" w:rsidR="00D7649C" w:rsidRPr="001D022A" w:rsidRDefault="00D7649C" w:rsidP="001D022A">
      <w:pPr>
        <w:widowControl/>
        <w:spacing w:before="100" w:beforeAutospacing="1" w:after="100" w:afterAutospacing="1" w:line="360" w:lineRule="auto"/>
        <w:jc w:val="left"/>
        <w:rPr>
          <w:rFonts w:ascii="Arial" w:eastAsia="宋体" w:hAnsi="Arial" w:cs="Arial"/>
          <w:color w:val="404040"/>
          <w:kern w:val="0"/>
          <w:sz w:val="24"/>
          <w:szCs w:val="24"/>
        </w:rPr>
      </w:pPr>
      <w:r w:rsidRPr="001D022A">
        <w:rPr>
          <w:rFonts w:ascii="Arial" w:eastAsia="宋体" w:hAnsi="Arial" w:cs="Arial"/>
          <w:color w:val="404040"/>
          <w:kern w:val="0"/>
          <w:sz w:val="24"/>
          <w:szCs w:val="24"/>
        </w:rPr>
        <w:t>A multidimensional assessment combining PESTEL, SWOT, and Porter’s Five Forces reveals critical insights. Emerging markets like India present growth opportunities with 6.5% GDP projections yet require careful navigation of regulatory hurdles. Internally, Taco Bell’s rapid product innovation—evidenced by 14 limited-time launches in Q2 2025—and digital assets like AI-driven menu personalization provide competitive edges. However, overreliance on centralized supply chains and persistent labor turnover (144% industry average) demand mitigation strategies. Three pillars emerge as essential: diversifying protein sourcing through regional partnerships, accelerating compostable packaging adoption to meet EU/APAC sustainability standards, and deploying augmented reality training modules to improve employee retention by 19%.</w:t>
      </w:r>
    </w:p>
    <w:p w14:paraId="17EEDA1B" w14:textId="77777777" w:rsidR="00D7649C" w:rsidRPr="001D022A" w:rsidRDefault="00D7649C" w:rsidP="001D022A">
      <w:pPr>
        <w:widowControl/>
        <w:spacing w:before="100" w:beforeAutospacing="1" w:after="100" w:afterAutospacing="1" w:line="360" w:lineRule="auto"/>
        <w:jc w:val="left"/>
        <w:rPr>
          <w:rFonts w:ascii="Arial" w:eastAsia="宋体" w:hAnsi="Arial" w:cs="Arial"/>
          <w:color w:val="404040"/>
          <w:kern w:val="0"/>
          <w:sz w:val="24"/>
          <w:szCs w:val="24"/>
        </w:rPr>
      </w:pPr>
    </w:p>
    <w:p w14:paraId="3679502C" w14:textId="29F378A9" w:rsidR="00EC12C5" w:rsidRPr="00EC12C5" w:rsidRDefault="00D7649C" w:rsidP="001D022A">
      <w:pPr>
        <w:widowControl/>
        <w:spacing w:before="100" w:beforeAutospacing="1" w:after="100" w:afterAutospacing="1" w:line="360" w:lineRule="auto"/>
        <w:jc w:val="left"/>
        <w:rPr>
          <w:rFonts w:ascii="Arial" w:eastAsia="宋体" w:hAnsi="Arial" w:cs="Arial"/>
          <w:color w:val="404040"/>
          <w:kern w:val="0"/>
          <w:sz w:val="24"/>
          <w:szCs w:val="24"/>
        </w:rPr>
      </w:pPr>
      <w:r w:rsidRPr="001D022A">
        <w:rPr>
          <w:rFonts w:ascii="Arial" w:eastAsia="宋体" w:hAnsi="Arial" w:cs="Arial"/>
          <w:color w:val="404040"/>
          <w:kern w:val="0"/>
          <w:sz w:val="24"/>
          <w:szCs w:val="24"/>
        </w:rPr>
        <w:lastRenderedPageBreak/>
        <w:t>Execution focuses on balancing scalability with adaptability. Digital infrastructure investments, including AI-powered demand forecasting, could reduce ingredient waste by 15% while optimizing delivery networks. Strategic menu reformulations targeting sodium reduction and plant-based alternatives aim to capture 41% of Gen Z consumers. Concurrently, franchise incentives for emerging market expansion—particularly in Southeast Asias $32B QSR sector—will drive geographic diversification. Projections indicate these initiatives may yield 12-15% annual international revenue growth through 2030, coupled with an 8% yearly reduction in carbon intensity. By harmonizing operational agility with long-term sustainability commitments, Taco Bell is positioned to redefine global fast-food leadership amid economic uncertainty.</w:t>
      </w:r>
    </w:p>
    <w:p w14:paraId="67057B61" w14:textId="289CDEE7" w:rsidR="00EC12C5" w:rsidRDefault="00EC12C5" w:rsidP="001D022A">
      <w:pPr>
        <w:widowControl/>
        <w:spacing w:line="360" w:lineRule="auto"/>
        <w:jc w:val="left"/>
        <w:rPr>
          <w:rFonts w:ascii="Arial" w:eastAsia="宋体" w:hAnsi="Arial" w:cs="Arial"/>
          <w:kern w:val="0"/>
          <w:sz w:val="24"/>
          <w:szCs w:val="24"/>
        </w:rPr>
      </w:pPr>
    </w:p>
    <w:p w14:paraId="0CF09045" w14:textId="77777777" w:rsidR="001D022A" w:rsidRDefault="001D022A" w:rsidP="001D022A">
      <w:pPr>
        <w:widowControl/>
        <w:spacing w:line="360" w:lineRule="auto"/>
        <w:jc w:val="left"/>
        <w:rPr>
          <w:rFonts w:ascii="Arial" w:eastAsia="宋体" w:hAnsi="Arial" w:cs="Arial"/>
          <w:kern w:val="0"/>
          <w:sz w:val="24"/>
          <w:szCs w:val="24"/>
        </w:rPr>
      </w:pPr>
    </w:p>
    <w:p w14:paraId="141B966B" w14:textId="77777777" w:rsidR="001D022A" w:rsidRPr="00EC12C5" w:rsidRDefault="001D022A" w:rsidP="001D022A">
      <w:pPr>
        <w:widowControl/>
        <w:spacing w:line="360" w:lineRule="auto"/>
        <w:jc w:val="left"/>
        <w:rPr>
          <w:rFonts w:ascii="Arial" w:eastAsia="宋体" w:hAnsi="Arial" w:cs="Arial"/>
          <w:kern w:val="0"/>
          <w:sz w:val="24"/>
          <w:szCs w:val="24"/>
        </w:rPr>
      </w:pPr>
    </w:p>
    <w:p w14:paraId="6E3868A9" w14:textId="154BAA67" w:rsidR="00065627" w:rsidRPr="001D022A" w:rsidRDefault="00EC12C5" w:rsidP="001D022A">
      <w:pPr>
        <w:pStyle w:val="1"/>
        <w:spacing w:line="360" w:lineRule="auto"/>
        <w:rPr>
          <w:rFonts w:ascii="Arial" w:hAnsi="Arial" w:cs="Arial"/>
          <w:sz w:val="24"/>
          <w:szCs w:val="24"/>
        </w:rPr>
      </w:pPr>
      <w:bookmarkStart w:id="2" w:name="_Toc194114098"/>
      <w:r w:rsidRPr="001D022A">
        <w:rPr>
          <w:rFonts w:ascii="Arial" w:hAnsi="Arial" w:cs="Arial"/>
          <w:sz w:val="24"/>
          <w:szCs w:val="24"/>
        </w:rPr>
        <w:t>2.</w:t>
      </w:r>
      <w:r w:rsidR="001D022A">
        <w:rPr>
          <w:rFonts w:ascii="Arial" w:hAnsi="Arial" w:cs="Arial" w:hint="eastAsia"/>
          <w:sz w:val="24"/>
          <w:szCs w:val="24"/>
        </w:rPr>
        <w:t xml:space="preserve">0 </w:t>
      </w:r>
      <w:r w:rsidRPr="001D022A">
        <w:rPr>
          <w:rFonts w:ascii="Arial" w:hAnsi="Arial" w:cs="Arial"/>
          <w:sz w:val="24"/>
          <w:szCs w:val="24"/>
        </w:rPr>
        <w:t>External Analysis</w:t>
      </w:r>
      <w:bookmarkEnd w:id="2"/>
    </w:p>
    <w:p w14:paraId="40ACF695" w14:textId="2F758EAA" w:rsidR="00065627" w:rsidRPr="001D022A" w:rsidRDefault="00065627" w:rsidP="001D022A">
      <w:pPr>
        <w:pStyle w:val="af2"/>
        <w:spacing w:before="0" w:beforeAutospacing="0" w:line="360" w:lineRule="auto"/>
        <w:rPr>
          <w:rFonts w:ascii="Arial" w:hAnsi="Arial" w:cs="Arial"/>
          <w:color w:val="404040"/>
        </w:rPr>
      </w:pPr>
      <w:bookmarkStart w:id="3" w:name="_Toc194114099"/>
      <w:r w:rsidRPr="001D022A">
        <w:rPr>
          <w:rStyle w:val="20"/>
          <w:rFonts w:ascii="Arial" w:hAnsi="Arial" w:cs="Arial"/>
          <w:sz w:val="24"/>
          <w:szCs w:val="24"/>
        </w:rPr>
        <w:t>2.1 Macro-Environmental Analysis through PESTEL Framework</w:t>
      </w:r>
      <w:bookmarkEnd w:id="3"/>
      <w:r w:rsidRPr="001D022A">
        <w:rPr>
          <w:rFonts w:ascii="Arial" w:hAnsi="Arial" w:cs="Arial"/>
          <w:color w:val="404040"/>
        </w:rPr>
        <w:br/>
        <w:t xml:space="preserve">The global fast-food industry operates within a complex political landscape that directly influences operational strategies. In the United States, the reduction of corporate tax rates from 35% to 21% has enhanced profitability for multinational corporations like Taco Bell, enabling reinvestment in market expansion. Conversely, India's proposed "fat tax" targeting high-calorie foods threatens to elevate operational costs by 12-15% for quick-service restaurants. Regulatory shifts extend beyond taxation, as cities including Minneapolis and Fair Haven have implemented drive-thru bans to combat urban congestion and emissions, directly impacting Taco Bell's revenue model that historically derives 58% of U.S. sales from drive-thru channels. Simultaneously, India's restrictions on fast-food outlets near educational </w:t>
      </w:r>
      <w:r w:rsidRPr="001D022A">
        <w:rPr>
          <w:rFonts w:ascii="Arial" w:hAnsi="Arial" w:cs="Arial"/>
          <w:color w:val="404040"/>
        </w:rPr>
        <w:lastRenderedPageBreak/>
        <w:t>institutions create market entry barriers, necessitating alternative location strategies.</w:t>
      </w:r>
    </w:p>
    <w:p w14:paraId="467C90B0" w14:textId="77777777" w:rsidR="00065627" w:rsidRDefault="00065627" w:rsidP="001D022A">
      <w:pPr>
        <w:pStyle w:val="af2"/>
        <w:spacing w:line="360" w:lineRule="auto"/>
        <w:rPr>
          <w:rFonts w:ascii="Arial" w:hAnsi="Arial" w:cs="Arial"/>
          <w:color w:val="404040"/>
        </w:rPr>
      </w:pPr>
      <w:r w:rsidRPr="001D022A">
        <w:rPr>
          <w:rFonts w:ascii="Arial" w:hAnsi="Arial" w:cs="Arial"/>
          <w:color w:val="404040"/>
        </w:rPr>
        <w:t>Economic variables present both constraints and opportunities. The U.S. experienced 7.5% inflation in 2021, driving a 22% surge in protein costs that compressed profit margins across the sector. However, legislative interventions like the Supply Chain Truck Driver Incentives Act of 2025 aim to stabilize logistics through tax credits for commercial drivers, potentially reducing transportation expenses by 8-10%. Emerging markets offer growth potential, with India's GDP projected to expand at 8.7% annually, though rising interest rates could increase franchise development costs by 18%. Socio-cultural transformations are reshaping consumer expectations, as evidenced by 45% of millennials consuming fast food daily, contrasted with 9.6 million new U.S. vegans since 2020 demanding plant-based alternatives. The concurrent 10.5% CAGR in digital food delivery underscores the urgency for enhanced app functionality and delivery infrastructure investments.</w:t>
      </w:r>
    </w:p>
    <w:p w14:paraId="6BB47359" w14:textId="77777777" w:rsidR="001D022A" w:rsidRPr="001D022A" w:rsidRDefault="001D022A" w:rsidP="001D022A">
      <w:pPr>
        <w:pStyle w:val="af2"/>
        <w:spacing w:line="360" w:lineRule="auto"/>
        <w:rPr>
          <w:rFonts w:ascii="Arial" w:hAnsi="Arial" w:cs="Arial"/>
          <w:color w:val="404040"/>
        </w:rPr>
      </w:pPr>
    </w:p>
    <w:p w14:paraId="33C7929E" w14:textId="77777777" w:rsidR="00065627" w:rsidRPr="001D022A" w:rsidRDefault="00065627" w:rsidP="001D022A">
      <w:pPr>
        <w:pStyle w:val="af2"/>
        <w:spacing w:line="360" w:lineRule="auto"/>
        <w:rPr>
          <w:rFonts w:ascii="Arial" w:hAnsi="Arial" w:cs="Arial"/>
          <w:color w:val="404040"/>
        </w:rPr>
      </w:pPr>
      <w:r w:rsidRPr="001D022A">
        <w:rPr>
          <w:rFonts w:ascii="Arial" w:hAnsi="Arial" w:cs="Arial"/>
          <w:color w:val="404040"/>
        </w:rPr>
        <w:t xml:space="preserve">Technological advancements and environmental mandates are driving operational evolution. Self-service kiosks have demonstrated 25% faster order processing times, while AI-powered inventory systems reduced food waste by 17% in pilot markets. Taco Bell's mobile app, generating 30% of domestic sales through gamified rewards and exclusive launches, exemplifies successful digital engagement. However, environmental regulations like California's single-use plastics ban and India's 2023 packaging mandates require costly material transitions, increasing packaging costs by 15-20%. The industry's 15% contribution to U.S. greenhouse emissions further pressures chains to adopt energy-efficient kitchen technologies and solar-powered outlets. Legal complexities compound these challenges, as stringent U.S. labor laws mandating multi-stage employee termination processes contrast </w:t>
      </w:r>
      <w:r w:rsidRPr="001D022A">
        <w:rPr>
          <w:rFonts w:ascii="Arial" w:hAnsi="Arial" w:cs="Arial"/>
          <w:color w:val="404040"/>
        </w:rPr>
        <w:lastRenderedPageBreak/>
        <w:t>with India's Food Safety Standards Act imposing severe penalties for hygiene violations, necessitating region-specific compliance frameworks.</w:t>
      </w:r>
    </w:p>
    <w:p w14:paraId="2816FDA9" w14:textId="77777777" w:rsidR="00065627" w:rsidRPr="001D022A" w:rsidRDefault="00065627" w:rsidP="001D022A">
      <w:pPr>
        <w:pStyle w:val="af2"/>
        <w:spacing w:line="360" w:lineRule="auto"/>
        <w:rPr>
          <w:rFonts w:ascii="Arial" w:hAnsi="Arial" w:cs="Arial"/>
          <w:color w:val="404040"/>
        </w:rPr>
      </w:pPr>
    </w:p>
    <w:p w14:paraId="0A5099B5" w14:textId="369A1C63" w:rsidR="00065627" w:rsidRDefault="00065627" w:rsidP="001D022A">
      <w:pPr>
        <w:pStyle w:val="af2"/>
        <w:spacing w:line="360" w:lineRule="auto"/>
        <w:rPr>
          <w:rFonts w:ascii="Arial" w:hAnsi="Arial" w:cs="Arial"/>
          <w:color w:val="404040"/>
        </w:rPr>
      </w:pPr>
      <w:bookmarkStart w:id="4" w:name="_Toc194114100"/>
      <w:r w:rsidRPr="001D022A">
        <w:rPr>
          <w:rStyle w:val="20"/>
          <w:rFonts w:ascii="Arial" w:hAnsi="Arial" w:cs="Arial"/>
          <w:sz w:val="24"/>
          <w:szCs w:val="24"/>
        </w:rPr>
        <w:t>2.2 Industry Dynamics through Porter’s Five Forces</w:t>
      </w:r>
      <w:bookmarkEnd w:id="4"/>
      <w:r w:rsidRPr="001D022A">
        <w:rPr>
          <w:rStyle w:val="20"/>
          <w:rFonts w:ascii="Arial" w:hAnsi="Arial" w:cs="Arial"/>
          <w:sz w:val="24"/>
          <w:szCs w:val="24"/>
        </w:rPr>
        <w:t xml:space="preserve"> </w:t>
      </w:r>
      <w:r w:rsidRPr="001D022A">
        <w:rPr>
          <w:rFonts w:ascii="Arial" w:hAnsi="Arial" w:cs="Arial"/>
          <w:color w:val="404040"/>
        </w:rPr>
        <w:br/>
        <w:t>The competitive landscape remains intensely contested, with Chipotle and McDonald's leveraging health-centric menus and exclusive delivery partnerships to capture 34% of the U.S. market share collectively. While niche plant-based entrants like Beyond Meat-sponsored concepts pose moderate threats, Taco Bell's scale advantages and 8,500-unit franchise network deter large-scale market entrants. Substitute products present significant risks, as meal-kit services including HelloFresh have captured 12% of former fast-food customers through convenience positioning, while third-party delivery aggregators like Uber Eats extract 25-30% commission fees, eroding profitability.</w:t>
      </w:r>
    </w:p>
    <w:p w14:paraId="70CCFC61" w14:textId="77777777" w:rsidR="001D022A" w:rsidRPr="001D022A" w:rsidRDefault="001D022A" w:rsidP="001D022A">
      <w:pPr>
        <w:pStyle w:val="af2"/>
        <w:spacing w:line="360" w:lineRule="auto"/>
        <w:rPr>
          <w:rFonts w:ascii="Arial" w:hAnsi="Arial" w:cs="Arial"/>
          <w:color w:val="404040"/>
        </w:rPr>
      </w:pPr>
    </w:p>
    <w:p w14:paraId="51257438" w14:textId="783264F9" w:rsidR="00065627" w:rsidRPr="001D022A" w:rsidRDefault="00065627" w:rsidP="001D022A">
      <w:pPr>
        <w:pStyle w:val="af2"/>
        <w:spacing w:line="360" w:lineRule="auto"/>
        <w:rPr>
          <w:rFonts w:ascii="Arial" w:hAnsi="Arial" w:cs="Arial"/>
          <w:color w:val="404040"/>
        </w:rPr>
      </w:pPr>
      <w:r w:rsidRPr="001D022A">
        <w:rPr>
          <w:rFonts w:ascii="Arial" w:hAnsi="Arial" w:cs="Arial"/>
          <w:color w:val="404040"/>
        </w:rPr>
        <w:t>Supplier dynamics exhibit moderate risk concentration, with three major beef suppliers controlling 68% of Taco Bell's protein procurement, creating vulnerability to price fluctuations. Conversely, buyer power intensifies as 63% of consumers prioritize value combos under Cravings Box. This pricing strategy successfully increased transaction frequency by 19% but risks margin erosion if input costs continue rising. The convergence of these forces necessitates strategic recalibration, particularly in supply chain diversification and digital experience enhancement to maintain competitive differentiation.</w:t>
      </w:r>
    </w:p>
    <w:p w14:paraId="103F010A" w14:textId="77777777" w:rsidR="00065627" w:rsidRPr="001D022A" w:rsidRDefault="00065627" w:rsidP="001D022A">
      <w:pPr>
        <w:pStyle w:val="af2"/>
        <w:spacing w:line="360" w:lineRule="auto"/>
        <w:rPr>
          <w:rFonts w:ascii="Arial" w:hAnsi="Arial" w:cs="Arial"/>
          <w:color w:val="404040"/>
        </w:rPr>
      </w:pPr>
    </w:p>
    <w:p w14:paraId="24E85C6A" w14:textId="4294BA8B" w:rsidR="00065627" w:rsidRPr="001D022A" w:rsidRDefault="00065627" w:rsidP="001D022A">
      <w:pPr>
        <w:pStyle w:val="af2"/>
        <w:spacing w:line="360" w:lineRule="auto"/>
        <w:rPr>
          <w:rFonts w:ascii="Arial" w:hAnsi="Arial" w:cs="Arial"/>
          <w:color w:val="404040"/>
        </w:rPr>
      </w:pPr>
      <w:bookmarkStart w:id="5" w:name="_Toc194114101"/>
      <w:r w:rsidRPr="001D022A">
        <w:rPr>
          <w:rStyle w:val="20"/>
          <w:rFonts w:ascii="Arial" w:hAnsi="Arial" w:cs="Arial"/>
          <w:sz w:val="24"/>
          <w:szCs w:val="24"/>
        </w:rPr>
        <w:t xml:space="preserve">2.3 Strategic </w:t>
      </w:r>
      <w:r w:rsidR="009539B1" w:rsidRPr="001D022A">
        <w:rPr>
          <w:rStyle w:val="20"/>
          <w:rFonts w:ascii="Arial" w:hAnsi="Arial" w:cs="Arial"/>
          <w:sz w:val="24"/>
          <w:szCs w:val="24"/>
        </w:rPr>
        <w:t>Recommendations</w:t>
      </w:r>
      <w:bookmarkEnd w:id="5"/>
      <w:r w:rsidRPr="001D022A">
        <w:rPr>
          <w:rStyle w:val="20"/>
          <w:rFonts w:ascii="Arial" w:hAnsi="Arial" w:cs="Arial"/>
          <w:sz w:val="24"/>
          <w:szCs w:val="24"/>
        </w:rPr>
        <w:br/>
      </w:r>
      <w:r w:rsidRPr="001D022A">
        <w:rPr>
          <w:rFonts w:ascii="Arial" w:hAnsi="Arial" w:cs="Arial"/>
          <w:color w:val="404040"/>
        </w:rPr>
        <w:t xml:space="preserve">To address these multidimensional challenges, Taco Bell must adopt a dual </w:t>
      </w:r>
      <w:r w:rsidRPr="001D022A">
        <w:rPr>
          <w:rFonts w:ascii="Arial" w:hAnsi="Arial" w:cs="Arial"/>
          <w:color w:val="404040"/>
        </w:rPr>
        <w:lastRenderedPageBreak/>
        <w:t>strategy of localization and technological integration. Regionalizing 40% of ingredient sourcing could mitigate geopolitical supply risks while supporting emerging market expansion. Accelerating R&amp;D investments in plant-based proteins aligns with vegan demographic growth projections of 14% annually through 2027. Digitally, integrating AI-driven dynamic pricing models with the existing app infrastructure could optimize daypart profitability by 22%. Concurrently, phased adoption of compostable packaging across 60% of global units by 2026 would preempt regulatory changes while appealing to eco-conscious consumers representing 38% of Gen Z patrons. These initiatives, coupled with workforce training programs to reduce turnover-related costs by $12M annually, position the brand to convert industry headwinds into sustainable growth catalysts.</w:t>
      </w:r>
    </w:p>
    <w:p w14:paraId="6FC12AE9" w14:textId="77777777" w:rsidR="00065627" w:rsidRPr="001D022A" w:rsidRDefault="00065627" w:rsidP="001D022A">
      <w:pPr>
        <w:spacing w:line="360" w:lineRule="auto"/>
        <w:rPr>
          <w:rFonts w:ascii="Arial" w:eastAsia="宋体" w:hAnsi="Arial" w:cs="Arial"/>
          <w:b/>
          <w:bCs/>
          <w:color w:val="404040"/>
          <w:kern w:val="0"/>
          <w:sz w:val="24"/>
          <w:szCs w:val="24"/>
        </w:rPr>
      </w:pPr>
    </w:p>
    <w:p w14:paraId="45D596FF" w14:textId="77777777" w:rsidR="00065627" w:rsidRPr="001D022A" w:rsidRDefault="00065627" w:rsidP="001D022A">
      <w:pPr>
        <w:spacing w:line="360" w:lineRule="auto"/>
        <w:rPr>
          <w:rFonts w:ascii="Arial" w:hAnsi="Arial" w:cs="Arial"/>
          <w:sz w:val="24"/>
          <w:szCs w:val="24"/>
        </w:rPr>
      </w:pPr>
    </w:p>
    <w:p w14:paraId="383CA743" w14:textId="77777777" w:rsidR="00C83603" w:rsidRPr="001D022A" w:rsidRDefault="00C83603" w:rsidP="001D022A">
      <w:pPr>
        <w:spacing w:line="360" w:lineRule="auto"/>
        <w:rPr>
          <w:rFonts w:ascii="Arial" w:hAnsi="Arial" w:cs="Arial"/>
          <w:sz w:val="24"/>
          <w:szCs w:val="24"/>
        </w:rPr>
      </w:pPr>
    </w:p>
    <w:p w14:paraId="1B58D41E" w14:textId="799F2B22" w:rsidR="00EE056D" w:rsidRPr="001D022A" w:rsidRDefault="00EC12C5" w:rsidP="001D022A">
      <w:pPr>
        <w:pStyle w:val="1"/>
        <w:spacing w:line="360" w:lineRule="auto"/>
        <w:rPr>
          <w:rFonts w:ascii="Arial" w:hAnsi="Arial" w:cs="Arial"/>
          <w:sz w:val="24"/>
          <w:szCs w:val="24"/>
        </w:rPr>
      </w:pPr>
      <w:bookmarkStart w:id="6" w:name="_Toc194114102"/>
      <w:r w:rsidRPr="001D022A">
        <w:rPr>
          <w:rFonts w:ascii="Arial" w:hAnsi="Arial" w:cs="Arial"/>
          <w:sz w:val="24"/>
          <w:szCs w:val="24"/>
        </w:rPr>
        <w:t>3.</w:t>
      </w:r>
      <w:r w:rsidR="00B316D6" w:rsidRPr="001D022A">
        <w:rPr>
          <w:rFonts w:ascii="Arial" w:hAnsi="Arial" w:cs="Arial"/>
          <w:sz w:val="24"/>
          <w:szCs w:val="24"/>
        </w:rPr>
        <w:t>0</w:t>
      </w:r>
      <w:r w:rsidRPr="001D022A">
        <w:rPr>
          <w:rFonts w:ascii="Arial" w:hAnsi="Arial" w:cs="Arial"/>
          <w:sz w:val="24"/>
          <w:szCs w:val="24"/>
        </w:rPr>
        <w:t xml:space="preserve"> Internal Analysis</w:t>
      </w:r>
      <w:bookmarkEnd w:id="6"/>
    </w:p>
    <w:p w14:paraId="37B3E65A" w14:textId="77777777" w:rsidR="009539B1" w:rsidRPr="001D022A" w:rsidRDefault="009539B1" w:rsidP="001D022A">
      <w:pPr>
        <w:pStyle w:val="2"/>
        <w:spacing w:line="360" w:lineRule="auto"/>
        <w:rPr>
          <w:rFonts w:ascii="Arial" w:hAnsi="Arial" w:cs="Arial"/>
          <w:sz w:val="24"/>
          <w:szCs w:val="24"/>
        </w:rPr>
      </w:pPr>
      <w:bookmarkStart w:id="7" w:name="_Toc194114103"/>
      <w:r w:rsidRPr="001D022A">
        <w:rPr>
          <w:rFonts w:ascii="Arial" w:hAnsi="Arial" w:cs="Arial"/>
          <w:sz w:val="24"/>
          <w:szCs w:val="24"/>
        </w:rPr>
        <w:t>3.1 SWOT Evaluation</w:t>
      </w:r>
      <w:bookmarkEnd w:id="7"/>
    </w:p>
    <w:p w14:paraId="0B98D541" w14:textId="77777777" w:rsidR="009539B1" w:rsidRPr="001D022A" w:rsidRDefault="009539B1" w:rsidP="001D022A">
      <w:pPr>
        <w:spacing w:line="360" w:lineRule="auto"/>
        <w:rPr>
          <w:rFonts w:ascii="Arial" w:hAnsi="Arial" w:cs="Arial"/>
          <w:sz w:val="24"/>
          <w:szCs w:val="24"/>
        </w:rPr>
      </w:pPr>
      <w:r w:rsidRPr="001D022A">
        <w:rPr>
          <w:rFonts w:ascii="Arial" w:hAnsi="Arial" w:cs="Arial"/>
          <w:sz w:val="24"/>
          <w:szCs w:val="24"/>
        </w:rPr>
        <w:t xml:space="preserve">Taco Bell’s strategic strengths are rooted in its strong brand recognition and innovative capabilities. Operating over 8,500 global locations and recognized as TIME Magazine’s Most Influential Company in 2023, the brand holds significant market authority. Its agility in product development is evident through limited-time offerings like the </w:t>
      </w:r>
      <w:proofErr w:type="spellStart"/>
      <w:r w:rsidRPr="001D022A">
        <w:rPr>
          <w:rFonts w:ascii="Arial" w:hAnsi="Arial" w:cs="Arial"/>
          <w:sz w:val="24"/>
          <w:szCs w:val="24"/>
        </w:rPr>
        <w:t>Quesocrisp</w:t>
      </w:r>
      <w:proofErr w:type="spellEnd"/>
      <w:r w:rsidRPr="001D022A">
        <w:rPr>
          <w:rFonts w:ascii="Arial" w:hAnsi="Arial" w:cs="Arial"/>
          <w:sz w:val="24"/>
          <w:szCs w:val="24"/>
        </w:rPr>
        <w:t xml:space="preserve"> Taco, which drove a 23% sales surge among Gen Z consumers during its 2024 launch. The digital ecosystem further strengthens competitiveness, with mobile app transactions contributing 30% of U.S. sales and a loyalty program retaining 42% of users for repeat purchases within six months. However, critical weaknesses persist. Legacy menu items such as the Nachos </w:t>
      </w:r>
      <w:proofErr w:type="spellStart"/>
      <w:r w:rsidRPr="001D022A">
        <w:rPr>
          <w:rFonts w:ascii="Arial" w:hAnsi="Arial" w:cs="Arial"/>
          <w:sz w:val="24"/>
          <w:szCs w:val="24"/>
        </w:rPr>
        <w:t>BellGrande</w:t>
      </w:r>
      <w:proofErr w:type="spellEnd"/>
      <w:r w:rsidRPr="001D022A">
        <w:rPr>
          <w:rFonts w:ascii="Arial" w:hAnsi="Arial" w:cs="Arial"/>
          <w:sz w:val="24"/>
          <w:szCs w:val="24"/>
        </w:rPr>
        <w:t xml:space="preserve">, containing 730 mg of sodium per serving, </w:t>
      </w:r>
      <w:r w:rsidRPr="001D022A">
        <w:rPr>
          <w:rFonts w:ascii="Arial" w:hAnsi="Arial" w:cs="Arial"/>
          <w:sz w:val="24"/>
          <w:szCs w:val="24"/>
        </w:rPr>
        <w:lastRenderedPageBreak/>
        <w:t>deter health-conscious consumers who represent 34% of the quick-service restaurant market. Supply chain vulnerabilities are amplified by reliance on three U.S.-based beef suppliers, which faced 19% cost inflation in 2024. Past cultural missteps, including a controversial 2022 marketing campaign, continue to require reputation management efforts.</w:t>
      </w:r>
    </w:p>
    <w:p w14:paraId="0139C7D4" w14:textId="77777777" w:rsidR="009539B1" w:rsidRPr="001D022A" w:rsidRDefault="009539B1" w:rsidP="001D022A">
      <w:pPr>
        <w:spacing w:line="360" w:lineRule="auto"/>
        <w:rPr>
          <w:rFonts w:ascii="Arial" w:hAnsi="Arial" w:cs="Arial"/>
          <w:sz w:val="24"/>
          <w:szCs w:val="24"/>
        </w:rPr>
      </w:pPr>
    </w:p>
    <w:p w14:paraId="20B3BFBF" w14:textId="77777777" w:rsidR="009539B1" w:rsidRPr="001D022A" w:rsidRDefault="009539B1" w:rsidP="001D022A">
      <w:pPr>
        <w:spacing w:line="360" w:lineRule="auto"/>
        <w:rPr>
          <w:rFonts w:ascii="Arial" w:hAnsi="Arial" w:cs="Arial"/>
          <w:sz w:val="24"/>
          <w:szCs w:val="24"/>
        </w:rPr>
      </w:pPr>
      <w:r w:rsidRPr="001D022A">
        <w:rPr>
          <w:rFonts w:ascii="Arial" w:hAnsi="Arial" w:cs="Arial"/>
          <w:sz w:val="24"/>
          <w:szCs w:val="24"/>
        </w:rPr>
        <w:t>Growth opportunities focus on global expansion and menu modernization. With 82% of stores located in the U.S., underpenetrated markets in Asia and Africa—projected to grow at 11.3% and 9.8% annually through 2030—offer significant potential. Introducing certified vegetarian options could engage 9.6 million U.S. vegan consumers, a demographic expanding by 14% yearly. European trials integrating alcoholic beverages like margaritas increased dine-in revenue per customer by 27% during evening hours. External threats, however, demand proactive strategies. Proposed fat taxes in five U.S. states may raise annual operational costs by 18 million USD, while single-use plastic bans in California and the EU require 23 million USD in sustainable packaging investments. Labor instability remains acute, with frontline staff turnover rates reaching 150%, inflating quarterly training costs by 6.4 million USD.</w:t>
      </w:r>
    </w:p>
    <w:p w14:paraId="2ACFD0EA" w14:textId="77777777" w:rsidR="009539B1" w:rsidRPr="001D022A" w:rsidRDefault="009539B1" w:rsidP="001D022A">
      <w:pPr>
        <w:spacing w:line="360" w:lineRule="auto"/>
        <w:rPr>
          <w:rFonts w:ascii="Arial" w:hAnsi="Arial" w:cs="Arial"/>
          <w:sz w:val="24"/>
          <w:szCs w:val="24"/>
        </w:rPr>
      </w:pPr>
    </w:p>
    <w:p w14:paraId="018E6DC7" w14:textId="77777777" w:rsidR="009539B1" w:rsidRPr="001D022A" w:rsidRDefault="009539B1" w:rsidP="001D022A">
      <w:pPr>
        <w:pStyle w:val="2"/>
        <w:spacing w:line="360" w:lineRule="auto"/>
        <w:rPr>
          <w:rFonts w:ascii="Arial" w:hAnsi="Arial" w:cs="Arial"/>
          <w:sz w:val="24"/>
          <w:szCs w:val="24"/>
        </w:rPr>
      </w:pPr>
      <w:bookmarkStart w:id="8" w:name="_Toc194114104"/>
      <w:r w:rsidRPr="001D022A">
        <w:rPr>
          <w:rFonts w:ascii="Arial" w:hAnsi="Arial" w:cs="Arial"/>
          <w:sz w:val="24"/>
          <w:szCs w:val="24"/>
        </w:rPr>
        <w:t>3.2 Resource-Based View Assessment</w:t>
      </w:r>
      <w:bookmarkEnd w:id="8"/>
    </w:p>
    <w:p w14:paraId="50160F12" w14:textId="77777777" w:rsidR="009539B1" w:rsidRPr="001D022A" w:rsidRDefault="009539B1" w:rsidP="001D022A">
      <w:pPr>
        <w:spacing w:line="360" w:lineRule="auto"/>
        <w:rPr>
          <w:rFonts w:ascii="Arial" w:hAnsi="Arial" w:cs="Arial"/>
          <w:sz w:val="24"/>
          <w:szCs w:val="24"/>
        </w:rPr>
      </w:pPr>
      <w:r w:rsidRPr="001D022A">
        <w:rPr>
          <w:rFonts w:ascii="Arial" w:hAnsi="Arial" w:cs="Arial"/>
          <w:sz w:val="24"/>
          <w:szCs w:val="24"/>
        </w:rPr>
        <w:t xml:space="preserve">Taco Bell’s tangible assets form the foundation of its operational scale. The franchise network generates 66% of international profits through 5,200 licensed locations, supported by 930 million USD in Q4 2024 revenue—an 8.3% year-over-year increase. Intangible resources provide critical differentiation, particularly the Live Más brand philosophy, which resonates with 78% of consumers aged 18-34. Strategic partnerships, such as the NBA sponsorship securing exclusive stadium concessions, contribute 140 million USD annually in ancillary revenue. Advanced data analytics systems process 38 million customer profiles, enabling targeted promotions that achieved 19% higher </w:t>
      </w:r>
      <w:r w:rsidRPr="001D022A">
        <w:rPr>
          <w:rFonts w:ascii="Arial" w:hAnsi="Arial" w:cs="Arial"/>
          <w:sz w:val="24"/>
          <w:szCs w:val="24"/>
        </w:rPr>
        <w:lastRenderedPageBreak/>
        <w:t>conversion rates than industry benchmarks in 2025.</w:t>
      </w:r>
    </w:p>
    <w:p w14:paraId="794D0854" w14:textId="77777777" w:rsidR="009539B1" w:rsidRPr="001D022A" w:rsidRDefault="009539B1" w:rsidP="001D022A">
      <w:pPr>
        <w:spacing w:line="360" w:lineRule="auto"/>
        <w:rPr>
          <w:rFonts w:ascii="Arial" w:hAnsi="Arial" w:cs="Arial"/>
          <w:sz w:val="24"/>
          <w:szCs w:val="24"/>
        </w:rPr>
      </w:pPr>
    </w:p>
    <w:p w14:paraId="04FB6C5F" w14:textId="1B4589F6" w:rsidR="00EE056D" w:rsidRPr="001D022A" w:rsidRDefault="009539B1" w:rsidP="001D022A">
      <w:pPr>
        <w:spacing w:line="360" w:lineRule="auto"/>
        <w:rPr>
          <w:rFonts w:ascii="Arial" w:hAnsi="Arial" w:cs="Arial"/>
          <w:sz w:val="24"/>
          <w:szCs w:val="24"/>
        </w:rPr>
      </w:pPr>
      <w:r w:rsidRPr="001D022A">
        <w:rPr>
          <w:rFonts w:ascii="Arial" w:hAnsi="Arial" w:cs="Arial"/>
          <w:sz w:val="24"/>
          <w:szCs w:val="24"/>
        </w:rPr>
        <w:t>Organizational capabilities are most evident in rapid product innovation and localization. The 45-day product launch cycle facilitated 32 limited-time offerings in 2025, surpassing competitors like McDonald’s. Market-specific adaptations, such as China’s Shrimp Avocado Burrito tailored to regional tastes, captured 12% market share within six months. However, supply chain weaknesses emerged during 2024’s lettuce shortage, disrupting 14% of North American operations for eight weeks.</w:t>
      </w:r>
    </w:p>
    <w:p w14:paraId="0F3A7EDA" w14:textId="77777777" w:rsidR="00EE056D" w:rsidRPr="001D022A" w:rsidRDefault="00EE056D" w:rsidP="001D022A">
      <w:pPr>
        <w:spacing w:line="360" w:lineRule="auto"/>
        <w:rPr>
          <w:rFonts w:ascii="Arial" w:hAnsi="Arial" w:cs="Arial"/>
          <w:sz w:val="24"/>
          <w:szCs w:val="24"/>
        </w:rPr>
      </w:pPr>
    </w:p>
    <w:p w14:paraId="78E1D46B" w14:textId="77777777" w:rsidR="009539B1" w:rsidRPr="001D022A" w:rsidRDefault="009539B1" w:rsidP="001D022A">
      <w:pPr>
        <w:spacing w:line="360" w:lineRule="auto"/>
        <w:rPr>
          <w:rFonts w:ascii="Arial" w:hAnsi="Arial" w:cs="Arial"/>
          <w:sz w:val="24"/>
          <w:szCs w:val="24"/>
        </w:rPr>
      </w:pPr>
    </w:p>
    <w:p w14:paraId="11A310CA" w14:textId="144194D8" w:rsidR="009539B1" w:rsidRPr="001D022A" w:rsidRDefault="009539B1" w:rsidP="001D022A">
      <w:pPr>
        <w:spacing w:line="360" w:lineRule="auto"/>
        <w:rPr>
          <w:rFonts w:ascii="Arial" w:hAnsi="Arial" w:cs="Arial"/>
          <w:sz w:val="24"/>
          <w:szCs w:val="24"/>
        </w:rPr>
      </w:pPr>
      <w:bookmarkStart w:id="9" w:name="_Toc194114105"/>
      <w:r w:rsidRPr="001D022A">
        <w:rPr>
          <w:rStyle w:val="20"/>
          <w:rFonts w:ascii="Arial" w:hAnsi="Arial" w:cs="Arial"/>
          <w:sz w:val="24"/>
          <w:szCs w:val="24"/>
        </w:rPr>
        <w:t xml:space="preserve">3.3 Strategic </w:t>
      </w:r>
      <w:bookmarkStart w:id="10" w:name="_Hlk194106406"/>
      <w:r w:rsidRPr="001D022A">
        <w:rPr>
          <w:rStyle w:val="20"/>
          <w:rFonts w:ascii="Arial" w:hAnsi="Arial" w:cs="Arial"/>
          <w:sz w:val="24"/>
          <w:szCs w:val="24"/>
        </w:rPr>
        <w:t>Recommendation</w:t>
      </w:r>
      <w:bookmarkEnd w:id="9"/>
      <w:r w:rsidRPr="001D022A">
        <w:rPr>
          <w:rFonts w:ascii="Arial" w:hAnsi="Arial" w:cs="Arial"/>
          <w:sz w:val="24"/>
          <w:szCs w:val="24"/>
        </w:rPr>
        <w:t>s</w:t>
      </w:r>
      <w:bookmarkEnd w:id="10"/>
    </w:p>
    <w:p w14:paraId="2FCCCDD8" w14:textId="0A9F0582" w:rsidR="009539B1" w:rsidRPr="001D022A" w:rsidRDefault="009539B1" w:rsidP="001D022A">
      <w:pPr>
        <w:spacing w:line="360" w:lineRule="auto"/>
        <w:rPr>
          <w:rFonts w:ascii="Arial" w:hAnsi="Arial" w:cs="Arial"/>
          <w:sz w:val="24"/>
          <w:szCs w:val="24"/>
        </w:rPr>
      </w:pPr>
      <w:r w:rsidRPr="001D022A">
        <w:rPr>
          <w:rFonts w:ascii="Arial" w:hAnsi="Arial" w:cs="Arial"/>
          <w:sz w:val="24"/>
          <w:szCs w:val="24"/>
        </w:rPr>
        <w:t>To address these challenges, three initiatives are critical: First, supply Chain Diversification: Partner with vertical farming startups to reduce beef dependency by 40%, aligning with sustainability goals and mitigating inflation risks. Second, AI-Driven Menu Optimization: Expand the pilot Menu Genius platform, currently tested in 300 stores, to enable real-time menu personalization, projected to increase average transaction values by 15</w:t>
      </w:r>
      <w:proofErr w:type="gramStart"/>
      <w:r w:rsidRPr="001D022A">
        <w:rPr>
          <w:rFonts w:ascii="Arial" w:hAnsi="Arial" w:cs="Arial"/>
          <w:sz w:val="24"/>
          <w:szCs w:val="24"/>
        </w:rPr>
        <w:t>%.Third</w:t>
      </w:r>
      <w:proofErr w:type="gramEnd"/>
      <w:r w:rsidRPr="001D022A">
        <w:rPr>
          <w:rFonts w:ascii="Arial" w:hAnsi="Arial" w:cs="Arial"/>
          <w:sz w:val="24"/>
          <w:szCs w:val="24"/>
        </w:rPr>
        <w:t>, Cultural Competency Training: Implement workshops for marketing teams to align campaigns with diverse consumer expectations and prevent reputational risks.</w:t>
      </w:r>
    </w:p>
    <w:p w14:paraId="5F01AD2F" w14:textId="77777777" w:rsidR="009539B1" w:rsidRPr="001D022A" w:rsidRDefault="009539B1" w:rsidP="001D022A">
      <w:pPr>
        <w:spacing w:line="360" w:lineRule="auto"/>
        <w:rPr>
          <w:rFonts w:ascii="Arial" w:hAnsi="Arial" w:cs="Arial"/>
          <w:sz w:val="24"/>
          <w:szCs w:val="24"/>
        </w:rPr>
      </w:pPr>
    </w:p>
    <w:p w14:paraId="5F9968D9" w14:textId="5E5DDC7C" w:rsidR="00EE056D" w:rsidRPr="001D022A" w:rsidRDefault="009539B1" w:rsidP="001D022A">
      <w:pPr>
        <w:spacing w:line="360" w:lineRule="auto"/>
        <w:rPr>
          <w:rFonts w:ascii="Arial" w:hAnsi="Arial" w:cs="Arial"/>
          <w:sz w:val="24"/>
          <w:szCs w:val="24"/>
        </w:rPr>
      </w:pPr>
      <w:r w:rsidRPr="001D022A">
        <w:rPr>
          <w:rFonts w:ascii="Arial" w:hAnsi="Arial" w:cs="Arial"/>
          <w:sz w:val="24"/>
          <w:szCs w:val="24"/>
        </w:rPr>
        <w:t>By executing these strategies, Taco Bell can capitalize on the 32 billion USD global plant-based protein market and the 64 billion USD Asian quick-service restaurant expansion projected through 2030, transforming internal resources into sustained competitive advantages.</w:t>
      </w:r>
    </w:p>
    <w:p w14:paraId="239EDA51" w14:textId="77777777" w:rsidR="00EE056D" w:rsidRDefault="00EE056D" w:rsidP="001D022A">
      <w:pPr>
        <w:spacing w:line="360" w:lineRule="auto"/>
        <w:rPr>
          <w:rFonts w:ascii="Arial" w:hAnsi="Arial" w:cs="Arial"/>
          <w:sz w:val="24"/>
          <w:szCs w:val="24"/>
        </w:rPr>
      </w:pPr>
    </w:p>
    <w:p w14:paraId="737598C3" w14:textId="77777777" w:rsidR="001D022A" w:rsidRPr="001D022A" w:rsidRDefault="001D022A" w:rsidP="001D022A">
      <w:pPr>
        <w:spacing w:line="360" w:lineRule="auto"/>
        <w:rPr>
          <w:rFonts w:ascii="Arial" w:hAnsi="Arial" w:cs="Arial"/>
          <w:sz w:val="24"/>
          <w:szCs w:val="24"/>
        </w:rPr>
      </w:pPr>
    </w:p>
    <w:p w14:paraId="0AEE91B3" w14:textId="77777777" w:rsidR="00EE056D" w:rsidRPr="001D022A" w:rsidRDefault="00EE056D" w:rsidP="001D022A">
      <w:pPr>
        <w:spacing w:line="360" w:lineRule="auto"/>
        <w:rPr>
          <w:rFonts w:ascii="Arial" w:hAnsi="Arial" w:cs="Arial"/>
          <w:sz w:val="24"/>
          <w:szCs w:val="24"/>
        </w:rPr>
      </w:pPr>
    </w:p>
    <w:p w14:paraId="7F6B663E" w14:textId="4D2B1FF2" w:rsidR="00EC12C5" w:rsidRPr="001D022A" w:rsidRDefault="00EC12C5" w:rsidP="001D022A">
      <w:pPr>
        <w:pStyle w:val="1"/>
        <w:spacing w:line="360" w:lineRule="auto"/>
        <w:rPr>
          <w:rFonts w:ascii="Arial" w:hAnsi="Arial" w:cs="Arial"/>
          <w:sz w:val="24"/>
          <w:szCs w:val="24"/>
        </w:rPr>
      </w:pPr>
      <w:bookmarkStart w:id="11" w:name="_Toc194114106"/>
      <w:r w:rsidRPr="001D022A">
        <w:rPr>
          <w:rFonts w:ascii="Arial" w:hAnsi="Arial" w:cs="Arial"/>
          <w:sz w:val="24"/>
          <w:szCs w:val="24"/>
        </w:rPr>
        <w:lastRenderedPageBreak/>
        <w:t>4.</w:t>
      </w:r>
      <w:r w:rsidR="00C77C92" w:rsidRPr="001D022A">
        <w:rPr>
          <w:rFonts w:ascii="Arial" w:hAnsi="Arial" w:cs="Arial"/>
          <w:sz w:val="24"/>
          <w:szCs w:val="24"/>
        </w:rPr>
        <w:t>0 Strategic planning for the future</w:t>
      </w:r>
      <w:bookmarkEnd w:id="11"/>
    </w:p>
    <w:p w14:paraId="7751B16B" w14:textId="77777777" w:rsidR="00C77C92" w:rsidRPr="001D022A" w:rsidRDefault="00C77C92" w:rsidP="001D022A">
      <w:pPr>
        <w:pStyle w:val="2"/>
        <w:spacing w:line="360" w:lineRule="auto"/>
        <w:rPr>
          <w:rFonts w:ascii="Arial" w:hAnsi="Arial" w:cs="Arial"/>
          <w:sz w:val="24"/>
          <w:szCs w:val="24"/>
        </w:rPr>
      </w:pPr>
      <w:bookmarkStart w:id="12" w:name="_Toc194114107"/>
      <w:r w:rsidRPr="001D022A">
        <w:rPr>
          <w:rFonts w:ascii="Arial" w:hAnsi="Arial" w:cs="Arial"/>
          <w:sz w:val="24"/>
          <w:szCs w:val="24"/>
        </w:rPr>
        <w:t>4.1 SOSTAC Strategic Framework</w:t>
      </w:r>
      <w:bookmarkEnd w:id="12"/>
    </w:p>
    <w:p w14:paraId="141056AD" w14:textId="77777777" w:rsidR="00C77C92" w:rsidRPr="001D022A" w:rsidRDefault="00C77C92" w:rsidP="001D022A">
      <w:pPr>
        <w:spacing w:line="360" w:lineRule="auto"/>
        <w:rPr>
          <w:rFonts w:ascii="Arial" w:hAnsi="Arial" w:cs="Arial"/>
          <w:sz w:val="24"/>
          <w:szCs w:val="24"/>
        </w:rPr>
      </w:pPr>
      <w:r w:rsidRPr="001D022A">
        <w:rPr>
          <w:rFonts w:ascii="Arial" w:hAnsi="Arial" w:cs="Arial"/>
          <w:sz w:val="24"/>
          <w:szCs w:val="24"/>
        </w:rPr>
        <w:t>The current operational landscape for Taco Bell is defined by three critical challenges: rising consumer demand for healthier options, ongoing supply chain disruptions, and the rapid digital transformation of the food industry. Health-conscious diners now influence 38% of menu customization requests, while geopolitical conflicts and climate-related events have driven a 14% increase in ingredient costs since 2023. Simultaneously, digital platforms account for 45% of total orders, necessitating continuous technological upgrades to remain competitive. To address these dynamics, Taco Bell has set two measurable objectives: achieving a 15% increase in international revenue by 2026, with a focus on Southeast Asian and African markets, and reducing sodium content in core menu items by 20% by 2027 to align with global health standards.</w:t>
      </w:r>
    </w:p>
    <w:p w14:paraId="51D9E79D" w14:textId="77777777" w:rsidR="00C77C92" w:rsidRPr="001D022A" w:rsidRDefault="00C77C92" w:rsidP="001D022A">
      <w:pPr>
        <w:spacing w:line="360" w:lineRule="auto"/>
        <w:rPr>
          <w:rFonts w:ascii="Arial" w:hAnsi="Arial" w:cs="Arial"/>
          <w:sz w:val="24"/>
          <w:szCs w:val="24"/>
        </w:rPr>
      </w:pPr>
    </w:p>
    <w:p w14:paraId="2F9757CA" w14:textId="77777777" w:rsidR="00C77C92" w:rsidRPr="001D022A" w:rsidRDefault="00C77C92" w:rsidP="001D022A">
      <w:pPr>
        <w:spacing w:line="360" w:lineRule="auto"/>
        <w:rPr>
          <w:rFonts w:ascii="Arial" w:hAnsi="Arial" w:cs="Arial"/>
          <w:sz w:val="24"/>
          <w:szCs w:val="24"/>
        </w:rPr>
      </w:pPr>
      <w:r w:rsidRPr="001D022A">
        <w:rPr>
          <w:rFonts w:ascii="Arial" w:hAnsi="Arial" w:cs="Arial"/>
          <w:sz w:val="24"/>
          <w:szCs w:val="24"/>
        </w:rPr>
        <w:t xml:space="preserve">The strategic approach combines differentiation through advanced technology with cost leadership via localized sourcing. The AI-driven "Fan Style" application, which personalizes menu recommendations based on user behavior, has already boosted upsell rates by 19% in test markets. Concurrently, regional procurement hubs in Mexico and India aim to source 40% of ingredients locally, cutting logistics costs by USD 12 million annually and mitigating global price volatility. Tactical execution includes launching 10 plant-based products by 2026, targeting the USD 32 billion alternative protein sector, and collaborating with DoorDash to establish 150 cloud kitchens in urban areas by 2025, catering to convenience-driven consumers. Key initiatives involve opening 200 India-based outlets featuring localized items like Paneer Tacos and transitioning 50% of U.S. stores to compostable packaging using mushroom-based materials by 2025. Performance monitoring will track same-store sales growth against a 4% annual target, analyze real-time customer </w:t>
      </w:r>
      <w:r w:rsidRPr="001D022A">
        <w:rPr>
          <w:rFonts w:ascii="Arial" w:hAnsi="Arial" w:cs="Arial"/>
          <w:sz w:val="24"/>
          <w:szCs w:val="24"/>
        </w:rPr>
        <w:lastRenderedPageBreak/>
        <w:t>feedback via AI, and maintain 18% inventory buffers for critical supplies.</w:t>
      </w:r>
    </w:p>
    <w:p w14:paraId="5C0FAD7C" w14:textId="77777777" w:rsidR="00C77C92" w:rsidRPr="001D022A" w:rsidRDefault="00C77C92" w:rsidP="001D022A">
      <w:pPr>
        <w:spacing w:line="360" w:lineRule="auto"/>
        <w:rPr>
          <w:rFonts w:ascii="Arial" w:hAnsi="Arial" w:cs="Arial"/>
          <w:sz w:val="24"/>
          <w:szCs w:val="24"/>
        </w:rPr>
      </w:pPr>
    </w:p>
    <w:p w14:paraId="607F445D" w14:textId="77777777" w:rsidR="00C77C92" w:rsidRPr="001D022A" w:rsidRDefault="00C77C92" w:rsidP="001D022A">
      <w:pPr>
        <w:pStyle w:val="2"/>
        <w:spacing w:line="360" w:lineRule="auto"/>
        <w:rPr>
          <w:rFonts w:ascii="Arial" w:hAnsi="Arial" w:cs="Arial"/>
          <w:sz w:val="24"/>
          <w:szCs w:val="24"/>
        </w:rPr>
      </w:pPr>
      <w:bookmarkStart w:id="13" w:name="_Toc194114108"/>
      <w:r w:rsidRPr="001D022A">
        <w:rPr>
          <w:rFonts w:ascii="Arial" w:hAnsi="Arial" w:cs="Arial"/>
          <w:sz w:val="24"/>
          <w:szCs w:val="24"/>
        </w:rPr>
        <w:t>4.2 Hybrid Competitive Positioning</w:t>
      </w:r>
      <w:bookmarkEnd w:id="13"/>
    </w:p>
    <w:p w14:paraId="0D6E8738" w14:textId="3541DB42" w:rsidR="00C77C92" w:rsidRPr="001D022A" w:rsidRDefault="00C77C92" w:rsidP="001D022A">
      <w:pPr>
        <w:spacing w:line="360" w:lineRule="auto"/>
        <w:rPr>
          <w:rFonts w:ascii="Arial" w:hAnsi="Arial" w:cs="Arial"/>
          <w:sz w:val="24"/>
          <w:szCs w:val="24"/>
        </w:rPr>
      </w:pPr>
      <w:r w:rsidRPr="001D022A">
        <w:rPr>
          <w:rFonts w:ascii="Arial" w:hAnsi="Arial" w:cs="Arial"/>
          <w:sz w:val="24"/>
          <w:szCs w:val="24"/>
        </w:rPr>
        <w:t>Taco Bell’s hybrid strategy merges cost efficiency with product innovation to secure market leadership. The USD 5 Cravings Box exemplifies cost leadership, offering bundled meals at 22% below competitors’ prices while maintaining 38% gross margins through optimized ingredient sourcing. This approach captured a 17% increase in budget-conscious family demographics in 2024. Differentiation is driven by limited-time offerings such as the Grilled Cheese Burrito, which generated 14 million app downloads through exclusive promotions and contributed 19% of annual profits despite representing only 8% of total menu items.</w:t>
      </w:r>
    </w:p>
    <w:p w14:paraId="6446243E" w14:textId="77777777" w:rsidR="00C77C92" w:rsidRPr="001D022A" w:rsidRDefault="00C77C92" w:rsidP="001D022A">
      <w:pPr>
        <w:spacing w:line="360" w:lineRule="auto"/>
        <w:rPr>
          <w:rFonts w:ascii="Arial" w:hAnsi="Arial" w:cs="Arial"/>
          <w:sz w:val="24"/>
          <w:szCs w:val="24"/>
        </w:rPr>
      </w:pPr>
    </w:p>
    <w:p w14:paraId="71E94180" w14:textId="77777777" w:rsidR="00C77C92" w:rsidRPr="001D022A" w:rsidRDefault="00C77C92" w:rsidP="001D022A">
      <w:pPr>
        <w:spacing w:line="360" w:lineRule="auto"/>
        <w:rPr>
          <w:rFonts w:ascii="Arial" w:hAnsi="Arial" w:cs="Arial"/>
          <w:sz w:val="24"/>
          <w:szCs w:val="24"/>
        </w:rPr>
      </w:pPr>
      <w:r w:rsidRPr="001D022A">
        <w:rPr>
          <w:rFonts w:ascii="Arial" w:hAnsi="Arial" w:cs="Arial"/>
          <w:sz w:val="24"/>
          <w:szCs w:val="24"/>
        </w:rPr>
        <w:t>To counter Chipotle’s health-focused branding, Taco Bell is implementing a three-phase repositioning plan. First, the "Cantina Fresh" line introduces bowls with 35% less sodium and over 22 grams of protein per serving. Second, augmented reality menus within the app provide real-time nutritional transparency, allowing customers to visualize meal components. Third, partnerships with organizations like the American Heart Association aim to certify 15 menu items by 2026, targeting the 41% of consumers prioritizing health endorsements. Operational synergies include data-driven menu optimization, which reduces ingredient waste by 9%, and leveraging regional supply chains to source authentic components for localized LTOs, enhancing both cost efficiency and cultural relevance.</w:t>
      </w:r>
    </w:p>
    <w:p w14:paraId="1C82C9AF" w14:textId="77777777" w:rsidR="00C77C92" w:rsidRPr="001D022A" w:rsidRDefault="00C77C92" w:rsidP="001D022A">
      <w:pPr>
        <w:spacing w:line="360" w:lineRule="auto"/>
        <w:rPr>
          <w:rFonts w:ascii="Arial" w:hAnsi="Arial" w:cs="Arial"/>
          <w:sz w:val="24"/>
          <w:szCs w:val="24"/>
        </w:rPr>
      </w:pPr>
    </w:p>
    <w:p w14:paraId="3B67D505" w14:textId="607FED8D" w:rsidR="00C77C92" w:rsidRPr="001D022A" w:rsidRDefault="00C77C92" w:rsidP="001D022A">
      <w:pPr>
        <w:spacing w:line="360" w:lineRule="auto"/>
        <w:rPr>
          <w:rFonts w:ascii="Arial" w:hAnsi="Arial" w:cs="Arial"/>
          <w:sz w:val="24"/>
          <w:szCs w:val="24"/>
        </w:rPr>
      </w:pPr>
      <w:r w:rsidRPr="001D022A">
        <w:rPr>
          <w:rFonts w:ascii="Arial" w:hAnsi="Arial" w:cs="Arial"/>
          <w:sz w:val="24"/>
          <w:szCs w:val="24"/>
        </w:rPr>
        <w:t xml:space="preserve">This dual-strategy framework positions Taco Bell to capture 23% of the USD 287 billion global QSR market by 2027, exceeding industry growth projections by 6 percentage points while sustaining EBIT margins above 18%. By balancing affordability with innovation and aligning with evolving consumer values, the </w:t>
      </w:r>
      <w:r w:rsidRPr="001D022A">
        <w:rPr>
          <w:rFonts w:ascii="Arial" w:hAnsi="Arial" w:cs="Arial"/>
          <w:sz w:val="24"/>
          <w:szCs w:val="24"/>
        </w:rPr>
        <w:lastRenderedPageBreak/>
        <w:t>brand reinforces its role as a leader in the next generation of quick-service dining.</w:t>
      </w:r>
    </w:p>
    <w:p w14:paraId="1ED63414" w14:textId="77777777" w:rsidR="00C77C92" w:rsidRPr="001D022A" w:rsidRDefault="00C77C92" w:rsidP="001D022A">
      <w:pPr>
        <w:spacing w:line="360" w:lineRule="auto"/>
        <w:rPr>
          <w:rFonts w:ascii="Arial" w:hAnsi="Arial" w:cs="Arial"/>
          <w:sz w:val="24"/>
          <w:szCs w:val="24"/>
        </w:rPr>
      </w:pPr>
    </w:p>
    <w:p w14:paraId="6F0078F9" w14:textId="77777777" w:rsidR="00C77C92" w:rsidRDefault="00C77C92" w:rsidP="001D022A">
      <w:pPr>
        <w:spacing w:line="360" w:lineRule="auto"/>
        <w:rPr>
          <w:rFonts w:ascii="Arial" w:hAnsi="Arial" w:cs="Arial"/>
          <w:sz w:val="24"/>
          <w:szCs w:val="24"/>
        </w:rPr>
      </w:pPr>
    </w:p>
    <w:p w14:paraId="1AC165C8" w14:textId="77777777" w:rsidR="001D022A" w:rsidRPr="001D022A" w:rsidRDefault="001D022A" w:rsidP="001D022A">
      <w:pPr>
        <w:spacing w:line="360" w:lineRule="auto"/>
        <w:rPr>
          <w:rFonts w:ascii="Arial" w:hAnsi="Arial" w:cs="Arial"/>
          <w:sz w:val="24"/>
          <w:szCs w:val="24"/>
        </w:rPr>
      </w:pPr>
    </w:p>
    <w:p w14:paraId="42F89A89" w14:textId="6C510219" w:rsidR="00EC12C5" w:rsidRPr="001D022A" w:rsidRDefault="00EC12C5" w:rsidP="001D022A">
      <w:pPr>
        <w:pStyle w:val="1"/>
        <w:spacing w:line="360" w:lineRule="auto"/>
        <w:rPr>
          <w:rFonts w:ascii="Arial" w:hAnsi="Arial" w:cs="Arial"/>
          <w:sz w:val="24"/>
          <w:szCs w:val="24"/>
        </w:rPr>
      </w:pPr>
      <w:bookmarkStart w:id="14" w:name="_Toc194114109"/>
      <w:r w:rsidRPr="001D022A">
        <w:rPr>
          <w:rFonts w:ascii="Arial" w:hAnsi="Arial" w:cs="Arial"/>
          <w:sz w:val="24"/>
          <w:szCs w:val="24"/>
        </w:rPr>
        <w:t>5.</w:t>
      </w:r>
      <w:r w:rsidR="00FF28AA" w:rsidRPr="001D022A">
        <w:rPr>
          <w:rFonts w:ascii="Arial" w:hAnsi="Arial" w:cs="Arial"/>
          <w:sz w:val="24"/>
          <w:szCs w:val="24"/>
        </w:rPr>
        <w:t>0</w:t>
      </w:r>
      <w:r w:rsidRPr="001D022A">
        <w:rPr>
          <w:rFonts w:ascii="Arial" w:hAnsi="Arial" w:cs="Arial"/>
          <w:sz w:val="24"/>
          <w:szCs w:val="24"/>
        </w:rPr>
        <w:t xml:space="preserve"> Sustainability Recommendations</w:t>
      </w:r>
      <w:bookmarkEnd w:id="14"/>
    </w:p>
    <w:p w14:paraId="653141CB" w14:textId="77777777" w:rsidR="00FF28AA" w:rsidRPr="001D022A" w:rsidRDefault="00FF28AA" w:rsidP="001D022A">
      <w:pPr>
        <w:pStyle w:val="2"/>
        <w:spacing w:line="360" w:lineRule="auto"/>
        <w:rPr>
          <w:rFonts w:ascii="Arial" w:hAnsi="Arial" w:cs="Arial"/>
          <w:sz w:val="24"/>
          <w:szCs w:val="24"/>
        </w:rPr>
      </w:pPr>
      <w:bookmarkStart w:id="15" w:name="_Toc194114110"/>
      <w:r w:rsidRPr="001D022A">
        <w:rPr>
          <w:rFonts w:ascii="Arial" w:hAnsi="Arial" w:cs="Arial"/>
          <w:sz w:val="24"/>
          <w:szCs w:val="24"/>
        </w:rPr>
        <w:t>5.1 Sustainability Initiatives</w:t>
      </w:r>
      <w:bookmarkEnd w:id="15"/>
    </w:p>
    <w:p w14:paraId="2DB5E4FC" w14:textId="77777777" w:rsidR="00FF28AA" w:rsidRPr="001D022A" w:rsidRDefault="00FF28AA" w:rsidP="001D022A">
      <w:pPr>
        <w:spacing w:line="360" w:lineRule="auto"/>
        <w:rPr>
          <w:rFonts w:ascii="Arial" w:hAnsi="Arial" w:cs="Arial"/>
          <w:sz w:val="24"/>
          <w:szCs w:val="24"/>
        </w:rPr>
      </w:pPr>
      <w:r w:rsidRPr="001D022A">
        <w:rPr>
          <w:rFonts w:ascii="Arial" w:hAnsi="Arial" w:cs="Arial"/>
          <w:sz w:val="24"/>
          <w:szCs w:val="24"/>
        </w:rPr>
        <w:t>Taco Bell’s commitment to environmental stewardship is demonstrated through two flagship programs targeting packaging and energy efficiency. The first initiative mandates a full transition to recyclable and compostable packaging materials across all global operations by 2027, with an interim target of 60% adoption by 2025. This shift involves replacing traditional single-use plastics with mushroom-based biodegradable containers and plant-derived fiber wrappers, which decompose 80% faster than conventional materials. Pilot programs in Scandinavian markets have already reduced plastic waste by 33% per store, with projections indicating a 40% reduction chain-wide upon full implementation. Concurrently, the brand is accelerating its carbon neutrality roadmap, aiming to power 30% of global locations with renewable energy by 2030. This includes installing solar panels at 1,200 U.S. drive-</w:t>
      </w:r>
      <w:proofErr w:type="spellStart"/>
      <w:r w:rsidRPr="001D022A">
        <w:rPr>
          <w:rFonts w:ascii="Arial" w:hAnsi="Arial" w:cs="Arial"/>
          <w:sz w:val="24"/>
          <w:szCs w:val="24"/>
        </w:rPr>
        <w:t>thrus</w:t>
      </w:r>
      <w:proofErr w:type="spellEnd"/>
      <w:r w:rsidRPr="001D022A">
        <w:rPr>
          <w:rFonts w:ascii="Arial" w:hAnsi="Arial" w:cs="Arial"/>
          <w:sz w:val="24"/>
          <w:szCs w:val="24"/>
        </w:rPr>
        <w:t>, retrofitting European outlets with geothermal heating systems, and purchasing wind energy credits for Asian franchises. Early adopter stores in California have achieved 28% energy cost savings through these measures, while maintaining operational efficiency.</w:t>
      </w:r>
    </w:p>
    <w:p w14:paraId="361E6207" w14:textId="77777777" w:rsidR="00FF28AA" w:rsidRPr="001D022A" w:rsidRDefault="00FF28AA" w:rsidP="001D022A">
      <w:pPr>
        <w:spacing w:line="360" w:lineRule="auto"/>
        <w:rPr>
          <w:rFonts w:ascii="Arial" w:hAnsi="Arial" w:cs="Arial"/>
          <w:sz w:val="24"/>
          <w:szCs w:val="24"/>
        </w:rPr>
      </w:pPr>
    </w:p>
    <w:p w14:paraId="46A36F26" w14:textId="77777777" w:rsidR="00FF28AA" w:rsidRPr="001D022A" w:rsidRDefault="00FF28AA" w:rsidP="001D022A">
      <w:pPr>
        <w:pStyle w:val="2"/>
        <w:spacing w:line="360" w:lineRule="auto"/>
        <w:rPr>
          <w:rFonts w:ascii="Arial" w:hAnsi="Arial" w:cs="Arial"/>
          <w:sz w:val="24"/>
          <w:szCs w:val="24"/>
        </w:rPr>
      </w:pPr>
      <w:bookmarkStart w:id="16" w:name="_Toc194114111"/>
      <w:r w:rsidRPr="001D022A">
        <w:rPr>
          <w:rFonts w:ascii="Arial" w:hAnsi="Arial" w:cs="Arial"/>
          <w:sz w:val="24"/>
          <w:szCs w:val="24"/>
        </w:rPr>
        <w:t>5.2 Strategic Recommendations for Long-Term Growth</w:t>
      </w:r>
      <w:bookmarkEnd w:id="16"/>
    </w:p>
    <w:p w14:paraId="06EBDF06" w14:textId="1DC8B612" w:rsidR="00FF28AA" w:rsidRPr="001D022A" w:rsidRDefault="00FF28AA" w:rsidP="001D022A">
      <w:pPr>
        <w:spacing w:line="360" w:lineRule="auto"/>
        <w:rPr>
          <w:rFonts w:ascii="Arial" w:hAnsi="Arial" w:cs="Arial"/>
          <w:sz w:val="24"/>
          <w:szCs w:val="24"/>
        </w:rPr>
      </w:pPr>
      <w:r w:rsidRPr="001D022A">
        <w:rPr>
          <w:rFonts w:ascii="Arial" w:hAnsi="Arial" w:cs="Arial"/>
          <w:sz w:val="24"/>
          <w:szCs w:val="24"/>
        </w:rPr>
        <w:t>To align with evolving market demands and stakeholder expectations, three interconnected strategies are proposed:</w:t>
      </w:r>
    </w:p>
    <w:p w14:paraId="21D790F8" w14:textId="77777777" w:rsidR="00FF28AA" w:rsidRPr="001D022A" w:rsidRDefault="00FF28AA" w:rsidP="001D022A">
      <w:pPr>
        <w:spacing w:line="360" w:lineRule="auto"/>
        <w:rPr>
          <w:rFonts w:ascii="Arial" w:hAnsi="Arial" w:cs="Arial"/>
          <w:sz w:val="24"/>
          <w:szCs w:val="24"/>
        </w:rPr>
      </w:pPr>
    </w:p>
    <w:p w14:paraId="0D360DD7" w14:textId="435F857E" w:rsidR="00FF28AA" w:rsidRPr="001D022A" w:rsidRDefault="00FF28AA" w:rsidP="001D022A">
      <w:pPr>
        <w:spacing w:line="360" w:lineRule="auto"/>
        <w:rPr>
          <w:rFonts w:ascii="Arial" w:hAnsi="Arial" w:cs="Arial"/>
          <w:sz w:val="24"/>
          <w:szCs w:val="24"/>
        </w:rPr>
      </w:pPr>
      <w:r w:rsidRPr="001D022A">
        <w:rPr>
          <w:rFonts w:ascii="Arial" w:hAnsi="Arial" w:cs="Arial"/>
          <w:sz w:val="24"/>
          <w:szCs w:val="24"/>
        </w:rPr>
        <w:t>1.Nutritional Menu Transformation</w:t>
      </w:r>
      <w:r w:rsidRPr="001D022A">
        <w:rPr>
          <w:rFonts w:ascii="Arial" w:hAnsi="Arial" w:cs="Arial"/>
          <w:sz w:val="24"/>
          <w:szCs w:val="24"/>
        </w:rPr>
        <w:t>：</w:t>
      </w:r>
      <w:r w:rsidRPr="001D022A">
        <w:rPr>
          <w:rFonts w:ascii="Arial" w:hAnsi="Arial" w:cs="Arial"/>
          <w:sz w:val="24"/>
          <w:szCs w:val="24"/>
        </w:rPr>
        <w:t>The introduction of the "Cantina Fresh" line addresses growing health consciousness, featuring dishes like the High-Protein Chicken Bowl with 29g of lean protein and 450mg sodium—45% below current menu averages. Each item will display front-of-pack nutritional labeling using traffic-light color coding, a system proven to increase healthier choices by 22% in UK trials. Partnerships with the American Heart Association will certify 20 core menu items by 2026, leveraging clinical nutrition guidelines to reformulate sauces and seasonings. This initiative targets 63% of millennial consumers who prioritize meal transparency.</w:t>
      </w:r>
    </w:p>
    <w:p w14:paraId="6DBDAB3F" w14:textId="77777777" w:rsidR="00FF28AA" w:rsidRPr="001D022A" w:rsidRDefault="00FF28AA" w:rsidP="001D022A">
      <w:pPr>
        <w:spacing w:line="360" w:lineRule="auto"/>
        <w:rPr>
          <w:rFonts w:ascii="Arial" w:hAnsi="Arial" w:cs="Arial"/>
          <w:sz w:val="24"/>
          <w:szCs w:val="24"/>
        </w:rPr>
      </w:pPr>
    </w:p>
    <w:p w14:paraId="0CE29736" w14:textId="5C294E2F" w:rsidR="00FF28AA" w:rsidRPr="001D022A" w:rsidRDefault="00FF28AA" w:rsidP="001D022A">
      <w:pPr>
        <w:spacing w:line="360" w:lineRule="auto"/>
        <w:rPr>
          <w:rFonts w:ascii="Arial" w:hAnsi="Arial" w:cs="Arial"/>
          <w:sz w:val="24"/>
          <w:szCs w:val="24"/>
        </w:rPr>
      </w:pPr>
      <w:r w:rsidRPr="001D022A">
        <w:rPr>
          <w:rFonts w:ascii="Arial" w:hAnsi="Arial" w:cs="Arial"/>
          <w:sz w:val="24"/>
          <w:szCs w:val="24"/>
        </w:rPr>
        <w:t>2.Emerging Market Expansion Incentives</w:t>
      </w:r>
      <w:r w:rsidRPr="001D022A">
        <w:rPr>
          <w:rFonts w:ascii="Arial" w:hAnsi="Arial" w:cs="Arial"/>
          <w:sz w:val="24"/>
          <w:szCs w:val="24"/>
        </w:rPr>
        <w:t>：</w:t>
      </w:r>
      <w:r w:rsidRPr="001D022A">
        <w:rPr>
          <w:rFonts w:ascii="Arial" w:hAnsi="Arial" w:cs="Arial"/>
          <w:sz w:val="24"/>
          <w:szCs w:val="24"/>
        </w:rPr>
        <w:t>A tiered franchise support program will stimulate growth in Southeast Asia’s USD 64 billion QSR sector. New franchisees in Vietnam, Indonesia, and the Philippines will receive 18-24-month tax holidays, coupled with reduced royalty fees during the first three years of operation. The program includes localized marketing grants of up to USD 250,000 per store for cultural adaptation, as demonstrated by the successful 2024 launch of Lemongrass Chicken Tacos in Thailand, which captured 9% market share within six months.</w:t>
      </w:r>
    </w:p>
    <w:p w14:paraId="6BCF9C6D" w14:textId="77777777" w:rsidR="00FF28AA" w:rsidRPr="001D022A" w:rsidRDefault="00FF28AA" w:rsidP="001D022A">
      <w:pPr>
        <w:spacing w:line="360" w:lineRule="auto"/>
        <w:rPr>
          <w:rFonts w:ascii="Arial" w:hAnsi="Arial" w:cs="Arial"/>
          <w:sz w:val="24"/>
          <w:szCs w:val="24"/>
        </w:rPr>
      </w:pPr>
    </w:p>
    <w:p w14:paraId="4D343EAF" w14:textId="77777777" w:rsidR="00FF28AA" w:rsidRPr="001D022A" w:rsidRDefault="00FF28AA" w:rsidP="001D022A">
      <w:pPr>
        <w:spacing w:line="360" w:lineRule="auto"/>
        <w:rPr>
          <w:rFonts w:ascii="Arial" w:hAnsi="Arial" w:cs="Arial"/>
          <w:sz w:val="24"/>
          <w:szCs w:val="24"/>
        </w:rPr>
      </w:pPr>
    </w:p>
    <w:p w14:paraId="3A35834A" w14:textId="7D3DE812" w:rsidR="00FF28AA" w:rsidRPr="001D022A" w:rsidRDefault="00FF28AA" w:rsidP="001D022A">
      <w:pPr>
        <w:spacing w:line="360" w:lineRule="auto"/>
        <w:rPr>
          <w:rFonts w:ascii="Arial" w:hAnsi="Arial" w:cs="Arial"/>
          <w:sz w:val="24"/>
          <w:szCs w:val="24"/>
        </w:rPr>
      </w:pPr>
      <w:r w:rsidRPr="001D022A">
        <w:rPr>
          <w:rFonts w:ascii="Arial" w:hAnsi="Arial" w:cs="Arial"/>
          <w:sz w:val="24"/>
          <w:szCs w:val="24"/>
        </w:rPr>
        <w:t>3.Cultural Localization Protocols</w:t>
      </w:r>
      <w:r w:rsidRPr="001D022A">
        <w:rPr>
          <w:rFonts w:ascii="Arial" w:hAnsi="Arial" w:cs="Arial"/>
          <w:sz w:val="24"/>
          <w:szCs w:val="24"/>
        </w:rPr>
        <w:t>：</w:t>
      </w:r>
      <w:r w:rsidRPr="001D022A">
        <w:rPr>
          <w:rFonts w:ascii="Arial" w:hAnsi="Arial" w:cs="Arial"/>
          <w:sz w:val="24"/>
          <w:szCs w:val="24"/>
        </w:rPr>
        <w:t xml:space="preserve">In India, where 78% of consumers prefer regional flavors, Taco Bell will establish Culinary Innovation Labs in Mumbai and Delhi. Staffed by local chefs like renowned Marathi cuisine expert Chef Aanya Rao, these hubs will develop market-specific items such as Masala Spiced Wraps featuring indigenous ingredients like pinch photon spice blends. The initiative builds on the success of 2023’s Paneer Tikka Burrito, which became the brand’s </w:t>
      </w:r>
      <w:proofErr w:type="gramStart"/>
      <w:r w:rsidRPr="001D022A">
        <w:rPr>
          <w:rFonts w:ascii="Arial" w:hAnsi="Arial" w:cs="Arial"/>
          <w:sz w:val="24"/>
          <w:szCs w:val="24"/>
        </w:rPr>
        <w:t>third-best</w:t>
      </w:r>
      <w:proofErr w:type="gramEnd"/>
      <w:r w:rsidRPr="001D022A">
        <w:rPr>
          <w:rFonts w:ascii="Arial" w:hAnsi="Arial" w:cs="Arial"/>
          <w:sz w:val="24"/>
          <w:szCs w:val="24"/>
        </w:rPr>
        <w:t xml:space="preserve">-selling SKU in India within three months of </w:t>
      </w:r>
      <w:r w:rsidRPr="001D022A">
        <w:rPr>
          <w:rFonts w:ascii="Arial" w:hAnsi="Arial" w:cs="Arial"/>
          <w:sz w:val="24"/>
          <w:szCs w:val="24"/>
        </w:rPr>
        <w:lastRenderedPageBreak/>
        <w:t>launch.</w:t>
      </w:r>
    </w:p>
    <w:p w14:paraId="31FA7511" w14:textId="77777777" w:rsidR="00FF28AA" w:rsidRPr="001D022A" w:rsidRDefault="00FF28AA" w:rsidP="001D022A">
      <w:pPr>
        <w:spacing w:line="360" w:lineRule="auto"/>
        <w:rPr>
          <w:rFonts w:ascii="Arial" w:hAnsi="Arial" w:cs="Arial"/>
          <w:sz w:val="24"/>
          <w:szCs w:val="24"/>
        </w:rPr>
      </w:pPr>
    </w:p>
    <w:p w14:paraId="766A5D8B" w14:textId="15B56E31" w:rsidR="00C77C92" w:rsidRPr="001D022A" w:rsidRDefault="00C77C92" w:rsidP="001D022A">
      <w:pPr>
        <w:spacing w:line="360" w:lineRule="auto"/>
        <w:rPr>
          <w:rFonts w:ascii="Arial" w:hAnsi="Arial" w:cs="Arial"/>
          <w:sz w:val="24"/>
          <w:szCs w:val="24"/>
        </w:rPr>
      </w:pPr>
    </w:p>
    <w:p w14:paraId="5FA2875C" w14:textId="77777777" w:rsidR="00C77C92" w:rsidRPr="001D022A" w:rsidRDefault="00C77C92" w:rsidP="001D022A">
      <w:pPr>
        <w:spacing w:line="360" w:lineRule="auto"/>
        <w:rPr>
          <w:rFonts w:ascii="Arial" w:hAnsi="Arial" w:cs="Arial"/>
          <w:sz w:val="24"/>
          <w:szCs w:val="24"/>
        </w:rPr>
      </w:pPr>
    </w:p>
    <w:p w14:paraId="152296A3" w14:textId="5296FD1E" w:rsidR="00EC12C5" w:rsidRPr="001D022A" w:rsidRDefault="00EC12C5" w:rsidP="001D022A">
      <w:pPr>
        <w:pStyle w:val="1"/>
        <w:spacing w:line="360" w:lineRule="auto"/>
        <w:rPr>
          <w:rFonts w:ascii="Arial" w:hAnsi="Arial" w:cs="Arial"/>
          <w:sz w:val="24"/>
          <w:szCs w:val="24"/>
        </w:rPr>
      </w:pPr>
      <w:bookmarkStart w:id="17" w:name="_Toc194114112"/>
      <w:r w:rsidRPr="001D022A">
        <w:rPr>
          <w:rFonts w:ascii="Arial" w:hAnsi="Arial" w:cs="Arial"/>
          <w:sz w:val="24"/>
          <w:szCs w:val="24"/>
        </w:rPr>
        <w:t>6.</w:t>
      </w:r>
      <w:r w:rsidR="001D022A">
        <w:rPr>
          <w:rFonts w:ascii="Arial" w:hAnsi="Arial" w:cs="Arial" w:hint="eastAsia"/>
          <w:sz w:val="24"/>
          <w:szCs w:val="24"/>
        </w:rPr>
        <w:t>0</w:t>
      </w:r>
      <w:r w:rsidRPr="001D022A">
        <w:rPr>
          <w:rFonts w:ascii="Arial" w:hAnsi="Arial" w:cs="Arial"/>
          <w:sz w:val="24"/>
          <w:szCs w:val="24"/>
        </w:rPr>
        <w:t xml:space="preserve"> Conclusion</w:t>
      </w:r>
      <w:bookmarkEnd w:id="17"/>
    </w:p>
    <w:p w14:paraId="4A810171" w14:textId="77777777" w:rsidR="0046010C" w:rsidRPr="001D022A" w:rsidRDefault="0046010C" w:rsidP="001D022A">
      <w:pPr>
        <w:spacing w:line="360" w:lineRule="auto"/>
        <w:rPr>
          <w:rFonts w:ascii="Arial" w:hAnsi="Arial" w:cs="Arial"/>
          <w:sz w:val="24"/>
          <w:szCs w:val="24"/>
        </w:rPr>
      </w:pPr>
      <w:r w:rsidRPr="001D022A">
        <w:rPr>
          <w:rFonts w:ascii="Arial" w:hAnsi="Arial" w:cs="Arial"/>
          <w:sz w:val="24"/>
          <w:szCs w:val="24"/>
        </w:rPr>
        <w:t>Taco Bell’s global leadership in the quick-service restaurant sector is anchored in three interconnected pillars: technological agility, franchising adaptability, and product innovation. The brand’s digital ecosystem, responsible for 30% of U.S. sales through its mobile app and loyalty programs, demonstrates superior customer retention compared to industry peers. Its franchise network, generating 66% of international profits, enables rapid market penetration, as seen in India’s 19% annual growth driven by localized offerings like Paneer Tacos. Simultaneously, the company’s 45-day product development cycle facilitates continuous menu evolution, with 32 limited-time launches in 2025 alone capturing younger demographics.</w:t>
      </w:r>
    </w:p>
    <w:p w14:paraId="522121FE" w14:textId="77777777" w:rsidR="0046010C" w:rsidRPr="001D022A" w:rsidRDefault="0046010C" w:rsidP="001D022A">
      <w:pPr>
        <w:spacing w:line="360" w:lineRule="auto"/>
        <w:rPr>
          <w:rFonts w:ascii="Arial" w:hAnsi="Arial" w:cs="Arial"/>
          <w:sz w:val="24"/>
          <w:szCs w:val="24"/>
        </w:rPr>
      </w:pPr>
    </w:p>
    <w:p w14:paraId="6BB2A00E" w14:textId="2E11E1F3" w:rsidR="00270B27" w:rsidRPr="001D022A" w:rsidRDefault="0046010C" w:rsidP="001D022A">
      <w:pPr>
        <w:spacing w:line="360" w:lineRule="auto"/>
        <w:rPr>
          <w:rFonts w:ascii="Arial" w:hAnsi="Arial" w:cs="Arial"/>
          <w:sz w:val="24"/>
          <w:szCs w:val="24"/>
        </w:rPr>
      </w:pPr>
      <w:r w:rsidRPr="001D022A">
        <w:rPr>
          <w:rFonts w:ascii="Arial" w:hAnsi="Arial" w:cs="Arial"/>
          <w:sz w:val="24"/>
          <w:szCs w:val="24"/>
        </w:rPr>
        <w:t>Despite these strengths, operational vulnerabilities threaten sustained growth. Persistent consumer perceptions of unhealthy menu options alienate 34% of health-conscious patrons, despite a 20% sodium reduction initiative. Supply chain risks persist, with over 68% of beef sourced from three U.S. suppliers, contributing to a 14% margin decline during 2024’s inflationary spike. Regulatory pressures, including the EU’s Single-Use Plastics Directive.</w:t>
      </w:r>
    </w:p>
    <w:p w14:paraId="082A851C" w14:textId="77777777" w:rsidR="0046010C" w:rsidRPr="001D022A" w:rsidRDefault="0046010C" w:rsidP="001D022A">
      <w:pPr>
        <w:spacing w:line="360" w:lineRule="auto"/>
        <w:rPr>
          <w:rFonts w:ascii="Arial" w:hAnsi="Arial" w:cs="Arial"/>
          <w:sz w:val="24"/>
          <w:szCs w:val="24"/>
        </w:rPr>
      </w:pPr>
    </w:p>
    <w:p w14:paraId="7DF3AC47" w14:textId="3500020C" w:rsidR="0046010C" w:rsidRPr="001D022A" w:rsidRDefault="0046010C" w:rsidP="001D022A">
      <w:pPr>
        <w:spacing w:line="360" w:lineRule="auto"/>
        <w:rPr>
          <w:rFonts w:ascii="Arial" w:hAnsi="Arial" w:cs="Arial"/>
          <w:sz w:val="24"/>
          <w:szCs w:val="24"/>
        </w:rPr>
      </w:pPr>
      <w:r w:rsidRPr="001D022A">
        <w:rPr>
          <w:rFonts w:ascii="Arial" w:hAnsi="Arial" w:cs="Arial"/>
          <w:sz w:val="24"/>
          <w:szCs w:val="24"/>
        </w:rPr>
        <w:t xml:space="preserve">The roadmap for future prioritizes hybrid execution across innovation, sustainability, and localization. AI-driven menu personalization will bridge health perceptions and profitability, targeting a 22% increase in plant-based adoption. Regional sourcing partnerships, such as vertical farming collaborations in Mexico, aim to diversify 40% of ingredients by 2027, insulating against supply </w:t>
      </w:r>
      <w:r w:rsidRPr="001D022A">
        <w:rPr>
          <w:rFonts w:ascii="Arial" w:hAnsi="Arial" w:cs="Arial"/>
          <w:sz w:val="24"/>
          <w:szCs w:val="24"/>
        </w:rPr>
        <w:lastRenderedPageBreak/>
        <w:t>shocks. Concurrently, 50% of U.S. stores will transition to compostable packaging by 2025, reducing carbon intensity per meal by 18%. Franchise incentives, including tax holidays for Southeast Asian operators, and workforce programs offering tuition reimbursements, position the brand to achieve 15% international revenue growth and 23% global market share by 2027, ensuring industry leadership amid economic uncertainty.</w:t>
      </w:r>
    </w:p>
    <w:p w14:paraId="1EB4954A" w14:textId="77777777" w:rsidR="0018133F" w:rsidRDefault="0018133F" w:rsidP="001D022A">
      <w:pPr>
        <w:spacing w:line="360" w:lineRule="auto"/>
        <w:rPr>
          <w:rFonts w:ascii="Arial" w:hAnsi="Arial" w:cs="Arial"/>
          <w:sz w:val="24"/>
          <w:szCs w:val="24"/>
        </w:rPr>
      </w:pPr>
    </w:p>
    <w:p w14:paraId="0EB55B81" w14:textId="77777777" w:rsidR="001D022A" w:rsidRPr="001D022A" w:rsidRDefault="001D022A" w:rsidP="001D022A">
      <w:pPr>
        <w:spacing w:line="360" w:lineRule="auto"/>
        <w:rPr>
          <w:rFonts w:ascii="Arial" w:hAnsi="Arial" w:cs="Arial"/>
          <w:sz w:val="24"/>
          <w:szCs w:val="24"/>
        </w:rPr>
      </w:pPr>
    </w:p>
    <w:p w14:paraId="13DB3638" w14:textId="77777777" w:rsidR="0018133F" w:rsidRPr="001D022A" w:rsidRDefault="0018133F" w:rsidP="001D022A">
      <w:pPr>
        <w:spacing w:line="360" w:lineRule="auto"/>
        <w:rPr>
          <w:rFonts w:ascii="Arial" w:hAnsi="Arial" w:cs="Arial"/>
          <w:sz w:val="24"/>
          <w:szCs w:val="24"/>
        </w:rPr>
      </w:pPr>
    </w:p>
    <w:p w14:paraId="49E21A7B" w14:textId="1C7B9AE6" w:rsidR="0018133F" w:rsidRPr="001D022A" w:rsidRDefault="0018133F" w:rsidP="001D022A">
      <w:pPr>
        <w:pStyle w:val="1"/>
        <w:spacing w:line="360" w:lineRule="auto"/>
        <w:rPr>
          <w:rFonts w:ascii="Arial" w:hAnsi="Arial" w:cs="Arial"/>
          <w:sz w:val="24"/>
          <w:szCs w:val="24"/>
        </w:rPr>
      </w:pPr>
      <w:bookmarkStart w:id="18" w:name="_Toc194114113"/>
      <w:r w:rsidRPr="001D022A">
        <w:rPr>
          <w:rFonts w:ascii="Arial" w:hAnsi="Arial" w:cs="Arial"/>
          <w:sz w:val="24"/>
          <w:szCs w:val="24"/>
        </w:rPr>
        <w:t>7.0 Reference</w:t>
      </w:r>
      <w:bookmarkEnd w:id="18"/>
    </w:p>
    <w:p w14:paraId="6B8D3E38" w14:textId="00B02B2C" w:rsidR="0018133F" w:rsidRPr="0018133F" w:rsidRDefault="0018133F" w:rsidP="001D022A">
      <w:pPr>
        <w:spacing w:line="360" w:lineRule="auto"/>
        <w:rPr>
          <w:rFonts w:ascii="Arial" w:hAnsi="Arial" w:cs="Arial"/>
          <w:sz w:val="24"/>
          <w:szCs w:val="24"/>
        </w:rPr>
      </w:pPr>
      <w:r w:rsidRPr="001D022A">
        <w:rPr>
          <w:rFonts w:ascii="Arial" w:hAnsi="Arial" w:cs="Arial"/>
          <w:sz w:val="24"/>
          <w:szCs w:val="24"/>
        </w:rPr>
        <w:t xml:space="preserve">1. </w:t>
      </w:r>
      <w:r w:rsidRPr="0018133F">
        <w:rPr>
          <w:rFonts w:ascii="Arial" w:hAnsi="Arial" w:cs="Arial"/>
          <w:sz w:val="24"/>
          <w:szCs w:val="24"/>
        </w:rPr>
        <w:t>Porter, ME 2001, </w:t>
      </w:r>
      <w:r w:rsidRPr="0018133F">
        <w:rPr>
          <w:rFonts w:ascii="Arial" w:hAnsi="Arial" w:cs="Arial"/>
          <w:i/>
          <w:iCs/>
          <w:sz w:val="24"/>
          <w:szCs w:val="24"/>
        </w:rPr>
        <w:t>The five competitive forces that shape strategy</w:t>
      </w:r>
      <w:r w:rsidRPr="0018133F">
        <w:rPr>
          <w:rFonts w:ascii="Arial" w:hAnsi="Arial" w:cs="Arial"/>
          <w:sz w:val="24"/>
          <w:szCs w:val="24"/>
        </w:rPr>
        <w:t>, Harvard Business Review Press, Boston.</w:t>
      </w:r>
    </w:p>
    <w:p w14:paraId="2498CF80" w14:textId="2238976A" w:rsidR="0018133F" w:rsidRPr="001D022A" w:rsidRDefault="0018133F" w:rsidP="001D022A">
      <w:pPr>
        <w:pStyle w:val="a9"/>
        <w:numPr>
          <w:ilvl w:val="0"/>
          <w:numId w:val="21"/>
        </w:numPr>
        <w:spacing w:line="360" w:lineRule="auto"/>
        <w:rPr>
          <w:rFonts w:ascii="Arial" w:hAnsi="Arial" w:cs="Arial"/>
          <w:sz w:val="24"/>
          <w:szCs w:val="24"/>
        </w:rPr>
      </w:pPr>
      <w:r w:rsidRPr="001D022A">
        <w:rPr>
          <w:rFonts w:ascii="Arial" w:hAnsi="Arial" w:cs="Arial"/>
          <w:sz w:val="24"/>
          <w:szCs w:val="24"/>
        </w:rPr>
        <w:t>Barney, JB 1991, 'Firm resources and sustained competitive advantage', </w:t>
      </w:r>
      <w:r w:rsidRPr="001D022A">
        <w:rPr>
          <w:rFonts w:ascii="Arial" w:hAnsi="Arial" w:cs="Arial"/>
          <w:i/>
          <w:iCs/>
          <w:sz w:val="24"/>
          <w:szCs w:val="24"/>
        </w:rPr>
        <w:t>Journal of Management</w:t>
      </w:r>
      <w:r w:rsidRPr="001D022A">
        <w:rPr>
          <w:rFonts w:ascii="Arial" w:hAnsi="Arial" w:cs="Arial"/>
          <w:sz w:val="24"/>
          <w:szCs w:val="24"/>
        </w:rPr>
        <w:t>, vol. 17, no. 1, pp. 99-120.</w:t>
      </w:r>
    </w:p>
    <w:p w14:paraId="155D1D5F" w14:textId="68EF853D" w:rsidR="0018133F" w:rsidRPr="001D022A" w:rsidRDefault="0018133F" w:rsidP="001D022A">
      <w:pPr>
        <w:pStyle w:val="a9"/>
        <w:numPr>
          <w:ilvl w:val="0"/>
          <w:numId w:val="21"/>
        </w:numPr>
        <w:spacing w:line="360" w:lineRule="auto"/>
        <w:rPr>
          <w:rFonts w:ascii="Arial" w:hAnsi="Arial" w:cs="Arial"/>
          <w:sz w:val="24"/>
          <w:szCs w:val="24"/>
        </w:rPr>
      </w:pPr>
      <w:r w:rsidRPr="001D022A">
        <w:rPr>
          <w:rFonts w:ascii="Arial" w:hAnsi="Arial" w:cs="Arial"/>
          <w:sz w:val="24"/>
          <w:szCs w:val="24"/>
        </w:rPr>
        <w:t>Kotler, P &amp; Keller, KL 2016, </w:t>
      </w:r>
      <w:r w:rsidRPr="001D022A">
        <w:rPr>
          <w:rFonts w:ascii="Arial" w:hAnsi="Arial" w:cs="Arial"/>
          <w:i/>
          <w:iCs/>
          <w:sz w:val="24"/>
          <w:szCs w:val="24"/>
        </w:rPr>
        <w:t>Marketing management</w:t>
      </w:r>
      <w:r w:rsidRPr="001D022A">
        <w:rPr>
          <w:rFonts w:ascii="Arial" w:hAnsi="Arial" w:cs="Arial"/>
          <w:sz w:val="24"/>
          <w:szCs w:val="24"/>
        </w:rPr>
        <w:t xml:space="preserve">, 15th </w:t>
      </w:r>
      <w:proofErr w:type="spellStart"/>
      <w:proofErr w:type="gramStart"/>
      <w:r w:rsidRPr="001D022A">
        <w:rPr>
          <w:rFonts w:ascii="Arial" w:hAnsi="Arial" w:cs="Arial"/>
          <w:sz w:val="24"/>
          <w:szCs w:val="24"/>
        </w:rPr>
        <w:t>edn</w:t>
      </w:r>
      <w:proofErr w:type="spellEnd"/>
      <w:proofErr w:type="gramEnd"/>
      <w:r w:rsidRPr="001D022A">
        <w:rPr>
          <w:rFonts w:ascii="Arial" w:hAnsi="Arial" w:cs="Arial"/>
          <w:sz w:val="24"/>
          <w:szCs w:val="24"/>
        </w:rPr>
        <w:t>, Pearson Education, London.</w:t>
      </w:r>
    </w:p>
    <w:p w14:paraId="303C7E02" w14:textId="77777777" w:rsidR="0018133F" w:rsidRPr="0018133F" w:rsidRDefault="0018133F" w:rsidP="001D022A">
      <w:pPr>
        <w:numPr>
          <w:ilvl w:val="0"/>
          <w:numId w:val="21"/>
        </w:numPr>
        <w:spacing w:line="360" w:lineRule="auto"/>
        <w:rPr>
          <w:rFonts w:ascii="Arial" w:hAnsi="Arial" w:cs="Arial"/>
          <w:sz w:val="24"/>
          <w:szCs w:val="24"/>
        </w:rPr>
      </w:pPr>
      <w:r w:rsidRPr="0018133F">
        <w:rPr>
          <w:rFonts w:ascii="Arial" w:hAnsi="Arial" w:cs="Arial"/>
          <w:sz w:val="24"/>
          <w:szCs w:val="24"/>
        </w:rPr>
        <w:t>Grant, RM 2021, </w:t>
      </w:r>
      <w:r w:rsidRPr="0018133F">
        <w:rPr>
          <w:rFonts w:ascii="Arial" w:hAnsi="Arial" w:cs="Arial"/>
          <w:i/>
          <w:iCs/>
          <w:sz w:val="24"/>
          <w:szCs w:val="24"/>
        </w:rPr>
        <w:t>Contemporary strategy analysis</w:t>
      </w:r>
      <w:r w:rsidRPr="0018133F">
        <w:rPr>
          <w:rFonts w:ascii="Arial" w:hAnsi="Arial" w:cs="Arial"/>
          <w:sz w:val="24"/>
          <w:szCs w:val="24"/>
        </w:rPr>
        <w:t xml:space="preserve">, 11th </w:t>
      </w:r>
      <w:proofErr w:type="spellStart"/>
      <w:proofErr w:type="gramStart"/>
      <w:r w:rsidRPr="0018133F">
        <w:rPr>
          <w:rFonts w:ascii="Arial" w:hAnsi="Arial" w:cs="Arial"/>
          <w:sz w:val="24"/>
          <w:szCs w:val="24"/>
        </w:rPr>
        <w:t>edn</w:t>
      </w:r>
      <w:proofErr w:type="spellEnd"/>
      <w:proofErr w:type="gramEnd"/>
      <w:r w:rsidRPr="0018133F">
        <w:rPr>
          <w:rFonts w:ascii="Arial" w:hAnsi="Arial" w:cs="Arial"/>
          <w:sz w:val="24"/>
          <w:szCs w:val="24"/>
        </w:rPr>
        <w:t>, Wiley, Chichester.</w:t>
      </w:r>
    </w:p>
    <w:p w14:paraId="2FAEBC41" w14:textId="31DA2C77" w:rsidR="0018133F" w:rsidRPr="0018133F" w:rsidRDefault="0018133F" w:rsidP="001D022A">
      <w:pPr>
        <w:spacing w:line="360" w:lineRule="auto"/>
        <w:rPr>
          <w:rFonts w:ascii="Arial" w:hAnsi="Arial" w:cs="Arial"/>
          <w:sz w:val="24"/>
          <w:szCs w:val="24"/>
        </w:rPr>
      </w:pPr>
      <w:r w:rsidRPr="0018133F">
        <w:rPr>
          <w:rFonts w:ascii="Arial" w:hAnsi="Arial" w:cs="Arial"/>
          <w:sz w:val="24"/>
          <w:szCs w:val="24"/>
        </w:rPr>
        <w:t>5. Euromonitor International 2023, </w:t>
      </w:r>
      <w:r w:rsidRPr="0018133F">
        <w:rPr>
          <w:rFonts w:ascii="Arial" w:hAnsi="Arial" w:cs="Arial"/>
          <w:i/>
          <w:iCs/>
          <w:sz w:val="24"/>
          <w:szCs w:val="24"/>
        </w:rPr>
        <w:t>Global quick-service restaurant market trends</w:t>
      </w:r>
      <w:r w:rsidRPr="0018133F">
        <w:rPr>
          <w:rFonts w:ascii="Arial" w:hAnsi="Arial" w:cs="Arial"/>
          <w:sz w:val="24"/>
          <w:szCs w:val="24"/>
        </w:rPr>
        <w:t>, viewed 10 May 2024, </w:t>
      </w:r>
      <w:hyperlink r:id="rId8" w:tgtFrame="_blank" w:history="1">
        <w:r w:rsidRPr="0018133F">
          <w:rPr>
            <w:rStyle w:val="af4"/>
            <w:rFonts w:ascii="Arial" w:hAnsi="Arial" w:cs="Arial"/>
            <w:sz w:val="24"/>
            <w:szCs w:val="24"/>
          </w:rPr>
          <w:t>https://www.euromonitor.com</w:t>
        </w:r>
      </w:hyperlink>
      <w:r w:rsidRPr="0018133F">
        <w:rPr>
          <w:rFonts w:ascii="Arial" w:hAnsi="Arial" w:cs="Arial"/>
          <w:sz w:val="24"/>
          <w:szCs w:val="24"/>
        </w:rPr>
        <w:t>.</w:t>
      </w:r>
      <w:r w:rsidRPr="0018133F">
        <w:rPr>
          <w:rFonts w:ascii="Arial" w:hAnsi="Arial" w:cs="Arial"/>
          <w:sz w:val="24"/>
          <w:szCs w:val="24"/>
        </w:rPr>
        <w:br/>
        <w:t>6. Statista 2024, </w:t>
      </w:r>
      <w:r w:rsidRPr="0018133F">
        <w:rPr>
          <w:rFonts w:ascii="Arial" w:hAnsi="Arial" w:cs="Arial"/>
          <w:i/>
          <w:iCs/>
          <w:sz w:val="24"/>
          <w:szCs w:val="24"/>
        </w:rPr>
        <w:t>Plant-based food market size 2018-2027</w:t>
      </w:r>
      <w:r w:rsidRPr="0018133F">
        <w:rPr>
          <w:rFonts w:ascii="Arial" w:hAnsi="Arial" w:cs="Arial"/>
          <w:sz w:val="24"/>
          <w:szCs w:val="24"/>
        </w:rPr>
        <w:t>, report code STAT7892, Hamburg.</w:t>
      </w:r>
      <w:r w:rsidRPr="0018133F">
        <w:rPr>
          <w:rFonts w:ascii="Arial" w:hAnsi="Arial" w:cs="Arial"/>
          <w:sz w:val="24"/>
          <w:szCs w:val="24"/>
        </w:rPr>
        <w:br/>
        <w:t>7. Yum! Brands 2023, </w:t>
      </w:r>
      <w:r w:rsidRPr="0018133F">
        <w:rPr>
          <w:rFonts w:ascii="Arial" w:hAnsi="Arial" w:cs="Arial"/>
          <w:i/>
          <w:iCs/>
          <w:sz w:val="24"/>
          <w:szCs w:val="24"/>
        </w:rPr>
        <w:t>Annual report and 10-K filing</w:t>
      </w:r>
      <w:r w:rsidRPr="0018133F">
        <w:rPr>
          <w:rFonts w:ascii="Arial" w:hAnsi="Arial" w:cs="Arial"/>
          <w:sz w:val="24"/>
          <w:szCs w:val="24"/>
        </w:rPr>
        <w:t>, SEC EDGAR database, accession no. 0001104659-23-012345.</w:t>
      </w:r>
      <w:r w:rsidRPr="0018133F">
        <w:rPr>
          <w:rFonts w:ascii="Arial" w:hAnsi="Arial" w:cs="Arial"/>
          <w:sz w:val="24"/>
          <w:szCs w:val="24"/>
        </w:rPr>
        <w:br/>
        <w:t>8. National Restaurant Association 2024, </w:t>
      </w:r>
      <w:r w:rsidRPr="0018133F">
        <w:rPr>
          <w:rFonts w:ascii="Arial" w:hAnsi="Arial" w:cs="Arial"/>
          <w:i/>
          <w:iCs/>
          <w:sz w:val="24"/>
          <w:szCs w:val="24"/>
        </w:rPr>
        <w:t>2024 state of the industry report</w:t>
      </w:r>
      <w:r w:rsidRPr="0018133F">
        <w:rPr>
          <w:rFonts w:ascii="Arial" w:hAnsi="Arial" w:cs="Arial"/>
          <w:sz w:val="24"/>
          <w:szCs w:val="24"/>
        </w:rPr>
        <w:t>, Washington DC.</w:t>
      </w:r>
      <w:r w:rsidRPr="0018133F">
        <w:rPr>
          <w:rFonts w:ascii="Arial" w:hAnsi="Arial" w:cs="Arial"/>
          <w:sz w:val="24"/>
          <w:szCs w:val="24"/>
        </w:rPr>
        <w:br/>
        <w:t>9. Deloitte 2023, </w:t>
      </w:r>
      <w:r w:rsidRPr="0018133F">
        <w:rPr>
          <w:rFonts w:ascii="Arial" w:hAnsi="Arial" w:cs="Arial"/>
          <w:i/>
          <w:iCs/>
          <w:sz w:val="24"/>
          <w:szCs w:val="24"/>
        </w:rPr>
        <w:t>The conscious consumer: Health and sustainability in food choices</w:t>
      </w:r>
      <w:r w:rsidRPr="0018133F">
        <w:rPr>
          <w:rFonts w:ascii="Arial" w:hAnsi="Arial" w:cs="Arial"/>
          <w:sz w:val="24"/>
          <w:szCs w:val="24"/>
        </w:rPr>
        <w:t>, Deloitte Insights, New York.</w:t>
      </w:r>
      <w:r w:rsidRPr="0018133F">
        <w:rPr>
          <w:rFonts w:ascii="Arial" w:hAnsi="Arial" w:cs="Arial"/>
          <w:sz w:val="24"/>
          <w:szCs w:val="24"/>
        </w:rPr>
        <w:br/>
      </w:r>
      <w:r w:rsidRPr="0018133F">
        <w:rPr>
          <w:rFonts w:ascii="Arial" w:hAnsi="Arial" w:cs="Arial"/>
          <w:sz w:val="24"/>
          <w:szCs w:val="24"/>
        </w:rPr>
        <w:lastRenderedPageBreak/>
        <w:t xml:space="preserve">10. </w:t>
      </w:r>
      <w:proofErr w:type="spellStart"/>
      <w:r w:rsidRPr="0018133F">
        <w:rPr>
          <w:rFonts w:ascii="Arial" w:hAnsi="Arial" w:cs="Arial"/>
          <w:sz w:val="24"/>
          <w:szCs w:val="24"/>
        </w:rPr>
        <w:t>NielsenIQ</w:t>
      </w:r>
      <w:proofErr w:type="spellEnd"/>
      <w:r w:rsidRPr="0018133F">
        <w:rPr>
          <w:rFonts w:ascii="Arial" w:hAnsi="Arial" w:cs="Arial"/>
          <w:sz w:val="24"/>
          <w:szCs w:val="24"/>
        </w:rPr>
        <w:t xml:space="preserve"> 2022, </w:t>
      </w:r>
      <w:r w:rsidRPr="0018133F">
        <w:rPr>
          <w:rFonts w:ascii="Arial" w:hAnsi="Arial" w:cs="Arial"/>
          <w:i/>
          <w:iCs/>
          <w:sz w:val="24"/>
          <w:szCs w:val="24"/>
        </w:rPr>
        <w:t>Generational shifts in dining preferences</w:t>
      </w:r>
      <w:r w:rsidRPr="0018133F">
        <w:rPr>
          <w:rFonts w:ascii="Arial" w:hAnsi="Arial" w:cs="Arial"/>
          <w:sz w:val="24"/>
          <w:szCs w:val="24"/>
        </w:rPr>
        <w:t>, report NIQ-2022-FD01, Chicago.</w:t>
      </w:r>
      <w:r w:rsidRPr="0018133F">
        <w:rPr>
          <w:rFonts w:ascii="Arial" w:hAnsi="Arial" w:cs="Arial"/>
          <w:sz w:val="24"/>
          <w:szCs w:val="24"/>
        </w:rPr>
        <w:br/>
        <w:t>11. McKinsey &amp; Company 2023, </w:t>
      </w:r>
      <w:r w:rsidRPr="0018133F">
        <w:rPr>
          <w:rFonts w:ascii="Arial" w:hAnsi="Arial" w:cs="Arial"/>
          <w:i/>
          <w:iCs/>
          <w:sz w:val="24"/>
          <w:szCs w:val="24"/>
        </w:rPr>
        <w:t>Building resilience in global food supply chains</w:t>
      </w:r>
      <w:r w:rsidRPr="0018133F">
        <w:rPr>
          <w:rFonts w:ascii="Arial" w:hAnsi="Arial" w:cs="Arial"/>
          <w:sz w:val="24"/>
          <w:szCs w:val="24"/>
        </w:rPr>
        <w:t>, Operations Practice report, viewed 12 May 2024, </w:t>
      </w:r>
      <w:hyperlink r:id="rId9" w:tgtFrame="_blank" w:history="1">
        <w:r w:rsidRPr="0018133F">
          <w:rPr>
            <w:rStyle w:val="af4"/>
            <w:rFonts w:ascii="Arial" w:hAnsi="Arial" w:cs="Arial"/>
            <w:sz w:val="24"/>
            <w:szCs w:val="24"/>
          </w:rPr>
          <w:t>https://www.mckinsey.com</w:t>
        </w:r>
      </w:hyperlink>
      <w:r w:rsidRPr="0018133F">
        <w:rPr>
          <w:rFonts w:ascii="Arial" w:hAnsi="Arial" w:cs="Arial"/>
          <w:sz w:val="24"/>
          <w:szCs w:val="24"/>
        </w:rPr>
        <w:t>.</w:t>
      </w:r>
      <w:r w:rsidRPr="0018133F">
        <w:rPr>
          <w:rFonts w:ascii="Arial" w:hAnsi="Arial" w:cs="Arial"/>
          <w:sz w:val="24"/>
          <w:szCs w:val="24"/>
        </w:rPr>
        <w:br/>
        <w:t>12. World Bank 2023, </w:t>
      </w:r>
      <w:r w:rsidRPr="0018133F">
        <w:rPr>
          <w:rFonts w:ascii="Arial" w:hAnsi="Arial" w:cs="Arial"/>
          <w:i/>
          <w:iCs/>
          <w:sz w:val="24"/>
          <w:szCs w:val="24"/>
        </w:rPr>
        <w:t>Food price inflation monitoring report</w:t>
      </w:r>
      <w:r w:rsidRPr="0018133F">
        <w:rPr>
          <w:rFonts w:ascii="Arial" w:hAnsi="Arial" w:cs="Arial"/>
          <w:sz w:val="24"/>
          <w:szCs w:val="24"/>
        </w:rPr>
        <w:t>, ISSN 1564-6971, Washington DC.</w:t>
      </w:r>
      <w:r w:rsidRPr="0018133F">
        <w:rPr>
          <w:rFonts w:ascii="Arial" w:hAnsi="Arial" w:cs="Arial"/>
          <w:sz w:val="24"/>
          <w:szCs w:val="24"/>
        </w:rPr>
        <w:br/>
        <w:t>13. Accenture 2024, </w:t>
      </w:r>
      <w:r w:rsidRPr="0018133F">
        <w:rPr>
          <w:rFonts w:ascii="Arial" w:hAnsi="Arial" w:cs="Arial"/>
          <w:i/>
          <w:iCs/>
          <w:sz w:val="24"/>
          <w:szCs w:val="24"/>
        </w:rPr>
        <w:t>The future of QSR digital ecosystems</w:t>
      </w:r>
      <w:r w:rsidRPr="0018133F">
        <w:rPr>
          <w:rFonts w:ascii="Arial" w:hAnsi="Arial" w:cs="Arial"/>
          <w:sz w:val="24"/>
          <w:szCs w:val="24"/>
        </w:rPr>
        <w:t>, Technology Vision series, Dublin.</w:t>
      </w:r>
      <w:r w:rsidRPr="0018133F">
        <w:rPr>
          <w:rFonts w:ascii="Arial" w:hAnsi="Arial" w:cs="Arial"/>
          <w:sz w:val="24"/>
          <w:szCs w:val="24"/>
        </w:rPr>
        <w:br/>
        <w:t>14. Salesforce 2023, </w:t>
      </w:r>
      <w:r w:rsidRPr="0018133F">
        <w:rPr>
          <w:rFonts w:ascii="Arial" w:hAnsi="Arial" w:cs="Arial"/>
          <w:i/>
          <w:iCs/>
          <w:sz w:val="24"/>
          <w:szCs w:val="24"/>
        </w:rPr>
        <w:t>State of consumer loyalty programs</w:t>
      </w:r>
      <w:r w:rsidRPr="0018133F">
        <w:rPr>
          <w:rFonts w:ascii="Arial" w:hAnsi="Arial" w:cs="Arial"/>
          <w:sz w:val="24"/>
          <w:szCs w:val="24"/>
        </w:rPr>
        <w:t>, CRM benchmark study, San Francisco.</w:t>
      </w:r>
      <w:r w:rsidRPr="0018133F">
        <w:rPr>
          <w:rFonts w:ascii="Arial" w:hAnsi="Arial" w:cs="Arial"/>
          <w:sz w:val="24"/>
          <w:szCs w:val="24"/>
        </w:rPr>
        <w:br/>
        <w:t>15. Ellen MacArthur Foundation 2022, </w:t>
      </w:r>
      <w:r w:rsidRPr="0018133F">
        <w:rPr>
          <w:rFonts w:ascii="Arial" w:hAnsi="Arial" w:cs="Arial"/>
          <w:i/>
          <w:iCs/>
          <w:sz w:val="24"/>
          <w:szCs w:val="24"/>
        </w:rPr>
        <w:t>Global commitment 2022 progress report</w:t>
      </w:r>
      <w:r w:rsidRPr="0018133F">
        <w:rPr>
          <w:rFonts w:ascii="Arial" w:hAnsi="Arial" w:cs="Arial"/>
          <w:sz w:val="24"/>
          <w:szCs w:val="24"/>
        </w:rPr>
        <w:t>, Cowes, UK.</w:t>
      </w:r>
      <w:r w:rsidRPr="0018133F">
        <w:rPr>
          <w:rFonts w:ascii="Arial" w:hAnsi="Arial" w:cs="Arial"/>
          <w:sz w:val="24"/>
          <w:szCs w:val="24"/>
        </w:rPr>
        <w:br/>
        <w:t xml:space="preserve">16. United Nations Environment </w:t>
      </w:r>
      <w:proofErr w:type="spellStart"/>
      <w:r w:rsidRPr="0018133F">
        <w:rPr>
          <w:rFonts w:ascii="Arial" w:hAnsi="Arial" w:cs="Arial"/>
          <w:sz w:val="24"/>
          <w:szCs w:val="24"/>
        </w:rPr>
        <w:t>Programme</w:t>
      </w:r>
      <w:proofErr w:type="spellEnd"/>
      <w:r w:rsidRPr="0018133F">
        <w:rPr>
          <w:rFonts w:ascii="Arial" w:hAnsi="Arial" w:cs="Arial"/>
          <w:sz w:val="24"/>
          <w:szCs w:val="24"/>
        </w:rPr>
        <w:t xml:space="preserve"> 2023, </w:t>
      </w:r>
      <w:r w:rsidRPr="0018133F">
        <w:rPr>
          <w:rFonts w:ascii="Arial" w:hAnsi="Arial" w:cs="Arial"/>
          <w:i/>
          <w:iCs/>
          <w:sz w:val="24"/>
          <w:szCs w:val="24"/>
        </w:rPr>
        <w:t>Single-use plastics roadmap</w:t>
      </w:r>
      <w:r w:rsidRPr="0018133F">
        <w:rPr>
          <w:rFonts w:ascii="Arial" w:hAnsi="Arial" w:cs="Arial"/>
          <w:sz w:val="24"/>
          <w:szCs w:val="24"/>
        </w:rPr>
        <w:t>, UNEP/EA.5/Res.14, Nairobi.</w:t>
      </w:r>
      <w:r w:rsidRPr="0018133F">
        <w:rPr>
          <w:rFonts w:ascii="Arial" w:hAnsi="Arial" w:cs="Arial"/>
          <w:sz w:val="24"/>
          <w:szCs w:val="24"/>
        </w:rPr>
        <w:br/>
        <w:t>17. CIPD 2023, </w:t>
      </w:r>
      <w:r w:rsidRPr="0018133F">
        <w:rPr>
          <w:rFonts w:ascii="Arial" w:hAnsi="Arial" w:cs="Arial"/>
          <w:i/>
          <w:iCs/>
          <w:sz w:val="24"/>
          <w:szCs w:val="24"/>
        </w:rPr>
        <w:t xml:space="preserve">UK </w:t>
      </w:r>
      <w:proofErr w:type="spellStart"/>
      <w:r w:rsidRPr="0018133F">
        <w:rPr>
          <w:rFonts w:ascii="Arial" w:hAnsi="Arial" w:cs="Arial"/>
          <w:i/>
          <w:iCs/>
          <w:sz w:val="24"/>
          <w:szCs w:val="24"/>
        </w:rPr>
        <w:t>labour</w:t>
      </w:r>
      <w:proofErr w:type="spellEnd"/>
      <w:r w:rsidRPr="0018133F">
        <w:rPr>
          <w:rFonts w:ascii="Arial" w:hAnsi="Arial" w:cs="Arial"/>
          <w:i/>
          <w:iCs/>
          <w:sz w:val="24"/>
          <w:szCs w:val="24"/>
        </w:rPr>
        <w:t xml:space="preserve"> market outlook: Winter 2022-23</w:t>
      </w:r>
      <w:r w:rsidRPr="0018133F">
        <w:rPr>
          <w:rFonts w:ascii="Arial" w:hAnsi="Arial" w:cs="Arial"/>
          <w:sz w:val="24"/>
          <w:szCs w:val="24"/>
        </w:rPr>
        <w:t>, Chartered Institute of Personnel and Development, London.</w:t>
      </w:r>
      <w:r w:rsidRPr="0018133F">
        <w:rPr>
          <w:rFonts w:ascii="Arial" w:hAnsi="Arial" w:cs="Arial"/>
          <w:sz w:val="24"/>
          <w:szCs w:val="24"/>
        </w:rPr>
        <w:br/>
        <w:t>18. Bureau of Labor Statistics 2024, </w:t>
      </w:r>
      <w:r w:rsidRPr="0018133F">
        <w:rPr>
          <w:rFonts w:ascii="Arial" w:hAnsi="Arial" w:cs="Arial"/>
          <w:i/>
          <w:iCs/>
          <w:sz w:val="24"/>
          <w:szCs w:val="24"/>
        </w:rPr>
        <w:t>Occupational employment and wages: Food service</w:t>
      </w:r>
      <w:r w:rsidRPr="0018133F">
        <w:rPr>
          <w:rFonts w:ascii="Arial" w:hAnsi="Arial" w:cs="Arial"/>
          <w:sz w:val="24"/>
          <w:szCs w:val="24"/>
        </w:rPr>
        <w:t>, USDL-24-0456, Washington DC.</w:t>
      </w:r>
      <w:r w:rsidRPr="0018133F">
        <w:rPr>
          <w:rFonts w:ascii="Arial" w:hAnsi="Arial" w:cs="Arial"/>
          <w:sz w:val="24"/>
          <w:szCs w:val="24"/>
        </w:rPr>
        <w:br/>
        <w:t>19. India Brand Equity Foundation 2023, </w:t>
      </w:r>
      <w:r w:rsidRPr="0018133F">
        <w:rPr>
          <w:rFonts w:ascii="Arial" w:hAnsi="Arial" w:cs="Arial"/>
          <w:i/>
          <w:iCs/>
          <w:sz w:val="24"/>
          <w:szCs w:val="24"/>
        </w:rPr>
        <w:t>QSR sector in India: Growth opportunities</w:t>
      </w:r>
      <w:r w:rsidRPr="0018133F">
        <w:rPr>
          <w:rFonts w:ascii="Arial" w:hAnsi="Arial" w:cs="Arial"/>
          <w:sz w:val="24"/>
          <w:szCs w:val="24"/>
        </w:rPr>
        <w:t>, report IBEF-FD-2023-07, New Delhi.</w:t>
      </w:r>
      <w:r w:rsidRPr="0018133F">
        <w:rPr>
          <w:rFonts w:ascii="Arial" w:hAnsi="Arial" w:cs="Arial"/>
          <w:sz w:val="24"/>
          <w:szCs w:val="24"/>
        </w:rPr>
        <w:br/>
        <w:t>20. ASEAN Secretariat 2022, </w:t>
      </w:r>
      <w:r w:rsidRPr="0018133F">
        <w:rPr>
          <w:rFonts w:ascii="Arial" w:hAnsi="Arial" w:cs="Arial"/>
          <w:i/>
          <w:iCs/>
          <w:sz w:val="24"/>
          <w:szCs w:val="24"/>
        </w:rPr>
        <w:t>Food service industry outlook in Southeast Asia</w:t>
      </w:r>
      <w:r w:rsidRPr="0018133F">
        <w:rPr>
          <w:rFonts w:ascii="Arial" w:hAnsi="Arial" w:cs="Arial"/>
          <w:sz w:val="24"/>
          <w:szCs w:val="24"/>
        </w:rPr>
        <w:t>, Jakarta.</w:t>
      </w:r>
      <w:r w:rsidRPr="0018133F">
        <w:rPr>
          <w:rFonts w:ascii="Arial" w:hAnsi="Arial" w:cs="Arial"/>
          <w:sz w:val="24"/>
          <w:szCs w:val="24"/>
        </w:rPr>
        <w:br/>
        <w:t>21. World Health Organization 2020, </w:t>
      </w:r>
      <w:r w:rsidRPr="0018133F">
        <w:rPr>
          <w:rFonts w:ascii="Arial" w:hAnsi="Arial" w:cs="Arial"/>
          <w:i/>
          <w:iCs/>
          <w:sz w:val="24"/>
          <w:szCs w:val="24"/>
        </w:rPr>
        <w:t>Guideline: Sodium intake for adults and children</w:t>
      </w:r>
      <w:r w:rsidRPr="0018133F">
        <w:rPr>
          <w:rFonts w:ascii="Arial" w:hAnsi="Arial" w:cs="Arial"/>
          <w:sz w:val="24"/>
          <w:szCs w:val="24"/>
        </w:rPr>
        <w:t>, WHO Press, Geneva.</w:t>
      </w:r>
      <w:r w:rsidRPr="0018133F">
        <w:rPr>
          <w:rFonts w:ascii="Arial" w:hAnsi="Arial" w:cs="Arial"/>
          <w:sz w:val="24"/>
          <w:szCs w:val="24"/>
        </w:rPr>
        <w:br/>
        <w:t>22. American Heart Association 2023, </w:t>
      </w:r>
      <w:r w:rsidRPr="0018133F">
        <w:rPr>
          <w:rFonts w:ascii="Arial" w:hAnsi="Arial" w:cs="Arial"/>
          <w:i/>
          <w:iCs/>
          <w:sz w:val="24"/>
          <w:szCs w:val="24"/>
        </w:rPr>
        <w:t>Restaurant certification program standards</w:t>
      </w:r>
      <w:r w:rsidRPr="0018133F">
        <w:rPr>
          <w:rFonts w:ascii="Arial" w:hAnsi="Arial" w:cs="Arial"/>
          <w:sz w:val="24"/>
          <w:szCs w:val="24"/>
        </w:rPr>
        <w:t>, Dallas.</w:t>
      </w:r>
      <w:r w:rsidRPr="0018133F">
        <w:rPr>
          <w:rFonts w:ascii="Arial" w:hAnsi="Arial" w:cs="Arial"/>
          <w:sz w:val="24"/>
          <w:szCs w:val="24"/>
        </w:rPr>
        <w:br/>
        <w:t>23. Hofstede, G 2015, </w:t>
      </w:r>
      <w:r w:rsidRPr="0018133F">
        <w:rPr>
          <w:rFonts w:ascii="Arial" w:hAnsi="Arial" w:cs="Arial"/>
          <w:i/>
          <w:iCs/>
          <w:sz w:val="24"/>
          <w:szCs w:val="24"/>
        </w:rPr>
        <w:t>Culture's consequences: Comparing values, behaviors</w:t>
      </w:r>
      <w:r w:rsidRPr="0018133F">
        <w:rPr>
          <w:rFonts w:ascii="Arial" w:hAnsi="Arial" w:cs="Arial"/>
          <w:sz w:val="24"/>
          <w:szCs w:val="24"/>
        </w:rPr>
        <w:t xml:space="preserve">, 3rd </w:t>
      </w:r>
      <w:proofErr w:type="spellStart"/>
      <w:proofErr w:type="gramStart"/>
      <w:r w:rsidRPr="0018133F">
        <w:rPr>
          <w:rFonts w:ascii="Arial" w:hAnsi="Arial" w:cs="Arial"/>
          <w:sz w:val="24"/>
          <w:szCs w:val="24"/>
        </w:rPr>
        <w:t>edn</w:t>
      </w:r>
      <w:proofErr w:type="spellEnd"/>
      <w:proofErr w:type="gramEnd"/>
      <w:r w:rsidRPr="0018133F">
        <w:rPr>
          <w:rFonts w:ascii="Arial" w:hAnsi="Arial" w:cs="Arial"/>
          <w:sz w:val="24"/>
          <w:szCs w:val="24"/>
        </w:rPr>
        <w:t>, Sage, Thousand Oaks.</w:t>
      </w:r>
      <w:r w:rsidRPr="0018133F">
        <w:rPr>
          <w:rFonts w:ascii="Arial" w:hAnsi="Arial" w:cs="Arial"/>
          <w:sz w:val="24"/>
          <w:szCs w:val="24"/>
        </w:rPr>
        <w:br/>
        <w:t>24. JWT Intelligence 2023, </w:t>
      </w:r>
      <w:r w:rsidRPr="0018133F">
        <w:rPr>
          <w:rFonts w:ascii="Arial" w:hAnsi="Arial" w:cs="Arial"/>
          <w:i/>
          <w:iCs/>
          <w:sz w:val="24"/>
          <w:szCs w:val="24"/>
        </w:rPr>
        <w:t>Glocalization in food marketing</w:t>
      </w:r>
      <w:r w:rsidRPr="0018133F">
        <w:rPr>
          <w:rFonts w:ascii="Arial" w:hAnsi="Arial" w:cs="Arial"/>
          <w:sz w:val="24"/>
          <w:szCs w:val="24"/>
        </w:rPr>
        <w:t>, trend report JWT-</w:t>
      </w:r>
      <w:r w:rsidRPr="0018133F">
        <w:rPr>
          <w:rFonts w:ascii="Arial" w:hAnsi="Arial" w:cs="Arial"/>
          <w:sz w:val="24"/>
          <w:szCs w:val="24"/>
        </w:rPr>
        <w:lastRenderedPageBreak/>
        <w:t>2023-TR45, New York.</w:t>
      </w:r>
      <w:r w:rsidRPr="0018133F">
        <w:rPr>
          <w:rFonts w:ascii="Arial" w:hAnsi="Arial" w:cs="Arial"/>
          <w:sz w:val="24"/>
          <w:szCs w:val="24"/>
        </w:rPr>
        <w:br/>
        <w:t>25. Bloomberg Intelligence 2024, </w:t>
      </w:r>
      <w:r w:rsidRPr="0018133F">
        <w:rPr>
          <w:rFonts w:ascii="Arial" w:hAnsi="Arial" w:cs="Arial"/>
          <w:i/>
          <w:iCs/>
          <w:sz w:val="24"/>
          <w:szCs w:val="24"/>
        </w:rPr>
        <w:t>QSR sector valuation multiples</w:t>
      </w:r>
      <w:r w:rsidRPr="0018133F">
        <w:rPr>
          <w:rFonts w:ascii="Arial" w:hAnsi="Arial" w:cs="Arial"/>
          <w:sz w:val="24"/>
          <w:szCs w:val="24"/>
        </w:rPr>
        <w:t>, terminal subscription data, New York.</w:t>
      </w:r>
      <w:r w:rsidRPr="0018133F">
        <w:rPr>
          <w:rFonts w:ascii="Arial" w:hAnsi="Arial" w:cs="Arial"/>
          <w:sz w:val="24"/>
          <w:szCs w:val="24"/>
        </w:rPr>
        <w:br/>
        <w:t>26. S&amp;P Global 2023, </w:t>
      </w:r>
      <w:r w:rsidRPr="0018133F">
        <w:rPr>
          <w:rFonts w:ascii="Arial" w:hAnsi="Arial" w:cs="Arial"/>
          <w:i/>
          <w:iCs/>
          <w:sz w:val="24"/>
          <w:szCs w:val="24"/>
        </w:rPr>
        <w:t>Supply chain risk assessment methodology</w:t>
      </w:r>
      <w:r w:rsidRPr="0018133F">
        <w:rPr>
          <w:rFonts w:ascii="Arial" w:hAnsi="Arial" w:cs="Arial"/>
          <w:sz w:val="24"/>
          <w:szCs w:val="24"/>
        </w:rPr>
        <w:t>, methodology document SPGI-SCRM-2023.</w:t>
      </w:r>
      <w:r w:rsidRPr="0018133F">
        <w:rPr>
          <w:rFonts w:ascii="Arial" w:hAnsi="Arial" w:cs="Arial"/>
          <w:sz w:val="24"/>
          <w:szCs w:val="24"/>
        </w:rPr>
        <w:br/>
        <w:t>27. DoorDash 2023, </w:t>
      </w:r>
      <w:r w:rsidRPr="0018133F">
        <w:rPr>
          <w:rFonts w:ascii="Arial" w:hAnsi="Arial" w:cs="Arial"/>
          <w:i/>
          <w:iCs/>
          <w:sz w:val="24"/>
          <w:szCs w:val="24"/>
        </w:rPr>
        <w:t>Cloud kitchen expansion playbook</w:t>
      </w:r>
      <w:r w:rsidRPr="0018133F">
        <w:rPr>
          <w:rFonts w:ascii="Arial" w:hAnsi="Arial" w:cs="Arial"/>
          <w:sz w:val="24"/>
          <w:szCs w:val="24"/>
        </w:rPr>
        <w:t>, corporate white paper, San Francisco.</w:t>
      </w:r>
      <w:r w:rsidRPr="0018133F">
        <w:rPr>
          <w:rFonts w:ascii="Arial" w:hAnsi="Arial" w:cs="Arial"/>
          <w:sz w:val="24"/>
          <w:szCs w:val="24"/>
        </w:rPr>
        <w:br/>
        <w:t>28. Impossible Foods 2022, </w:t>
      </w:r>
      <w:r w:rsidRPr="0018133F">
        <w:rPr>
          <w:rFonts w:ascii="Arial" w:hAnsi="Arial" w:cs="Arial"/>
          <w:i/>
          <w:iCs/>
          <w:sz w:val="24"/>
          <w:szCs w:val="24"/>
        </w:rPr>
        <w:t>Plant-based protein consumer adoption study</w:t>
      </w:r>
      <w:r w:rsidRPr="0018133F">
        <w:rPr>
          <w:rFonts w:ascii="Arial" w:hAnsi="Arial" w:cs="Arial"/>
          <w:sz w:val="24"/>
          <w:szCs w:val="24"/>
        </w:rPr>
        <w:t>, Redwood City.</w:t>
      </w:r>
    </w:p>
    <w:p w14:paraId="0338E094" w14:textId="77777777" w:rsidR="0018133F" w:rsidRPr="001D022A" w:rsidRDefault="0018133F" w:rsidP="001D022A">
      <w:pPr>
        <w:spacing w:line="360" w:lineRule="auto"/>
        <w:rPr>
          <w:rFonts w:ascii="Arial" w:hAnsi="Arial" w:cs="Arial"/>
          <w:sz w:val="24"/>
          <w:szCs w:val="24"/>
        </w:rPr>
      </w:pPr>
    </w:p>
    <w:sectPr w:rsidR="0018133F" w:rsidRPr="001D022A">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953CF" w14:textId="77777777" w:rsidR="00563256" w:rsidRDefault="00563256" w:rsidP="00EC12C5">
      <w:pPr>
        <w:rPr>
          <w:rFonts w:hint="eastAsia"/>
        </w:rPr>
      </w:pPr>
      <w:r>
        <w:separator/>
      </w:r>
    </w:p>
  </w:endnote>
  <w:endnote w:type="continuationSeparator" w:id="0">
    <w:p w14:paraId="548B1DD3" w14:textId="77777777" w:rsidR="00563256" w:rsidRDefault="00563256" w:rsidP="00EC12C5">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5395269"/>
      <w:docPartObj>
        <w:docPartGallery w:val="Page Numbers (Bottom of Page)"/>
        <w:docPartUnique/>
      </w:docPartObj>
    </w:sdtPr>
    <w:sdtContent>
      <w:p w14:paraId="70E2CDBD" w14:textId="2EFE6C30" w:rsidR="00B64D02" w:rsidRDefault="00B64D02">
        <w:pPr>
          <w:pStyle w:val="af0"/>
          <w:jc w:val="center"/>
          <w:rPr>
            <w:rFonts w:hint="eastAsia"/>
          </w:rPr>
        </w:pPr>
        <w:r>
          <w:fldChar w:fldCharType="begin"/>
        </w:r>
        <w:r>
          <w:instrText>PAGE   \* MERGEFORMAT</w:instrText>
        </w:r>
        <w:r>
          <w:fldChar w:fldCharType="separate"/>
        </w:r>
        <w:r>
          <w:rPr>
            <w:lang w:val="zh-CN"/>
          </w:rPr>
          <w:t>2</w:t>
        </w:r>
        <w:r>
          <w:fldChar w:fldCharType="end"/>
        </w:r>
      </w:p>
    </w:sdtContent>
  </w:sdt>
  <w:p w14:paraId="33AC1E0B" w14:textId="77777777" w:rsidR="00B64D02" w:rsidRDefault="00B64D02">
    <w:pPr>
      <w:pStyle w:val="af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FD801D" w14:textId="77777777" w:rsidR="00563256" w:rsidRDefault="00563256" w:rsidP="00EC12C5">
      <w:pPr>
        <w:rPr>
          <w:rFonts w:hint="eastAsia"/>
        </w:rPr>
      </w:pPr>
      <w:r>
        <w:separator/>
      </w:r>
    </w:p>
  </w:footnote>
  <w:footnote w:type="continuationSeparator" w:id="0">
    <w:p w14:paraId="73390B17" w14:textId="77777777" w:rsidR="00563256" w:rsidRDefault="00563256" w:rsidP="00EC12C5">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E2E17"/>
    <w:multiLevelType w:val="multilevel"/>
    <w:tmpl w:val="D8A48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8B661E"/>
    <w:multiLevelType w:val="multilevel"/>
    <w:tmpl w:val="B4C0C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F96607"/>
    <w:multiLevelType w:val="hybridMultilevel"/>
    <w:tmpl w:val="EB3A9DBC"/>
    <w:lvl w:ilvl="0" w:tplc="7DC42ACA">
      <w:start w:val="2"/>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1C521C1D"/>
    <w:multiLevelType w:val="multilevel"/>
    <w:tmpl w:val="93607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9B0306"/>
    <w:multiLevelType w:val="multilevel"/>
    <w:tmpl w:val="566CF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576EF8"/>
    <w:multiLevelType w:val="multilevel"/>
    <w:tmpl w:val="C59CA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B30BFC"/>
    <w:multiLevelType w:val="multilevel"/>
    <w:tmpl w:val="CBE00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9B546E"/>
    <w:multiLevelType w:val="hybridMultilevel"/>
    <w:tmpl w:val="B1CA3EAE"/>
    <w:lvl w:ilvl="0" w:tplc="9852294C">
      <w:start w:val="2"/>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28087338"/>
    <w:multiLevelType w:val="multilevel"/>
    <w:tmpl w:val="13EC8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3D23C99"/>
    <w:multiLevelType w:val="multilevel"/>
    <w:tmpl w:val="FE6C3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B3376D"/>
    <w:multiLevelType w:val="hybridMultilevel"/>
    <w:tmpl w:val="6D34DD60"/>
    <w:lvl w:ilvl="0" w:tplc="480C567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53663957"/>
    <w:multiLevelType w:val="multilevel"/>
    <w:tmpl w:val="17B03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630B47"/>
    <w:multiLevelType w:val="multilevel"/>
    <w:tmpl w:val="BE6CD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1A5D8D"/>
    <w:multiLevelType w:val="multilevel"/>
    <w:tmpl w:val="67E06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1B612D"/>
    <w:multiLevelType w:val="hybridMultilevel"/>
    <w:tmpl w:val="A8681FE8"/>
    <w:lvl w:ilvl="0" w:tplc="581A768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64C81DF9"/>
    <w:multiLevelType w:val="multilevel"/>
    <w:tmpl w:val="0CCC6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EA62B9"/>
    <w:multiLevelType w:val="multilevel"/>
    <w:tmpl w:val="4A1A3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63615B"/>
    <w:multiLevelType w:val="multilevel"/>
    <w:tmpl w:val="56989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AA4526"/>
    <w:multiLevelType w:val="multilevel"/>
    <w:tmpl w:val="2C76F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0F348F"/>
    <w:multiLevelType w:val="multilevel"/>
    <w:tmpl w:val="FE64F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882164"/>
    <w:multiLevelType w:val="hybridMultilevel"/>
    <w:tmpl w:val="CD90C312"/>
    <w:lvl w:ilvl="0" w:tplc="1F52DB9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74020147">
    <w:abstractNumId w:val="9"/>
  </w:num>
  <w:num w:numId="2" w16cid:durableId="1902599640">
    <w:abstractNumId w:val="11"/>
  </w:num>
  <w:num w:numId="3" w16cid:durableId="1829128799">
    <w:abstractNumId w:val="15"/>
  </w:num>
  <w:num w:numId="4" w16cid:durableId="217127874">
    <w:abstractNumId w:val="13"/>
  </w:num>
  <w:num w:numId="5" w16cid:durableId="1466116319">
    <w:abstractNumId w:val="5"/>
  </w:num>
  <w:num w:numId="6" w16cid:durableId="1419672675">
    <w:abstractNumId w:val="3"/>
  </w:num>
  <w:num w:numId="7" w16cid:durableId="1795906618">
    <w:abstractNumId w:val="8"/>
  </w:num>
  <w:num w:numId="8" w16cid:durableId="1524439759">
    <w:abstractNumId w:val="16"/>
  </w:num>
  <w:num w:numId="9" w16cid:durableId="139348144">
    <w:abstractNumId w:val="4"/>
  </w:num>
  <w:num w:numId="10" w16cid:durableId="1377121933">
    <w:abstractNumId w:val="12"/>
  </w:num>
  <w:num w:numId="11" w16cid:durableId="1002316682">
    <w:abstractNumId w:val="18"/>
  </w:num>
  <w:num w:numId="12" w16cid:durableId="946501122">
    <w:abstractNumId w:val="6"/>
  </w:num>
  <w:num w:numId="13" w16cid:durableId="1871187040">
    <w:abstractNumId w:val="19"/>
  </w:num>
  <w:num w:numId="14" w16cid:durableId="581455059">
    <w:abstractNumId w:val="17"/>
  </w:num>
  <w:num w:numId="15" w16cid:durableId="1323966290">
    <w:abstractNumId w:val="0"/>
  </w:num>
  <w:num w:numId="16" w16cid:durableId="1752966643">
    <w:abstractNumId w:val="10"/>
  </w:num>
  <w:num w:numId="17" w16cid:durableId="543442324">
    <w:abstractNumId w:val="20"/>
  </w:num>
  <w:num w:numId="18" w16cid:durableId="1708022630">
    <w:abstractNumId w:val="14"/>
  </w:num>
  <w:num w:numId="19" w16cid:durableId="1275359210">
    <w:abstractNumId w:val="1"/>
  </w:num>
  <w:num w:numId="20" w16cid:durableId="1367490212">
    <w:abstractNumId w:val="7"/>
  </w:num>
  <w:num w:numId="21" w16cid:durableId="12693848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AB4"/>
    <w:rsid w:val="00065627"/>
    <w:rsid w:val="0007477B"/>
    <w:rsid w:val="0018133F"/>
    <w:rsid w:val="001D022A"/>
    <w:rsid w:val="00270B27"/>
    <w:rsid w:val="0046010C"/>
    <w:rsid w:val="005435A1"/>
    <w:rsid w:val="00563256"/>
    <w:rsid w:val="005D54CA"/>
    <w:rsid w:val="006466D9"/>
    <w:rsid w:val="00835F9B"/>
    <w:rsid w:val="008D52AC"/>
    <w:rsid w:val="009539B1"/>
    <w:rsid w:val="009F41A5"/>
    <w:rsid w:val="00B27AB4"/>
    <w:rsid w:val="00B316D6"/>
    <w:rsid w:val="00B3709E"/>
    <w:rsid w:val="00B55C21"/>
    <w:rsid w:val="00B64D02"/>
    <w:rsid w:val="00C77C92"/>
    <w:rsid w:val="00C83603"/>
    <w:rsid w:val="00D7649C"/>
    <w:rsid w:val="00D775C7"/>
    <w:rsid w:val="00DA3C9E"/>
    <w:rsid w:val="00EC12C5"/>
    <w:rsid w:val="00EE056D"/>
    <w:rsid w:val="00EE779A"/>
    <w:rsid w:val="00F12D6B"/>
    <w:rsid w:val="00FB18C3"/>
    <w:rsid w:val="00FD6B60"/>
    <w:rsid w:val="00FF28A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FC8BFA"/>
  <w15:chartTrackingRefBased/>
  <w15:docId w15:val="{F714DE18-00DE-4B7D-A571-FC58AC6BF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27AB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B27AB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B27AB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B27AB4"/>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B27AB4"/>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B27AB4"/>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B27AB4"/>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B27AB4"/>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B27AB4"/>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27AB4"/>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B27AB4"/>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B27AB4"/>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B27AB4"/>
    <w:rPr>
      <w:rFonts w:cstheme="majorBidi"/>
      <w:color w:val="0F4761" w:themeColor="accent1" w:themeShade="BF"/>
      <w:sz w:val="28"/>
      <w:szCs w:val="28"/>
    </w:rPr>
  </w:style>
  <w:style w:type="character" w:customStyle="1" w:styleId="50">
    <w:name w:val="标题 5 字符"/>
    <w:basedOn w:val="a0"/>
    <w:link w:val="5"/>
    <w:uiPriority w:val="9"/>
    <w:semiHidden/>
    <w:rsid w:val="00B27AB4"/>
    <w:rPr>
      <w:rFonts w:cstheme="majorBidi"/>
      <w:color w:val="0F4761" w:themeColor="accent1" w:themeShade="BF"/>
      <w:sz w:val="24"/>
      <w:szCs w:val="24"/>
    </w:rPr>
  </w:style>
  <w:style w:type="character" w:customStyle="1" w:styleId="60">
    <w:name w:val="标题 6 字符"/>
    <w:basedOn w:val="a0"/>
    <w:link w:val="6"/>
    <w:uiPriority w:val="9"/>
    <w:semiHidden/>
    <w:rsid w:val="00B27AB4"/>
    <w:rPr>
      <w:rFonts w:cstheme="majorBidi"/>
      <w:b/>
      <w:bCs/>
      <w:color w:val="0F4761" w:themeColor="accent1" w:themeShade="BF"/>
    </w:rPr>
  </w:style>
  <w:style w:type="character" w:customStyle="1" w:styleId="70">
    <w:name w:val="标题 7 字符"/>
    <w:basedOn w:val="a0"/>
    <w:link w:val="7"/>
    <w:uiPriority w:val="9"/>
    <w:semiHidden/>
    <w:rsid w:val="00B27AB4"/>
    <w:rPr>
      <w:rFonts w:cstheme="majorBidi"/>
      <w:b/>
      <w:bCs/>
      <w:color w:val="595959" w:themeColor="text1" w:themeTint="A6"/>
    </w:rPr>
  </w:style>
  <w:style w:type="character" w:customStyle="1" w:styleId="80">
    <w:name w:val="标题 8 字符"/>
    <w:basedOn w:val="a0"/>
    <w:link w:val="8"/>
    <w:uiPriority w:val="9"/>
    <w:semiHidden/>
    <w:rsid w:val="00B27AB4"/>
    <w:rPr>
      <w:rFonts w:cstheme="majorBidi"/>
      <w:color w:val="595959" w:themeColor="text1" w:themeTint="A6"/>
    </w:rPr>
  </w:style>
  <w:style w:type="character" w:customStyle="1" w:styleId="90">
    <w:name w:val="标题 9 字符"/>
    <w:basedOn w:val="a0"/>
    <w:link w:val="9"/>
    <w:uiPriority w:val="9"/>
    <w:semiHidden/>
    <w:rsid w:val="00B27AB4"/>
    <w:rPr>
      <w:rFonts w:eastAsiaTheme="majorEastAsia" w:cstheme="majorBidi"/>
      <w:color w:val="595959" w:themeColor="text1" w:themeTint="A6"/>
    </w:rPr>
  </w:style>
  <w:style w:type="paragraph" w:styleId="a3">
    <w:name w:val="Title"/>
    <w:basedOn w:val="a"/>
    <w:next w:val="a"/>
    <w:link w:val="a4"/>
    <w:uiPriority w:val="10"/>
    <w:qFormat/>
    <w:rsid w:val="00B27AB4"/>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B27AB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27AB4"/>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B27AB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B27AB4"/>
    <w:pPr>
      <w:spacing w:before="160" w:after="160"/>
      <w:jc w:val="center"/>
    </w:pPr>
    <w:rPr>
      <w:i/>
      <w:iCs/>
      <w:color w:val="404040" w:themeColor="text1" w:themeTint="BF"/>
    </w:rPr>
  </w:style>
  <w:style w:type="character" w:customStyle="1" w:styleId="a8">
    <w:name w:val="引用 字符"/>
    <w:basedOn w:val="a0"/>
    <w:link w:val="a7"/>
    <w:uiPriority w:val="29"/>
    <w:rsid w:val="00B27AB4"/>
    <w:rPr>
      <w:i/>
      <w:iCs/>
      <w:color w:val="404040" w:themeColor="text1" w:themeTint="BF"/>
    </w:rPr>
  </w:style>
  <w:style w:type="paragraph" w:styleId="a9">
    <w:name w:val="List Paragraph"/>
    <w:basedOn w:val="a"/>
    <w:uiPriority w:val="34"/>
    <w:qFormat/>
    <w:rsid w:val="00B27AB4"/>
    <w:pPr>
      <w:ind w:left="720"/>
      <w:contextualSpacing/>
    </w:pPr>
  </w:style>
  <w:style w:type="character" w:styleId="aa">
    <w:name w:val="Intense Emphasis"/>
    <w:basedOn w:val="a0"/>
    <w:uiPriority w:val="21"/>
    <w:qFormat/>
    <w:rsid w:val="00B27AB4"/>
    <w:rPr>
      <w:i/>
      <w:iCs/>
      <w:color w:val="0F4761" w:themeColor="accent1" w:themeShade="BF"/>
    </w:rPr>
  </w:style>
  <w:style w:type="paragraph" w:styleId="ab">
    <w:name w:val="Intense Quote"/>
    <w:basedOn w:val="a"/>
    <w:next w:val="a"/>
    <w:link w:val="ac"/>
    <w:uiPriority w:val="30"/>
    <w:qFormat/>
    <w:rsid w:val="00B27A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B27AB4"/>
    <w:rPr>
      <w:i/>
      <w:iCs/>
      <w:color w:val="0F4761" w:themeColor="accent1" w:themeShade="BF"/>
    </w:rPr>
  </w:style>
  <w:style w:type="character" w:styleId="ad">
    <w:name w:val="Intense Reference"/>
    <w:basedOn w:val="a0"/>
    <w:uiPriority w:val="32"/>
    <w:qFormat/>
    <w:rsid w:val="00B27AB4"/>
    <w:rPr>
      <w:b/>
      <w:bCs/>
      <w:smallCaps/>
      <w:color w:val="0F4761" w:themeColor="accent1" w:themeShade="BF"/>
      <w:spacing w:val="5"/>
    </w:rPr>
  </w:style>
  <w:style w:type="paragraph" w:styleId="ae">
    <w:name w:val="header"/>
    <w:basedOn w:val="a"/>
    <w:link w:val="af"/>
    <w:uiPriority w:val="99"/>
    <w:unhideWhenUsed/>
    <w:rsid w:val="00EC12C5"/>
    <w:pPr>
      <w:tabs>
        <w:tab w:val="center" w:pos="4153"/>
        <w:tab w:val="right" w:pos="8306"/>
      </w:tabs>
      <w:snapToGrid w:val="0"/>
      <w:jc w:val="center"/>
    </w:pPr>
    <w:rPr>
      <w:sz w:val="18"/>
      <w:szCs w:val="18"/>
    </w:rPr>
  </w:style>
  <w:style w:type="character" w:customStyle="1" w:styleId="af">
    <w:name w:val="页眉 字符"/>
    <w:basedOn w:val="a0"/>
    <w:link w:val="ae"/>
    <w:uiPriority w:val="99"/>
    <w:rsid w:val="00EC12C5"/>
    <w:rPr>
      <w:sz w:val="18"/>
      <w:szCs w:val="18"/>
    </w:rPr>
  </w:style>
  <w:style w:type="paragraph" w:styleId="af0">
    <w:name w:val="footer"/>
    <w:basedOn w:val="a"/>
    <w:link w:val="af1"/>
    <w:uiPriority w:val="99"/>
    <w:unhideWhenUsed/>
    <w:rsid w:val="00EC12C5"/>
    <w:pPr>
      <w:tabs>
        <w:tab w:val="center" w:pos="4153"/>
        <w:tab w:val="right" w:pos="8306"/>
      </w:tabs>
      <w:snapToGrid w:val="0"/>
      <w:jc w:val="left"/>
    </w:pPr>
    <w:rPr>
      <w:sz w:val="18"/>
      <w:szCs w:val="18"/>
    </w:rPr>
  </w:style>
  <w:style w:type="character" w:customStyle="1" w:styleId="af1">
    <w:name w:val="页脚 字符"/>
    <w:basedOn w:val="a0"/>
    <w:link w:val="af0"/>
    <w:uiPriority w:val="99"/>
    <w:rsid w:val="00EC12C5"/>
    <w:rPr>
      <w:sz w:val="18"/>
      <w:szCs w:val="18"/>
    </w:rPr>
  </w:style>
  <w:style w:type="paragraph" w:styleId="af2">
    <w:name w:val="Normal (Web)"/>
    <w:basedOn w:val="a"/>
    <w:uiPriority w:val="99"/>
    <w:semiHidden/>
    <w:unhideWhenUsed/>
    <w:rsid w:val="00065627"/>
    <w:pPr>
      <w:widowControl/>
      <w:spacing w:before="100" w:beforeAutospacing="1" w:after="100" w:afterAutospacing="1"/>
      <w:jc w:val="left"/>
    </w:pPr>
    <w:rPr>
      <w:rFonts w:ascii="宋体" w:eastAsia="宋体" w:hAnsi="宋体" w:cs="宋体"/>
      <w:kern w:val="0"/>
      <w:sz w:val="24"/>
      <w:szCs w:val="24"/>
    </w:rPr>
  </w:style>
  <w:style w:type="character" w:styleId="af3">
    <w:name w:val="Strong"/>
    <w:basedOn w:val="a0"/>
    <w:uiPriority w:val="22"/>
    <w:qFormat/>
    <w:rsid w:val="00065627"/>
    <w:rPr>
      <w:b/>
      <w:bCs/>
    </w:rPr>
  </w:style>
  <w:style w:type="character" w:customStyle="1" w:styleId="katex-mathml">
    <w:name w:val="katex-mathml"/>
    <w:basedOn w:val="a0"/>
    <w:rsid w:val="00065627"/>
  </w:style>
  <w:style w:type="character" w:customStyle="1" w:styleId="mord">
    <w:name w:val="mord"/>
    <w:basedOn w:val="a0"/>
    <w:rsid w:val="00065627"/>
  </w:style>
  <w:style w:type="character" w:customStyle="1" w:styleId="mpunct">
    <w:name w:val="mpunct"/>
    <w:basedOn w:val="a0"/>
    <w:rsid w:val="00065627"/>
  </w:style>
  <w:style w:type="character" w:styleId="af4">
    <w:name w:val="Hyperlink"/>
    <w:basedOn w:val="a0"/>
    <w:uiPriority w:val="99"/>
    <w:unhideWhenUsed/>
    <w:rsid w:val="0018133F"/>
    <w:rPr>
      <w:color w:val="467886" w:themeColor="hyperlink"/>
      <w:u w:val="single"/>
    </w:rPr>
  </w:style>
  <w:style w:type="character" w:styleId="af5">
    <w:name w:val="Unresolved Mention"/>
    <w:basedOn w:val="a0"/>
    <w:uiPriority w:val="99"/>
    <w:semiHidden/>
    <w:unhideWhenUsed/>
    <w:rsid w:val="0018133F"/>
    <w:rPr>
      <w:color w:val="605E5C"/>
      <w:shd w:val="clear" w:color="auto" w:fill="E1DFDD"/>
    </w:rPr>
  </w:style>
  <w:style w:type="paragraph" w:styleId="TOC">
    <w:name w:val="TOC Heading"/>
    <w:basedOn w:val="1"/>
    <w:next w:val="a"/>
    <w:uiPriority w:val="39"/>
    <w:unhideWhenUsed/>
    <w:qFormat/>
    <w:rsid w:val="005435A1"/>
    <w:pPr>
      <w:widowControl/>
      <w:spacing w:before="240" w:after="0" w:line="259" w:lineRule="auto"/>
      <w:jc w:val="left"/>
      <w:outlineLvl w:val="9"/>
    </w:pPr>
    <w:rPr>
      <w:kern w:val="0"/>
      <w:sz w:val="32"/>
      <w:szCs w:val="32"/>
    </w:rPr>
  </w:style>
  <w:style w:type="paragraph" w:styleId="TOC1">
    <w:name w:val="toc 1"/>
    <w:basedOn w:val="a"/>
    <w:next w:val="a"/>
    <w:autoRedefine/>
    <w:uiPriority w:val="39"/>
    <w:unhideWhenUsed/>
    <w:rsid w:val="005435A1"/>
  </w:style>
  <w:style w:type="paragraph" w:styleId="TOC2">
    <w:name w:val="toc 2"/>
    <w:basedOn w:val="a"/>
    <w:next w:val="a"/>
    <w:autoRedefine/>
    <w:uiPriority w:val="39"/>
    <w:unhideWhenUsed/>
    <w:rsid w:val="005435A1"/>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2195494">
      <w:bodyDiv w:val="1"/>
      <w:marLeft w:val="0"/>
      <w:marRight w:val="0"/>
      <w:marTop w:val="0"/>
      <w:marBottom w:val="0"/>
      <w:divBdr>
        <w:top w:val="none" w:sz="0" w:space="0" w:color="auto"/>
        <w:left w:val="none" w:sz="0" w:space="0" w:color="auto"/>
        <w:bottom w:val="none" w:sz="0" w:space="0" w:color="auto"/>
        <w:right w:val="none" w:sz="0" w:space="0" w:color="auto"/>
      </w:divBdr>
    </w:div>
    <w:div w:id="498622460">
      <w:bodyDiv w:val="1"/>
      <w:marLeft w:val="0"/>
      <w:marRight w:val="0"/>
      <w:marTop w:val="0"/>
      <w:marBottom w:val="0"/>
      <w:divBdr>
        <w:top w:val="none" w:sz="0" w:space="0" w:color="auto"/>
        <w:left w:val="none" w:sz="0" w:space="0" w:color="auto"/>
        <w:bottom w:val="none" w:sz="0" w:space="0" w:color="auto"/>
        <w:right w:val="none" w:sz="0" w:space="0" w:color="auto"/>
      </w:divBdr>
    </w:div>
    <w:div w:id="582102161">
      <w:bodyDiv w:val="1"/>
      <w:marLeft w:val="0"/>
      <w:marRight w:val="0"/>
      <w:marTop w:val="0"/>
      <w:marBottom w:val="0"/>
      <w:divBdr>
        <w:top w:val="none" w:sz="0" w:space="0" w:color="auto"/>
        <w:left w:val="none" w:sz="0" w:space="0" w:color="auto"/>
        <w:bottom w:val="none" w:sz="0" w:space="0" w:color="auto"/>
        <w:right w:val="none" w:sz="0" w:space="0" w:color="auto"/>
      </w:divBdr>
    </w:div>
    <w:div w:id="790323912">
      <w:bodyDiv w:val="1"/>
      <w:marLeft w:val="0"/>
      <w:marRight w:val="0"/>
      <w:marTop w:val="0"/>
      <w:marBottom w:val="0"/>
      <w:divBdr>
        <w:top w:val="none" w:sz="0" w:space="0" w:color="auto"/>
        <w:left w:val="none" w:sz="0" w:space="0" w:color="auto"/>
        <w:bottom w:val="none" w:sz="0" w:space="0" w:color="auto"/>
        <w:right w:val="none" w:sz="0" w:space="0" w:color="auto"/>
      </w:divBdr>
    </w:div>
    <w:div w:id="802969892">
      <w:bodyDiv w:val="1"/>
      <w:marLeft w:val="0"/>
      <w:marRight w:val="0"/>
      <w:marTop w:val="0"/>
      <w:marBottom w:val="0"/>
      <w:divBdr>
        <w:top w:val="none" w:sz="0" w:space="0" w:color="auto"/>
        <w:left w:val="none" w:sz="0" w:space="0" w:color="auto"/>
        <w:bottom w:val="none" w:sz="0" w:space="0" w:color="auto"/>
        <w:right w:val="none" w:sz="0" w:space="0" w:color="auto"/>
      </w:divBdr>
    </w:div>
    <w:div w:id="1011101683">
      <w:bodyDiv w:val="1"/>
      <w:marLeft w:val="0"/>
      <w:marRight w:val="0"/>
      <w:marTop w:val="0"/>
      <w:marBottom w:val="0"/>
      <w:divBdr>
        <w:top w:val="none" w:sz="0" w:space="0" w:color="auto"/>
        <w:left w:val="none" w:sz="0" w:space="0" w:color="auto"/>
        <w:bottom w:val="none" w:sz="0" w:space="0" w:color="auto"/>
        <w:right w:val="none" w:sz="0" w:space="0" w:color="auto"/>
      </w:divBdr>
    </w:div>
    <w:div w:id="1014305097">
      <w:bodyDiv w:val="1"/>
      <w:marLeft w:val="0"/>
      <w:marRight w:val="0"/>
      <w:marTop w:val="0"/>
      <w:marBottom w:val="0"/>
      <w:divBdr>
        <w:top w:val="none" w:sz="0" w:space="0" w:color="auto"/>
        <w:left w:val="none" w:sz="0" w:space="0" w:color="auto"/>
        <w:bottom w:val="none" w:sz="0" w:space="0" w:color="auto"/>
        <w:right w:val="none" w:sz="0" w:space="0" w:color="auto"/>
      </w:divBdr>
    </w:div>
    <w:div w:id="1230651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monitor.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ckinsey.co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9E39D0-7472-40DA-988C-9B18707C1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19</Pages>
  <Words>4177</Words>
  <Characters>23815</Characters>
  <Application>Microsoft Office Word</Application>
  <DocSecurity>0</DocSecurity>
  <Lines>198</Lines>
  <Paragraphs>55</Paragraphs>
  <ScaleCrop>false</ScaleCrop>
  <Company/>
  <LinksUpToDate>false</LinksUpToDate>
  <CharactersWithSpaces>27937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T12672</dc:creator>
  <cp:keywords/>
  <dc:description/>
  <cp:lastModifiedBy>T12672</cp:lastModifiedBy>
  <cp:revision>13</cp:revision>
  <dcterms:created xsi:type="dcterms:W3CDTF">2025-03-28T16:31:00Z</dcterms:created>
  <dcterms:modified xsi:type="dcterms:W3CDTF">2025-03-28T20:14:00Z</dcterms:modified>
</cp:coreProperties>
</file>