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150" w:type="dxa"/>
        <w:tblInd w:w="-566" w:type="dxa"/>
        <w:tblLook w:val="04A0" w:firstRow="1" w:lastRow="0" w:firstColumn="1" w:lastColumn="0" w:noHBand="0" w:noVBand="1"/>
      </w:tblPr>
      <w:tblGrid>
        <w:gridCol w:w="2405"/>
        <w:gridCol w:w="4361"/>
        <w:gridCol w:w="3384"/>
      </w:tblGrid>
      <w:tr w:rsidR="00D71440" w14:paraId="054914A8" w14:textId="77777777" w:rsidTr="00D71440">
        <w:trPr>
          <w:trHeight w:val="760"/>
        </w:trPr>
        <w:tc>
          <w:tcPr>
            <w:tcW w:w="2405" w:type="dxa"/>
          </w:tcPr>
          <w:p w14:paraId="0B6FEA78" w14:textId="77777777" w:rsidR="00D71440" w:rsidRPr="00811DB2" w:rsidRDefault="00D71440">
            <w:pPr>
              <w:spacing w:line="360" w:lineRule="auto"/>
              <w:rPr>
                <w:rFonts w:ascii="Arial" w:hAnsi="Arial" w:cs="Arial"/>
                <w:b/>
                <w:bCs/>
                <w:color w:val="000000" w:themeColor="text1"/>
                <w:sz w:val="22"/>
                <w:szCs w:val="22"/>
                <w:u w:val="single"/>
              </w:rPr>
            </w:pPr>
            <w:r w:rsidRPr="00811DB2">
              <w:rPr>
                <w:rFonts w:ascii="Arial" w:hAnsi="Arial" w:cs="Arial"/>
                <w:b/>
                <w:bCs/>
                <w:color w:val="000000" w:themeColor="text1"/>
                <w:sz w:val="22"/>
                <w:szCs w:val="22"/>
                <w:u w:val="single"/>
              </w:rPr>
              <w:t xml:space="preserve">Targets </w:t>
            </w:r>
          </w:p>
        </w:tc>
        <w:tc>
          <w:tcPr>
            <w:tcW w:w="4361" w:type="dxa"/>
          </w:tcPr>
          <w:p w14:paraId="5F82BE55" w14:textId="77777777" w:rsidR="00D71440" w:rsidRPr="00811DB2" w:rsidRDefault="00D71440">
            <w:pPr>
              <w:spacing w:line="360" w:lineRule="auto"/>
              <w:rPr>
                <w:rFonts w:ascii="Arial" w:hAnsi="Arial" w:cs="Arial"/>
                <w:b/>
                <w:bCs/>
                <w:color w:val="000000" w:themeColor="text1"/>
                <w:sz w:val="22"/>
                <w:szCs w:val="22"/>
                <w:u w:val="single"/>
              </w:rPr>
            </w:pPr>
            <w:r w:rsidRPr="00811DB2">
              <w:rPr>
                <w:rFonts w:ascii="Arial" w:hAnsi="Arial" w:cs="Arial"/>
                <w:b/>
                <w:bCs/>
                <w:color w:val="000000" w:themeColor="text1"/>
                <w:sz w:val="22"/>
                <w:szCs w:val="22"/>
                <w:u w:val="single"/>
              </w:rPr>
              <w:t xml:space="preserve">How you have worked on this. </w:t>
            </w:r>
          </w:p>
        </w:tc>
        <w:tc>
          <w:tcPr>
            <w:tcW w:w="3384" w:type="dxa"/>
          </w:tcPr>
          <w:p w14:paraId="35CC9A52" w14:textId="77777777" w:rsidR="00D71440" w:rsidRPr="00811DB2" w:rsidRDefault="00D71440">
            <w:pPr>
              <w:spacing w:line="360" w:lineRule="auto"/>
              <w:rPr>
                <w:rFonts w:ascii="Arial" w:hAnsi="Arial" w:cs="Arial"/>
                <w:b/>
                <w:bCs/>
                <w:color w:val="000000" w:themeColor="text1"/>
                <w:sz w:val="22"/>
                <w:szCs w:val="22"/>
                <w:u w:val="single"/>
              </w:rPr>
            </w:pPr>
            <w:r w:rsidRPr="00811DB2">
              <w:rPr>
                <w:rFonts w:ascii="Arial" w:hAnsi="Arial" w:cs="Arial"/>
                <w:b/>
                <w:bCs/>
                <w:color w:val="000000" w:themeColor="text1"/>
                <w:sz w:val="22"/>
                <w:szCs w:val="22"/>
                <w:u w:val="single"/>
              </w:rPr>
              <w:t xml:space="preserve">An example can be found. </w:t>
            </w:r>
          </w:p>
        </w:tc>
      </w:tr>
      <w:tr w:rsidR="00D71440" w14:paraId="5523D145" w14:textId="77777777" w:rsidTr="00D71440">
        <w:trPr>
          <w:trHeight w:val="1533"/>
        </w:trPr>
        <w:tc>
          <w:tcPr>
            <w:tcW w:w="2405" w:type="dxa"/>
          </w:tcPr>
          <w:p w14:paraId="1FBA04B5" w14:textId="5DD9D814" w:rsidR="00D71440" w:rsidRPr="00811DB2" w:rsidRDefault="00D71440" w:rsidP="00D71440">
            <w:pPr>
              <w:pStyle w:val="NormalWeb"/>
              <w:spacing w:before="0" w:beforeAutospacing="0" w:after="0" w:afterAutospacing="0"/>
              <w:rPr>
                <w:rFonts w:ascii="Arial" w:hAnsi="Arial" w:cs="Arial"/>
                <w:b/>
                <w:bCs/>
                <w:color w:val="000000" w:themeColor="text1"/>
                <w:u w:val="single"/>
              </w:rPr>
            </w:pPr>
            <w:r w:rsidRPr="00811DB2">
              <w:rPr>
                <w:rFonts w:ascii="Arial" w:hAnsi="Arial" w:cs="Arial"/>
                <w:color w:val="000000" w:themeColor="text1"/>
              </w:rPr>
              <w:t xml:space="preserve">- Avoid statements that are not supported by literature, support work throughout with relevant literature. </w:t>
            </w:r>
          </w:p>
        </w:tc>
        <w:tc>
          <w:tcPr>
            <w:tcW w:w="4361" w:type="dxa"/>
          </w:tcPr>
          <w:p w14:paraId="3E535D1C" w14:textId="08F27EBF"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I have consistently used tentative language and I have researched my topic carefully finding literature that supports and challenges my points. </w:t>
            </w:r>
          </w:p>
        </w:tc>
        <w:tc>
          <w:tcPr>
            <w:tcW w:w="3384" w:type="dxa"/>
          </w:tcPr>
          <w:p w14:paraId="1F27CE58" w14:textId="3326C4BF"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Throughout the essay, in particular the literature review. </w:t>
            </w:r>
          </w:p>
        </w:tc>
      </w:tr>
      <w:tr w:rsidR="00D71440" w14:paraId="582177CA" w14:textId="77777777" w:rsidTr="00D71440">
        <w:trPr>
          <w:trHeight w:val="1373"/>
        </w:trPr>
        <w:tc>
          <w:tcPr>
            <w:tcW w:w="2405" w:type="dxa"/>
          </w:tcPr>
          <w:p w14:paraId="5A2032F6" w14:textId="60F97D17" w:rsidR="00D71440" w:rsidRPr="00811DB2" w:rsidRDefault="00D71440">
            <w:pPr>
              <w:pStyle w:val="NormalWeb"/>
              <w:spacing w:before="0" w:beforeAutospacing="0" w:after="0" w:afterAutospacing="0"/>
              <w:rPr>
                <w:rFonts w:ascii="Arial" w:hAnsi="Arial" w:cs="Arial"/>
                <w:color w:val="000000" w:themeColor="text1"/>
              </w:rPr>
            </w:pPr>
            <w:r w:rsidRPr="00811DB2">
              <w:rPr>
                <w:rFonts w:ascii="Arial" w:hAnsi="Arial" w:cs="Arial"/>
                <w:color w:val="000000" w:themeColor="text1"/>
              </w:rPr>
              <w:t xml:space="preserve">- Proof read carefully to avoid simple errors. </w:t>
            </w:r>
          </w:p>
          <w:p w14:paraId="204FDA9D" w14:textId="77777777" w:rsidR="00D71440" w:rsidRPr="00811DB2" w:rsidRDefault="00D71440">
            <w:pPr>
              <w:spacing w:line="360" w:lineRule="auto"/>
              <w:rPr>
                <w:rFonts w:ascii="Arial" w:hAnsi="Arial" w:cs="Arial"/>
                <w:b/>
                <w:bCs/>
                <w:color w:val="000000" w:themeColor="text1"/>
                <w:u w:val="single"/>
              </w:rPr>
            </w:pPr>
          </w:p>
        </w:tc>
        <w:tc>
          <w:tcPr>
            <w:tcW w:w="4361" w:type="dxa"/>
          </w:tcPr>
          <w:p w14:paraId="32828B4F" w14:textId="1E90A673"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I have given myself enough time to carefully read over my work, including reading sections out of order to spot additional errors. </w:t>
            </w:r>
          </w:p>
        </w:tc>
        <w:tc>
          <w:tcPr>
            <w:tcW w:w="3384" w:type="dxa"/>
          </w:tcPr>
          <w:p w14:paraId="55271A1C" w14:textId="649196E5"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Throughout the text. </w:t>
            </w:r>
          </w:p>
        </w:tc>
      </w:tr>
    </w:tbl>
    <w:p w14:paraId="119E3E1D" w14:textId="77777777" w:rsidR="00AB4EAE" w:rsidRDefault="00AB4EAE"/>
    <w:p w14:paraId="2AF34994" w14:textId="77777777" w:rsidR="00D71440" w:rsidRDefault="00D71440"/>
    <w:p w14:paraId="77130501" w14:textId="4859C31E" w:rsidR="00D71440" w:rsidRPr="00811DB2" w:rsidRDefault="00D71440" w:rsidP="00D71440">
      <w:pPr>
        <w:jc w:val="center"/>
        <w:rPr>
          <w:rFonts w:ascii="Arial" w:hAnsi="Arial" w:cs="Arial"/>
          <w:b/>
          <w:bCs/>
          <w:sz w:val="36"/>
          <w:szCs w:val="36"/>
          <w:u w:val="single"/>
        </w:rPr>
      </w:pPr>
      <w:r w:rsidRPr="00811DB2">
        <w:rPr>
          <w:rFonts w:ascii="Arial" w:hAnsi="Arial" w:cs="Arial"/>
          <w:b/>
          <w:bCs/>
          <w:sz w:val="36"/>
          <w:szCs w:val="36"/>
          <w:u w:val="single"/>
        </w:rPr>
        <w:t xml:space="preserve">ECAD6010: Researching the learning: What, how and why am I teaching? </w:t>
      </w:r>
    </w:p>
    <w:p w14:paraId="156CE686" w14:textId="77777777" w:rsidR="00D71440" w:rsidRPr="00811DB2" w:rsidRDefault="00D71440" w:rsidP="00D71440">
      <w:pPr>
        <w:jc w:val="center"/>
        <w:rPr>
          <w:rFonts w:ascii="Arial" w:hAnsi="Arial" w:cs="Arial"/>
          <w:b/>
          <w:bCs/>
          <w:sz w:val="36"/>
          <w:szCs w:val="36"/>
          <w:u w:val="single"/>
        </w:rPr>
      </w:pPr>
    </w:p>
    <w:p w14:paraId="261C8CA7" w14:textId="533A713D" w:rsidR="00D71440" w:rsidRPr="00811DB2" w:rsidRDefault="00D71440" w:rsidP="00D71440">
      <w:pPr>
        <w:jc w:val="center"/>
        <w:rPr>
          <w:rFonts w:ascii="Arial" w:hAnsi="Arial" w:cs="Arial"/>
          <w:b/>
          <w:bCs/>
          <w:sz w:val="36"/>
          <w:szCs w:val="36"/>
          <w:u w:val="single"/>
        </w:rPr>
      </w:pPr>
      <w:r w:rsidRPr="00811DB2">
        <w:rPr>
          <w:rFonts w:ascii="Arial" w:hAnsi="Arial" w:cs="Arial"/>
          <w:b/>
          <w:bCs/>
          <w:sz w:val="36"/>
          <w:szCs w:val="36"/>
          <w:u w:val="single"/>
        </w:rPr>
        <w:t>Research project: Case study based on an Electives Experience</w:t>
      </w:r>
      <w:r w:rsidR="00811DB2">
        <w:rPr>
          <w:rFonts w:ascii="Arial" w:hAnsi="Arial" w:cs="Arial"/>
          <w:b/>
          <w:bCs/>
          <w:sz w:val="36"/>
          <w:szCs w:val="36"/>
          <w:u w:val="single"/>
        </w:rPr>
        <w:t xml:space="preserve"> – What strategies do staff use to promote emotional wellbeing for pupils in KS2, and what are pupils’ experiences of these strategies?</w:t>
      </w:r>
      <w:r w:rsidRPr="00811DB2">
        <w:rPr>
          <w:rFonts w:ascii="Arial" w:hAnsi="Arial" w:cs="Arial"/>
          <w:b/>
          <w:bCs/>
          <w:sz w:val="36"/>
          <w:szCs w:val="36"/>
          <w:u w:val="single"/>
        </w:rPr>
        <w:t xml:space="preserve"> </w:t>
      </w:r>
    </w:p>
    <w:p w14:paraId="0354C7D9" w14:textId="77777777" w:rsidR="00D71440" w:rsidRPr="00811DB2" w:rsidRDefault="00D71440" w:rsidP="00D71440">
      <w:pPr>
        <w:jc w:val="center"/>
        <w:rPr>
          <w:rFonts w:ascii="Arial" w:hAnsi="Arial" w:cs="Arial"/>
          <w:b/>
          <w:bCs/>
          <w:sz w:val="36"/>
          <w:szCs w:val="36"/>
          <w:u w:val="single"/>
        </w:rPr>
      </w:pPr>
    </w:p>
    <w:p w14:paraId="5FE3AD44" w14:textId="495869BF" w:rsidR="00D71440" w:rsidRPr="00811DB2" w:rsidRDefault="00D71440" w:rsidP="00D71440">
      <w:pPr>
        <w:jc w:val="center"/>
        <w:rPr>
          <w:rFonts w:ascii="Arial" w:hAnsi="Arial" w:cs="Arial"/>
          <w:sz w:val="36"/>
          <w:szCs w:val="36"/>
        </w:rPr>
      </w:pPr>
      <w:r w:rsidRPr="00811DB2">
        <w:rPr>
          <w:rFonts w:ascii="Arial" w:hAnsi="Arial" w:cs="Arial"/>
          <w:sz w:val="36"/>
          <w:szCs w:val="36"/>
        </w:rPr>
        <w:t xml:space="preserve">An exploratory case study arising from practice (noticing) and investigated further through identified research tools. The assignment concludes with the identification of an intervention which can be piloted </w:t>
      </w:r>
      <w:r w:rsidR="00811DB2" w:rsidRPr="00811DB2">
        <w:rPr>
          <w:rFonts w:ascii="Arial" w:hAnsi="Arial" w:cs="Arial"/>
          <w:sz w:val="36"/>
          <w:szCs w:val="36"/>
        </w:rPr>
        <w:t xml:space="preserve">throughout professional teaching experience and evidenced through reflection in the professional learning standards. </w:t>
      </w:r>
    </w:p>
    <w:p w14:paraId="68D44481" w14:textId="77777777" w:rsidR="00811DB2" w:rsidRDefault="00811DB2" w:rsidP="00D71440">
      <w:pPr>
        <w:jc w:val="center"/>
        <w:rPr>
          <w:rFonts w:ascii="Arial" w:hAnsi="Arial" w:cs="Arial"/>
          <w:b/>
          <w:bCs/>
          <w:sz w:val="36"/>
          <w:szCs w:val="36"/>
          <w:u w:val="single"/>
        </w:rPr>
      </w:pPr>
    </w:p>
    <w:p w14:paraId="7E9818E7" w14:textId="77777777" w:rsidR="00811DB2" w:rsidRPr="00811DB2" w:rsidRDefault="00811DB2" w:rsidP="00D71440">
      <w:pPr>
        <w:jc w:val="center"/>
        <w:rPr>
          <w:rFonts w:ascii="Arial" w:hAnsi="Arial" w:cs="Arial"/>
          <w:b/>
          <w:bCs/>
          <w:sz w:val="36"/>
          <w:szCs w:val="36"/>
          <w:u w:val="single"/>
        </w:rPr>
      </w:pPr>
    </w:p>
    <w:p w14:paraId="30A3C502" w14:textId="77777777" w:rsidR="00811DB2" w:rsidRPr="00811DB2" w:rsidRDefault="00811DB2" w:rsidP="00D71440">
      <w:pPr>
        <w:jc w:val="center"/>
        <w:rPr>
          <w:rFonts w:ascii="Arial" w:hAnsi="Arial" w:cs="Arial"/>
          <w:b/>
          <w:bCs/>
          <w:sz w:val="36"/>
          <w:szCs w:val="36"/>
        </w:rPr>
      </w:pPr>
    </w:p>
    <w:p w14:paraId="732A2EA9" w14:textId="70DB8D2F" w:rsidR="00811DB2" w:rsidRPr="00811DB2" w:rsidRDefault="00EE4F4D" w:rsidP="00D71440">
      <w:pPr>
        <w:jc w:val="center"/>
        <w:rPr>
          <w:rFonts w:ascii="Arial" w:hAnsi="Arial" w:cs="Arial"/>
          <w:b/>
          <w:bCs/>
          <w:sz w:val="36"/>
          <w:szCs w:val="36"/>
        </w:rPr>
      </w:pPr>
      <w:r>
        <w:rPr>
          <w:rFonts w:ascii="Arial" w:hAnsi="Arial" w:cs="Arial"/>
          <w:b/>
          <w:bCs/>
          <w:sz w:val="36"/>
          <w:szCs w:val="36"/>
        </w:rPr>
        <w:t>W</w:t>
      </w:r>
      <w:r w:rsidR="00811DB2" w:rsidRPr="00811DB2">
        <w:rPr>
          <w:rFonts w:ascii="Arial" w:hAnsi="Arial" w:cs="Arial"/>
          <w:b/>
          <w:bCs/>
          <w:sz w:val="36"/>
          <w:szCs w:val="36"/>
        </w:rPr>
        <w:t>ord count:</w:t>
      </w:r>
      <w:r w:rsidR="00B71E6E">
        <w:rPr>
          <w:rFonts w:ascii="Arial" w:hAnsi="Arial" w:cs="Arial"/>
          <w:b/>
          <w:bCs/>
          <w:sz w:val="36"/>
          <w:szCs w:val="36"/>
        </w:rPr>
        <w:t xml:space="preserve"> 4568</w:t>
      </w:r>
    </w:p>
    <w:p w14:paraId="01B20053" w14:textId="77777777" w:rsidR="00811DB2" w:rsidRDefault="00811DB2" w:rsidP="00D71440">
      <w:pPr>
        <w:jc w:val="center"/>
        <w:rPr>
          <w:rFonts w:ascii="Arial" w:hAnsi="Arial" w:cs="Arial"/>
          <w:b/>
          <w:bCs/>
          <w:sz w:val="36"/>
          <w:szCs w:val="36"/>
        </w:rPr>
      </w:pPr>
    </w:p>
    <w:p w14:paraId="083BC289" w14:textId="77777777" w:rsidR="00EE4F4D" w:rsidRDefault="00EE4F4D" w:rsidP="00D71440">
      <w:pPr>
        <w:jc w:val="center"/>
        <w:rPr>
          <w:rFonts w:ascii="Arial" w:hAnsi="Arial" w:cs="Arial"/>
          <w:b/>
          <w:bCs/>
          <w:sz w:val="36"/>
          <w:szCs w:val="36"/>
        </w:rPr>
      </w:pPr>
    </w:p>
    <w:p w14:paraId="3532A3DD" w14:textId="77777777" w:rsidR="00AB0906" w:rsidRDefault="00AB0906" w:rsidP="0028294C">
      <w:pPr>
        <w:rPr>
          <w:rFonts w:ascii="Arial" w:hAnsi="Arial" w:cs="Arial"/>
          <w:b/>
          <w:bCs/>
          <w:sz w:val="36"/>
          <w:szCs w:val="36"/>
        </w:rPr>
      </w:pPr>
    </w:p>
    <w:p w14:paraId="0FA70436" w14:textId="77777777" w:rsidR="00A1247B" w:rsidRDefault="00A1247B" w:rsidP="0028294C">
      <w:pPr>
        <w:rPr>
          <w:color w:val="000000"/>
        </w:rPr>
      </w:pPr>
    </w:p>
    <w:p w14:paraId="0EF8EF78" w14:textId="6873980D" w:rsidR="00AB0906" w:rsidRDefault="008A61A4" w:rsidP="0028294C">
      <w:pPr>
        <w:rPr>
          <w:color w:val="000000"/>
        </w:rPr>
      </w:pPr>
      <w:r>
        <w:rPr>
          <w:rFonts w:ascii="Arial" w:hAnsi="Arial" w:cs="Arial"/>
          <w:sz w:val="22"/>
          <w:szCs w:val="22"/>
        </w:rPr>
        <w:t xml:space="preserve">According to </w:t>
      </w:r>
      <w:r>
        <w:rPr>
          <w:color w:val="000000"/>
        </w:rPr>
        <w:t xml:space="preserve">BERA (2018) research conducted in the context of education should aim to gather knowledge and understanding of education from all perspectives. </w:t>
      </w:r>
      <w:r w:rsidR="00795A7D">
        <w:rPr>
          <w:color w:val="000000"/>
        </w:rPr>
        <w:t>Similarly</w:t>
      </w:r>
      <w:r>
        <w:rPr>
          <w:color w:val="000000"/>
        </w:rPr>
        <w:t xml:space="preserve">, in the classroom context Estyn (2018) suggests that when teachers are enabled to become </w:t>
      </w:r>
      <w:r w:rsidR="00795A7D">
        <w:rPr>
          <w:color w:val="000000"/>
        </w:rPr>
        <w:t>researchers,</w:t>
      </w:r>
      <w:r>
        <w:rPr>
          <w:color w:val="000000"/>
        </w:rPr>
        <w:t xml:space="preserve"> they become more confident, enthusiastic towards new ideas and flexible in their teaching whilst retaining high expectations. Welsh Government (2017) build upon this philosophy stating that teachers are </w:t>
      </w:r>
      <w:r w:rsidR="00795A7D">
        <w:rPr>
          <w:color w:val="000000"/>
        </w:rPr>
        <w:t>already</w:t>
      </w:r>
      <w:r>
        <w:rPr>
          <w:color w:val="000000"/>
        </w:rPr>
        <w:t xml:space="preserve"> required to be the expert in teaching </w:t>
      </w:r>
      <w:r w:rsidR="00795A7D">
        <w:rPr>
          <w:color w:val="000000"/>
        </w:rPr>
        <w:t>subjects,</w:t>
      </w:r>
      <w:r>
        <w:rPr>
          <w:color w:val="000000"/>
        </w:rPr>
        <w:t xml:space="preserve"> but teachers must also strive to support students in learning how to learn. However, Mills and Earl Rinehart (2019) question how neutrally and unbiased teachers </w:t>
      </w:r>
      <w:r w:rsidR="00795A7D">
        <w:rPr>
          <w:color w:val="000000"/>
        </w:rPr>
        <w:t>can conduct</w:t>
      </w:r>
      <w:r>
        <w:rPr>
          <w:color w:val="000000"/>
        </w:rPr>
        <w:t xml:space="preserve"> research as it requires the individual to challenge their own views, assumptions and judgements.  Subsequently, the </w:t>
      </w:r>
      <w:r w:rsidR="00795A7D">
        <w:rPr>
          <w:color w:val="000000"/>
        </w:rPr>
        <w:t>purpose</w:t>
      </w:r>
      <w:r>
        <w:rPr>
          <w:color w:val="000000"/>
        </w:rPr>
        <w:t xml:space="preserve"> of this research study was to use </w:t>
      </w:r>
      <w:r w:rsidR="00320080">
        <w:rPr>
          <w:color w:val="000000"/>
        </w:rPr>
        <w:t xml:space="preserve">a combination of research tools to obtain data concerning the emotional wellbeing support strategies pupils receive </w:t>
      </w:r>
      <w:r>
        <w:rPr>
          <w:color w:val="000000"/>
        </w:rPr>
        <w:t xml:space="preserve">in school. </w:t>
      </w:r>
    </w:p>
    <w:p w14:paraId="1D8411B7" w14:textId="7460FA1E" w:rsidR="00320080" w:rsidRDefault="008A61A4" w:rsidP="0028294C">
      <w:pPr>
        <w:rPr>
          <w:color w:val="000000"/>
        </w:rPr>
      </w:pPr>
      <w:r>
        <w:rPr>
          <w:color w:val="000000"/>
        </w:rPr>
        <w:t>T</w:t>
      </w:r>
      <w:r w:rsidR="00320080">
        <w:rPr>
          <w:color w:val="000000"/>
        </w:rPr>
        <w:t>he research question</w:t>
      </w:r>
      <w:r w:rsidR="00483894">
        <w:rPr>
          <w:color w:val="000000"/>
        </w:rPr>
        <w:t xml:space="preserve"> for this study</w:t>
      </w:r>
      <w:r w:rsidR="00320080">
        <w:rPr>
          <w:color w:val="000000"/>
        </w:rPr>
        <w:t xml:space="preserve"> was </w:t>
      </w:r>
      <w:r w:rsidR="00334630">
        <w:rPr>
          <w:color w:val="000000"/>
        </w:rPr>
        <w:t>‘</w:t>
      </w:r>
      <w:r w:rsidR="00795A7D">
        <w:rPr>
          <w:color w:val="000000"/>
        </w:rPr>
        <w:t>What</w:t>
      </w:r>
      <w:r w:rsidR="00334630">
        <w:rPr>
          <w:color w:val="000000"/>
        </w:rPr>
        <w:t xml:space="preserve"> strategies do staff use to </w:t>
      </w:r>
      <w:r w:rsidR="00795A7D">
        <w:rPr>
          <w:color w:val="000000"/>
        </w:rPr>
        <w:t>promote</w:t>
      </w:r>
      <w:r w:rsidR="00334630">
        <w:rPr>
          <w:color w:val="000000"/>
        </w:rPr>
        <w:t xml:space="preserve"> emotional wellbeing for pupils in KS2 and what are the </w:t>
      </w:r>
      <w:proofErr w:type="gramStart"/>
      <w:r w:rsidR="00334630">
        <w:rPr>
          <w:color w:val="000000"/>
        </w:rPr>
        <w:t>pupil</w:t>
      </w:r>
      <w:r w:rsidR="00085E6B">
        <w:rPr>
          <w:color w:val="000000"/>
        </w:rPr>
        <w:t>s</w:t>
      </w:r>
      <w:proofErr w:type="gramEnd"/>
      <w:r w:rsidR="00334630">
        <w:rPr>
          <w:color w:val="000000"/>
        </w:rPr>
        <w:t xml:space="preserve"> </w:t>
      </w:r>
      <w:r w:rsidR="00795A7D">
        <w:rPr>
          <w:color w:val="000000"/>
        </w:rPr>
        <w:t>experiences</w:t>
      </w:r>
      <w:r w:rsidR="00334630">
        <w:rPr>
          <w:color w:val="000000"/>
        </w:rPr>
        <w:t xml:space="preserve"> of these strategies?’. </w:t>
      </w:r>
    </w:p>
    <w:p w14:paraId="4D8CA20B" w14:textId="47684F3A" w:rsidR="00334630" w:rsidRDefault="00334630" w:rsidP="0028294C">
      <w:pPr>
        <w:rPr>
          <w:color w:val="000000"/>
        </w:rPr>
      </w:pPr>
      <w:r>
        <w:rPr>
          <w:color w:val="000000"/>
        </w:rPr>
        <w:t xml:space="preserve">According to Welsh Government (2020) the curriculum within schools should be striving towards the four purposes, one of these four purposes is that students will be supported to become healthy, confident </w:t>
      </w:r>
      <w:r w:rsidR="00795A7D">
        <w:rPr>
          <w:color w:val="000000"/>
        </w:rPr>
        <w:t>individuals</w:t>
      </w:r>
      <w:r>
        <w:rPr>
          <w:color w:val="000000"/>
        </w:rPr>
        <w:t xml:space="preserve"> which includes developing </w:t>
      </w:r>
      <w:r w:rsidR="00795A7D">
        <w:rPr>
          <w:color w:val="000000"/>
        </w:rPr>
        <w:t>students’</w:t>
      </w:r>
      <w:r>
        <w:rPr>
          <w:color w:val="000000"/>
        </w:rPr>
        <w:t xml:space="preserve"> confidence, resilience and empathy there for improving </w:t>
      </w:r>
      <w:r w:rsidR="00795A7D">
        <w:rPr>
          <w:color w:val="000000"/>
        </w:rPr>
        <w:t>their</w:t>
      </w:r>
      <w:r>
        <w:rPr>
          <w:color w:val="000000"/>
        </w:rPr>
        <w:t xml:space="preserve"> mental and emotional wellbeing. Welsh Government (2019) has underpinned the importance of developing pupils in this way by making </w:t>
      </w:r>
      <w:r w:rsidR="00795A7D">
        <w:rPr>
          <w:color w:val="000000"/>
        </w:rPr>
        <w:t>the</w:t>
      </w:r>
      <w:r>
        <w:rPr>
          <w:color w:val="000000"/>
        </w:rPr>
        <w:t xml:space="preserve"> four </w:t>
      </w:r>
      <w:r w:rsidR="00795A7D">
        <w:rPr>
          <w:color w:val="000000"/>
        </w:rPr>
        <w:t>purposes</w:t>
      </w:r>
      <w:r>
        <w:rPr>
          <w:color w:val="000000"/>
        </w:rPr>
        <w:t xml:space="preserve"> for learners one of the professional standards for teaching and leadership. This could suggest that </w:t>
      </w:r>
      <w:r w:rsidR="00795A7D">
        <w:rPr>
          <w:color w:val="000000"/>
        </w:rPr>
        <w:t>there</w:t>
      </w:r>
      <w:r>
        <w:rPr>
          <w:color w:val="000000"/>
        </w:rPr>
        <w:t xml:space="preserve"> has been signi</w:t>
      </w:r>
      <w:r w:rsidR="00795A7D">
        <w:rPr>
          <w:color w:val="000000"/>
        </w:rPr>
        <w:t>fi</w:t>
      </w:r>
      <w:r>
        <w:rPr>
          <w:color w:val="000000"/>
        </w:rPr>
        <w:t xml:space="preserve">cant importance placed on underpinning pupils to become healthy, </w:t>
      </w:r>
      <w:r w:rsidR="00795A7D">
        <w:rPr>
          <w:color w:val="000000"/>
        </w:rPr>
        <w:t>confident</w:t>
      </w:r>
      <w:r>
        <w:rPr>
          <w:color w:val="000000"/>
        </w:rPr>
        <w:t xml:space="preserve"> indi</w:t>
      </w:r>
      <w:r w:rsidR="00795A7D">
        <w:rPr>
          <w:color w:val="000000"/>
        </w:rPr>
        <w:t>vi</w:t>
      </w:r>
      <w:r>
        <w:rPr>
          <w:color w:val="000000"/>
        </w:rPr>
        <w:t>duals who have their mental and emotional needs</w:t>
      </w:r>
      <w:r w:rsidR="008A61A4">
        <w:rPr>
          <w:color w:val="000000"/>
        </w:rPr>
        <w:t xml:space="preserve"> promoted</w:t>
      </w:r>
      <w:r>
        <w:rPr>
          <w:color w:val="000000"/>
        </w:rPr>
        <w:t xml:space="preserve">. </w:t>
      </w:r>
    </w:p>
    <w:p w14:paraId="78E6113F" w14:textId="788D4C09" w:rsidR="00334630" w:rsidRDefault="00334630" w:rsidP="0028294C">
      <w:pPr>
        <w:rPr>
          <w:color w:val="000000"/>
        </w:rPr>
      </w:pPr>
      <w:r>
        <w:rPr>
          <w:color w:val="000000"/>
        </w:rPr>
        <w:t xml:space="preserve">This study was </w:t>
      </w:r>
      <w:r w:rsidR="00795A7D">
        <w:rPr>
          <w:color w:val="000000"/>
        </w:rPr>
        <w:t>conducted</w:t>
      </w:r>
      <w:r>
        <w:rPr>
          <w:color w:val="000000"/>
        </w:rPr>
        <w:t xml:space="preserve"> in </w:t>
      </w:r>
      <w:r w:rsidR="00483894">
        <w:rPr>
          <w:color w:val="000000"/>
        </w:rPr>
        <w:t>a community school within Pembrokeshire, Wales. The area surrounding this school is documented as having approximately 70% of children living in low income families</w:t>
      </w:r>
      <w:r w:rsidR="00483894" w:rsidRPr="00483894">
        <w:rPr>
          <w:color w:val="000000"/>
        </w:rPr>
        <w:t xml:space="preserve">. </w:t>
      </w:r>
      <w:r w:rsidR="00483894" w:rsidRPr="00483894">
        <w:rPr>
          <w:color w:val="000000"/>
          <w:highlight w:val="black"/>
        </w:rPr>
        <w:t>(Pembroke Dock</w:t>
      </w:r>
      <w:r w:rsidR="00483894">
        <w:rPr>
          <w:color w:val="000000"/>
        </w:rPr>
        <w:t xml:space="preserve"> Community </w:t>
      </w:r>
      <w:r w:rsidR="00795A7D">
        <w:rPr>
          <w:color w:val="000000"/>
        </w:rPr>
        <w:t>School,</w:t>
      </w:r>
      <w:r w:rsidR="00483894">
        <w:rPr>
          <w:color w:val="000000"/>
        </w:rPr>
        <w:t xml:space="preserve"> 2023). This is relevant to this study as there is a wide body of research suggesting a link between poverty and children not having their </w:t>
      </w:r>
      <w:r w:rsidR="00795A7D">
        <w:rPr>
          <w:color w:val="000000"/>
        </w:rPr>
        <w:t>basic</w:t>
      </w:r>
      <w:r w:rsidR="00483894">
        <w:rPr>
          <w:color w:val="000000"/>
        </w:rPr>
        <w:t xml:space="preserve"> needs met</w:t>
      </w:r>
      <w:r w:rsidR="00085E6B">
        <w:rPr>
          <w:color w:val="000000"/>
        </w:rPr>
        <w:t xml:space="preserve">, </w:t>
      </w:r>
      <w:r w:rsidR="00483894">
        <w:rPr>
          <w:color w:val="000000"/>
        </w:rPr>
        <w:t xml:space="preserve">which could lead to lower </w:t>
      </w:r>
      <w:r w:rsidR="008A61A4">
        <w:rPr>
          <w:color w:val="000000"/>
        </w:rPr>
        <w:t xml:space="preserve">holistic </w:t>
      </w:r>
      <w:r w:rsidR="00795A7D">
        <w:rPr>
          <w:color w:val="000000"/>
        </w:rPr>
        <w:t>outcomes</w:t>
      </w:r>
      <w:r w:rsidR="008A61A4">
        <w:rPr>
          <w:color w:val="000000"/>
        </w:rPr>
        <w:t xml:space="preserve"> including emotional wellbeing </w:t>
      </w:r>
      <w:r w:rsidR="00483894">
        <w:rPr>
          <w:color w:val="000000"/>
        </w:rPr>
        <w:t xml:space="preserve">outcomes for children in poverty, this will subsequently be discussed further on in this essay. </w:t>
      </w:r>
    </w:p>
    <w:p w14:paraId="1E8DC799" w14:textId="77777777" w:rsidR="00483894" w:rsidRDefault="00483894" w:rsidP="0028294C">
      <w:pPr>
        <w:rPr>
          <w:color w:val="000000"/>
        </w:rPr>
      </w:pPr>
    </w:p>
    <w:p w14:paraId="20DC05D9" w14:textId="77777777" w:rsidR="00A1247B" w:rsidRDefault="00A1247B" w:rsidP="0028294C">
      <w:pPr>
        <w:rPr>
          <w:color w:val="000000"/>
        </w:rPr>
      </w:pPr>
    </w:p>
    <w:p w14:paraId="338720BD" w14:textId="4C2CB81A" w:rsidR="00483894" w:rsidRDefault="00483894" w:rsidP="0028294C">
      <w:pPr>
        <w:rPr>
          <w:color w:val="000000"/>
        </w:rPr>
      </w:pPr>
      <w:r>
        <w:rPr>
          <w:color w:val="000000"/>
        </w:rPr>
        <w:t xml:space="preserve">The </w:t>
      </w:r>
      <w:r w:rsidR="006F1E74">
        <w:rPr>
          <w:color w:val="000000"/>
        </w:rPr>
        <w:t xml:space="preserve">broad </w:t>
      </w:r>
      <w:r>
        <w:rPr>
          <w:color w:val="000000"/>
        </w:rPr>
        <w:t xml:space="preserve">research topic for this case study was emotional wellbeing. </w:t>
      </w:r>
      <w:r w:rsidR="006F1E74">
        <w:rPr>
          <w:color w:val="000000"/>
        </w:rPr>
        <w:t>According to McLeod (2023b) Abraham Maslow devised a hierarchy of needs pyramid</w:t>
      </w:r>
      <w:r w:rsidR="00085E6B">
        <w:rPr>
          <w:color w:val="000000"/>
        </w:rPr>
        <w:t xml:space="preserve"> theory</w:t>
      </w:r>
      <w:r w:rsidR="006F1E74">
        <w:rPr>
          <w:color w:val="000000"/>
        </w:rPr>
        <w:t xml:space="preserve">. At the base of this pyramid </w:t>
      </w:r>
      <w:r w:rsidR="00085E6B">
        <w:rPr>
          <w:color w:val="000000"/>
        </w:rPr>
        <w:t>is</w:t>
      </w:r>
      <w:r w:rsidR="006F1E74">
        <w:rPr>
          <w:color w:val="000000"/>
        </w:rPr>
        <w:t xml:space="preserve"> an </w:t>
      </w:r>
      <w:r w:rsidR="00795A7D">
        <w:rPr>
          <w:color w:val="000000"/>
        </w:rPr>
        <w:t>individual’s</w:t>
      </w:r>
      <w:r w:rsidR="006F1E74">
        <w:rPr>
          <w:color w:val="000000"/>
        </w:rPr>
        <w:t xml:space="preserve"> basic needs, the 1</w:t>
      </w:r>
      <w:r w:rsidR="006F1E74" w:rsidRPr="006F1E74">
        <w:rPr>
          <w:color w:val="000000"/>
          <w:vertAlign w:val="superscript"/>
        </w:rPr>
        <w:t>st</w:t>
      </w:r>
      <w:r w:rsidR="006F1E74">
        <w:rPr>
          <w:color w:val="000000"/>
        </w:rPr>
        <w:t xml:space="preserve"> &amp; 2</w:t>
      </w:r>
      <w:r w:rsidR="006F1E74" w:rsidRPr="006F1E74">
        <w:rPr>
          <w:color w:val="000000"/>
          <w:vertAlign w:val="superscript"/>
        </w:rPr>
        <w:t>nd</w:t>
      </w:r>
      <w:r w:rsidR="006F1E74">
        <w:rPr>
          <w:color w:val="000000"/>
        </w:rPr>
        <w:t xml:space="preserve"> layer reference the physiological, safety &amp; security needs. This theory proposes that these basic needs must be met before children can achieve belonging, </w:t>
      </w:r>
      <w:r w:rsidR="00795A7D">
        <w:rPr>
          <w:color w:val="000000"/>
        </w:rPr>
        <w:t>self-esteem</w:t>
      </w:r>
      <w:r w:rsidR="006F1E74">
        <w:rPr>
          <w:color w:val="000000"/>
        </w:rPr>
        <w:t xml:space="preserve">, </w:t>
      </w:r>
      <w:r w:rsidR="00795A7D">
        <w:rPr>
          <w:color w:val="000000"/>
        </w:rPr>
        <w:t>self-actualisation</w:t>
      </w:r>
      <w:r w:rsidR="006F1E74">
        <w:rPr>
          <w:color w:val="000000"/>
        </w:rPr>
        <w:t xml:space="preserve"> and progression. </w:t>
      </w:r>
    </w:p>
    <w:p w14:paraId="57AE03DA" w14:textId="46D3DCF6" w:rsidR="00DD6DAF" w:rsidRDefault="00795A7D" w:rsidP="0028294C">
      <w:pPr>
        <w:rPr>
          <w:color w:val="000000"/>
        </w:rPr>
      </w:pPr>
      <w:r>
        <w:rPr>
          <w:color w:val="000000"/>
        </w:rPr>
        <w:t>Thomas,</w:t>
      </w:r>
      <w:r w:rsidR="00DD6DAF">
        <w:rPr>
          <w:color w:val="000000"/>
        </w:rPr>
        <w:t xml:space="preserve"> Thomas and Senedd Research, Welsh Parliament (2023) in their study of child poverty found that by children living in poverty there is an increased risk that it affects their life chances, education attainment, health and future work prospects. </w:t>
      </w:r>
    </w:p>
    <w:p w14:paraId="15D67316" w14:textId="12EE5A4D" w:rsidR="00DD6DAF" w:rsidRDefault="00DD6DAF" w:rsidP="0028294C">
      <w:pPr>
        <w:rPr>
          <w:color w:val="000000"/>
        </w:rPr>
      </w:pPr>
      <w:r>
        <w:rPr>
          <w:color w:val="000000"/>
        </w:rPr>
        <w:t xml:space="preserve">Combining these findings could suggest that in the context of schools </w:t>
      </w:r>
      <w:r w:rsidR="00795A7D">
        <w:rPr>
          <w:color w:val="000000"/>
        </w:rPr>
        <w:t>and</w:t>
      </w:r>
      <w:r>
        <w:rPr>
          <w:color w:val="000000"/>
        </w:rPr>
        <w:t xml:space="preserve"> communities in poverty, there could be an increased risk to </w:t>
      </w:r>
      <w:proofErr w:type="gramStart"/>
      <w:r>
        <w:rPr>
          <w:color w:val="000000"/>
        </w:rPr>
        <w:t>pupils</w:t>
      </w:r>
      <w:proofErr w:type="gramEnd"/>
      <w:r>
        <w:rPr>
          <w:color w:val="000000"/>
        </w:rPr>
        <w:t xml:space="preserve"> holistic </w:t>
      </w:r>
      <w:r w:rsidR="00085E6B">
        <w:rPr>
          <w:color w:val="000000"/>
        </w:rPr>
        <w:t xml:space="preserve">needs </w:t>
      </w:r>
      <w:r>
        <w:rPr>
          <w:color w:val="000000"/>
        </w:rPr>
        <w:t xml:space="preserve">not being met. If this is the case then the above research by </w:t>
      </w:r>
      <w:r w:rsidR="00795A7D">
        <w:rPr>
          <w:color w:val="000000"/>
        </w:rPr>
        <w:t>Thomas,</w:t>
      </w:r>
      <w:r>
        <w:rPr>
          <w:color w:val="000000"/>
        </w:rPr>
        <w:t xml:space="preserve"> Thomas and Senedd Research, Welsh Parliament (2023) builds upon </w:t>
      </w:r>
      <w:r w:rsidR="00795A7D">
        <w:rPr>
          <w:color w:val="000000"/>
        </w:rPr>
        <w:t>the</w:t>
      </w:r>
      <w:r>
        <w:rPr>
          <w:color w:val="000000"/>
        </w:rPr>
        <w:t xml:space="preserve"> </w:t>
      </w:r>
      <w:r w:rsidR="00795A7D">
        <w:rPr>
          <w:color w:val="000000"/>
        </w:rPr>
        <w:t>wor</w:t>
      </w:r>
      <w:r>
        <w:rPr>
          <w:color w:val="000000"/>
        </w:rPr>
        <w:t xml:space="preserve">k by McLeod (2023b) and could indicate a barrier to pupils reaching their full potential. Abraham Maslow gathered a vast body of research </w:t>
      </w:r>
      <w:r w:rsidR="00795A7D">
        <w:rPr>
          <w:color w:val="000000"/>
        </w:rPr>
        <w:t>when</w:t>
      </w:r>
      <w:r>
        <w:rPr>
          <w:color w:val="000000"/>
        </w:rPr>
        <w:t xml:space="preserve"> </w:t>
      </w:r>
      <w:r>
        <w:rPr>
          <w:color w:val="000000"/>
        </w:rPr>
        <w:lastRenderedPageBreak/>
        <w:t xml:space="preserve">creating the </w:t>
      </w:r>
      <w:r w:rsidR="00795A7D">
        <w:rPr>
          <w:color w:val="000000"/>
        </w:rPr>
        <w:t>hierarchy</w:t>
      </w:r>
      <w:r>
        <w:rPr>
          <w:color w:val="000000"/>
        </w:rPr>
        <w:t xml:space="preserve"> of needs pyramid </w:t>
      </w:r>
      <w:r w:rsidR="00795A7D">
        <w:rPr>
          <w:color w:val="000000"/>
        </w:rPr>
        <w:t>which</w:t>
      </w:r>
      <w:r>
        <w:rPr>
          <w:color w:val="000000"/>
        </w:rPr>
        <w:t xml:space="preserve"> has since been adapted to reflect the current needs of individuals, this could indicate that this </w:t>
      </w:r>
      <w:r w:rsidR="00795A7D">
        <w:rPr>
          <w:color w:val="000000"/>
        </w:rPr>
        <w:t>theorist</w:t>
      </w:r>
      <w:r>
        <w:rPr>
          <w:color w:val="000000"/>
        </w:rPr>
        <w:t xml:space="preserve"> has played a crucial role </w:t>
      </w:r>
      <w:r w:rsidR="00795A7D">
        <w:rPr>
          <w:color w:val="000000"/>
        </w:rPr>
        <w:t>in this</w:t>
      </w:r>
      <w:r>
        <w:rPr>
          <w:color w:val="000000"/>
        </w:rPr>
        <w:t xml:space="preserve"> field of study</w:t>
      </w:r>
      <w:r w:rsidR="00EB1894">
        <w:rPr>
          <w:color w:val="000000"/>
        </w:rPr>
        <w:t xml:space="preserve">. It could also be suggested that the research </w:t>
      </w:r>
      <w:r w:rsidR="00795A7D">
        <w:rPr>
          <w:color w:val="000000"/>
        </w:rPr>
        <w:t>conducted</w:t>
      </w:r>
      <w:r w:rsidR="00EB1894">
        <w:rPr>
          <w:color w:val="000000"/>
        </w:rPr>
        <w:t xml:space="preserve"> by </w:t>
      </w:r>
      <w:r w:rsidR="00795A7D">
        <w:rPr>
          <w:color w:val="000000"/>
        </w:rPr>
        <w:t>Thomas,</w:t>
      </w:r>
      <w:r w:rsidR="00EB1894">
        <w:rPr>
          <w:color w:val="000000"/>
        </w:rPr>
        <w:t xml:space="preserve"> Thomas and Senedd Research, Welsh Parliament (2023) is relevant and current as the Senedd research works in collaboration with the </w:t>
      </w:r>
      <w:r w:rsidR="00795A7D">
        <w:rPr>
          <w:color w:val="000000"/>
        </w:rPr>
        <w:t>Welsh</w:t>
      </w:r>
      <w:r w:rsidR="00EB1894">
        <w:rPr>
          <w:color w:val="000000"/>
        </w:rPr>
        <w:t xml:space="preserve"> </w:t>
      </w:r>
      <w:r w:rsidR="00795A7D">
        <w:rPr>
          <w:color w:val="000000"/>
        </w:rPr>
        <w:t>Government</w:t>
      </w:r>
      <w:r w:rsidR="00EB1894">
        <w:rPr>
          <w:color w:val="000000"/>
        </w:rPr>
        <w:t xml:space="preserve"> who are striving for </w:t>
      </w:r>
      <w:r w:rsidR="00795A7D">
        <w:rPr>
          <w:color w:val="000000"/>
        </w:rPr>
        <w:t>improved</w:t>
      </w:r>
      <w:r w:rsidR="00EB1894">
        <w:rPr>
          <w:color w:val="000000"/>
        </w:rPr>
        <w:t xml:space="preserve"> </w:t>
      </w:r>
      <w:r w:rsidR="00795A7D">
        <w:rPr>
          <w:color w:val="000000"/>
        </w:rPr>
        <w:t>outcomes</w:t>
      </w:r>
      <w:r w:rsidR="00EB1894">
        <w:rPr>
          <w:color w:val="000000"/>
        </w:rPr>
        <w:t xml:space="preserve"> for all as underpinned throughout the Wellbeing of future generations Act, Future Generations Commissioner for Wales (2015). This Act aims to improve wellbeing outcomes for all in Wales by </w:t>
      </w:r>
      <w:r w:rsidR="00795A7D">
        <w:rPr>
          <w:color w:val="000000"/>
        </w:rPr>
        <w:t>making</w:t>
      </w:r>
      <w:r w:rsidR="00EB1894">
        <w:rPr>
          <w:color w:val="000000"/>
        </w:rPr>
        <w:t xml:space="preserve"> a commitment to improve issues such as poverty, health inequalities and climate change by working with people and their communities.</w:t>
      </w:r>
    </w:p>
    <w:p w14:paraId="2A061727" w14:textId="77777777" w:rsidR="00EB1894" w:rsidRDefault="00EB1894" w:rsidP="0028294C">
      <w:pPr>
        <w:rPr>
          <w:color w:val="000000"/>
        </w:rPr>
      </w:pPr>
    </w:p>
    <w:p w14:paraId="59624C2F" w14:textId="7585EDDE" w:rsidR="00EB1894" w:rsidRDefault="00EB1894" w:rsidP="0028294C">
      <w:pPr>
        <w:rPr>
          <w:color w:val="000000"/>
        </w:rPr>
      </w:pPr>
      <w:r>
        <w:rPr>
          <w:color w:val="000000"/>
        </w:rPr>
        <w:t xml:space="preserve">Secondly, Erik Erikson’s stages of psychosocial development theory suggests that an </w:t>
      </w:r>
      <w:r w:rsidR="00795A7D">
        <w:rPr>
          <w:color w:val="000000"/>
        </w:rPr>
        <w:t>individual’s</w:t>
      </w:r>
      <w:r>
        <w:rPr>
          <w:color w:val="000000"/>
        </w:rPr>
        <w:t xml:space="preserve"> </w:t>
      </w:r>
      <w:r w:rsidR="00795A7D">
        <w:rPr>
          <w:color w:val="000000"/>
        </w:rPr>
        <w:t>personality</w:t>
      </w:r>
      <w:r>
        <w:rPr>
          <w:color w:val="000000"/>
        </w:rPr>
        <w:t xml:space="preserve"> develops through eight set stages. This </w:t>
      </w:r>
      <w:r w:rsidR="00795A7D">
        <w:rPr>
          <w:color w:val="000000"/>
        </w:rPr>
        <w:t>theory</w:t>
      </w:r>
      <w:r>
        <w:rPr>
          <w:color w:val="000000"/>
        </w:rPr>
        <w:t xml:space="preserve"> suggests that the first stage occurs during infancy (0-1year) regards the dilemma trust vs mistrust. This stage </w:t>
      </w:r>
      <w:r w:rsidR="00795A7D">
        <w:rPr>
          <w:color w:val="000000"/>
        </w:rPr>
        <w:t>suggests</w:t>
      </w:r>
      <w:r>
        <w:rPr>
          <w:color w:val="000000"/>
        </w:rPr>
        <w:t xml:space="preserve"> that at this age a child will either </w:t>
      </w:r>
      <w:r w:rsidR="00795A7D">
        <w:rPr>
          <w:color w:val="000000"/>
        </w:rPr>
        <w:t>develop a</w:t>
      </w:r>
      <w:r>
        <w:rPr>
          <w:color w:val="000000"/>
        </w:rPr>
        <w:t xml:space="preserve"> sense of trust or mistrust based on whether their immediate care giver will meet their </w:t>
      </w:r>
      <w:r w:rsidR="00795A7D">
        <w:rPr>
          <w:color w:val="000000"/>
        </w:rPr>
        <w:t>basic</w:t>
      </w:r>
      <w:r>
        <w:rPr>
          <w:color w:val="000000"/>
        </w:rPr>
        <w:t xml:space="preserve"> needs including</w:t>
      </w:r>
      <w:r w:rsidR="006D129B">
        <w:rPr>
          <w:color w:val="000000"/>
        </w:rPr>
        <w:t>,</w:t>
      </w:r>
      <w:r>
        <w:rPr>
          <w:color w:val="000000"/>
        </w:rPr>
        <w:t xml:space="preserve"> nourishment &amp; affection. Erikson suggests that without each stage being met, a child has less ability </w:t>
      </w:r>
      <w:r w:rsidR="00451401">
        <w:rPr>
          <w:color w:val="000000"/>
        </w:rPr>
        <w:t>to meet further stages however</w:t>
      </w:r>
      <w:r w:rsidR="006D129B">
        <w:rPr>
          <w:color w:val="000000"/>
        </w:rPr>
        <w:t>,</w:t>
      </w:r>
      <w:r w:rsidR="00451401">
        <w:rPr>
          <w:color w:val="000000"/>
        </w:rPr>
        <w:t xml:space="preserve"> he suggested that missed stages can be met later </w:t>
      </w:r>
      <w:r w:rsidR="006D129B">
        <w:rPr>
          <w:color w:val="000000"/>
        </w:rPr>
        <w:t xml:space="preserve">on </w:t>
      </w:r>
      <w:r w:rsidR="00451401">
        <w:rPr>
          <w:color w:val="000000"/>
        </w:rPr>
        <w:t xml:space="preserve">in development. (Mcleod, 2023). John </w:t>
      </w:r>
      <w:r w:rsidR="00795A7D">
        <w:rPr>
          <w:color w:val="000000"/>
        </w:rPr>
        <w:t>Bowlby’s</w:t>
      </w:r>
      <w:r w:rsidR="00451401">
        <w:rPr>
          <w:color w:val="000000"/>
        </w:rPr>
        <w:t xml:space="preserve"> </w:t>
      </w:r>
      <w:r w:rsidR="00795A7D">
        <w:rPr>
          <w:color w:val="000000"/>
        </w:rPr>
        <w:t>attachment</w:t>
      </w:r>
      <w:r w:rsidR="00451401">
        <w:rPr>
          <w:color w:val="000000"/>
        </w:rPr>
        <w:t xml:space="preserve"> theory places paramount importance on a child’s initial attachment with their primary giver and the potential link this has on further relationships and subsequently wellbeing outcomes. Bowlby theorised that this bond becomes the basis for forming other secure attachments throughout life. Unlike Erikson’s theory, </w:t>
      </w:r>
      <w:r w:rsidR="00795A7D">
        <w:rPr>
          <w:color w:val="000000"/>
        </w:rPr>
        <w:t>Bowlby</w:t>
      </w:r>
      <w:r w:rsidR="00451401">
        <w:rPr>
          <w:color w:val="000000"/>
        </w:rPr>
        <w:t xml:space="preserve"> suggested that if this primary bond is not formed within the first </w:t>
      </w:r>
      <w:r w:rsidR="00795A7D">
        <w:rPr>
          <w:color w:val="000000"/>
        </w:rPr>
        <w:t>five</w:t>
      </w:r>
      <w:r w:rsidR="00451401">
        <w:rPr>
          <w:color w:val="000000"/>
        </w:rPr>
        <w:t xml:space="preserve"> years of a child’s </w:t>
      </w:r>
      <w:r w:rsidR="00795A7D">
        <w:rPr>
          <w:color w:val="000000"/>
        </w:rPr>
        <w:t>life,</w:t>
      </w:r>
      <w:r w:rsidR="00451401">
        <w:rPr>
          <w:color w:val="000000"/>
        </w:rPr>
        <w:t xml:space="preserve"> then it may not happen at all. Both theories suggest that there is an important bond to be made between the child and their primary caregiver during </w:t>
      </w:r>
      <w:r w:rsidR="00795A7D">
        <w:rPr>
          <w:color w:val="000000"/>
        </w:rPr>
        <w:t>infancy</w:t>
      </w:r>
      <w:r w:rsidR="00451401">
        <w:rPr>
          <w:color w:val="000000"/>
        </w:rPr>
        <w:t xml:space="preserve"> </w:t>
      </w:r>
      <w:r w:rsidR="004E009C">
        <w:rPr>
          <w:color w:val="000000"/>
        </w:rPr>
        <w:t xml:space="preserve">and as a result </w:t>
      </w:r>
      <w:r w:rsidR="00451401">
        <w:rPr>
          <w:color w:val="000000"/>
        </w:rPr>
        <w:t xml:space="preserve">these bonds become the basis for further development. Erikson suggests </w:t>
      </w:r>
      <w:r w:rsidR="00795A7D">
        <w:rPr>
          <w:color w:val="000000"/>
        </w:rPr>
        <w:t>that</w:t>
      </w:r>
      <w:r w:rsidR="00451401">
        <w:rPr>
          <w:color w:val="000000"/>
        </w:rPr>
        <w:t xml:space="preserve"> </w:t>
      </w:r>
      <w:r w:rsidR="00795A7D">
        <w:rPr>
          <w:color w:val="000000"/>
        </w:rPr>
        <w:t>this</w:t>
      </w:r>
      <w:r w:rsidR="00451401">
        <w:rPr>
          <w:color w:val="000000"/>
        </w:rPr>
        <w:t xml:space="preserve"> stage can be </w:t>
      </w:r>
      <w:r w:rsidR="0093073E">
        <w:rPr>
          <w:color w:val="000000"/>
        </w:rPr>
        <w:t>revisited</w:t>
      </w:r>
      <w:r w:rsidR="00451401">
        <w:rPr>
          <w:color w:val="000000"/>
        </w:rPr>
        <w:t xml:space="preserve"> and achieved at a later date </w:t>
      </w:r>
      <w:r w:rsidR="0093073E">
        <w:rPr>
          <w:color w:val="000000"/>
        </w:rPr>
        <w:t>whereas</w:t>
      </w:r>
      <w:r w:rsidR="00451401">
        <w:rPr>
          <w:color w:val="000000"/>
        </w:rPr>
        <w:t xml:space="preserve"> </w:t>
      </w:r>
      <w:r w:rsidR="0093073E">
        <w:rPr>
          <w:color w:val="000000"/>
        </w:rPr>
        <w:t>Bowlby</w:t>
      </w:r>
      <w:r w:rsidR="00451401">
        <w:rPr>
          <w:color w:val="000000"/>
        </w:rPr>
        <w:t xml:space="preserve"> suggests that this may not be the case. The above theories have been used and </w:t>
      </w:r>
      <w:r w:rsidR="0093073E">
        <w:rPr>
          <w:color w:val="000000"/>
        </w:rPr>
        <w:t>referenced</w:t>
      </w:r>
      <w:r w:rsidR="00451401">
        <w:rPr>
          <w:color w:val="000000"/>
        </w:rPr>
        <w:t xml:space="preserve"> throughout the debate </w:t>
      </w:r>
      <w:r w:rsidR="0093073E">
        <w:rPr>
          <w:color w:val="000000"/>
        </w:rPr>
        <w:t>of</w:t>
      </w:r>
      <w:r w:rsidR="00451401">
        <w:rPr>
          <w:color w:val="000000"/>
        </w:rPr>
        <w:t xml:space="preserve"> child development. This could give the impression that both </w:t>
      </w:r>
      <w:r w:rsidR="0093073E">
        <w:rPr>
          <w:color w:val="000000"/>
        </w:rPr>
        <w:t>theories</w:t>
      </w:r>
      <w:r w:rsidR="00451401">
        <w:rPr>
          <w:color w:val="000000"/>
        </w:rPr>
        <w:t xml:space="preserve"> have contributed </w:t>
      </w:r>
      <w:r w:rsidR="0093073E">
        <w:rPr>
          <w:color w:val="000000"/>
        </w:rPr>
        <w:t>work</w:t>
      </w:r>
      <w:r w:rsidR="00451401">
        <w:rPr>
          <w:color w:val="000000"/>
        </w:rPr>
        <w:t xml:space="preserve"> that has played a significant role in </w:t>
      </w:r>
      <w:r w:rsidR="0093073E">
        <w:rPr>
          <w:color w:val="000000"/>
        </w:rPr>
        <w:t>understanding</w:t>
      </w:r>
      <w:r w:rsidR="00451401">
        <w:rPr>
          <w:color w:val="000000"/>
        </w:rPr>
        <w:t xml:space="preserve"> early child development</w:t>
      </w:r>
      <w:r w:rsidR="006D129B">
        <w:rPr>
          <w:color w:val="000000"/>
        </w:rPr>
        <w:t>,</w:t>
      </w:r>
      <w:r w:rsidR="00451401">
        <w:rPr>
          <w:color w:val="000000"/>
        </w:rPr>
        <w:t xml:space="preserve"> leading to the belief that promoting pupil wellbeing is a high priority</w:t>
      </w:r>
      <w:r w:rsidR="006D129B">
        <w:rPr>
          <w:color w:val="000000"/>
        </w:rPr>
        <w:t>.</w:t>
      </w:r>
      <w:r w:rsidR="00451401">
        <w:rPr>
          <w:color w:val="000000"/>
        </w:rPr>
        <w:t xml:space="preserve"> </w:t>
      </w:r>
      <w:r w:rsidR="006D129B">
        <w:rPr>
          <w:color w:val="000000"/>
        </w:rPr>
        <w:t>W</w:t>
      </w:r>
      <w:r w:rsidR="00451401">
        <w:rPr>
          <w:color w:val="000000"/>
        </w:rPr>
        <w:t xml:space="preserve">hether this is to meet stages or </w:t>
      </w:r>
      <w:r w:rsidR="0093073E">
        <w:rPr>
          <w:color w:val="000000"/>
        </w:rPr>
        <w:t>strengthen</w:t>
      </w:r>
      <w:r w:rsidR="00451401">
        <w:rPr>
          <w:color w:val="000000"/>
        </w:rPr>
        <w:t xml:space="preserve"> bonds between the </w:t>
      </w:r>
      <w:r w:rsidR="0093073E">
        <w:rPr>
          <w:color w:val="000000"/>
        </w:rPr>
        <w:t>child</w:t>
      </w:r>
      <w:r w:rsidR="00451401">
        <w:rPr>
          <w:color w:val="000000"/>
        </w:rPr>
        <w:t xml:space="preserve"> and </w:t>
      </w:r>
      <w:r w:rsidR="0093073E">
        <w:rPr>
          <w:color w:val="000000"/>
        </w:rPr>
        <w:t>others</w:t>
      </w:r>
      <w:r w:rsidR="00451401">
        <w:rPr>
          <w:color w:val="000000"/>
        </w:rPr>
        <w:t xml:space="preserve">. The above work could imply that by doing so, </w:t>
      </w:r>
      <w:r w:rsidR="0093073E">
        <w:rPr>
          <w:color w:val="000000"/>
        </w:rPr>
        <w:t>practitioners</w:t>
      </w:r>
      <w:r w:rsidR="00451401">
        <w:rPr>
          <w:color w:val="000000"/>
        </w:rPr>
        <w:t xml:space="preserve"> can </w:t>
      </w:r>
      <w:r w:rsidR="0093073E">
        <w:rPr>
          <w:color w:val="000000"/>
        </w:rPr>
        <w:t>improve</w:t>
      </w:r>
      <w:r w:rsidR="00451401">
        <w:rPr>
          <w:color w:val="000000"/>
        </w:rPr>
        <w:t xml:space="preserve"> </w:t>
      </w:r>
      <w:r w:rsidR="0093073E">
        <w:rPr>
          <w:color w:val="000000"/>
        </w:rPr>
        <w:t>holistic</w:t>
      </w:r>
      <w:r w:rsidR="00451401">
        <w:rPr>
          <w:color w:val="000000"/>
        </w:rPr>
        <w:t xml:space="preserve"> </w:t>
      </w:r>
      <w:r w:rsidR="0093073E">
        <w:rPr>
          <w:color w:val="000000"/>
        </w:rPr>
        <w:t>outcomes</w:t>
      </w:r>
      <w:r w:rsidR="00451401">
        <w:rPr>
          <w:color w:val="000000"/>
        </w:rPr>
        <w:t xml:space="preserve"> for all learners. </w:t>
      </w:r>
      <w:r w:rsidR="004E009C">
        <w:rPr>
          <w:color w:val="000000"/>
        </w:rPr>
        <w:t xml:space="preserve">(McLeod, 2023a). </w:t>
      </w:r>
    </w:p>
    <w:p w14:paraId="72F41A84" w14:textId="77777777" w:rsidR="004E009C" w:rsidRDefault="004E009C" w:rsidP="0028294C">
      <w:pPr>
        <w:rPr>
          <w:color w:val="000000"/>
        </w:rPr>
      </w:pPr>
    </w:p>
    <w:p w14:paraId="333AFA0F" w14:textId="77777777" w:rsidR="004E009C" w:rsidRDefault="004E009C" w:rsidP="0028294C">
      <w:pPr>
        <w:rPr>
          <w:color w:val="000000"/>
        </w:rPr>
      </w:pPr>
    </w:p>
    <w:p w14:paraId="72AF5B27" w14:textId="3DF03A62" w:rsidR="004E009C" w:rsidRDefault="004E009C" w:rsidP="0028294C">
      <w:pPr>
        <w:rPr>
          <w:color w:val="000000"/>
        </w:rPr>
      </w:pPr>
      <w:r>
        <w:rPr>
          <w:color w:val="000000"/>
        </w:rPr>
        <w:t xml:space="preserve">Cowie et al. (2004) suggest that the modern school classroom is part of a wider social/cultural context. Cowie leads on to suggest that given this, practitioners are required to promote </w:t>
      </w:r>
      <w:r w:rsidR="0093073E">
        <w:rPr>
          <w:color w:val="000000"/>
        </w:rPr>
        <w:t>pupils’</w:t>
      </w:r>
      <w:r>
        <w:rPr>
          <w:color w:val="000000"/>
        </w:rPr>
        <w:t xml:space="preserve"> emotional wellbeing to develop security and </w:t>
      </w:r>
      <w:r w:rsidR="0093073E">
        <w:rPr>
          <w:color w:val="000000"/>
        </w:rPr>
        <w:t>self-confidence</w:t>
      </w:r>
      <w:r>
        <w:rPr>
          <w:color w:val="000000"/>
        </w:rPr>
        <w:t xml:space="preserve"> through </w:t>
      </w:r>
      <w:r w:rsidR="00F90B51">
        <w:rPr>
          <w:color w:val="000000"/>
        </w:rPr>
        <w:t xml:space="preserve">enabling learners </w:t>
      </w:r>
      <w:r w:rsidR="0093073E">
        <w:rPr>
          <w:color w:val="000000"/>
        </w:rPr>
        <w:t>t</w:t>
      </w:r>
      <w:r w:rsidR="00F90B51">
        <w:rPr>
          <w:color w:val="000000"/>
        </w:rPr>
        <w:t xml:space="preserve">o understand their own feelings, beliefs and values within their home, school and wider community. Barry, Clarke and Dowling (2017) </w:t>
      </w:r>
      <w:r w:rsidR="0093073E">
        <w:rPr>
          <w:color w:val="000000"/>
        </w:rPr>
        <w:t>highlight</w:t>
      </w:r>
      <w:r w:rsidR="00F90B51">
        <w:rPr>
          <w:color w:val="000000"/>
        </w:rPr>
        <w:t xml:space="preserve"> some </w:t>
      </w:r>
      <w:r w:rsidR="0093073E">
        <w:rPr>
          <w:color w:val="000000"/>
        </w:rPr>
        <w:t>potential</w:t>
      </w:r>
      <w:r w:rsidR="00F90B51">
        <w:rPr>
          <w:color w:val="000000"/>
        </w:rPr>
        <w:t xml:space="preserve"> barriers to promoting pupil emotional wellbeing. Some </w:t>
      </w:r>
      <w:r w:rsidR="0093073E">
        <w:rPr>
          <w:color w:val="000000"/>
        </w:rPr>
        <w:t>of</w:t>
      </w:r>
      <w:r w:rsidR="00F90B51">
        <w:rPr>
          <w:color w:val="000000"/>
        </w:rPr>
        <w:t xml:space="preserve"> these barriers include lack of resources/funding, the possibility that a whole class could present many different needs</w:t>
      </w:r>
      <w:r w:rsidR="006D129B">
        <w:rPr>
          <w:color w:val="000000"/>
        </w:rPr>
        <w:t>,</w:t>
      </w:r>
      <w:r w:rsidR="00F90B51">
        <w:rPr>
          <w:color w:val="000000"/>
        </w:rPr>
        <w:t xml:space="preserve"> all requiring different support which is </w:t>
      </w:r>
      <w:r w:rsidR="0093073E">
        <w:rPr>
          <w:color w:val="000000"/>
        </w:rPr>
        <w:t>not</w:t>
      </w:r>
      <w:r w:rsidR="00F90B51">
        <w:rPr>
          <w:color w:val="000000"/>
        </w:rPr>
        <w:t xml:space="preserve"> always </w:t>
      </w:r>
      <w:r w:rsidR="0093073E">
        <w:rPr>
          <w:color w:val="000000"/>
        </w:rPr>
        <w:t>achievable</w:t>
      </w:r>
      <w:r w:rsidR="00F90B51">
        <w:rPr>
          <w:color w:val="000000"/>
        </w:rPr>
        <w:t xml:space="preserve"> and the potential barrier that there may be a lack of staff guidance and support in implementing emotional </w:t>
      </w:r>
      <w:r w:rsidR="0093073E">
        <w:rPr>
          <w:color w:val="000000"/>
        </w:rPr>
        <w:t>wellbeing</w:t>
      </w:r>
      <w:r w:rsidR="00F90B51">
        <w:rPr>
          <w:color w:val="000000"/>
        </w:rPr>
        <w:t xml:space="preserve"> </w:t>
      </w:r>
      <w:r w:rsidR="0093073E">
        <w:rPr>
          <w:color w:val="000000"/>
        </w:rPr>
        <w:t>strategies</w:t>
      </w:r>
      <w:r w:rsidR="00F90B51">
        <w:rPr>
          <w:color w:val="000000"/>
        </w:rPr>
        <w:t xml:space="preserve">. It is important to note that although Barry, Clarke and Dowling (2017) highlight potential barriers, it is also stated that promoting emotional wellbeing is an important factor in child development there for enabling them to achieve in school and beyond. Both findings </w:t>
      </w:r>
      <w:r w:rsidR="00F90B51">
        <w:rPr>
          <w:color w:val="000000"/>
        </w:rPr>
        <w:lastRenderedPageBreak/>
        <w:t xml:space="preserve">could be highly relevant to this research study. </w:t>
      </w:r>
      <w:r w:rsidR="006D129B">
        <w:rPr>
          <w:color w:val="000000"/>
        </w:rPr>
        <w:t>C</w:t>
      </w:r>
      <w:r w:rsidR="00F90B51">
        <w:rPr>
          <w:color w:val="000000"/>
        </w:rPr>
        <w:t xml:space="preserve">onsiderations raised by Cowie could be seen as aligning with one of the four purposes, </w:t>
      </w:r>
      <w:r w:rsidR="0093073E">
        <w:rPr>
          <w:color w:val="000000"/>
        </w:rPr>
        <w:t>ethically</w:t>
      </w:r>
      <w:r w:rsidR="00F90B51">
        <w:rPr>
          <w:color w:val="000000"/>
        </w:rPr>
        <w:t xml:space="preserve"> informed citizens which all schools should be striving to achieve</w:t>
      </w:r>
      <w:r w:rsidR="00D320A1">
        <w:rPr>
          <w:color w:val="000000"/>
        </w:rPr>
        <w:t xml:space="preserve"> and perhaps suggesting that while conducting </w:t>
      </w:r>
      <w:r w:rsidR="0093073E">
        <w:rPr>
          <w:color w:val="000000"/>
        </w:rPr>
        <w:t>this</w:t>
      </w:r>
      <w:r w:rsidR="00D320A1">
        <w:rPr>
          <w:color w:val="000000"/>
        </w:rPr>
        <w:t xml:space="preserve"> research </w:t>
      </w:r>
      <w:r w:rsidR="0093073E">
        <w:rPr>
          <w:color w:val="000000"/>
        </w:rPr>
        <w:t>study</w:t>
      </w:r>
      <w:r w:rsidR="00D320A1">
        <w:rPr>
          <w:color w:val="000000"/>
        </w:rPr>
        <w:t xml:space="preserve"> there could be a wide scope of emotional wellbeing </w:t>
      </w:r>
      <w:r w:rsidR="0093073E">
        <w:rPr>
          <w:color w:val="000000"/>
        </w:rPr>
        <w:t>strategies</w:t>
      </w:r>
      <w:r w:rsidR="00D320A1">
        <w:rPr>
          <w:color w:val="000000"/>
        </w:rPr>
        <w:t xml:space="preserve"> to </w:t>
      </w:r>
      <w:r w:rsidR="0093073E">
        <w:rPr>
          <w:color w:val="000000"/>
        </w:rPr>
        <w:t>analyse</w:t>
      </w:r>
      <w:r w:rsidR="00D320A1">
        <w:rPr>
          <w:color w:val="000000"/>
        </w:rPr>
        <w:t>.</w:t>
      </w:r>
      <w:r w:rsidR="00F90B51">
        <w:rPr>
          <w:color w:val="000000"/>
        </w:rPr>
        <w:t xml:space="preserve"> </w:t>
      </w:r>
      <w:r w:rsidR="0093073E">
        <w:rPr>
          <w:color w:val="000000"/>
        </w:rPr>
        <w:t>Whereas</w:t>
      </w:r>
      <w:r w:rsidR="00F90B51">
        <w:rPr>
          <w:color w:val="000000"/>
        </w:rPr>
        <w:t xml:space="preserve"> Barry, Clarke and Dowling (2017) </w:t>
      </w:r>
      <w:r w:rsidR="0093073E">
        <w:rPr>
          <w:color w:val="000000"/>
        </w:rPr>
        <w:t>pose</w:t>
      </w:r>
      <w:r w:rsidR="00F90B51">
        <w:rPr>
          <w:color w:val="000000"/>
        </w:rPr>
        <w:t xml:space="preserve"> some interesting and reoccurring themes </w:t>
      </w:r>
      <w:r w:rsidR="0093073E">
        <w:rPr>
          <w:color w:val="000000"/>
        </w:rPr>
        <w:t>that</w:t>
      </w:r>
      <w:r w:rsidR="00F90B51">
        <w:rPr>
          <w:color w:val="000000"/>
        </w:rPr>
        <w:t xml:space="preserve"> arise when researching the challenges to promoting </w:t>
      </w:r>
      <w:r w:rsidR="0093073E">
        <w:rPr>
          <w:color w:val="000000"/>
        </w:rPr>
        <w:t>pupils’</w:t>
      </w:r>
      <w:r w:rsidR="00F90B51">
        <w:rPr>
          <w:color w:val="000000"/>
        </w:rPr>
        <w:t xml:space="preserve"> emotional wellbeing</w:t>
      </w:r>
      <w:r w:rsidR="006D129B">
        <w:rPr>
          <w:color w:val="000000"/>
        </w:rPr>
        <w:t xml:space="preserve"> which could become relevant in this case study</w:t>
      </w:r>
      <w:r w:rsidR="00D320A1">
        <w:rPr>
          <w:color w:val="000000"/>
        </w:rPr>
        <w:t xml:space="preserve">. The research </w:t>
      </w:r>
      <w:r w:rsidR="0093073E">
        <w:rPr>
          <w:color w:val="000000"/>
        </w:rPr>
        <w:t>discussed</w:t>
      </w:r>
      <w:r w:rsidR="00D320A1">
        <w:rPr>
          <w:color w:val="000000"/>
        </w:rPr>
        <w:t xml:space="preserve"> throughout this section ultimately led to the refined research question ‘What strategies do staff </w:t>
      </w:r>
      <w:r w:rsidR="0093073E">
        <w:rPr>
          <w:color w:val="000000"/>
        </w:rPr>
        <w:t>use</w:t>
      </w:r>
      <w:r w:rsidR="00D320A1">
        <w:rPr>
          <w:color w:val="000000"/>
        </w:rPr>
        <w:t xml:space="preserve"> to promote </w:t>
      </w:r>
      <w:r w:rsidR="0093073E">
        <w:rPr>
          <w:color w:val="000000"/>
        </w:rPr>
        <w:t>emotional</w:t>
      </w:r>
      <w:r w:rsidR="00D320A1">
        <w:rPr>
          <w:color w:val="000000"/>
        </w:rPr>
        <w:t xml:space="preserve"> wellbeing </w:t>
      </w:r>
      <w:r w:rsidR="0093073E">
        <w:rPr>
          <w:color w:val="000000"/>
        </w:rPr>
        <w:t>for</w:t>
      </w:r>
      <w:r w:rsidR="00D320A1">
        <w:rPr>
          <w:color w:val="000000"/>
        </w:rPr>
        <w:t xml:space="preserve"> pupils in KS2 and what are </w:t>
      </w:r>
      <w:r w:rsidR="002017CF">
        <w:rPr>
          <w:color w:val="000000"/>
        </w:rPr>
        <w:t>pupils’</w:t>
      </w:r>
      <w:r w:rsidR="00D320A1">
        <w:rPr>
          <w:color w:val="000000"/>
        </w:rPr>
        <w:t xml:space="preserve"> experiences of these </w:t>
      </w:r>
      <w:r w:rsidR="0093073E">
        <w:rPr>
          <w:color w:val="000000"/>
        </w:rPr>
        <w:t>strategies?’.</w:t>
      </w:r>
    </w:p>
    <w:p w14:paraId="24D66F59" w14:textId="77777777" w:rsidR="008A61A4" w:rsidRDefault="008A61A4" w:rsidP="0028294C">
      <w:pPr>
        <w:rPr>
          <w:color w:val="000000"/>
        </w:rPr>
      </w:pPr>
    </w:p>
    <w:p w14:paraId="5E868006" w14:textId="7E1D2E32" w:rsidR="008A61A4" w:rsidRDefault="00C164E1" w:rsidP="0028294C">
      <w:pPr>
        <w:rPr>
          <w:color w:val="000000"/>
        </w:rPr>
      </w:pPr>
      <w:r>
        <w:rPr>
          <w:color w:val="000000"/>
        </w:rPr>
        <w:t xml:space="preserve">One </w:t>
      </w:r>
      <w:r w:rsidR="006D129B">
        <w:rPr>
          <w:color w:val="000000"/>
        </w:rPr>
        <w:t xml:space="preserve">aim to this research </w:t>
      </w:r>
      <w:r w:rsidR="008A61A4">
        <w:rPr>
          <w:color w:val="000000"/>
        </w:rPr>
        <w:t>was to</w:t>
      </w:r>
      <w:r>
        <w:rPr>
          <w:color w:val="000000"/>
        </w:rPr>
        <w:t xml:space="preserve"> trial</w:t>
      </w:r>
      <w:r w:rsidR="008A61A4">
        <w:rPr>
          <w:color w:val="000000"/>
        </w:rPr>
        <w:t xml:space="preserve"> us</w:t>
      </w:r>
      <w:r>
        <w:rPr>
          <w:color w:val="000000"/>
        </w:rPr>
        <w:t>ing</w:t>
      </w:r>
      <w:r w:rsidR="008A61A4">
        <w:rPr>
          <w:color w:val="000000"/>
        </w:rPr>
        <w:t xml:space="preserve"> a case study approach. In this context, as underpinned by Crowe et al. (2011), a case study can be understood as an approach used to gain a deeper understanding of the topic in a real life, authentic context. Stake (1995) offers a supporting definition ‘A case study is both the process of learning about the case and the product of our learning.’ This could support the rationale for using a case study approach during this research as the </w:t>
      </w:r>
      <w:r w:rsidR="00345146">
        <w:rPr>
          <w:color w:val="000000"/>
        </w:rPr>
        <w:t>research question</w:t>
      </w:r>
      <w:r w:rsidR="008A61A4">
        <w:rPr>
          <w:color w:val="000000"/>
        </w:rPr>
        <w:t xml:space="preserve"> aims to explore </w:t>
      </w:r>
      <w:r w:rsidR="00345146">
        <w:rPr>
          <w:color w:val="000000"/>
        </w:rPr>
        <w:t>strategies</w:t>
      </w:r>
      <w:r w:rsidR="008A61A4">
        <w:rPr>
          <w:color w:val="000000"/>
        </w:rPr>
        <w:t xml:space="preserve"> used within the school environment and </w:t>
      </w:r>
      <w:r w:rsidR="0093073E">
        <w:rPr>
          <w:color w:val="000000"/>
        </w:rPr>
        <w:t>pupils’</w:t>
      </w:r>
      <w:r w:rsidR="008A61A4">
        <w:rPr>
          <w:color w:val="000000"/>
        </w:rPr>
        <w:t xml:space="preserve"> </w:t>
      </w:r>
      <w:r w:rsidR="00345146">
        <w:rPr>
          <w:color w:val="000000"/>
        </w:rPr>
        <w:t xml:space="preserve">experiences </w:t>
      </w:r>
      <w:r w:rsidR="008A61A4">
        <w:rPr>
          <w:color w:val="000000"/>
        </w:rPr>
        <w:t>of these strategies</w:t>
      </w:r>
      <w:r w:rsidR="006D129B">
        <w:rPr>
          <w:color w:val="000000"/>
        </w:rPr>
        <w:t xml:space="preserve">. This could suggest </w:t>
      </w:r>
      <w:r w:rsidR="008A61A4">
        <w:rPr>
          <w:color w:val="000000"/>
        </w:rPr>
        <w:t xml:space="preserve">that real life authentic data </w:t>
      </w:r>
      <w:r w:rsidR="00345146">
        <w:rPr>
          <w:color w:val="000000"/>
        </w:rPr>
        <w:t xml:space="preserve">is not only required but would provide the most accurate retelling of the data. </w:t>
      </w:r>
    </w:p>
    <w:p w14:paraId="324F5732" w14:textId="77777777" w:rsidR="0045749E" w:rsidRDefault="0045749E" w:rsidP="0028294C">
      <w:pPr>
        <w:rPr>
          <w:color w:val="000000"/>
        </w:rPr>
      </w:pPr>
    </w:p>
    <w:p w14:paraId="7DB810E6" w14:textId="163E0033" w:rsidR="0045749E" w:rsidRDefault="0045749E" w:rsidP="0028294C">
      <w:pPr>
        <w:rPr>
          <w:color w:val="000000"/>
        </w:rPr>
      </w:pPr>
      <w:r>
        <w:rPr>
          <w:color w:val="000000"/>
        </w:rPr>
        <w:t xml:space="preserve">There were some notable strengths and limitations identified when choosing to use a case study approach for this research question. Some of these will be discussed in depth during this section. </w:t>
      </w:r>
    </w:p>
    <w:p w14:paraId="34B5DE73" w14:textId="77777777" w:rsidR="0045749E" w:rsidRDefault="0045749E" w:rsidP="0028294C">
      <w:pPr>
        <w:rPr>
          <w:color w:val="000000"/>
        </w:rPr>
      </w:pPr>
    </w:p>
    <w:p w14:paraId="34DE1BCB" w14:textId="77777777" w:rsidR="005E0B69" w:rsidRDefault="0045749E" w:rsidP="0028294C">
      <w:pPr>
        <w:rPr>
          <w:color w:val="000000"/>
        </w:rPr>
      </w:pPr>
      <w:r>
        <w:rPr>
          <w:color w:val="000000"/>
        </w:rPr>
        <w:t xml:space="preserve">Thomas (2013) suggests that when practitioners conduct </w:t>
      </w:r>
      <w:r w:rsidR="00EB739A">
        <w:rPr>
          <w:color w:val="000000"/>
        </w:rPr>
        <w:t>a research case study it can sometimes lack structure and value. Thomas implies that often the data gathered during these case studies can lack fluidity and is often presented as mismatched quotes from interviews and observation findings</w:t>
      </w:r>
      <w:r w:rsidR="000F555E">
        <w:rPr>
          <w:color w:val="000000"/>
        </w:rPr>
        <w:t xml:space="preserve"> there for lacking beneficial depth. To counteract this potential limitation, Almalki (2016) suggests that applying a mixed methods approach to research and in turn data collection allows the researcher to gain more scope and depth to their research. </w:t>
      </w:r>
      <w:r w:rsidR="00AD312A">
        <w:rPr>
          <w:color w:val="000000"/>
        </w:rPr>
        <w:t xml:space="preserve">This </w:t>
      </w:r>
      <w:r w:rsidR="0093073E">
        <w:rPr>
          <w:color w:val="000000"/>
        </w:rPr>
        <w:t>led</w:t>
      </w:r>
      <w:r w:rsidR="00AD312A">
        <w:rPr>
          <w:color w:val="000000"/>
        </w:rPr>
        <w:t xml:space="preserve"> to th</w:t>
      </w:r>
      <w:r w:rsidR="00B55E9F">
        <w:rPr>
          <w:color w:val="000000"/>
        </w:rPr>
        <w:t>is</w:t>
      </w:r>
      <w:r w:rsidR="00AD312A">
        <w:rPr>
          <w:color w:val="000000"/>
        </w:rPr>
        <w:t xml:space="preserve"> case study including both qualitative and quantitative data to increase the scope and depth of research gathered. </w:t>
      </w:r>
      <w:r w:rsidR="005F18B6">
        <w:rPr>
          <w:color w:val="000000"/>
        </w:rPr>
        <w:t xml:space="preserve">According to McLeod (2023c) qualitative data can be understood as the written or verbal data that can be gathered during research. It is also suggested that qualitative data allows more depth to be gathered on </w:t>
      </w:r>
      <w:r w:rsidR="0093073E">
        <w:rPr>
          <w:color w:val="000000"/>
        </w:rPr>
        <w:t>individuals’</w:t>
      </w:r>
      <w:r w:rsidR="005F18B6">
        <w:rPr>
          <w:color w:val="000000"/>
        </w:rPr>
        <w:t xml:space="preserve"> experiences and opinions. McLeod (2023c) also states that quantitative data can be understood as the numerical/statistical data, it is suggested that quantitative data can be effectively used to </w:t>
      </w:r>
      <w:r w:rsidR="0093073E">
        <w:rPr>
          <w:color w:val="000000"/>
        </w:rPr>
        <w:t>identify</w:t>
      </w:r>
      <w:r w:rsidR="005F18B6">
        <w:rPr>
          <w:color w:val="000000"/>
        </w:rPr>
        <w:t xml:space="preserve"> trends and patterns. Bryman and Burgess (2002) argue that qualitative data gathered can be difficult to analyse and often time consuming. </w:t>
      </w:r>
      <w:r w:rsidR="00B55E9F">
        <w:rPr>
          <w:color w:val="000000"/>
        </w:rPr>
        <w:t xml:space="preserve">Similarly, Choy (2014) suggests that quantitative data gathered can lack depth and description and could be limiting in the sense that individuals, their experiences and opinions cannot be displayed accurately through only numerical data. </w:t>
      </w:r>
    </w:p>
    <w:p w14:paraId="06D05727" w14:textId="77777777" w:rsidR="005E0B69" w:rsidRDefault="005E0B69" w:rsidP="0028294C">
      <w:pPr>
        <w:rPr>
          <w:color w:val="000000"/>
        </w:rPr>
      </w:pPr>
    </w:p>
    <w:p w14:paraId="73E1B534" w14:textId="431CE795" w:rsidR="0045749E" w:rsidRDefault="000D7CF8" w:rsidP="0028294C">
      <w:pPr>
        <w:rPr>
          <w:color w:val="000000"/>
        </w:rPr>
      </w:pPr>
      <w:r>
        <w:rPr>
          <w:color w:val="000000"/>
        </w:rPr>
        <w:t>As discussed above, a case study has been defined as the exploration of real life, authentic experiences and learning.</w:t>
      </w:r>
      <w:r w:rsidR="005E0B69">
        <w:rPr>
          <w:color w:val="000000"/>
        </w:rPr>
        <w:t xml:space="preserve"> </w:t>
      </w:r>
      <w:r>
        <w:rPr>
          <w:color w:val="000000"/>
        </w:rPr>
        <w:t xml:space="preserve">To achieve this, a combination of qualitative data from staff and pupil interviews and pupil observation and quantitative data from staff </w:t>
      </w:r>
      <w:r w:rsidR="0093073E">
        <w:rPr>
          <w:color w:val="000000"/>
        </w:rPr>
        <w:t>questionnaires</w:t>
      </w:r>
      <w:r>
        <w:rPr>
          <w:color w:val="000000"/>
        </w:rPr>
        <w:t xml:space="preserve"> was collected. This decision was </w:t>
      </w:r>
      <w:r w:rsidR="0093073E">
        <w:rPr>
          <w:color w:val="000000"/>
        </w:rPr>
        <w:t>made</w:t>
      </w:r>
      <w:r>
        <w:rPr>
          <w:color w:val="000000"/>
        </w:rPr>
        <w:t xml:space="preserve"> in light of the above strengths and limitations to strive for </w:t>
      </w:r>
      <w:r>
        <w:rPr>
          <w:color w:val="000000"/>
        </w:rPr>
        <w:lastRenderedPageBreak/>
        <w:t xml:space="preserve">a well-rounded balanced scope of data to be collected. The potential strengths and drawbacks to these data collection tools will be </w:t>
      </w:r>
      <w:r w:rsidR="0093073E">
        <w:rPr>
          <w:color w:val="000000"/>
        </w:rPr>
        <w:t>discussed</w:t>
      </w:r>
      <w:r>
        <w:rPr>
          <w:color w:val="000000"/>
        </w:rPr>
        <w:t xml:space="preserve"> further on in this essay. </w:t>
      </w:r>
    </w:p>
    <w:p w14:paraId="31B1FF18" w14:textId="77777777" w:rsidR="000D7CF8" w:rsidRDefault="000D7CF8" w:rsidP="0028294C">
      <w:pPr>
        <w:rPr>
          <w:color w:val="000000"/>
        </w:rPr>
      </w:pPr>
    </w:p>
    <w:p w14:paraId="11894697" w14:textId="1823DADA" w:rsidR="000214E1" w:rsidRDefault="00675EB8" w:rsidP="0028294C">
      <w:pPr>
        <w:rPr>
          <w:color w:val="000000"/>
        </w:rPr>
      </w:pPr>
      <w:r>
        <w:rPr>
          <w:color w:val="000000"/>
        </w:rPr>
        <w:t xml:space="preserve">According to BERA (2018) it is the responsibility of the researcher to </w:t>
      </w:r>
      <w:r w:rsidR="0093073E">
        <w:rPr>
          <w:color w:val="000000"/>
        </w:rPr>
        <w:t>take</w:t>
      </w:r>
      <w:r>
        <w:rPr>
          <w:color w:val="000000"/>
        </w:rPr>
        <w:t xml:space="preserve"> appropriate precautions to ‘balance maximising the </w:t>
      </w:r>
      <w:r w:rsidR="0093073E">
        <w:rPr>
          <w:color w:val="000000"/>
        </w:rPr>
        <w:t>benefits</w:t>
      </w:r>
      <w:r>
        <w:rPr>
          <w:color w:val="000000"/>
        </w:rPr>
        <w:t xml:space="preserve"> and minimising any risk or harm to participants, sponsors, the community of educational researchers and educational </w:t>
      </w:r>
      <w:proofErr w:type="gramStart"/>
      <w:r w:rsidR="0093073E">
        <w:rPr>
          <w:color w:val="000000"/>
        </w:rPr>
        <w:t>professionals</w:t>
      </w:r>
      <w:r w:rsidR="005E0B69">
        <w:rPr>
          <w:color w:val="000000"/>
        </w:rPr>
        <w:t>’</w:t>
      </w:r>
      <w:proofErr w:type="gramEnd"/>
      <w:r>
        <w:rPr>
          <w:color w:val="000000"/>
        </w:rPr>
        <w:t xml:space="preserve">. To ensure </w:t>
      </w:r>
      <w:r w:rsidR="0093073E">
        <w:rPr>
          <w:color w:val="000000"/>
        </w:rPr>
        <w:t>that</w:t>
      </w:r>
      <w:r>
        <w:rPr>
          <w:color w:val="000000"/>
        </w:rPr>
        <w:t xml:space="preserve"> this case study </w:t>
      </w:r>
      <w:r w:rsidR="0093073E">
        <w:rPr>
          <w:color w:val="000000"/>
        </w:rPr>
        <w:t>adhered</w:t>
      </w:r>
      <w:r>
        <w:rPr>
          <w:color w:val="000000"/>
        </w:rPr>
        <w:t xml:space="preserve"> to the BERA guidelines and remained ethical, an ethics form was completed and approved prior </w:t>
      </w:r>
      <w:r w:rsidR="0093073E">
        <w:rPr>
          <w:color w:val="000000"/>
        </w:rPr>
        <w:t>to conducting</w:t>
      </w:r>
      <w:r>
        <w:rPr>
          <w:color w:val="000000"/>
        </w:rPr>
        <w:t xml:space="preserve"> the research </w:t>
      </w:r>
      <w:r w:rsidRPr="00B96E94">
        <w:rPr>
          <w:color w:val="000000"/>
        </w:rPr>
        <w:t>(see appendix 1).</w:t>
      </w:r>
      <w:r>
        <w:rPr>
          <w:color w:val="000000"/>
        </w:rPr>
        <w:t xml:space="preserve"> Building on this, Farrimond (2012) suggests that carrying out ethical considerations prior to the research allows the researcher to consider potential dilemmas. It is suggested that this allows the researcher to </w:t>
      </w:r>
      <w:r w:rsidR="0093073E">
        <w:rPr>
          <w:color w:val="000000"/>
        </w:rPr>
        <w:t>plan</w:t>
      </w:r>
      <w:r>
        <w:rPr>
          <w:color w:val="000000"/>
        </w:rPr>
        <w:t xml:space="preserve"> ahead for potential </w:t>
      </w:r>
      <w:r w:rsidR="0093073E">
        <w:rPr>
          <w:color w:val="000000"/>
        </w:rPr>
        <w:t>barriers</w:t>
      </w:r>
      <w:r>
        <w:rPr>
          <w:color w:val="000000"/>
        </w:rPr>
        <w:t xml:space="preserve"> and the strategies to address these barriers. </w:t>
      </w:r>
    </w:p>
    <w:p w14:paraId="39FD3DDD" w14:textId="68789DDD" w:rsidR="0054545D" w:rsidRDefault="0054545D" w:rsidP="0028294C">
      <w:pPr>
        <w:rPr>
          <w:color w:val="000000"/>
        </w:rPr>
      </w:pPr>
      <w:r>
        <w:rPr>
          <w:color w:val="000000"/>
        </w:rPr>
        <w:t xml:space="preserve">Prior to this case </w:t>
      </w:r>
      <w:r w:rsidR="0093073E">
        <w:rPr>
          <w:color w:val="000000"/>
        </w:rPr>
        <w:t>study</w:t>
      </w:r>
      <w:r>
        <w:rPr>
          <w:color w:val="000000"/>
        </w:rPr>
        <w:t xml:space="preserve"> it </w:t>
      </w:r>
      <w:r w:rsidR="00E07A68">
        <w:rPr>
          <w:color w:val="000000"/>
        </w:rPr>
        <w:t>was</w:t>
      </w:r>
      <w:r>
        <w:rPr>
          <w:color w:val="000000"/>
        </w:rPr>
        <w:t xml:space="preserve"> important to identify and acknowledge the </w:t>
      </w:r>
      <w:r w:rsidR="0093073E">
        <w:rPr>
          <w:color w:val="000000"/>
        </w:rPr>
        <w:t>researchers’</w:t>
      </w:r>
      <w:r>
        <w:rPr>
          <w:color w:val="000000"/>
        </w:rPr>
        <w:t xml:space="preserve"> personal </w:t>
      </w:r>
      <w:r w:rsidR="00E07A68">
        <w:rPr>
          <w:color w:val="000000"/>
        </w:rPr>
        <w:t>positions</w:t>
      </w:r>
      <w:r>
        <w:rPr>
          <w:color w:val="000000"/>
        </w:rPr>
        <w:t xml:space="preserve"> and how these may </w:t>
      </w:r>
      <w:r w:rsidR="00E07A68">
        <w:rPr>
          <w:color w:val="000000"/>
        </w:rPr>
        <w:t>impact</w:t>
      </w:r>
      <w:r>
        <w:rPr>
          <w:color w:val="000000"/>
        </w:rPr>
        <w:t xml:space="preserve"> the case study. It was </w:t>
      </w:r>
      <w:r w:rsidR="00E07A68">
        <w:rPr>
          <w:color w:val="000000"/>
        </w:rPr>
        <w:t>identified</w:t>
      </w:r>
      <w:r>
        <w:rPr>
          <w:color w:val="000000"/>
        </w:rPr>
        <w:t xml:space="preserve"> that there was some unavoidable bias prior to this research into emotional wellbeing</w:t>
      </w:r>
      <w:r w:rsidR="005E0B69">
        <w:rPr>
          <w:color w:val="000000"/>
        </w:rPr>
        <w:t>,</w:t>
      </w:r>
      <w:r>
        <w:rPr>
          <w:color w:val="000000"/>
        </w:rPr>
        <w:t xml:space="preserve"> as this is a topic that is highly relevant during day to day school practice meaning that</w:t>
      </w:r>
      <w:r w:rsidR="005E0B69">
        <w:rPr>
          <w:color w:val="000000"/>
        </w:rPr>
        <w:t>,</w:t>
      </w:r>
      <w:r>
        <w:rPr>
          <w:color w:val="000000"/>
        </w:rPr>
        <w:t xml:space="preserve"> the researcher had perceptions </w:t>
      </w:r>
      <w:r w:rsidR="00E07A68">
        <w:rPr>
          <w:color w:val="000000"/>
        </w:rPr>
        <w:t>based on prior experience</w:t>
      </w:r>
      <w:r>
        <w:rPr>
          <w:color w:val="000000"/>
        </w:rPr>
        <w:t>. Addressing this bias</w:t>
      </w:r>
      <w:r w:rsidR="00515E65">
        <w:rPr>
          <w:color w:val="000000"/>
        </w:rPr>
        <w:t xml:space="preserve"> and applying strategies to combat their affects w</w:t>
      </w:r>
      <w:r w:rsidR="005E0B69">
        <w:rPr>
          <w:color w:val="000000"/>
        </w:rPr>
        <w:t>as</w:t>
      </w:r>
      <w:r w:rsidR="00515E65">
        <w:rPr>
          <w:color w:val="000000"/>
        </w:rPr>
        <w:t xml:space="preserve"> of </w:t>
      </w:r>
      <w:r w:rsidR="0093073E">
        <w:rPr>
          <w:color w:val="000000"/>
        </w:rPr>
        <w:t>paramount</w:t>
      </w:r>
      <w:r w:rsidR="00515E65">
        <w:rPr>
          <w:color w:val="000000"/>
        </w:rPr>
        <w:t xml:space="preserve"> importance when conducting the case </w:t>
      </w:r>
      <w:r w:rsidR="0093073E">
        <w:rPr>
          <w:color w:val="000000"/>
        </w:rPr>
        <w:t>study</w:t>
      </w:r>
      <w:r w:rsidR="00515E65">
        <w:rPr>
          <w:color w:val="000000"/>
        </w:rPr>
        <w:t xml:space="preserve"> to minimise the impact this natural bias would have. Berger (2015) suggests that this can be done by switching the lens from researcher to individual to monitor this </w:t>
      </w:r>
      <w:r w:rsidR="0093073E">
        <w:rPr>
          <w:color w:val="000000"/>
        </w:rPr>
        <w:t>positionality</w:t>
      </w:r>
      <w:r w:rsidR="00515E65">
        <w:rPr>
          <w:color w:val="000000"/>
        </w:rPr>
        <w:t xml:space="preserve">, the impact it could be having and identifying steps to </w:t>
      </w:r>
      <w:r w:rsidR="0093073E">
        <w:rPr>
          <w:color w:val="000000"/>
        </w:rPr>
        <w:t>remain</w:t>
      </w:r>
      <w:r w:rsidR="00515E65">
        <w:rPr>
          <w:color w:val="000000"/>
        </w:rPr>
        <w:t xml:space="preserve"> unbiased throughout the research. </w:t>
      </w:r>
      <w:r w:rsidR="00E07A68">
        <w:rPr>
          <w:color w:val="000000"/>
        </w:rPr>
        <w:t xml:space="preserve">Bogdan and Biklen (1997) suggest that it is not possible to fully remove this researcher bias as the </w:t>
      </w:r>
      <w:r w:rsidR="0093073E">
        <w:rPr>
          <w:color w:val="000000"/>
        </w:rPr>
        <w:t>researcher’s</w:t>
      </w:r>
      <w:r w:rsidR="00E07A68">
        <w:rPr>
          <w:color w:val="000000"/>
        </w:rPr>
        <w:t xml:space="preserve"> prior knowledge and past experiences </w:t>
      </w:r>
      <w:r w:rsidR="0093073E">
        <w:rPr>
          <w:color w:val="000000"/>
        </w:rPr>
        <w:t>cannot</w:t>
      </w:r>
      <w:r w:rsidR="00E07A68">
        <w:rPr>
          <w:color w:val="000000"/>
        </w:rPr>
        <w:t xml:space="preserve"> be fully removed. This further backed up the need for ethical </w:t>
      </w:r>
      <w:r w:rsidR="0093073E">
        <w:rPr>
          <w:color w:val="000000"/>
        </w:rPr>
        <w:t>considerations</w:t>
      </w:r>
      <w:r w:rsidR="00E07A68">
        <w:rPr>
          <w:color w:val="000000"/>
        </w:rPr>
        <w:t xml:space="preserve"> prior to the case study so that biases could be identified and steps to limit them could be introduced. </w:t>
      </w:r>
    </w:p>
    <w:p w14:paraId="335D0898" w14:textId="59BCA7B7" w:rsidR="00230632" w:rsidRDefault="00230632" w:rsidP="0028294C">
      <w:pPr>
        <w:rPr>
          <w:color w:val="000000"/>
        </w:rPr>
      </w:pPr>
      <w:r>
        <w:rPr>
          <w:color w:val="000000"/>
        </w:rPr>
        <w:t xml:space="preserve">As stated in the ethics form section </w:t>
      </w:r>
      <w:r w:rsidRPr="00B96E94">
        <w:rPr>
          <w:color w:val="000000"/>
        </w:rPr>
        <w:t xml:space="preserve">J (see </w:t>
      </w:r>
      <w:r w:rsidR="0093073E" w:rsidRPr="00B96E94">
        <w:rPr>
          <w:color w:val="000000"/>
        </w:rPr>
        <w:t>appendix</w:t>
      </w:r>
      <w:r w:rsidRPr="00B96E94">
        <w:rPr>
          <w:color w:val="000000"/>
        </w:rPr>
        <w:t xml:space="preserve"> 1) all</w:t>
      </w:r>
      <w:r>
        <w:rPr>
          <w:color w:val="000000"/>
        </w:rPr>
        <w:t xml:space="preserve"> data collected during this case study was </w:t>
      </w:r>
      <w:r w:rsidR="0093073E">
        <w:rPr>
          <w:color w:val="000000"/>
        </w:rPr>
        <w:t>anonymised</w:t>
      </w:r>
      <w:r>
        <w:rPr>
          <w:color w:val="000000"/>
        </w:rPr>
        <w:t xml:space="preserve"> at source, this meant that no names or </w:t>
      </w:r>
      <w:r w:rsidR="0093073E">
        <w:rPr>
          <w:color w:val="000000"/>
        </w:rPr>
        <w:t>descriptors</w:t>
      </w:r>
      <w:r>
        <w:rPr>
          <w:color w:val="000000"/>
        </w:rPr>
        <w:t xml:space="preserve"> were attached to any data gathered. This data was also stored safely to ensure confidentiality, physical </w:t>
      </w:r>
      <w:r w:rsidR="0093073E">
        <w:rPr>
          <w:color w:val="000000"/>
        </w:rPr>
        <w:t>data</w:t>
      </w:r>
      <w:r>
        <w:rPr>
          <w:color w:val="000000"/>
        </w:rPr>
        <w:t xml:space="preserve"> was stored in a locked cabinet </w:t>
      </w:r>
      <w:r w:rsidR="0093073E">
        <w:rPr>
          <w:color w:val="000000"/>
        </w:rPr>
        <w:t>and</w:t>
      </w:r>
      <w:r>
        <w:rPr>
          <w:color w:val="000000"/>
        </w:rPr>
        <w:t xml:space="preserve"> online data was </w:t>
      </w:r>
      <w:r w:rsidR="0093073E">
        <w:rPr>
          <w:color w:val="000000"/>
        </w:rPr>
        <w:t>stored</w:t>
      </w:r>
      <w:r>
        <w:rPr>
          <w:color w:val="000000"/>
        </w:rPr>
        <w:t xml:space="preserve"> on a password protected hard</w:t>
      </w:r>
      <w:r w:rsidR="0093073E">
        <w:rPr>
          <w:color w:val="000000"/>
        </w:rPr>
        <w:t xml:space="preserve"> d</w:t>
      </w:r>
      <w:r>
        <w:rPr>
          <w:color w:val="000000"/>
        </w:rPr>
        <w:t xml:space="preserve">rive. Once all data was </w:t>
      </w:r>
      <w:r w:rsidRPr="00B96E94">
        <w:rPr>
          <w:color w:val="000000"/>
        </w:rPr>
        <w:t xml:space="preserve">transcribed (see appendix </w:t>
      </w:r>
      <w:r w:rsidR="006E5894" w:rsidRPr="00B96E94">
        <w:rPr>
          <w:color w:val="000000"/>
        </w:rPr>
        <w:t>7-8</w:t>
      </w:r>
      <w:r w:rsidRPr="00B96E94">
        <w:rPr>
          <w:color w:val="000000"/>
        </w:rPr>
        <w:t>) it was safe</w:t>
      </w:r>
      <w:r>
        <w:rPr>
          <w:color w:val="000000"/>
        </w:rPr>
        <w:t xml:space="preserve">ly destroyed. Section I in the ethics </w:t>
      </w:r>
      <w:r w:rsidRPr="00B96E94">
        <w:rPr>
          <w:color w:val="000000"/>
        </w:rPr>
        <w:t>form (see appendix 1) states</w:t>
      </w:r>
      <w:r>
        <w:rPr>
          <w:color w:val="000000"/>
        </w:rPr>
        <w:t xml:space="preserve"> the processes used to gain assent and consent. </w:t>
      </w:r>
      <w:r w:rsidR="0093073E">
        <w:rPr>
          <w:color w:val="000000"/>
        </w:rPr>
        <w:t>I</w:t>
      </w:r>
      <w:r>
        <w:rPr>
          <w:color w:val="000000"/>
        </w:rPr>
        <w:t>nformation sheet</w:t>
      </w:r>
      <w:r w:rsidR="0093073E">
        <w:rPr>
          <w:color w:val="000000"/>
        </w:rPr>
        <w:t>s</w:t>
      </w:r>
      <w:r>
        <w:rPr>
          <w:color w:val="000000"/>
        </w:rPr>
        <w:t xml:space="preserve"> and </w:t>
      </w:r>
      <w:r w:rsidR="00457092">
        <w:rPr>
          <w:color w:val="000000"/>
        </w:rPr>
        <w:t>consent</w:t>
      </w:r>
      <w:r>
        <w:rPr>
          <w:color w:val="000000"/>
        </w:rPr>
        <w:t xml:space="preserve"> form</w:t>
      </w:r>
      <w:r w:rsidR="0093073E">
        <w:rPr>
          <w:color w:val="000000"/>
        </w:rPr>
        <w:t>s</w:t>
      </w:r>
      <w:r>
        <w:rPr>
          <w:color w:val="000000"/>
        </w:rPr>
        <w:t xml:space="preserve"> </w:t>
      </w:r>
      <w:r w:rsidR="0093073E">
        <w:rPr>
          <w:color w:val="000000"/>
        </w:rPr>
        <w:t>were</w:t>
      </w:r>
      <w:r>
        <w:rPr>
          <w:color w:val="000000"/>
        </w:rPr>
        <w:t xml:space="preserve"> sent out to all parents/carers within the </w:t>
      </w:r>
      <w:r w:rsidR="00457092">
        <w:rPr>
          <w:color w:val="000000"/>
        </w:rPr>
        <w:t>class</w:t>
      </w:r>
      <w:r w:rsidR="006E5894">
        <w:rPr>
          <w:color w:val="000000"/>
        </w:rPr>
        <w:t xml:space="preserve"> </w:t>
      </w:r>
      <w:r w:rsidR="006E5894" w:rsidRPr="00B96E94">
        <w:rPr>
          <w:color w:val="000000"/>
        </w:rPr>
        <w:t>(see appendix</w:t>
      </w:r>
      <w:r w:rsidR="005E0B69" w:rsidRPr="00B96E94">
        <w:rPr>
          <w:color w:val="000000"/>
        </w:rPr>
        <w:t xml:space="preserve"> </w:t>
      </w:r>
      <w:r w:rsidR="006E5894" w:rsidRPr="00B96E94">
        <w:rPr>
          <w:color w:val="000000"/>
        </w:rPr>
        <w:t>5)</w:t>
      </w:r>
      <w:r w:rsidR="00457092" w:rsidRPr="00B96E94">
        <w:rPr>
          <w:color w:val="000000"/>
        </w:rPr>
        <w:t xml:space="preserve"> however due to this research being a case study aiming to gain insight on </w:t>
      </w:r>
      <w:r w:rsidR="002017CF" w:rsidRPr="00B96E94">
        <w:rPr>
          <w:color w:val="000000"/>
        </w:rPr>
        <w:t>pupil’s</w:t>
      </w:r>
      <w:r w:rsidR="00457092" w:rsidRPr="00B96E94">
        <w:rPr>
          <w:color w:val="000000"/>
        </w:rPr>
        <w:t xml:space="preserve"> experiences of</w:t>
      </w:r>
      <w:r w:rsidR="00457092">
        <w:rPr>
          <w:color w:val="000000"/>
        </w:rPr>
        <w:t xml:space="preserve"> </w:t>
      </w:r>
      <w:r w:rsidR="0093073E">
        <w:rPr>
          <w:color w:val="000000"/>
        </w:rPr>
        <w:t>emotional</w:t>
      </w:r>
      <w:r w:rsidR="00457092">
        <w:rPr>
          <w:color w:val="000000"/>
        </w:rPr>
        <w:t xml:space="preserve"> </w:t>
      </w:r>
      <w:r w:rsidR="0093073E">
        <w:rPr>
          <w:color w:val="000000"/>
        </w:rPr>
        <w:t>wellbeing</w:t>
      </w:r>
      <w:r w:rsidR="00457092">
        <w:rPr>
          <w:color w:val="000000"/>
        </w:rPr>
        <w:t xml:space="preserve"> strategies</w:t>
      </w:r>
      <w:r w:rsidR="005E0B69">
        <w:rPr>
          <w:color w:val="000000"/>
        </w:rPr>
        <w:t>,</w:t>
      </w:r>
      <w:r w:rsidR="00457092">
        <w:rPr>
          <w:color w:val="000000"/>
        </w:rPr>
        <w:t xml:space="preserve"> it was essential to gain</w:t>
      </w:r>
      <w:r w:rsidR="005E0B69">
        <w:rPr>
          <w:color w:val="000000"/>
        </w:rPr>
        <w:t xml:space="preserve"> verbal</w:t>
      </w:r>
      <w:r w:rsidR="00457092">
        <w:rPr>
          <w:color w:val="000000"/>
        </w:rPr>
        <w:t xml:space="preserve"> assent from pupils to use their experiences and knowledge. Dockett and Perry (2010) state that gaining assent from pupils aligns with ‘their right to have a say in matters that affect them’ by involving them in the research. </w:t>
      </w:r>
    </w:p>
    <w:p w14:paraId="0F7C0FE4" w14:textId="77777777" w:rsidR="00104D27" w:rsidRDefault="00104D27" w:rsidP="0028294C">
      <w:pPr>
        <w:rPr>
          <w:color w:val="000000"/>
        </w:rPr>
      </w:pPr>
    </w:p>
    <w:p w14:paraId="49EA388E" w14:textId="77777777" w:rsidR="005E0B69" w:rsidRDefault="005E0B69" w:rsidP="0028294C">
      <w:pPr>
        <w:rPr>
          <w:color w:val="000000"/>
        </w:rPr>
      </w:pPr>
    </w:p>
    <w:p w14:paraId="425C8B24" w14:textId="77777777" w:rsidR="005E0B69" w:rsidRDefault="005E0B69" w:rsidP="0028294C">
      <w:pPr>
        <w:rPr>
          <w:color w:val="000000"/>
        </w:rPr>
      </w:pPr>
    </w:p>
    <w:p w14:paraId="4A43BB69" w14:textId="77777777" w:rsidR="005E0B69" w:rsidRDefault="005E0B69" w:rsidP="0028294C">
      <w:pPr>
        <w:rPr>
          <w:color w:val="000000"/>
        </w:rPr>
      </w:pPr>
    </w:p>
    <w:p w14:paraId="09093C8C" w14:textId="77777777" w:rsidR="005E0B69" w:rsidRDefault="005E0B69" w:rsidP="0028294C">
      <w:pPr>
        <w:rPr>
          <w:color w:val="000000"/>
        </w:rPr>
      </w:pPr>
    </w:p>
    <w:p w14:paraId="265C6865" w14:textId="77777777" w:rsidR="005E0B69" w:rsidRDefault="005E0B69" w:rsidP="0028294C">
      <w:pPr>
        <w:rPr>
          <w:color w:val="000000"/>
        </w:rPr>
      </w:pPr>
    </w:p>
    <w:p w14:paraId="08F2BF23" w14:textId="77777777" w:rsidR="005E0B69" w:rsidRDefault="005E0B69" w:rsidP="0028294C">
      <w:pPr>
        <w:rPr>
          <w:color w:val="000000"/>
        </w:rPr>
      </w:pPr>
    </w:p>
    <w:p w14:paraId="58F20C8A" w14:textId="77777777" w:rsidR="005E0B69" w:rsidRDefault="005E0B69" w:rsidP="0028294C">
      <w:pPr>
        <w:rPr>
          <w:color w:val="000000"/>
        </w:rPr>
      </w:pPr>
    </w:p>
    <w:p w14:paraId="71622A4F" w14:textId="77777777" w:rsidR="005E0B69" w:rsidRDefault="005E0B69" w:rsidP="0028294C">
      <w:pPr>
        <w:rPr>
          <w:color w:val="000000"/>
        </w:rPr>
      </w:pPr>
    </w:p>
    <w:p w14:paraId="5EB0D2D8" w14:textId="3862076E" w:rsidR="00104D27" w:rsidRDefault="00104D27" w:rsidP="0028294C">
      <w:pPr>
        <w:rPr>
          <w:color w:val="000000"/>
        </w:rPr>
      </w:pPr>
      <w:r>
        <w:rPr>
          <w:color w:val="000000"/>
        </w:rPr>
        <w:lastRenderedPageBreak/>
        <w:t>As mentioned above, both qualitative and quantitative data was collected during this case study. The research methods chosen were staff interviews, pupil interviews, pupil observations and staff questionnaires. These methods will be analysed independently in the follow</w:t>
      </w:r>
      <w:r w:rsidR="005E0B69">
        <w:rPr>
          <w:color w:val="000000"/>
        </w:rPr>
        <w:t>ing</w:t>
      </w:r>
      <w:r>
        <w:rPr>
          <w:color w:val="000000"/>
        </w:rPr>
        <w:t xml:space="preserve"> section. </w:t>
      </w:r>
    </w:p>
    <w:p w14:paraId="32E1E823" w14:textId="7C55131E" w:rsidR="00085DFE" w:rsidRDefault="00085DFE" w:rsidP="0028294C">
      <w:pPr>
        <w:rPr>
          <w:color w:val="000000"/>
        </w:rPr>
      </w:pPr>
      <w:r>
        <w:rPr>
          <w:color w:val="000000"/>
        </w:rPr>
        <w:t>Leavy (2020) states that semi structured interview</w:t>
      </w:r>
      <w:r w:rsidR="003F6C74">
        <w:rPr>
          <w:color w:val="000000"/>
        </w:rPr>
        <w:t>s</w:t>
      </w:r>
      <w:r>
        <w:rPr>
          <w:color w:val="000000"/>
        </w:rPr>
        <w:t xml:space="preserve"> can be </w:t>
      </w:r>
      <w:r w:rsidR="00BF30BD">
        <w:rPr>
          <w:color w:val="000000"/>
        </w:rPr>
        <w:t>described</w:t>
      </w:r>
      <w:r w:rsidR="003F6C74">
        <w:rPr>
          <w:color w:val="000000"/>
        </w:rPr>
        <w:t xml:space="preserve"> as being created with the purpose of enabling participants to </w:t>
      </w:r>
      <w:r w:rsidR="00BF30BD">
        <w:rPr>
          <w:color w:val="000000"/>
        </w:rPr>
        <w:t>discuss</w:t>
      </w:r>
      <w:r w:rsidR="003F6C74">
        <w:rPr>
          <w:color w:val="000000"/>
        </w:rPr>
        <w:t xml:space="preserve"> their experiences and interpretations. </w:t>
      </w:r>
    </w:p>
    <w:p w14:paraId="38434FE7" w14:textId="7DCE0444" w:rsidR="008E1943" w:rsidRDefault="00085DFE" w:rsidP="0028294C">
      <w:pPr>
        <w:rPr>
          <w:color w:val="000000"/>
        </w:rPr>
      </w:pPr>
      <w:r>
        <w:rPr>
          <w:color w:val="000000"/>
        </w:rPr>
        <w:t>Galletta (2013)</w:t>
      </w:r>
      <w:r w:rsidR="003F6C74">
        <w:rPr>
          <w:color w:val="000000"/>
        </w:rPr>
        <w:t xml:space="preserve"> builds on this by stating that</w:t>
      </w:r>
      <w:r>
        <w:rPr>
          <w:color w:val="000000"/>
        </w:rPr>
        <w:t xml:space="preserve"> semi structured interviews are beneficial as they allow the research to cover the content they need</w:t>
      </w:r>
      <w:r w:rsidR="005E0B69">
        <w:rPr>
          <w:color w:val="000000"/>
        </w:rPr>
        <w:t>,</w:t>
      </w:r>
      <w:r>
        <w:rPr>
          <w:color w:val="000000"/>
        </w:rPr>
        <w:t xml:space="preserve"> whilst also giving the participants the ability to expand and discuss on the content. </w:t>
      </w:r>
      <w:r w:rsidR="00BF30BD">
        <w:rPr>
          <w:color w:val="000000"/>
        </w:rPr>
        <w:t xml:space="preserve">However, Adams (2015) suggests a potential drawback to semi structured interviews as they require interviewer sophistication, in this context this implies that the interviewer must be sensitive and knowledgeable about not only the research subject but also the potential challenges that can arise with the subject. Keeping this </w:t>
      </w:r>
      <w:r w:rsidR="005E0B69">
        <w:rPr>
          <w:color w:val="000000"/>
        </w:rPr>
        <w:t>literature</w:t>
      </w:r>
      <w:r w:rsidR="00BF30BD">
        <w:rPr>
          <w:color w:val="000000"/>
        </w:rPr>
        <w:t xml:space="preserve"> in mind, to maximise the </w:t>
      </w:r>
      <w:r w:rsidR="005E0B69">
        <w:rPr>
          <w:color w:val="000000"/>
        </w:rPr>
        <w:t>benefits</w:t>
      </w:r>
      <w:r w:rsidR="00BF30BD">
        <w:rPr>
          <w:color w:val="000000"/>
        </w:rPr>
        <w:t xml:space="preserve"> but limit the </w:t>
      </w:r>
      <w:r w:rsidR="005E0B69">
        <w:rPr>
          <w:color w:val="000000"/>
        </w:rPr>
        <w:t>challenges</w:t>
      </w:r>
      <w:r w:rsidR="00BF30BD">
        <w:rPr>
          <w:color w:val="000000"/>
        </w:rPr>
        <w:t xml:space="preserve"> of using a semi structured interview</w:t>
      </w:r>
      <w:r w:rsidR="005E0B69">
        <w:rPr>
          <w:color w:val="000000"/>
        </w:rPr>
        <w:t>,</w:t>
      </w:r>
      <w:r w:rsidR="00BF30BD">
        <w:rPr>
          <w:color w:val="000000"/>
        </w:rPr>
        <w:t xml:space="preserve"> an in depth literature review was conducted to increase the </w:t>
      </w:r>
      <w:proofErr w:type="gramStart"/>
      <w:r w:rsidR="00BF30BD">
        <w:rPr>
          <w:color w:val="000000"/>
        </w:rPr>
        <w:t>researchers</w:t>
      </w:r>
      <w:proofErr w:type="gramEnd"/>
      <w:r w:rsidR="00BF30BD">
        <w:rPr>
          <w:color w:val="000000"/>
        </w:rPr>
        <w:t xml:space="preserve"> subject </w:t>
      </w:r>
      <w:r w:rsidR="005E0B69">
        <w:rPr>
          <w:color w:val="000000"/>
        </w:rPr>
        <w:t>knowledge. As</w:t>
      </w:r>
      <w:r w:rsidR="00BF30BD">
        <w:rPr>
          <w:color w:val="000000"/>
        </w:rPr>
        <w:t xml:space="preserve"> seen </w:t>
      </w:r>
      <w:r w:rsidR="00BF30BD" w:rsidRPr="00B96E94">
        <w:rPr>
          <w:color w:val="000000"/>
        </w:rPr>
        <w:t xml:space="preserve">in appendix </w:t>
      </w:r>
      <w:r w:rsidR="006E5894">
        <w:rPr>
          <w:color w:val="000000"/>
        </w:rPr>
        <w:t>2</w:t>
      </w:r>
      <w:r w:rsidR="00BF30BD">
        <w:rPr>
          <w:color w:val="000000"/>
        </w:rPr>
        <w:t>, the interviews for both staff and pupils started broadly</w:t>
      </w:r>
      <w:r w:rsidR="00383B87">
        <w:rPr>
          <w:color w:val="000000"/>
        </w:rPr>
        <w:t xml:space="preserve"> and become more </w:t>
      </w:r>
      <w:r w:rsidR="005E0B69">
        <w:rPr>
          <w:color w:val="000000"/>
        </w:rPr>
        <w:t>specific</w:t>
      </w:r>
      <w:r w:rsidR="00383B87">
        <w:rPr>
          <w:color w:val="000000"/>
        </w:rPr>
        <w:t xml:space="preserve"> as the interview progresses. The interview schedules were created in this way drawing on the work of DeJonckheere and Vaughn (2019) who suggest that starting with a broad tone setting question not only supports the interview to begin but also encourages the interviewee to open up about their experiences and prior knowledge. </w:t>
      </w:r>
      <w:r w:rsidR="005F603C">
        <w:rPr>
          <w:color w:val="000000"/>
        </w:rPr>
        <w:t>Hove and Anda (2005) o</w:t>
      </w:r>
      <w:r w:rsidR="00383B87">
        <w:rPr>
          <w:color w:val="000000"/>
        </w:rPr>
        <w:t xml:space="preserve">ffer a potential drawback to structing an interview schedule in this way stating that some participants may </w:t>
      </w:r>
      <w:r w:rsidR="005F603C">
        <w:rPr>
          <w:color w:val="000000"/>
        </w:rPr>
        <w:t xml:space="preserve">digress from the intended topic. The risk to this is managed through having a bank of questions to </w:t>
      </w:r>
      <w:r w:rsidR="005E0B69">
        <w:rPr>
          <w:color w:val="000000"/>
        </w:rPr>
        <w:t>re-focus</w:t>
      </w:r>
      <w:r w:rsidR="005F603C">
        <w:rPr>
          <w:color w:val="000000"/>
        </w:rPr>
        <w:t xml:space="preserve"> the participants. Despite this potential drawback </w:t>
      </w:r>
      <w:r w:rsidR="00DA7C09">
        <w:rPr>
          <w:color w:val="000000"/>
        </w:rPr>
        <w:t xml:space="preserve">a semi structured interview was still used as the </w:t>
      </w:r>
      <w:r w:rsidR="005E0B69">
        <w:rPr>
          <w:color w:val="000000"/>
        </w:rPr>
        <w:t>research above</w:t>
      </w:r>
      <w:r w:rsidR="00DA7C09">
        <w:rPr>
          <w:color w:val="000000"/>
        </w:rPr>
        <w:t xml:space="preserve"> suggest</w:t>
      </w:r>
      <w:r w:rsidR="005E0B69">
        <w:rPr>
          <w:color w:val="000000"/>
        </w:rPr>
        <w:t>s</w:t>
      </w:r>
      <w:r w:rsidR="00DA7C09">
        <w:rPr>
          <w:color w:val="000000"/>
        </w:rPr>
        <w:t xml:space="preserve"> that </w:t>
      </w:r>
      <w:r w:rsidR="005E0B69">
        <w:rPr>
          <w:color w:val="000000"/>
        </w:rPr>
        <w:t>the</w:t>
      </w:r>
      <w:r w:rsidR="00DA7C09">
        <w:rPr>
          <w:color w:val="000000"/>
        </w:rPr>
        <w:t xml:space="preserve"> </w:t>
      </w:r>
      <w:r w:rsidR="005E0B69">
        <w:rPr>
          <w:color w:val="000000"/>
        </w:rPr>
        <w:t>benefits</w:t>
      </w:r>
      <w:r w:rsidR="00DA7C09">
        <w:rPr>
          <w:color w:val="000000"/>
        </w:rPr>
        <w:t xml:space="preserve"> outweigh the potential drawbacks. </w:t>
      </w:r>
    </w:p>
    <w:p w14:paraId="77109B25" w14:textId="1303A0A2" w:rsidR="006D0247" w:rsidRDefault="006D0247" w:rsidP="0028294C">
      <w:pPr>
        <w:rPr>
          <w:color w:val="000000"/>
        </w:rPr>
      </w:pPr>
      <w:r>
        <w:rPr>
          <w:color w:val="000000"/>
        </w:rPr>
        <w:t xml:space="preserve">Secondly, group pupil observations were used in this case study. Forman and Hall (2013) Suggest that by conducting pupil observations it allows the </w:t>
      </w:r>
      <w:r w:rsidR="005E0B69">
        <w:rPr>
          <w:color w:val="000000"/>
        </w:rPr>
        <w:t>practitioner</w:t>
      </w:r>
      <w:r>
        <w:rPr>
          <w:color w:val="000000"/>
        </w:rPr>
        <w:t xml:space="preserve"> to gain insight into children’s thinking and </w:t>
      </w:r>
      <w:r w:rsidR="005E0B69">
        <w:rPr>
          <w:color w:val="000000"/>
        </w:rPr>
        <w:t xml:space="preserve">experiences. This </w:t>
      </w:r>
      <w:r>
        <w:rPr>
          <w:color w:val="000000"/>
        </w:rPr>
        <w:t>can lead to engaging the pupils more effectively in the research.</w:t>
      </w:r>
      <w:r w:rsidR="005E0B69">
        <w:rPr>
          <w:color w:val="000000"/>
        </w:rPr>
        <w:t xml:space="preserve"> W</w:t>
      </w:r>
      <w:r w:rsidR="00AE61DB">
        <w:rPr>
          <w:color w:val="000000"/>
        </w:rPr>
        <w:t>ith this in mind, the group observations were conducte</w:t>
      </w:r>
      <w:r w:rsidR="00804AA4">
        <w:rPr>
          <w:color w:val="000000"/>
        </w:rPr>
        <w:t xml:space="preserve">d prior to the pupil </w:t>
      </w:r>
      <w:r w:rsidR="005E0B69">
        <w:rPr>
          <w:color w:val="000000"/>
        </w:rPr>
        <w:t>interviews</w:t>
      </w:r>
      <w:r w:rsidR="00AE61DB">
        <w:rPr>
          <w:color w:val="000000"/>
        </w:rPr>
        <w:t xml:space="preserve">. </w:t>
      </w:r>
      <w:r w:rsidR="00804AA4">
        <w:rPr>
          <w:color w:val="000000"/>
        </w:rPr>
        <w:t xml:space="preserve">This consisted of observing a group of children accessing emotional wellbeing support. This was done in order to gain insight into how pupils accessed this support, what the support looked like on an individual level and to scaffold the interview questions for each child. </w:t>
      </w:r>
      <w:r w:rsidR="00CB7C7D">
        <w:rPr>
          <w:color w:val="000000"/>
        </w:rPr>
        <w:t>Kawulich (2012)</w:t>
      </w:r>
      <w:r w:rsidR="00CB7C7D">
        <w:rPr>
          <w:color w:val="000000"/>
        </w:rPr>
        <w:t xml:space="preserve"> suggests that a potential drawback to using observations as a research tool is that the data gathered can only be as </w:t>
      </w:r>
      <w:r w:rsidR="00416A79">
        <w:rPr>
          <w:color w:val="000000"/>
        </w:rPr>
        <w:t>robust</w:t>
      </w:r>
      <w:r w:rsidR="00CB7C7D">
        <w:rPr>
          <w:color w:val="000000"/>
        </w:rPr>
        <w:t xml:space="preserve"> as the </w:t>
      </w:r>
      <w:r w:rsidR="00530C0D">
        <w:rPr>
          <w:color w:val="000000"/>
        </w:rPr>
        <w:t>researcher’s</w:t>
      </w:r>
      <w:r w:rsidR="00CB7C7D">
        <w:rPr>
          <w:color w:val="000000"/>
        </w:rPr>
        <w:t xml:space="preserve"> ability to accurately describe what is being observed and the depth it is described in. </w:t>
      </w:r>
      <w:r w:rsidR="00416A79">
        <w:rPr>
          <w:color w:val="000000"/>
        </w:rPr>
        <w:t>W</w:t>
      </w:r>
      <w:r w:rsidR="00530C0D">
        <w:rPr>
          <w:color w:val="000000"/>
        </w:rPr>
        <w:t xml:space="preserve">ith this in mind, the observation </w:t>
      </w:r>
      <w:r w:rsidR="00530C0D" w:rsidRPr="00B96E94">
        <w:rPr>
          <w:color w:val="000000"/>
        </w:rPr>
        <w:t xml:space="preserve">schedule (see appendix </w:t>
      </w:r>
      <w:r w:rsidR="006E5894" w:rsidRPr="00B96E94">
        <w:rPr>
          <w:color w:val="000000"/>
        </w:rPr>
        <w:t>3</w:t>
      </w:r>
      <w:r w:rsidR="00530C0D" w:rsidRPr="00B96E94">
        <w:rPr>
          <w:color w:val="000000"/>
        </w:rPr>
        <w:t>) w</w:t>
      </w:r>
      <w:r w:rsidR="00530C0D">
        <w:rPr>
          <w:color w:val="000000"/>
        </w:rPr>
        <w:t xml:space="preserve">as designed with space to note the purpose of the observation and then space to document what was happening for each child over a 15 minute time slot. The reasoning behind this was that due to the varying complex needs of each child </w:t>
      </w:r>
      <w:r w:rsidR="00D86DDA">
        <w:rPr>
          <w:color w:val="000000"/>
        </w:rPr>
        <w:t xml:space="preserve">it was thought that taking general notes </w:t>
      </w:r>
      <w:r w:rsidR="00416A79">
        <w:rPr>
          <w:color w:val="000000"/>
        </w:rPr>
        <w:t>would</w:t>
      </w:r>
      <w:r w:rsidR="00D86DDA">
        <w:rPr>
          <w:color w:val="000000"/>
        </w:rPr>
        <w:t xml:space="preserve"> give a more accurate representation of the session being observed. This thinking was backed up by </w:t>
      </w:r>
      <w:r w:rsidR="00D86DDA">
        <w:rPr>
          <w:color w:val="000000"/>
        </w:rPr>
        <w:t>Cowie (2009)</w:t>
      </w:r>
      <w:r w:rsidR="00D86DDA">
        <w:rPr>
          <w:color w:val="000000"/>
        </w:rPr>
        <w:t xml:space="preserve"> who suggested that notes taken from an </w:t>
      </w:r>
      <w:r w:rsidR="00416A79">
        <w:rPr>
          <w:color w:val="000000"/>
        </w:rPr>
        <w:t>observation</w:t>
      </w:r>
      <w:r w:rsidR="00D86DDA">
        <w:rPr>
          <w:color w:val="000000"/>
        </w:rPr>
        <w:t xml:space="preserve"> should be written in enough depth and </w:t>
      </w:r>
      <w:r w:rsidR="00416A79">
        <w:rPr>
          <w:color w:val="000000"/>
        </w:rPr>
        <w:t>description</w:t>
      </w:r>
      <w:r w:rsidR="00D86DDA">
        <w:rPr>
          <w:color w:val="000000"/>
        </w:rPr>
        <w:t xml:space="preserve"> that the reader could create a clear </w:t>
      </w:r>
      <w:r w:rsidR="00416A79">
        <w:rPr>
          <w:color w:val="000000"/>
        </w:rPr>
        <w:t>mental</w:t>
      </w:r>
      <w:r w:rsidR="00D86DDA">
        <w:rPr>
          <w:color w:val="000000"/>
        </w:rPr>
        <w:t xml:space="preserve"> image of the session which would in tu</w:t>
      </w:r>
      <w:r w:rsidR="00416A79">
        <w:rPr>
          <w:color w:val="000000"/>
        </w:rPr>
        <w:t>r</w:t>
      </w:r>
      <w:r w:rsidR="00D86DDA">
        <w:rPr>
          <w:color w:val="000000"/>
        </w:rPr>
        <w:t xml:space="preserve">n increase the truthfulness of the case study. </w:t>
      </w:r>
    </w:p>
    <w:p w14:paraId="5A3AE852" w14:textId="478B1046" w:rsidR="00416A79" w:rsidRDefault="00416A79" w:rsidP="0028294C">
      <w:pPr>
        <w:rPr>
          <w:color w:val="000000"/>
        </w:rPr>
      </w:pPr>
      <w:r>
        <w:rPr>
          <w:color w:val="000000"/>
        </w:rPr>
        <w:t xml:space="preserve">Lastly, online staff questionnaires were used to gain additional insights including quantitative data. According to </w:t>
      </w:r>
      <w:r>
        <w:rPr>
          <w:color w:val="000000"/>
        </w:rPr>
        <w:t>Kircher and Zipp (2022)</w:t>
      </w:r>
      <w:r>
        <w:rPr>
          <w:color w:val="000000"/>
        </w:rPr>
        <w:t xml:space="preserve"> questionnaires are a valuable tool in data collection as they can be distributed and collected over a short period of time. </w:t>
      </w:r>
      <w:r w:rsidR="009E5C52">
        <w:rPr>
          <w:color w:val="000000"/>
        </w:rPr>
        <w:t xml:space="preserve">This could suggest that once created they are a more independent research tool which could ultimately save time during the case study. However, </w:t>
      </w:r>
      <w:r w:rsidR="00344119">
        <w:rPr>
          <w:color w:val="000000"/>
        </w:rPr>
        <w:t>Lefever, Dal and Matthíasdóttir (2007)</w:t>
      </w:r>
      <w:r w:rsidR="00344119">
        <w:rPr>
          <w:color w:val="000000"/>
        </w:rPr>
        <w:t xml:space="preserve"> </w:t>
      </w:r>
      <w:r w:rsidR="009E5C52">
        <w:rPr>
          <w:color w:val="000000"/>
        </w:rPr>
        <w:t xml:space="preserve">suggests </w:t>
      </w:r>
      <w:r w:rsidR="009E5C52">
        <w:rPr>
          <w:color w:val="000000"/>
        </w:rPr>
        <w:lastRenderedPageBreak/>
        <w:t xml:space="preserve">that </w:t>
      </w:r>
      <w:r w:rsidR="00344119">
        <w:rPr>
          <w:color w:val="000000"/>
        </w:rPr>
        <w:t xml:space="preserve">if participants become distracted, disinterested or lose concentration then this could challenge the dependability of the data. </w:t>
      </w:r>
      <w:r w:rsidR="001F641A">
        <w:rPr>
          <w:color w:val="000000"/>
        </w:rPr>
        <w:t xml:space="preserve">In conjunction to this, </w:t>
      </w:r>
      <w:r w:rsidR="00EB77B0">
        <w:rPr>
          <w:color w:val="000000"/>
        </w:rPr>
        <w:t>Porter, Whitcomb and Weitzer (2004)</w:t>
      </w:r>
      <w:r w:rsidR="00EB77B0">
        <w:rPr>
          <w:color w:val="000000"/>
        </w:rPr>
        <w:t xml:space="preserve"> suggest that response fatigue from surveys being too lengthy can drive down response rates</w:t>
      </w:r>
      <w:r w:rsidR="001F641A">
        <w:rPr>
          <w:color w:val="000000"/>
        </w:rPr>
        <w:t xml:space="preserve"> meaning that shorter surveys could be more successful</w:t>
      </w:r>
      <w:r w:rsidR="00EB77B0">
        <w:rPr>
          <w:color w:val="000000"/>
        </w:rPr>
        <w:t xml:space="preserve">. </w:t>
      </w:r>
      <w:r w:rsidR="005B39C6">
        <w:rPr>
          <w:color w:val="000000"/>
        </w:rPr>
        <w:t xml:space="preserve">As a result of the above research, a questionnaire was sent </w:t>
      </w:r>
      <w:r w:rsidR="001F641A">
        <w:rPr>
          <w:color w:val="000000"/>
        </w:rPr>
        <w:t>out</w:t>
      </w:r>
      <w:r w:rsidR="005B39C6">
        <w:rPr>
          <w:color w:val="000000"/>
        </w:rPr>
        <w:t xml:space="preserve"> to staff with the purpose of understanding the </w:t>
      </w:r>
      <w:r w:rsidR="001F641A">
        <w:rPr>
          <w:color w:val="000000"/>
        </w:rPr>
        <w:t>strategies</w:t>
      </w:r>
      <w:r w:rsidR="005B39C6">
        <w:rPr>
          <w:color w:val="000000"/>
        </w:rPr>
        <w:t xml:space="preserve"> staff use to promote emotional </w:t>
      </w:r>
      <w:r w:rsidR="005B39C6" w:rsidRPr="00B96E94">
        <w:rPr>
          <w:color w:val="000000"/>
        </w:rPr>
        <w:t xml:space="preserve">wellbeing (see appendix </w:t>
      </w:r>
      <w:r w:rsidR="006E5894" w:rsidRPr="00B96E94">
        <w:rPr>
          <w:color w:val="000000"/>
        </w:rPr>
        <w:t>4</w:t>
      </w:r>
      <w:r w:rsidR="005B39C6" w:rsidRPr="00B96E94">
        <w:rPr>
          <w:color w:val="000000"/>
        </w:rPr>
        <w:t>).</w:t>
      </w:r>
      <w:r w:rsidR="005B39C6">
        <w:rPr>
          <w:color w:val="000000"/>
        </w:rPr>
        <w:t xml:space="preserve"> This questionnaire consisted of 12 questions with the aim of reducing the risk of response fatigue. This questionnaire was also sent out to all KS2 staff with the aim to increase the number of responses. </w:t>
      </w:r>
      <w:r w:rsidR="001D6062">
        <w:rPr>
          <w:color w:val="000000"/>
        </w:rPr>
        <w:t xml:space="preserve">The questionnaire included a mixture of open ended and closed questions. </w:t>
      </w:r>
      <w:r w:rsidR="001D6062">
        <w:rPr>
          <w:color w:val="000000"/>
        </w:rPr>
        <w:t>Reja et al. (2003)</w:t>
      </w:r>
      <w:r w:rsidR="001D6062">
        <w:rPr>
          <w:color w:val="000000"/>
        </w:rPr>
        <w:t xml:space="preserve"> describes closed questions as limiting the responder to a specific set of answers </w:t>
      </w:r>
      <w:r w:rsidR="001F641A">
        <w:rPr>
          <w:color w:val="000000"/>
        </w:rPr>
        <w:t>whereas</w:t>
      </w:r>
      <w:r w:rsidR="001D6062">
        <w:rPr>
          <w:color w:val="000000"/>
        </w:rPr>
        <w:t xml:space="preserve"> open ended questions </w:t>
      </w:r>
      <w:proofErr w:type="gramStart"/>
      <w:r w:rsidR="001D6062">
        <w:rPr>
          <w:color w:val="000000"/>
        </w:rPr>
        <w:t>allows</w:t>
      </w:r>
      <w:proofErr w:type="gramEnd"/>
      <w:r w:rsidR="001D6062">
        <w:rPr>
          <w:color w:val="000000"/>
        </w:rPr>
        <w:t xml:space="preserve"> the responder to speak on p</w:t>
      </w:r>
      <w:r w:rsidR="001F641A">
        <w:rPr>
          <w:color w:val="000000"/>
        </w:rPr>
        <w:t>a</w:t>
      </w:r>
      <w:r w:rsidR="001D6062">
        <w:rPr>
          <w:color w:val="000000"/>
        </w:rPr>
        <w:t xml:space="preserve">st experiences and knowledge freely. As a result of this, the questionnaire sent out to staff consisted of a mixture of open and closed questions. </w:t>
      </w:r>
    </w:p>
    <w:p w14:paraId="1400BB7A" w14:textId="77777777" w:rsidR="006C705E" w:rsidRDefault="006C705E" w:rsidP="0028294C">
      <w:pPr>
        <w:rPr>
          <w:color w:val="000000"/>
        </w:rPr>
      </w:pPr>
    </w:p>
    <w:p w14:paraId="19EA94E6" w14:textId="6B28A715" w:rsidR="006C705E" w:rsidRDefault="00640BE2" w:rsidP="0028294C">
      <w:pPr>
        <w:rPr>
          <w:color w:val="000000"/>
        </w:rPr>
      </w:pPr>
      <w:r>
        <w:rPr>
          <w:color w:val="000000"/>
        </w:rPr>
        <w:t xml:space="preserve">According to </w:t>
      </w:r>
      <w:r>
        <w:rPr>
          <w:color w:val="000000"/>
        </w:rPr>
        <w:t>Heale and Forbes (2013)</w:t>
      </w:r>
      <w:r>
        <w:rPr>
          <w:color w:val="000000"/>
        </w:rPr>
        <w:t xml:space="preserve"> triangulation can be defined as using multiple research tools to approach a study, triangulation is used to increase the credibility of the data fin</w:t>
      </w:r>
      <w:r w:rsidR="001F641A">
        <w:rPr>
          <w:color w:val="000000"/>
        </w:rPr>
        <w:t>d</w:t>
      </w:r>
      <w:r>
        <w:rPr>
          <w:color w:val="000000"/>
        </w:rPr>
        <w:t xml:space="preserve">ings using two or more sources. Triangulation was applied to this case study through </w:t>
      </w:r>
      <w:r w:rsidR="001F641A">
        <w:rPr>
          <w:color w:val="000000"/>
        </w:rPr>
        <w:t>using</w:t>
      </w:r>
      <w:r>
        <w:rPr>
          <w:color w:val="000000"/>
        </w:rPr>
        <w:t xml:space="preserve"> staff/pupil interviews, pupil observations and staff questionnaires to gather data on emotional wellbeing </w:t>
      </w:r>
      <w:r w:rsidR="001F641A">
        <w:rPr>
          <w:color w:val="000000"/>
        </w:rPr>
        <w:t>strategies</w:t>
      </w:r>
      <w:r>
        <w:rPr>
          <w:color w:val="000000"/>
        </w:rPr>
        <w:t xml:space="preserve"> in a school. </w:t>
      </w:r>
      <w:r w:rsidR="009D4E0A">
        <w:rPr>
          <w:color w:val="000000"/>
        </w:rPr>
        <w:t>Sadan (2014)</w:t>
      </w:r>
      <w:r w:rsidR="009D4E0A">
        <w:rPr>
          <w:color w:val="000000"/>
        </w:rPr>
        <w:t xml:space="preserve"> suggests that using a </w:t>
      </w:r>
      <w:r w:rsidR="001F641A">
        <w:rPr>
          <w:color w:val="000000"/>
        </w:rPr>
        <w:t>triangulation</w:t>
      </w:r>
      <w:r w:rsidR="009D4E0A">
        <w:rPr>
          <w:color w:val="000000"/>
        </w:rPr>
        <w:t xml:space="preserve"> approach to data </w:t>
      </w:r>
      <w:r w:rsidR="001F641A">
        <w:rPr>
          <w:color w:val="000000"/>
        </w:rPr>
        <w:t>collection</w:t>
      </w:r>
      <w:r w:rsidR="009D4E0A">
        <w:rPr>
          <w:color w:val="000000"/>
        </w:rPr>
        <w:t xml:space="preserve"> can be difficult as it requires the researcher to analyse and combine both qualitative and quantitative data which is not only time consuming but also can be a complex task.  As discussed previously in this essay there was also the identification of researcher bias and the strategies used to overcome this. Triangulation is another strategy</w:t>
      </w:r>
      <w:r w:rsidR="008774E4">
        <w:rPr>
          <w:color w:val="000000"/>
        </w:rPr>
        <w:t xml:space="preserve"> used</w:t>
      </w:r>
      <w:r w:rsidR="009D4E0A">
        <w:rPr>
          <w:color w:val="000000"/>
        </w:rPr>
        <w:t xml:space="preserve"> to tackle researcher bias as according to </w:t>
      </w:r>
      <w:r w:rsidR="009D4E0A">
        <w:rPr>
          <w:color w:val="000000"/>
        </w:rPr>
        <w:t>Ayoub, Wallace and Zepeda-Millan (2014)</w:t>
      </w:r>
      <w:r w:rsidR="009D4E0A">
        <w:rPr>
          <w:color w:val="000000"/>
        </w:rPr>
        <w:t xml:space="preserve"> when triangulation is applied to data collection it </w:t>
      </w:r>
      <w:r w:rsidR="008774E4">
        <w:rPr>
          <w:color w:val="000000"/>
        </w:rPr>
        <w:t>increases</w:t>
      </w:r>
      <w:r w:rsidR="009D4E0A">
        <w:rPr>
          <w:color w:val="000000"/>
        </w:rPr>
        <w:t xml:space="preserve"> the confirmability of the research </w:t>
      </w:r>
      <w:r w:rsidR="008774E4">
        <w:rPr>
          <w:color w:val="000000"/>
        </w:rPr>
        <w:t>as the findings are being presented from more than two viewpoints. In order to report the data fin</w:t>
      </w:r>
      <w:r w:rsidR="001F641A">
        <w:rPr>
          <w:color w:val="000000"/>
        </w:rPr>
        <w:t>d</w:t>
      </w:r>
      <w:r w:rsidR="008774E4">
        <w:rPr>
          <w:color w:val="000000"/>
        </w:rPr>
        <w:t xml:space="preserve">ings of this case study </w:t>
      </w:r>
      <w:r w:rsidR="00486C53">
        <w:rPr>
          <w:color w:val="000000"/>
        </w:rPr>
        <w:t xml:space="preserve">a data analysis method was required. </w:t>
      </w:r>
      <w:r w:rsidR="00486C53">
        <w:rPr>
          <w:color w:val="000000"/>
        </w:rPr>
        <w:t>Braun and Clarke (2006)</w:t>
      </w:r>
      <w:r w:rsidR="00486C53">
        <w:rPr>
          <w:color w:val="000000"/>
        </w:rPr>
        <w:t xml:space="preserve"> suggest that once data has been collected from a research study, a thematic analysis process is required to study the data findings and identify common themes and </w:t>
      </w:r>
      <w:r w:rsidR="001F641A">
        <w:rPr>
          <w:color w:val="000000"/>
        </w:rPr>
        <w:t>reoccurrences</w:t>
      </w:r>
      <w:r w:rsidR="00486C53">
        <w:rPr>
          <w:color w:val="000000"/>
        </w:rPr>
        <w:t xml:space="preserve">. </w:t>
      </w:r>
      <w:r w:rsidR="00486C53">
        <w:rPr>
          <w:color w:val="000000"/>
        </w:rPr>
        <w:t>Braun and Clarke (2006)</w:t>
      </w:r>
      <w:r w:rsidR="00486C53">
        <w:rPr>
          <w:color w:val="000000"/>
        </w:rPr>
        <w:t xml:space="preserve"> </w:t>
      </w:r>
      <w:r w:rsidR="001F641A">
        <w:rPr>
          <w:color w:val="000000"/>
        </w:rPr>
        <w:t>identified 6</w:t>
      </w:r>
      <w:r w:rsidR="00486C53">
        <w:rPr>
          <w:color w:val="000000"/>
        </w:rPr>
        <w:t xml:space="preserve"> steps to this process. The first step required looking back over the data and becoming familiar with it. This was achieved through reading over the data collected thoroughly. The next step was </w:t>
      </w:r>
      <w:r w:rsidR="00ED3A54">
        <w:rPr>
          <w:color w:val="000000"/>
        </w:rPr>
        <w:t xml:space="preserve">to begin generating loose codes that the data fell into. The </w:t>
      </w:r>
      <w:r w:rsidR="001F641A">
        <w:rPr>
          <w:color w:val="000000"/>
        </w:rPr>
        <w:t>third</w:t>
      </w:r>
      <w:r w:rsidR="00ED3A54">
        <w:rPr>
          <w:color w:val="000000"/>
        </w:rPr>
        <w:t xml:space="preserve"> step then required the researcher to solidify these codes so that the data could be searched through and sorted into these categories</w:t>
      </w:r>
      <w:r w:rsidR="001F641A">
        <w:rPr>
          <w:color w:val="000000"/>
        </w:rPr>
        <w:t>,</w:t>
      </w:r>
      <w:r w:rsidR="00ED3A54">
        <w:rPr>
          <w:color w:val="000000"/>
        </w:rPr>
        <w:t xml:space="preserve"> </w:t>
      </w:r>
      <w:r w:rsidR="001F641A">
        <w:rPr>
          <w:color w:val="000000"/>
        </w:rPr>
        <w:t xml:space="preserve">then </w:t>
      </w:r>
      <w:r w:rsidR="00ED3A54">
        <w:rPr>
          <w:color w:val="000000"/>
        </w:rPr>
        <w:t>review the themes and subsequently the order of the information</w:t>
      </w:r>
      <w:r w:rsidR="001F641A">
        <w:rPr>
          <w:color w:val="000000"/>
        </w:rPr>
        <w:t>. T</w:t>
      </w:r>
      <w:r w:rsidR="00ED3A54">
        <w:rPr>
          <w:color w:val="000000"/>
        </w:rPr>
        <w:t xml:space="preserve">hemes were named to clearly describe and define the data that they covered to give an overall view of the case study. The coded themes applied to this case study can be seen at the beginning of the </w:t>
      </w:r>
      <w:r w:rsidR="001F641A">
        <w:rPr>
          <w:color w:val="000000"/>
        </w:rPr>
        <w:t>appendices</w:t>
      </w:r>
      <w:r w:rsidR="00ED3A54">
        <w:rPr>
          <w:color w:val="000000"/>
        </w:rPr>
        <w:t xml:space="preserve"> and throughout the data evidenced</w:t>
      </w:r>
      <w:r w:rsidR="00A23403">
        <w:rPr>
          <w:color w:val="000000"/>
        </w:rPr>
        <w:t xml:space="preserve">, qualitative data has been colour/theme coded </w:t>
      </w:r>
      <w:r w:rsidR="001F641A">
        <w:rPr>
          <w:color w:val="000000"/>
        </w:rPr>
        <w:t>whereas</w:t>
      </w:r>
      <w:r w:rsidR="00A23403">
        <w:rPr>
          <w:color w:val="000000"/>
        </w:rPr>
        <w:t xml:space="preserve"> quantitative data has been displayed in graphs and tables</w:t>
      </w:r>
      <w:r w:rsidR="00ED3A54">
        <w:rPr>
          <w:color w:val="000000"/>
        </w:rPr>
        <w:t xml:space="preserve">. </w:t>
      </w:r>
      <w:r w:rsidR="001F641A">
        <w:rPr>
          <w:color w:val="000000"/>
        </w:rPr>
        <w:t>Lastly</w:t>
      </w:r>
      <w:r w:rsidR="00ED3A54">
        <w:rPr>
          <w:color w:val="000000"/>
        </w:rPr>
        <w:t xml:space="preserve"> the findings of the case study were collated and presented to the </w:t>
      </w:r>
      <w:r w:rsidR="001F641A">
        <w:rPr>
          <w:color w:val="000000"/>
        </w:rPr>
        <w:t>senior</w:t>
      </w:r>
      <w:r w:rsidR="00ED3A54">
        <w:rPr>
          <w:color w:val="000000"/>
        </w:rPr>
        <w:t xml:space="preserve"> leadership team within the research school at the end of the study week. The findings have also </w:t>
      </w:r>
      <w:r w:rsidR="001F641A">
        <w:rPr>
          <w:color w:val="000000"/>
        </w:rPr>
        <w:t>been</w:t>
      </w:r>
      <w:r w:rsidR="00ED3A54">
        <w:rPr>
          <w:color w:val="000000"/>
        </w:rPr>
        <w:t xml:space="preserve"> reported through this essay and will be discussed in depth throughout the ne</w:t>
      </w:r>
      <w:r w:rsidR="00A23403">
        <w:rPr>
          <w:color w:val="000000"/>
        </w:rPr>
        <w:t>xt</w:t>
      </w:r>
      <w:r w:rsidR="00ED3A54">
        <w:rPr>
          <w:color w:val="000000"/>
        </w:rPr>
        <w:t xml:space="preserve"> section. </w:t>
      </w:r>
    </w:p>
    <w:p w14:paraId="71D0C2E2" w14:textId="77777777" w:rsidR="006C705E" w:rsidRDefault="006C705E" w:rsidP="0028294C">
      <w:pPr>
        <w:rPr>
          <w:color w:val="000000"/>
        </w:rPr>
      </w:pPr>
    </w:p>
    <w:p w14:paraId="3DD2D8FC" w14:textId="77777777" w:rsidR="00C76432" w:rsidRDefault="00C76432" w:rsidP="0028294C">
      <w:pPr>
        <w:rPr>
          <w:color w:val="000000"/>
        </w:rPr>
      </w:pPr>
    </w:p>
    <w:p w14:paraId="13A499CD" w14:textId="77777777" w:rsidR="001F641A" w:rsidRDefault="001F641A" w:rsidP="0028294C">
      <w:pPr>
        <w:rPr>
          <w:color w:val="000000"/>
        </w:rPr>
      </w:pPr>
    </w:p>
    <w:p w14:paraId="080C6DC9" w14:textId="77777777" w:rsidR="001F641A" w:rsidRDefault="001F641A" w:rsidP="0028294C">
      <w:pPr>
        <w:rPr>
          <w:color w:val="000000"/>
        </w:rPr>
      </w:pPr>
    </w:p>
    <w:p w14:paraId="5946A5DD" w14:textId="2DFE6AF6" w:rsidR="00C76432" w:rsidRDefault="00C76432" w:rsidP="0028294C">
      <w:pPr>
        <w:rPr>
          <w:color w:val="000000"/>
        </w:rPr>
      </w:pPr>
      <w:r>
        <w:rPr>
          <w:color w:val="000000"/>
        </w:rPr>
        <w:lastRenderedPageBreak/>
        <w:t xml:space="preserve">The following section will make frequent reference to the appendix list throughout. </w:t>
      </w:r>
    </w:p>
    <w:p w14:paraId="15AC3AC2" w14:textId="5FDC5DA2" w:rsidR="00C76432" w:rsidRDefault="00C76432" w:rsidP="0028294C">
      <w:pPr>
        <w:rPr>
          <w:rFonts w:ascii="Arial" w:hAnsi="Arial" w:cs="Arial"/>
          <w:sz w:val="22"/>
          <w:szCs w:val="22"/>
        </w:rPr>
      </w:pPr>
      <w:r>
        <w:rPr>
          <w:color w:val="000000"/>
        </w:rPr>
        <w:t>The research question was ‘</w:t>
      </w:r>
      <w:r w:rsidRPr="00C76432">
        <w:rPr>
          <w:rFonts w:ascii="Arial" w:hAnsi="Arial" w:cs="Arial"/>
          <w:sz w:val="22"/>
          <w:szCs w:val="22"/>
        </w:rPr>
        <w:t>What strategies do staff use to promote emotional wellbeing for pupils in KS2, and what are pupils’ experiences of these strategies?</w:t>
      </w:r>
      <w:r>
        <w:rPr>
          <w:rFonts w:ascii="Arial" w:hAnsi="Arial" w:cs="Arial"/>
          <w:sz w:val="22"/>
          <w:szCs w:val="22"/>
        </w:rPr>
        <w:t>’</w:t>
      </w:r>
    </w:p>
    <w:p w14:paraId="01D122DD" w14:textId="77777777" w:rsidR="00C76432" w:rsidRDefault="00C76432" w:rsidP="0028294C">
      <w:pPr>
        <w:rPr>
          <w:rFonts w:ascii="Arial" w:hAnsi="Arial" w:cs="Arial"/>
          <w:sz w:val="22"/>
          <w:szCs w:val="22"/>
        </w:rPr>
      </w:pPr>
    </w:p>
    <w:p w14:paraId="769BE69C" w14:textId="6115F3B6" w:rsidR="00C76432" w:rsidRDefault="00C76432" w:rsidP="0028294C">
      <w:pPr>
        <w:rPr>
          <w:color w:val="000000"/>
        </w:rPr>
      </w:pPr>
      <w:r>
        <w:rPr>
          <w:rFonts w:ascii="Arial" w:hAnsi="Arial" w:cs="Arial"/>
          <w:sz w:val="22"/>
          <w:szCs w:val="22"/>
        </w:rPr>
        <w:t xml:space="preserve">The first piece of data to be discussed is a check in/breakfast time group </w:t>
      </w:r>
      <w:r w:rsidRPr="00B96E94">
        <w:rPr>
          <w:rFonts w:ascii="Arial" w:hAnsi="Arial" w:cs="Arial"/>
          <w:sz w:val="22"/>
          <w:szCs w:val="22"/>
        </w:rPr>
        <w:t xml:space="preserve">observation (see appendix 6). The purpose </w:t>
      </w:r>
      <w:r w:rsidR="00B771EE" w:rsidRPr="00B96E94">
        <w:rPr>
          <w:rFonts w:ascii="Arial" w:hAnsi="Arial" w:cs="Arial"/>
          <w:sz w:val="22"/>
          <w:szCs w:val="22"/>
        </w:rPr>
        <w:t>of this observation was to observe a group of pupils accessing</w:t>
      </w:r>
      <w:r w:rsidR="00B771EE">
        <w:rPr>
          <w:rFonts w:ascii="Arial" w:hAnsi="Arial" w:cs="Arial"/>
          <w:sz w:val="22"/>
          <w:szCs w:val="22"/>
        </w:rPr>
        <w:t xml:space="preserve"> the nurture/Martello provision within the school. This provision is accessible to all pupils within the school and can be used whenever pupils feel low or overwhelmed. Pupils who access Martello regularly complete </w:t>
      </w:r>
      <w:r w:rsidR="001F641A">
        <w:rPr>
          <w:rFonts w:ascii="Arial" w:hAnsi="Arial" w:cs="Arial"/>
          <w:sz w:val="22"/>
          <w:szCs w:val="22"/>
        </w:rPr>
        <w:t>emotional</w:t>
      </w:r>
      <w:r w:rsidR="00B771EE">
        <w:rPr>
          <w:rFonts w:ascii="Arial" w:hAnsi="Arial" w:cs="Arial"/>
          <w:sz w:val="22"/>
          <w:szCs w:val="22"/>
        </w:rPr>
        <w:t xml:space="preserve"> wellbeing check ins in the morning and have breakfast. Some </w:t>
      </w:r>
      <w:r w:rsidR="001F641A">
        <w:rPr>
          <w:rFonts w:ascii="Arial" w:hAnsi="Arial" w:cs="Arial"/>
          <w:sz w:val="22"/>
          <w:szCs w:val="22"/>
        </w:rPr>
        <w:t>pupils</w:t>
      </w:r>
      <w:r w:rsidR="00B771EE">
        <w:rPr>
          <w:rFonts w:ascii="Arial" w:hAnsi="Arial" w:cs="Arial"/>
          <w:sz w:val="22"/>
          <w:szCs w:val="22"/>
        </w:rPr>
        <w:t xml:space="preserve"> will stay, some will return</w:t>
      </w:r>
      <w:r w:rsidR="001F641A">
        <w:rPr>
          <w:rFonts w:ascii="Arial" w:hAnsi="Arial" w:cs="Arial"/>
          <w:sz w:val="22"/>
          <w:szCs w:val="22"/>
        </w:rPr>
        <w:t xml:space="preserve"> later in the day</w:t>
      </w:r>
      <w:r w:rsidR="00B771EE">
        <w:rPr>
          <w:rFonts w:ascii="Arial" w:hAnsi="Arial" w:cs="Arial"/>
          <w:sz w:val="22"/>
          <w:szCs w:val="22"/>
        </w:rPr>
        <w:t xml:space="preserve"> and some pupils will not be back until check in the next morning. Allowing the pupils to </w:t>
      </w:r>
      <w:r w:rsidR="001F641A">
        <w:rPr>
          <w:rFonts w:ascii="Arial" w:hAnsi="Arial" w:cs="Arial"/>
          <w:sz w:val="22"/>
          <w:szCs w:val="22"/>
        </w:rPr>
        <w:t>check</w:t>
      </w:r>
      <w:r w:rsidR="00B771EE">
        <w:rPr>
          <w:rFonts w:ascii="Arial" w:hAnsi="Arial" w:cs="Arial"/>
          <w:sz w:val="22"/>
          <w:szCs w:val="22"/>
        </w:rPr>
        <w:t xml:space="preserve"> in and have breakfast at Martello links back to the literature regarding Maslow’s hierarchy of needs mentioned previously in this essay. The literature suggested that children’s basic needs must be met before they are ready to learn. The staff interviews (see appendix 7a) further backed this </w:t>
      </w:r>
      <w:r w:rsidR="001F641A">
        <w:rPr>
          <w:rFonts w:ascii="Arial" w:hAnsi="Arial" w:cs="Arial"/>
          <w:sz w:val="22"/>
          <w:szCs w:val="22"/>
        </w:rPr>
        <w:t>literature</w:t>
      </w:r>
      <w:r w:rsidR="00B771EE">
        <w:rPr>
          <w:rFonts w:ascii="Arial" w:hAnsi="Arial" w:cs="Arial"/>
          <w:sz w:val="22"/>
          <w:szCs w:val="22"/>
        </w:rPr>
        <w:t xml:space="preserve"> up as one staff member mentioned that very often a child’s barrier to learning is hunger when they first come to school in the </w:t>
      </w:r>
      <w:r w:rsidR="001F641A">
        <w:rPr>
          <w:rFonts w:ascii="Arial" w:hAnsi="Arial" w:cs="Arial"/>
          <w:sz w:val="22"/>
          <w:szCs w:val="22"/>
        </w:rPr>
        <w:t>morning</w:t>
      </w:r>
      <w:r w:rsidR="00B771EE">
        <w:rPr>
          <w:rFonts w:ascii="Arial" w:hAnsi="Arial" w:cs="Arial"/>
          <w:sz w:val="22"/>
          <w:szCs w:val="22"/>
        </w:rPr>
        <w:t xml:space="preserve">. Allowing pupils to access Martello, check in and have breakfast there for could give credibility to the </w:t>
      </w:r>
      <w:r w:rsidR="00C51052">
        <w:rPr>
          <w:rFonts w:ascii="Arial" w:hAnsi="Arial" w:cs="Arial"/>
          <w:sz w:val="22"/>
          <w:szCs w:val="22"/>
        </w:rPr>
        <w:t xml:space="preserve">previously mentioned </w:t>
      </w:r>
      <w:r w:rsidR="00B771EE">
        <w:rPr>
          <w:rFonts w:ascii="Arial" w:hAnsi="Arial" w:cs="Arial"/>
          <w:sz w:val="22"/>
          <w:szCs w:val="22"/>
        </w:rPr>
        <w:t xml:space="preserve">literature from </w:t>
      </w:r>
      <w:r w:rsidR="00B771EE">
        <w:rPr>
          <w:color w:val="000000"/>
        </w:rPr>
        <w:t>Thomas, Thomas and Senedd Research, Welsh Parliament (2023)</w:t>
      </w:r>
      <w:r w:rsidR="00B771EE">
        <w:rPr>
          <w:color w:val="000000"/>
        </w:rPr>
        <w:t xml:space="preserve"> who state that poverty affects a child’s educational attainment levels.</w:t>
      </w:r>
      <w:r w:rsidR="00C51052">
        <w:rPr>
          <w:color w:val="000000"/>
        </w:rPr>
        <w:t xml:space="preserve"> The group observation showed that many </w:t>
      </w:r>
      <w:r w:rsidR="001F641A">
        <w:rPr>
          <w:color w:val="000000"/>
        </w:rPr>
        <w:t>pupils</w:t>
      </w:r>
      <w:r w:rsidR="00C51052">
        <w:rPr>
          <w:color w:val="000000"/>
        </w:rPr>
        <w:t xml:space="preserve"> who access </w:t>
      </w:r>
      <w:r w:rsidR="001F641A">
        <w:rPr>
          <w:color w:val="000000"/>
        </w:rPr>
        <w:t>Martello</w:t>
      </w:r>
      <w:r w:rsidR="00C51052">
        <w:rPr>
          <w:color w:val="000000"/>
        </w:rPr>
        <w:t xml:space="preserve"> have very individual needs. During the observation one child became dysregulated which gave the </w:t>
      </w:r>
      <w:r w:rsidR="001F641A">
        <w:rPr>
          <w:color w:val="000000"/>
        </w:rPr>
        <w:t>opportunity</w:t>
      </w:r>
      <w:r w:rsidR="00C51052">
        <w:rPr>
          <w:color w:val="000000"/>
        </w:rPr>
        <w:t xml:space="preserve"> to observe the </w:t>
      </w:r>
      <w:r w:rsidR="001F641A">
        <w:rPr>
          <w:color w:val="000000"/>
        </w:rPr>
        <w:t>self-regulation</w:t>
      </w:r>
      <w:r w:rsidR="00C51052">
        <w:rPr>
          <w:color w:val="000000"/>
        </w:rPr>
        <w:t xml:space="preserve"> area being used. This could give confirmability to the previously mentioned literature from </w:t>
      </w:r>
      <w:r w:rsidR="00C51052">
        <w:rPr>
          <w:color w:val="000000"/>
        </w:rPr>
        <w:t>Cowie et al.</w:t>
      </w:r>
      <w:r w:rsidR="00C51052">
        <w:rPr>
          <w:color w:val="000000"/>
        </w:rPr>
        <w:t xml:space="preserve"> who suggested that for practitioners to promote pupil</w:t>
      </w:r>
      <w:r w:rsidR="00AA1AE1">
        <w:rPr>
          <w:color w:val="000000"/>
        </w:rPr>
        <w:t xml:space="preserve"> </w:t>
      </w:r>
      <w:r w:rsidR="00C51052">
        <w:rPr>
          <w:color w:val="000000"/>
        </w:rPr>
        <w:t>emotional</w:t>
      </w:r>
      <w:r w:rsidR="00AA1AE1">
        <w:rPr>
          <w:color w:val="000000"/>
        </w:rPr>
        <w:t xml:space="preserve"> </w:t>
      </w:r>
      <w:r w:rsidR="00C51052">
        <w:rPr>
          <w:color w:val="000000"/>
        </w:rPr>
        <w:t xml:space="preserve">wellbeing they must teach them to </w:t>
      </w:r>
      <w:r w:rsidR="001F641A">
        <w:rPr>
          <w:color w:val="000000"/>
        </w:rPr>
        <w:t>understand</w:t>
      </w:r>
      <w:r w:rsidR="00C51052">
        <w:rPr>
          <w:color w:val="000000"/>
        </w:rPr>
        <w:t xml:space="preserve"> their own emotions. </w:t>
      </w:r>
    </w:p>
    <w:p w14:paraId="17FD763C" w14:textId="35804490" w:rsidR="003707EB" w:rsidRDefault="003707EB" w:rsidP="0028294C">
      <w:pPr>
        <w:rPr>
          <w:color w:val="000000"/>
        </w:rPr>
      </w:pPr>
      <w:r>
        <w:rPr>
          <w:color w:val="000000"/>
        </w:rPr>
        <w:t xml:space="preserve">Secondly, this section will discuss the findings from staff </w:t>
      </w:r>
      <w:r w:rsidRPr="00B96E94">
        <w:rPr>
          <w:color w:val="000000"/>
        </w:rPr>
        <w:t>interviews (see appendix 7a).</w:t>
      </w:r>
      <w:r w:rsidR="00810D75">
        <w:rPr>
          <w:color w:val="000000"/>
        </w:rPr>
        <w:t xml:space="preserve"> The staff interviews backed up much of the content </w:t>
      </w:r>
      <w:r w:rsidR="001F641A">
        <w:rPr>
          <w:color w:val="000000"/>
        </w:rPr>
        <w:t>also</w:t>
      </w:r>
      <w:r w:rsidR="00810D75">
        <w:rPr>
          <w:color w:val="000000"/>
        </w:rPr>
        <w:t xml:space="preserve"> covered in the staff questionnaires, as a result of this the data will be </w:t>
      </w:r>
      <w:r w:rsidR="001F641A">
        <w:rPr>
          <w:color w:val="000000"/>
        </w:rPr>
        <w:t>discussed</w:t>
      </w:r>
      <w:r w:rsidR="00810D75">
        <w:rPr>
          <w:color w:val="000000"/>
        </w:rPr>
        <w:t xml:space="preserve"> together </w:t>
      </w:r>
      <w:r w:rsidR="00810D75" w:rsidRPr="00B96E94">
        <w:rPr>
          <w:color w:val="000000"/>
        </w:rPr>
        <w:t>here (see appendix 8).</w:t>
      </w:r>
      <w:r>
        <w:rPr>
          <w:color w:val="000000"/>
        </w:rPr>
        <w:t xml:space="preserve"> </w:t>
      </w:r>
      <w:r w:rsidR="005754D7">
        <w:rPr>
          <w:color w:val="000000"/>
        </w:rPr>
        <w:t xml:space="preserve">The purpose of the staff interviews </w:t>
      </w:r>
      <w:proofErr w:type="gramStart"/>
      <w:r w:rsidR="005754D7">
        <w:rPr>
          <w:color w:val="000000"/>
        </w:rPr>
        <w:t>were</w:t>
      </w:r>
      <w:proofErr w:type="gramEnd"/>
      <w:r w:rsidR="005754D7">
        <w:rPr>
          <w:color w:val="000000"/>
        </w:rPr>
        <w:t xml:space="preserve"> to gain an insight into staff members </w:t>
      </w:r>
      <w:r w:rsidR="001F641A">
        <w:rPr>
          <w:color w:val="000000"/>
        </w:rPr>
        <w:t>perceptions</w:t>
      </w:r>
      <w:r w:rsidR="005754D7">
        <w:rPr>
          <w:color w:val="000000"/>
        </w:rPr>
        <w:t xml:space="preserve"> </w:t>
      </w:r>
      <w:r w:rsidR="001F641A">
        <w:rPr>
          <w:color w:val="000000"/>
        </w:rPr>
        <w:t>experiences</w:t>
      </w:r>
      <w:r w:rsidR="005754D7">
        <w:rPr>
          <w:color w:val="000000"/>
        </w:rPr>
        <w:t xml:space="preserve"> and role in implementing emotional wellbeing strategies. The </w:t>
      </w:r>
      <w:r w:rsidR="001F641A">
        <w:rPr>
          <w:color w:val="000000"/>
        </w:rPr>
        <w:t>first</w:t>
      </w:r>
      <w:r w:rsidR="005754D7">
        <w:rPr>
          <w:color w:val="000000"/>
        </w:rPr>
        <w:t xml:space="preserve"> common subject that arose was the use of Emotional Literacy Support Assistants (ELSA’s). </w:t>
      </w:r>
      <w:r w:rsidR="001F641A">
        <w:rPr>
          <w:color w:val="000000"/>
        </w:rPr>
        <w:t>T</w:t>
      </w:r>
      <w:r w:rsidR="005754D7">
        <w:rPr>
          <w:color w:val="000000"/>
        </w:rPr>
        <w:t xml:space="preserve">hese staff members </w:t>
      </w:r>
      <w:r w:rsidR="001F641A">
        <w:rPr>
          <w:color w:val="000000"/>
        </w:rPr>
        <w:t>support pupils</w:t>
      </w:r>
      <w:r w:rsidR="005754D7">
        <w:rPr>
          <w:color w:val="000000"/>
        </w:rPr>
        <w:t xml:space="preserve"> with their emotional needs through daily check ins and more </w:t>
      </w:r>
      <w:r w:rsidR="001F641A">
        <w:rPr>
          <w:color w:val="000000"/>
        </w:rPr>
        <w:t>specific</w:t>
      </w:r>
      <w:r w:rsidR="005754D7">
        <w:rPr>
          <w:color w:val="000000"/>
        </w:rPr>
        <w:t xml:space="preserve"> individual support sessions. Generally, staff members suggested that having a designated ELSA allows for all children to check in and have a follow up discussion with a familiar adult if they check in low. </w:t>
      </w:r>
      <w:r w:rsidR="001F641A">
        <w:rPr>
          <w:color w:val="000000"/>
        </w:rPr>
        <w:t>However,</w:t>
      </w:r>
      <w:r w:rsidR="005754D7">
        <w:rPr>
          <w:color w:val="000000"/>
        </w:rPr>
        <w:t xml:space="preserve"> some limitations were mentioned including the workload of the ELSA’s can vary day to day with some days having very few low </w:t>
      </w:r>
      <w:r w:rsidR="001F641A">
        <w:rPr>
          <w:color w:val="000000"/>
        </w:rPr>
        <w:t>check</w:t>
      </w:r>
      <w:r w:rsidR="005754D7">
        <w:rPr>
          <w:color w:val="000000"/>
        </w:rPr>
        <w:t xml:space="preserve"> ins and other days having a large percentage of the class check in low, this can be time consuming and mean that the children have a delayed follow up. Funding was also mentioned </w:t>
      </w:r>
      <w:r w:rsidR="001F641A">
        <w:rPr>
          <w:color w:val="000000"/>
        </w:rPr>
        <w:t>in regard to</w:t>
      </w:r>
      <w:r w:rsidR="005754D7">
        <w:rPr>
          <w:color w:val="000000"/>
        </w:rPr>
        <w:t xml:space="preserve"> potential limitations as staff members must be trained to be ELSA’s.</w:t>
      </w:r>
      <w:r w:rsidR="001D6725">
        <w:rPr>
          <w:color w:val="000000"/>
        </w:rPr>
        <w:t xml:space="preserve"> This links to</w:t>
      </w:r>
      <w:r w:rsidR="001F641A">
        <w:rPr>
          <w:color w:val="000000"/>
        </w:rPr>
        <w:t>,</w:t>
      </w:r>
      <w:r w:rsidR="001D6725">
        <w:rPr>
          <w:color w:val="000000"/>
        </w:rPr>
        <w:t xml:space="preserve"> but also challenges the previously mentioned literature from </w:t>
      </w:r>
      <w:r w:rsidR="001D6725">
        <w:rPr>
          <w:color w:val="000000"/>
        </w:rPr>
        <w:t>Barry, Clarke and Dowling</w:t>
      </w:r>
      <w:r w:rsidR="001D6725">
        <w:rPr>
          <w:color w:val="000000"/>
        </w:rPr>
        <w:t xml:space="preserve"> </w:t>
      </w:r>
      <w:r w:rsidR="001F641A">
        <w:rPr>
          <w:color w:val="000000"/>
        </w:rPr>
        <w:t>who</w:t>
      </w:r>
      <w:r w:rsidR="001D6725">
        <w:rPr>
          <w:color w:val="000000"/>
        </w:rPr>
        <w:t xml:space="preserve"> suggested that a barrier to emotional wellbeing support strategies can be a lack of support or guidance from schools and also </w:t>
      </w:r>
      <w:r w:rsidR="001F641A">
        <w:rPr>
          <w:color w:val="000000"/>
        </w:rPr>
        <w:t>funding</w:t>
      </w:r>
      <w:r w:rsidR="001D6725">
        <w:rPr>
          <w:color w:val="000000"/>
        </w:rPr>
        <w:t xml:space="preserve">. </w:t>
      </w:r>
      <w:r w:rsidR="001F641A">
        <w:rPr>
          <w:color w:val="000000"/>
        </w:rPr>
        <w:t>Whilst</w:t>
      </w:r>
      <w:r w:rsidR="001D6725">
        <w:rPr>
          <w:color w:val="000000"/>
        </w:rPr>
        <w:t xml:space="preserve"> funding was mentioned as a barrier it also </w:t>
      </w:r>
      <w:r w:rsidR="001F641A">
        <w:rPr>
          <w:color w:val="000000"/>
        </w:rPr>
        <w:t>suggests</w:t>
      </w:r>
      <w:r w:rsidR="001D6725">
        <w:rPr>
          <w:color w:val="000000"/>
        </w:rPr>
        <w:t xml:space="preserve"> that the school places </w:t>
      </w:r>
      <w:r w:rsidR="001F641A">
        <w:rPr>
          <w:color w:val="000000"/>
        </w:rPr>
        <w:t>high</w:t>
      </w:r>
      <w:r w:rsidR="001D6725">
        <w:rPr>
          <w:color w:val="000000"/>
        </w:rPr>
        <w:t xml:space="preserve"> importance on this </w:t>
      </w:r>
      <w:r w:rsidR="001F641A">
        <w:rPr>
          <w:color w:val="000000"/>
        </w:rPr>
        <w:t>strategy</w:t>
      </w:r>
      <w:r w:rsidR="001D6725">
        <w:rPr>
          <w:color w:val="000000"/>
        </w:rPr>
        <w:t xml:space="preserve"> as they invest in the training. T</w:t>
      </w:r>
      <w:r w:rsidR="005754D7">
        <w:rPr>
          <w:color w:val="000000"/>
        </w:rPr>
        <w:t xml:space="preserve">he use of ELSA’s within the daily school context </w:t>
      </w:r>
      <w:r w:rsidR="00ED55AE">
        <w:rPr>
          <w:color w:val="000000"/>
        </w:rPr>
        <w:t xml:space="preserve">could link to the previously mentioned literature from Erikson &amp; Bowlby who </w:t>
      </w:r>
      <w:r w:rsidR="001D6725">
        <w:rPr>
          <w:color w:val="000000"/>
        </w:rPr>
        <w:t xml:space="preserve">implied that children need secure </w:t>
      </w:r>
      <w:r w:rsidR="001F641A">
        <w:rPr>
          <w:color w:val="000000"/>
        </w:rPr>
        <w:t>attachments</w:t>
      </w:r>
      <w:r w:rsidR="001D6725">
        <w:rPr>
          <w:color w:val="000000"/>
        </w:rPr>
        <w:t xml:space="preserve"> in order to holistically develop and achieve. </w:t>
      </w:r>
    </w:p>
    <w:p w14:paraId="2F82B7AA" w14:textId="77777777" w:rsidR="001F641A" w:rsidRDefault="001D6725" w:rsidP="0028294C">
      <w:pPr>
        <w:rPr>
          <w:color w:val="000000"/>
        </w:rPr>
      </w:pPr>
      <w:r>
        <w:rPr>
          <w:color w:val="000000"/>
        </w:rPr>
        <w:t xml:space="preserve">Thirdly, this section will discuss the findings of the pupil </w:t>
      </w:r>
      <w:r w:rsidRPr="00B96E94">
        <w:rPr>
          <w:color w:val="000000"/>
        </w:rPr>
        <w:t xml:space="preserve">interviews (see appendix 7b). </w:t>
      </w:r>
      <w:r w:rsidR="00AA1AE1" w:rsidRPr="00B96E94">
        <w:rPr>
          <w:color w:val="000000"/>
        </w:rPr>
        <w:t>Before</w:t>
      </w:r>
      <w:r w:rsidR="00AA1AE1">
        <w:rPr>
          <w:color w:val="000000"/>
        </w:rPr>
        <w:t xml:space="preserve"> discussing the </w:t>
      </w:r>
      <w:r w:rsidR="001F641A">
        <w:rPr>
          <w:color w:val="000000"/>
        </w:rPr>
        <w:t>findings,</w:t>
      </w:r>
      <w:r w:rsidR="00AA1AE1">
        <w:rPr>
          <w:color w:val="000000"/>
        </w:rPr>
        <w:t xml:space="preserve"> it is paramount to mention that a very low number of consent forms were returned to school, limiting the data collected to less than 5 interviews. </w:t>
      </w:r>
    </w:p>
    <w:p w14:paraId="5D7C4813" w14:textId="560B80C8" w:rsidR="001D6725" w:rsidRDefault="00AA1AE1" w:rsidP="0028294C">
      <w:pPr>
        <w:rPr>
          <w:color w:val="000000"/>
        </w:rPr>
      </w:pPr>
      <w:r>
        <w:rPr>
          <w:color w:val="000000"/>
        </w:rPr>
        <w:lastRenderedPageBreak/>
        <w:t xml:space="preserve">Some of the key strategies implemented by class teachers that were mentioned include calm music, talking to friends, daily check ins, </w:t>
      </w:r>
      <w:r w:rsidR="001F641A">
        <w:rPr>
          <w:color w:val="000000"/>
        </w:rPr>
        <w:t>self-regulation</w:t>
      </w:r>
      <w:r>
        <w:rPr>
          <w:color w:val="000000"/>
        </w:rPr>
        <w:t xml:space="preserve"> bags and ‘fun’ lessons. The participants stated that these were the strategies used most frequently in class. The participants could not identify limitations to these </w:t>
      </w:r>
      <w:r w:rsidR="001F641A">
        <w:rPr>
          <w:color w:val="000000"/>
        </w:rPr>
        <w:t>specific</w:t>
      </w:r>
      <w:r>
        <w:rPr>
          <w:color w:val="000000"/>
        </w:rPr>
        <w:t xml:space="preserve"> </w:t>
      </w:r>
      <w:r w:rsidR="001F641A">
        <w:rPr>
          <w:color w:val="000000"/>
        </w:rPr>
        <w:t>strategies,</w:t>
      </w:r>
      <w:r>
        <w:rPr>
          <w:color w:val="000000"/>
        </w:rPr>
        <w:t xml:space="preserve"> but they did discuss some general </w:t>
      </w:r>
      <w:r w:rsidR="001F641A">
        <w:rPr>
          <w:color w:val="000000"/>
        </w:rPr>
        <w:t>limitations</w:t>
      </w:r>
      <w:r>
        <w:rPr>
          <w:color w:val="000000"/>
        </w:rPr>
        <w:t xml:space="preserve"> to their emotional wellbeing. These </w:t>
      </w:r>
      <w:r w:rsidR="001F641A">
        <w:rPr>
          <w:color w:val="000000"/>
        </w:rPr>
        <w:t>include</w:t>
      </w:r>
      <w:r>
        <w:rPr>
          <w:color w:val="000000"/>
        </w:rPr>
        <w:t xml:space="preserve"> not always enjoying school/the </w:t>
      </w:r>
      <w:r w:rsidR="001F641A">
        <w:rPr>
          <w:color w:val="000000"/>
        </w:rPr>
        <w:t>classwork</w:t>
      </w:r>
      <w:r>
        <w:rPr>
          <w:color w:val="000000"/>
        </w:rPr>
        <w:t xml:space="preserve">, </w:t>
      </w:r>
      <w:r w:rsidR="00300FA3">
        <w:rPr>
          <w:color w:val="000000"/>
        </w:rPr>
        <w:t xml:space="preserve">class teachers trying to help but the participants struggling within the class setting and not having enough enjoyable lessons. The pupil interviews suggested that one of the </w:t>
      </w:r>
      <w:r w:rsidR="001F641A">
        <w:rPr>
          <w:color w:val="000000"/>
        </w:rPr>
        <w:t>main</w:t>
      </w:r>
      <w:r w:rsidR="00300FA3">
        <w:rPr>
          <w:color w:val="000000"/>
        </w:rPr>
        <w:t xml:space="preserve"> strengths to most of the strategies was their relationship with their teachers and staff in Martello. This gives further credibility to Erikson’s and Bowlby’s literature as mentioned above. A very definitive theme that came up from the pupil interviews was that most pupils did not feel they had an area in their classrooms that they could go to feel calm/happy. </w:t>
      </w:r>
      <w:r w:rsidR="00300FA3">
        <w:rPr>
          <w:color w:val="000000"/>
        </w:rPr>
        <w:t>Lantieri (2008)</w:t>
      </w:r>
      <w:r w:rsidR="00300FA3">
        <w:rPr>
          <w:color w:val="000000"/>
        </w:rPr>
        <w:t xml:space="preserve"> </w:t>
      </w:r>
      <w:r w:rsidR="005A52E8">
        <w:rPr>
          <w:color w:val="000000"/>
        </w:rPr>
        <w:t xml:space="preserve">highlights the importance of having a calm area in a classroom to give students the capacity to </w:t>
      </w:r>
      <w:r w:rsidR="001F641A">
        <w:rPr>
          <w:color w:val="000000"/>
        </w:rPr>
        <w:t>self-smooth</w:t>
      </w:r>
      <w:r w:rsidR="005A52E8">
        <w:rPr>
          <w:color w:val="000000"/>
        </w:rPr>
        <w:t xml:space="preserve"> &amp; regulate. This could suggest that the school could implement these calm corners to trial emotional </w:t>
      </w:r>
      <w:r w:rsidR="001F641A">
        <w:rPr>
          <w:color w:val="000000"/>
        </w:rPr>
        <w:t>self-regulation</w:t>
      </w:r>
      <w:r w:rsidR="005A52E8">
        <w:rPr>
          <w:color w:val="000000"/>
        </w:rPr>
        <w:t xml:space="preserve"> in the classrooms. </w:t>
      </w:r>
      <w:r w:rsidR="001F641A">
        <w:rPr>
          <w:color w:val="000000"/>
        </w:rPr>
        <w:t>However,</w:t>
      </w:r>
      <w:r w:rsidR="005A52E8">
        <w:rPr>
          <w:color w:val="000000"/>
        </w:rPr>
        <w:t xml:space="preserve"> the school does have the Martello provision readily </w:t>
      </w:r>
      <w:r w:rsidR="001F641A">
        <w:rPr>
          <w:color w:val="000000"/>
        </w:rPr>
        <w:t>accessible</w:t>
      </w:r>
      <w:r w:rsidR="005A52E8">
        <w:rPr>
          <w:color w:val="000000"/>
        </w:rPr>
        <w:t xml:space="preserve"> to all children. </w:t>
      </w:r>
    </w:p>
    <w:p w14:paraId="2CB2DEBA" w14:textId="77777777" w:rsidR="005A52E8" w:rsidRDefault="005A52E8" w:rsidP="0028294C">
      <w:pPr>
        <w:rPr>
          <w:color w:val="000000"/>
        </w:rPr>
      </w:pPr>
    </w:p>
    <w:p w14:paraId="000BC79C" w14:textId="3B1167CD" w:rsidR="005A52E8" w:rsidRDefault="005A52E8" w:rsidP="0028294C">
      <w:pPr>
        <w:rPr>
          <w:color w:val="000000"/>
        </w:rPr>
      </w:pPr>
      <w:r>
        <w:rPr>
          <w:color w:val="000000"/>
        </w:rPr>
        <w:t xml:space="preserve">To conclude this case </w:t>
      </w:r>
      <w:r w:rsidR="001F641A">
        <w:rPr>
          <w:color w:val="000000"/>
        </w:rPr>
        <w:t>study,</w:t>
      </w:r>
      <w:r>
        <w:rPr>
          <w:color w:val="000000"/>
        </w:rPr>
        <w:t xml:space="preserve"> it is paramount to reflect. </w:t>
      </w:r>
      <w:r w:rsidR="00992DDF">
        <w:rPr>
          <w:color w:val="000000"/>
        </w:rPr>
        <w:t xml:space="preserve">The chosen reflective model was Brookfield’s four lenses reflective model. According to </w:t>
      </w:r>
      <w:r w:rsidR="00992DDF">
        <w:rPr>
          <w:color w:val="000000"/>
        </w:rPr>
        <w:t>Miller (2010)</w:t>
      </w:r>
      <w:r w:rsidR="00992DDF">
        <w:rPr>
          <w:color w:val="000000"/>
        </w:rPr>
        <w:t xml:space="preserve"> this can be understood as teachers viewing their research through four different perspectives, ‘the autobiographical, the </w:t>
      </w:r>
      <w:r w:rsidR="001F641A">
        <w:rPr>
          <w:color w:val="000000"/>
        </w:rPr>
        <w:t>students’</w:t>
      </w:r>
      <w:r w:rsidR="00992DDF">
        <w:rPr>
          <w:color w:val="000000"/>
        </w:rPr>
        <w:t xml:space="preserve"> eyes, our </w:t>
      </w:r>
      <w:r w:rsidR="001F641A">
        <w:rPr>
          <w:color w:val="000000"/>
        </w:rPr>
        <w:t>colleagues’</w:t>
      </w:r>
      <w:r w:rsidR="00992DDF">
        <w:rPr>
          <w:color w:val="000000"/>
        </w:rPr>
        <w:t xml:space="preserve"> experiences and </w:t>
      </w:r>
      <w:r w:rsidR="001F641A">
        <w:rPr>
          <w:color w:val="000000"/>
        </w:rPr>
        <w:t>theoretical</w:t>
      </w:r>
      <w:r w:rsidR="00992DDF">
        <w:rPr>
          <w:color w:val="000000"/>
        </w:rPr>
        <w:t xml:space="preserve"> literature’.</w:t>
      </w:r>
      <w:r w:rsidR="00C573AF">
        <w:rPr>
          <w:color w:val="000000"/>
        </w:rPr>
        <w:t xml:space="preserve"> This case study has </w:t>
      </w:r>
      <w:r w:rsidR="001F641A">
        <w:rPr>
          <w:color w:val="000000"/>
        </w:rPr>
        <w:t>demonstrated</w:t>
      </w:r>
      <w:r w:rsidR="00C573AF">
        <w:rPr>
          <w:color w:val="000000"/>
        </w:rPr>
        <w:t xml:space="preserve"> to me the paramount importance that promoting emotional wellbeing of pupils has. Not only does it improve outcomes for </w:t>
      </w:r>
      <w:r w:rsidR="001F641A">
        <w:rPr>
          <w:color w:val="000000"/>
        </w:rPr>
        <w:t>pupils’</w:t>
      </w:r>
      <w:r w:rsidR="00C573AF">
        <w:rPr>
          <w:color w:val="000000"/>
        </w:rPr>
        <w:t xml:space="preserve"> wellbeing, </w:t>
      </w:r>
      <w:r w:rsidR="001F641A">
        <w:rPr>
          <w:color w:val="000000"/>
        </w:rPr>
        <w:t>but the research</w:t>
      </w:r>
      <w:r w:rsidR="00C573AF">
        <w:rPr>
          <w:color w:val="000000"/>
        </w:rPr>
        <w:t xml:space="preserve"> has also suggested that it can promote </w:t>
      </w:r>
      <w:r w:rsidR="001F641A">
        <w:rPr>
          <w:color w:val="000000"/>
        </w:rPr>
        <w:t>children’s</w:t>
      </w:r>
      <w:r w:rsidR="00C573AF">
        <w:rPr>
          <w:color w:val="000000"/>
        </w:rPr>
        <w:t xml:space="preserve"> educational attainment due to </w:t>
      </w:r>
      <w:r w:rsidR="001F641A">
        <w:rPr>
          <w:color w:val="000000"/>
        </w:rPr>
        <w:t xml:space="preserve">them </w:t>
      </w:r>
      <w:r w:rsidR="00C573AF">
        <w:rPr>
          <w:color w:val="000000"/>
        </w:rPr>
        <w:t xml:space="preserve">being regulated and supported. The data from the pupil interviews suggest that they can recognise many wellbeing support </w:t>
      </w:r>
      <w:r w:rsidR="001F641A">
        <w:rPr>
          <w:color w:val="000000"/>
        </w:rPr>
        <w:t>strategies</w:t>
      </w:r>
      <w:r w:rsidR="00C573AF">
        <w:rPr>
          <w:color w:val="000000"/>
        </w:rPr>
        <w:t xml:space="preserve"> that are being implemented and are </w:t>
      </w:r>
      <w:r w:rsidR="001F641A">
        <w:rPr>
          <w:color w:val="000000"/>
        </w:rPr>
        <w:t>able</w:t>
      </w:r>
      <w:r w:rsidR="00C573AF">
        <w:rPr>
          <w:color w:val="000000"/>
        </w:rPr>
        <w:t xml:space="preserve"> to det</w:t>
      </w:r>
      <w:r w:rsidR="001F641A">
        <w:rPr>
          <w:color w:val="000000"/>
        </w:rPr>
        <w:t>e</w:t>
      </w:r>
      <w:r w:rsidR="00C573AF">
        <w:rPr>
          <w:color w:val="000000"/>
        </w:rPr>
        <w:t>r</w:t>
      </w:r>
      <w:r w:rsidR="001F641A">
        <w:rPr>
          <w:color w:val="000000"/>
        </w:rPr>
        <w:t>min</w:t>
      </w:r>
      <w:r w:rsidR="00C573AF">
        <w:rPr>
          <w:color w:val="000000"/>
        </w:rPr>
        <w:t xml:space="preserve">e which ones are most effective for them. The data also suggests that having a provision such as Martello that is dedicated to promoting wellbeing outcomes is welcomed by pupils and regularly used appropriately. The staff interviews and questionnaires suggest that all staff feel it is a shared responsibility to promote </w:t>
      </w:r>
      <w:r w:rsidR="00D22F38">
        <w:rPr>
          <w:color w:val="000000"/>
        </w:rPr>
        <w:t>emotional</w:t>
      </w:r>
      <w:r w:rsidR="00C573AF">
        <w:rPr>
          <w:color w:val="000000"/>
        </w:rPr>
        <w:t xml:space="preserve"> wellbeing and that </w:t>
      </w:r>
      <w:r w:rsidR="00D22F38">
        <w:rPr>
          <w:color w:val="000000"/>
        </w:rPr>
        <w:t>regular</w:t>
      </w:r>
      <w:r w:rsidR="00C573AF">
        <w:rPr>
          <w:color w:val="000000"/>
        </w:rPr>
        <w:t xml:space="preserve"> training is provided despite funding being a clear barrier. The staff identified on many occasions just how </w:t>
      </w:r>
      <w:r w:rsidR="00D22F38">
        <w:rPr>
          <w:color w:val="000000"/>
        </w:rPr>
        <w:t>beneficial</w:t>
      </w:r>
      <w:r w:rsidR="00C573AF">
        <w:rPr>
          <w:color w:val="000000"/>
        </w:rPr>
        <w:t xml:space="preserve"> they felt the ELSA’s were. </w:t>
      </w:r>
      <w:r w:rsidR="00FF5EFF">
        <w:rPr>
          <w:color w:val="000000"/>
        </w:rPr>
        <w:t xml:space="preserve">After gathering all data </w:t>
      </w:r>
      <w:proofErr w:type="gramStart"/>
      <w:r w:rsidR="00FF5EFF">
        <w:rPr>
          <w:color w:val="000000"/>
        </w:rPr>
        <w:t>findings</w:t>
      </w:r>
      <w:proofErr w:type="gramEnd"/>
      <w:r w:rsidR="00FF5EFF">
        <w:rPr>
          <w:color w:val="000000"/>
        </w:rPr>
        <w:t xml:space="preserve"> it was </w:t>
      </w:r>
      <w:r w:rsidR="00D22F38">
        <w:rPr>
          <w:color w:val="000000"/>
        </w:rPr>
        <w:t>clear</w:t>
      </w:r>
      <w:r w:rsidR="00FF5EFF">
        <w:rPr>
          <w:color w:val="000000"/>
        </w:rPr>
        <w:t xml:space="preserve"> to see how the </w:t>
      </w:r>
      <w:r w:rsidR="00D22F38">
        <w:rPr>
          <w:color w:val="000000"/>
        </w:rPr>
        <w:t>literature</w:t>
      </w:r>
      <w:r w:rsidR="00FF5EFF">
        <w:rPr>
          <w:color w:val="000000"/>
        </w:rPr>
        <w:t xml:space="preserve"> </w:t>
      </w:r>
      <w:r w:rsidR="00D22F38">
        <w:rPr>
          <w:color w:val="000000"/>
        </w:rPr>
        <w:t>mentioned</w:t>
      </w:r>
      <w:r w:rsidR="00FF5EFF">
        <w:rPr>
          <w:color w:val="000000"/>
        </w:rPr>
        <w:t xml:space="preserve"> throughout this essay easily linked to the current every day practice within the school. As mentioned above, moving forward the school could implement </w:t>
      </w:r>
      <w:r w:rsidR="00D22F38">
        <w:rPr>
          <w:color w:val="000000"/>
        </w:rPr>
        <w:t>self-regulation</w:t>
      </w:r>
      <w:r w:rsidR="00FF5EFF">
        <w:rPr>
          <w:color w:val="000000"/>
        </w:rPr>
        <w:t xml:space="preserve"> </w:t>
      </w:r>
      <w:r w:rsidR="00D22F38">
        <w:rPr>
          <w:color w:val="000000"/>
        </w:rPr>
        <w:t>areas</w:t>
      </w:r>
      <w:r w:rsidR="00FF5EFF">
        <w:rPr>
          <w:color w:val="000000"/>
        </w:rPr>
        <w:t xml:space="preserve"> within the classrooms, this is something I will take forward in my future practice and </w:t>
      </w:r>
      <w:r w:rsidR="00D22F38">
        <w:rPr>
          <w:color w:val="000000"/>
        </w:rPr>
        <w:t>ensure</w:t>
      </w:r>
      <w:r w:rsidR="00FF5EFF">
        <w:rPr>
          <w:color w:val="000000"/>
        </w:rPr>
        <w:t xml:space="preserve"> that I have the </w:t>
      </w:r>
      <w:r w:rsidR="00D22F38">
        <w:rPr>
          <w:color w:val="000000"/>
        </w:rPr>
        <w:t>resources</w:t>
      </w:r>
      <w:r w:rsidR="00FF5EFF">
        <w:rPr>
          <w:color w:val="000000"/>
        </w:rPr>
        <w:t xml:space="preserve"> available to aid children in understanding and managing their </w:t>
      </w:r>
      <w:r w:rsidR="00D22F38">
        <w:rPr>
          <w:color w:val="000000"/>
        </w:rPr>
        <w:t>own</w:t>
      </w:r>
      <w:r w:rsidR="00FF5EFF">
        <w:rPr>
          <w:color w:val="000000"/>
        </w:rPr>
        <w:t xml:space="preserve"> emotions. </w:t>
      </w:r>
      <w:r w:rsidR="00D22F38">
        <w:rPr>
          <w:color w:val="000000"/>
        </w:rPr>
        <w:t>Becoming</w:t>
      </w:r>
      <w:r w:rsidR="00FF5EFF">
        <w:rPr>
          <w:color w:val="000000"/>
        </w:rPr>
        <w:t xml:space="preserve"> dysregulated in class is a clear barrier to educational </w:t>
      </w:r>
      <w:r w:rsidR="00D22F38">
        <w:rPr>
          <w:color w:val="000000"/>
        </w:rPr>
        <w:t>attainment</w:t>
      </w:r>
      <w:r w:rsidR="00FF5EFF">
        <w:rPr>
          <w:color w:val="000000"/>
        </w:rPr>
        <w:t xml:space="preserve"> so I will strive to avoid this </w:t>
      </w:r>
      <w:r w:rsidR="00D22F38">
        <w:rPr>
          <w:color w:val="000000"/>
        </w:rPr>
        <w:t>dysregulation</w:t>
      </w:r>
      <w:r w:rsidR="00FF5EFF">
        <w:rPr>
          <w:color w:val="000000"/>
        </w:rPr>
        <w:t xml:space="preserve"> within my own classroom. </w:t>
      </w:r>
    </w:p>
    <w:p w14:paraId="031D0572" w14:textId="77777777" w:rsidR="00D22F38" w:rsidRDefault="00D22F38" w:rsidP="0028294C">
      <w:pPr>
        <w:rPr>
          <w:color w:val="000000"/>
        </w:rPr>
      </w:pPr>
    </w:p>
    <w:p w14:paraId="7C5278AB" w14:textId="77777777" w:rsidR="00D22F38" w:rsidRDefault="00D22F38" w:rsidP="0028294C">
      <w:pPr>
        <w:rPr>
          <w:color w:val="000000"/>
        </w:rPr>
      </w:pPr>
    </w:p>
    <w:p w14:paraId="3B02A045" w14:textId="77777777" w:rsidR="00D22F38" w:rsidRDefault="00D22F38" w:rsidP="0028294C">
      <w:pPr>
        <w:rPr>
          <w:color w:val="000000"/>
        </w:rPr>
      </w:pPr>
    </w:p>
    <w:p w14:paraId="08C65EA4" w14:textId="77777777" w:rsidR="00D22F38" w:rsidRDefault="00D22F38" w:rsidP="0028294C">
      <w:pPr>
        <w:rPr>
          <w:color w:val="000000"/>
        </w:rPr>
      </w:pPr>
    </w:p>
    <w:p w14:paraId="7A23F9ED" w14:textId="77777777" w:rsidR="00D22F38" w:rsidRDefault="00D22F38" w:rsidP="0028294C">
      <w:pPr>
        <w:rPr>
          <w:color w:val="000000"/>
        </w:rPr>
      </w:pPr>
    </w:p>
    <w:p w14:paraId="6A611C5B" w14:textId="77777777" w:rsidR="00D22F38" w:rsidRDefault="00D22F38" w:rsidP="0028294C">
      <w:pPr>
        <w:rPr>
          <w:color w:val="000000"/>
        </w:rPr>
      </w:pPr>
    </w:p>
    <w:p w14:paraId="02F279C0" w14:textId="77777777" w:rsidR="00D22F38" w:rsidRDefault="00D22F38" w:rsidP="0028294C">
      <w:pPr>
        <w:rPr>
          <w:color w:val="000000"/>
        </w:rPr>
      </w:pPr>
    </w:p>
    <w:p w14:paraId="3B459F15" w14:textId="77777777" w:rsidR="00D22F38" w:rsidRDefault="00D22F38" w:rsidP="0028294C">
      <w:pPr>
        <w:rPr>
          <w:color w:val="000000"/>
        </w:rPr>
      </w:pPr>
    </w:p>
    <w:p w14:paraId="3DF84136" w14:textId="77777777" w:rsidR="00D22F38" w:rsidRDefault="00D22F38" w:rsidP="0028294C">
      <w:pPr>
        <w:rPr>
          <w:color w:val="000000"/>
        </w:rPr>
      </w:pPr>
    </w:p>
    <w:p w14:paraId="2AA6192B" w14:textId="77777777" w:rsidR="00B71E6E" w:rsidRPr="00B71E6E" w:rsidRDefault="00B71E6E" w:rsidP="00B71E6E">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B71E6E">
        <w:rPr>
          <w:rFonts w:ascii="Times New Roman" w:eastAsia="Times New Roman" w:hAnsi="Times New Roman" w:cs="Times New Roman"/>
          <w:b/>
          <w:bCs/>
          <w:color w:val="000000"/>
          <w:kern w:val="36"/>
          <w:sz w:val="36"/>
          <w:szCs w:val="36"/>
          <w:lang w:eastAsia="en-GB"/>
          <w14:ligatures w14:val="none"/>
        </w:rPr>
        <w:lastRenderedPageBreak/>
        <w:t>Reference list</w:t>
      </w:r>
    </w:p>
    <w:p w14:paraId="412043D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Adams, W.C. (2015). Conducting Semi-Structured Interviews. </w:t>
      </w:r>
      <w:r w:rsidRPr="00B71E6E">
        <w:rPr>
          <w:rFonts w:ascii="Times New Roman" w:eastAsia="Times New Roman" w:hAnsi="Times New Roman" w:cs="Times New Roman"/>
          <w:i/>
          <w:iCs/>
          <w:color w:val="000000"/>
          <w:kern w:val="0"/>
          <w:lang w:eastAsia="en-GB"/>
          <w14:ligatures w14:val="none"/>
        </w:rPr>
        <w:t>Handbook of Practical Program Evaluation</w:t>
      </w:r>
      <w:r w:rsidRPr="00B71E6E">
        <w:rPr>
          <w:rFonts w:ascii="Times New Roman" w:eastAsia="Times New Roman" w:hAnsi="Times New Roman" w:cs="Times New Roman"/>
          <w:color w:val="000000"/>
          <w:kern w:val="0"/>
          <w:lang w:eastAsia="en-GB"/>
          <w14:ligatures w14:val="none"/>
        </w:rPr>
        <w:t xml:space="preserve">, [online] 1(4), pp.492–505.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://doi.org/10.1002/9781119171386.ch19</w:t>
      </w:r>
      <w:proofErr w:type="gramEnd"/>
      <w:r w:rsidRPr="00B71E6E">
        <w:rPr>
          <w:rFonts w:ascii="Times New Roman" w:eastAsia="Times New Roman" w:hAnsi="Times New Roman" w:cs="Times New Roman"/>
          <w:color w:val="000000"/>
          <w:kern w:val="0"/>
          <w:lang w:eastAsia="en-GB"/>
          <w14:ligatures w14:val="none"/>
        </w:rPr>
        <w:t>.</w:t>
      </w:r>
    </w:p>
    <w:p w14:paraId="0DD751F2"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Almalki</w:t>
      </w:r>
      <w:proofErr w:type="spellEnd"/>
      <w:r w:rsidRPr="00B71E6E">
        <w:rPr>
          <w:rFonts w:ascii="Times New Roman" w:eastAsia="Times New Roman" w:hAnsi="Times New Roman" w:cs="Times New Roman"/>
          <w:color w:val="000000"/>
          <w:kern w:val="0"/>
          <w:lang w:eastAsia="en-GB"/>
          <w14:ligatures w14:val="none"/>
        </w:rPr>
        <w:t>, S. (2016). Integrating Quantitative and Qualitative Data in Mixed Methods Research--Challenges and Benefits. </w:t>
      </w:r>
      <w:r w:rsidRPr="00B71E6E">
        <w:rPr>
          <w:rFonts w:ascii="Times New Roman" w:eastAsia="Times New Roman" w:hAnsi="Times New Roman" w:cs="Times New Roman"/>
          <w:i/>
          <w:iCs/>
          <w:color w:val="000000"/>
          <w:kern w:val="0"/>
          <w:lang w:eastAsia="en-GB"/>
          <w14:ligatures w14:val="none"/>
        </w:rPr>
        <w:t>Journal of Education and Learning</w:t>
      </w:r>
      <w:r w:rsidRPr="00B71E6E">
        <w:rPr>
          <w:rFonts w:ascii="Times New Roman" w:eastAsia="Times New Roman" w:hAnsi="Times New Roman" w:cs="Times New Roman"/>
          <w:color w:val="000000"/>
          <w:kern w:val="0"/>
          <w:lang w:eastAsia="en-GB"/>
          <w14:ligatures w14:val="none"/>
        </w:rPr>
        <w:t>, [online] 5(3), pp.288–296. Available at: https://eric.ed.gov/?id=EJ1110464 [Accessed 15 Dec. 2023].</w:t>
      </w:r>
    </w:p>
    <w:p w14:paraId="186F654B"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Ayoub, P.M., Wallace, S.J. and Zepeda-Millan, C. (2014). </w:t>
      </w:r>
      <w:r w:rsidRPr="00B71E6E">
        <w:rPr>
          <w:rFonts w:ascii="Times New Roman" w:eastAsia="Times New Roman" w:hAnsi="Times New Roman" w:cs="Times New Roman"/>
          <w:i/>
          <w:iCs/>
          <w:color w:val="000000"/>
          <w:kern w:val="0"/>
          <w:lang w:eastAsia="en-GB"/>
          <w14:ligatures w14:val="none"/>
        </w:rPr>
        <w:t>Triangulation in Social Movement Research</w:t>
      </w:r>
      <w:r w:rsidRPr="00B71E6E">
        <w:rPr>
          <w:rFonts w:ascii="Times New Roman" w:eastAsia="Times New Roman" w:hAnsi="Times New Roman" w:cs="Times New Roman"/>
          <w:color w:val="000000"/>
          <w:kern w:val="0"/>
          <w:lang w:eastAsia="en-GB"/>
          <w14:ligatures w14:val="none"/>
        </w:rPr>
        <w:t>. [online] discovery.ucl.ac.uk. Available at: https://discovery.ucl.ac.uk/id/eprint/10158517/ [Accessed 18 Dec. 2023].</w:t>
      </w:r>
    </w:p>
    <w:p w14:paraId="048DA07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Barry, M.M., Clarke, A.M. and Dowling, K. (2017). Promoting social and emotional well-being in schools. </w:t>
      </w:r>
      <w:r w:rsidRPr="00B71E6E">
        <w:rPr>
          <w:rFonts w:ascii="Times New Roman" w:eastAsia="Times New Roman" w:hAnsi="Times New Roman" w:cs="Times New Roman"/>
          <w:i/>
          <w:iCs/>
          <w:color w:val="000000"/>
          <w:kern w:val="0"/>
          <w:lang w:eastAsia="en-GB"/>
          <w14:ligatures w14:val="none"/>
        </w:rPr>
        <w:t>Health Education</w:t>
      </w:r>
      <w:r w:rsidRPr="00B71E6E">
        <w:rPr>
          <w:rFonts w:ascii="Times New Roman" w:eastAsia="Times New Roman" w:hAnsi="Times New Roman" w:cs="Times New Roman"/>
          <w:color w:val="000000"/>
          <w:kern w:val="0"/>
          <w:lang w:eastAsia="en-GB"/>
          <w14:ligatures w14:val="none"/>
        </w:rPr>
        <w:t xml:space="preserve">, 117(5), pp.434–451.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://doi.org/10.1108/he-11-2016-0057</w:t>
      </w:r>
      <w:proofErr w:type="gramEnd"/>
      <w:r w:rsidRPr="00B71E6E">
        <w:rPr>
          <w:rFonts w:ascii="Times New Roman" w:eastAsia="Times New Roman" w:hAnsi="Times New Roman" w:cs="Times New Roman"/>
          <w:color w:val="000000"/>
          <w:kern w:val="0"/>
          <w:lang w:eastAsia="en-GB"/>
          <w14:ligatures w14:val="none"/>
        </w:rPr>
        <w:t>.</w:t>
      </w:r>
    </w:p>
    <w:p w14:paraId="48512A1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BERA (2018). </w:t>
      </w:r>
      <w:r w:rsidRPr="00B71E6E">
        <w:rPr>
          <w:rFonts w:ascii="Times New Roman" w:eastAsia="Times New Roman" w:hAnsi="Times New Roman" w:cs="Times New Roman"/>
          <w:i/>
          <w:iCs/>
          <w:color w:val="000000"/>
          <w:kern w:val="0"/>
          <w:lang w:eastAsia="en-GB"/>
          <w14:ligatures w14:val="none"/>
        </w:rPr>
        <w:t>Ethical Guidelines for Educational Research, Fourth Edition (2018)</w:t>
      </w:r>
      <w:r w:rsidRPr="00B71E6E">
        <w:rPr>
          <w:rFonts w:ascii="Times New Roman" w:eastAsia="Times New Roman" w:hAnsi="Times New Roman" w:cs="Times New Roman"/>
          <w:color w:val="000000"/>
          <w:kern w:val="0"/>
          <w:lang w:eastAsia="en-GB"/>
          <w14:ligatures w14:val="none"/>
        </w:rPr>
        <w:t>. [online] Bera.ac.uk. Available at: https://www.bera.ac.uk/publication/ethical-guidelines-for-educational-research-2018-online [Accessed 15 Dec. 2023].</w:t>
      </w:r>
    </w:p>
    <w:p w14:paraId="6CC813FC"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Berger, R. (2015). Now I See It, Now I Don’t: Researcher’s Position and Reflexivity in Qualitative Research. </w:t>
      </w:r>
      <w:r w:rsidRPr="00B71E6E">
        <w:rPr>
          <w:rFonts w:ascii="Times New Roman" w:eastAsia="Times New Roman" w:hAnsi="Times New Roman" w:cs="Times New Roman"/>
          <w:i/>
          <w:iCs/>
          <w:color w:val="000000"/>
          <w:kern w:val="0"/>
          <w:lang w:eastAsia="en-GB"/>
          <w14:ligatures w14:val="none"/>
        </w:rPr>
        <w:t>Qualitative Research</w:t>
      </w:r>
      <w:r w:rsidRPr="00B71E6E">
        <w:rPr>
          <w:rFonts w:ascii="Times New Roman" w:eastAsia="Times New Roman" w:hAnsi="Times New Roman" w:cs="Times New Roman"/>
          <w:color w:val="000000"/>
          <w:kern w:val="0"/>
          <w:lang w:eastAsia="en-GB"/>
          <w14:ligatures w14:val="none"/>
        </w:rPr>
        <w:t xml:space="preserve">, [online] 15(2), pp.219–234.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://doi.org/10.1177/1468794112468475</w:t>
      </w:r>
      <w:proofErr w:type="gramEnd"/>
      <w:r w:rsidRPr="00B71E6E">
        <w:rPr>
          <w:rFonts w:ascii="Times New Roman" w:eastAsia="Times New Roman" w:hAnsi="Times New Roman" w:cs="Times New Roman"/>
          <w:color w:val="000000"/>
          <w:kern w:val="0"/>
          <w:lang w:eastAsia="en-GB"/>
          <w14:ligatures w14:val="none"/>
        </w:rPr>
        <w:t>.</w:t>
      </w:r>
    </w:p>
    <w:p w14:paraId="52B398C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Bogdan, R. and Biklen, S. (1997). </w:t>
      </w:r>
      <w:r w:rsidRPr="00B71E6E">
        <w:rPr>
          <w:rFonts w:ascii="Times New Roman" w:eastAsia="Times New Roman" w:hAnsi="Times New Roman" w:cs="Times New Roman"/>
          <w:i/>
          <w:iCs/>
          <w:color w:val="000000"/>
          <w:kern w:val="0"/>
          <w:lang w:eastAsia="en-GB"/>
          <w14:ligatures w14:val="none"/>
        </w:rPr>
        <w:t xml:space="preserve">Third Edition Qualitative Research for Education </w:t>
      </w:r>
      <w:proofErr w:type="gramStart"/>
      <w:r w:rsidRPr="00B71E6E">
        <w:rPr>
          <w:rFonts w:ascii="Times New Roman" w:eastAsia="Times New Roman" w:hAnsi="Times New Roman" w:cs="Times New Roman"/>
          <w:i/>
          <w:iCs/>
          <w:color w:val="000000"/>
          <w:kern w:val="0"/>
          <w:lang w:eastAsia="en-GB"/>
          <w14:ligatures w14:val="none"/>
        </w:rPr>
        <w:t>An</w:t>
      </w:r>
      <w:proofErr w:type="gramEnd"/>
      <w:r w:rsidRPr="00B71E6E">
        <w:rPr>
          <w:rFonts w:ascii="Times New Roman" w:eastAsia="Times New Roman" w:hAnsi="Times New Roman" w:cs="Times New Roman"/>
          <w:i/>
          <w:iCs/>
          <w:color w:val="000000"/>
          <w:kern w:val="0"/>
          <w:lang w:eastAsia="en-GB"/>
          <w14:ligatures w14:val="none"/>
        </w:rPr>
        <w:t xml:space="preserve"> Introduction to Theory and Methods</w:t>
      </w:r>
      <w:r w:rsidRPr="00B71E6E">
        <w:rPr>
          <w:rFonts w:ascii="Times New Roman" w:eastAsia="Times New Roman" w:hAnsi="Times New Roman" w:cs="Times New Roman"/>
          <w:color w:val="000000"/>
          <w:kern w:val="0"/>
          <w:lang w:eastAsia="en-GB"/>
          <w14:ligatures w14:val="none"/>
        </w:rPr>
        <w:t>. [online] Available at: http://math.buffalostate.edu/dwilson/MED595/Qualitative_intro.pdf [Accessed 17 Dec. 2023].</w:t>
      </w:r>
    </w:p>
    <w:p w14:paraId="4EF87889"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Braun, V. and Clarke, V. (2006). Using thematic analysis in psychology. </w:t>
      </w:r>
      <w:r w:rsidRPr="00B71E6E">
        <w:rPr>
          <w:rFonts w:ascii="Times New Roman" w:eastAsia="Times New Roman" w:hAnsi="Times New Roman" w:cs="Times New Roman"/>
          <w:i/>
          <w:iCs/>
          <w:color w:val="000000"/>
          <w:kern w:val="0"/>
          <w:lang w:eastAsia="en-GB"/>
          <w14:ligatures w14:val="none"/>
        </w:rPr>
        <w:t>Qualitative Research in Psychology</w:t>
      </w:r>
      <w:r w:rsidRPr="00B71E6E">
        <w:rPr>
          <w:rFonts w:ascii="Times New Roman" w:eastAsia="Times New Roman" w:hAnsi="Times New Roman" w:cs="Times New Roman"/>
          <w:color w:val="000000"/>
          <w:kern w:val="0"/>
          <w:lang w:eastAsia="en-GB"/>
          <w14:ligatures w14:val="none"/>
        </w:rPr>
        <w:t xml:space="preserve">, [online] 3(2), pp.77–101.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://doi.org/10.1191/1478088706qp063oa</w:t>
      </w:r>
      <w:proofErr w:type="gramEnd"/>
      <w:r w:rsidRPr="00B71E6E">
        <w:rPr>
          <w:rFonts w:ascii="Times New Roman" w:eastAsia="Times New Roman" w:hAnsi="Times New Roman" w:cs="Times New Roman"/>
          <w:color w:val="000000"/>
          <w:kern w:val="0"/>
          <w:lang w:eastAsia="en-GB"/>
          <w14:ligatures w14:val="none"/>
        </w:rPr>
        <w:t>.</w:t>
      </w:r>
    </w:p>
    <w:p w14:paraId="2D34F7BD"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Bryman, A. and Burgess, B. (2002). </w:t>
      </w:r>
      <w:proofErr w:type="spellStart"/>
      <w:r w:rsidRPr="00B71E6E">
        <w:rPr>
          <w:rFonts w:ascii="Times New Roman" w:eastAsia="Times New Roman" w:hAnsi="Times New Roman" w:cs="Times New Roman"/>
          <w:i/>
          <w:iCs/>
          <w:color w:val="000000"/>
          <w:kern w:val="0"/>
          <w:lang w:eastAsia="en-GB"/>
          <w14:ligatures w14:val="none"/>
        </w:rPr>
        <w:t>Analyzing</w:t>
      </w:r>
      <w:proofErr w:type="spellEnd"/>
      <w:r w:rsidRPr="00B71E6E">
        <w:rPr>
          <w:rFonts w:ascii="Times New Roman" w:eastAsia="Times New Roman" w:hAnsi="Times New Roman" w:cs="Times New Roman"/>
          <w:i/>
          <w:iCs/>
          <w:color w:val="000000"/>
          <w:kern w:val="0"/>
          <w:lang w:eastAsia="en-GB"/>
          <w14:ligatures w14:val="none"/>
        </w:rPr>
        <w:t xml:space="preserve"> Qualitative Data</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Routledge. Available at: https://books.google.co.uk/books?hl=en&amp;lr=&amp;id=7mmKAgAAQBAJ&amp;oi=fnd&amp;pg=PA89&amp;dq=what+is+qualitative+quantitative+data&amp;ots=GcxomnUlid&amp;sig=aDNdH-sbeAmvbxLbUwZKOS_RQGc#v=onepage&amp;q=what%20is%20qualitative%20quantitative%20data&amp;f=false [Accessed 15 Dec. 2023].</w:t>
      </w:r>
    </w:p>
    <w:p w14:paraId="6410CA9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Choy, L.T. (2014). The Strengths and Weaknesses of Research Methodology: Comparison and Complimentary between Qualitative and Quantitative Approaches. </w:t>
      </w:r>
      <w:r w:rsidRPr="00B71E6E">
        <w:rPr>
          <w:rFonts w:ascii="Times New Roman" w:eastAsia="Times New Roman" w:hAnsi="Times New Roman" w:cs="Times New Roman"/>
          <w:i/>
          <w:iCs/>
          <w:color w:val="000000"/>
          <w:kern w:val="0"/>
          <w:lang w:eastAsia="en-GB"/>
          <w14:ligatures w14:val="none"/>
        </w:rPr>
        <w:t>IOSR Journal of Humanities and Social Science</w:t>
      </w:r>
      <w:r w:rsidRPr="00B71E6E">
        <w:rPr>
          <w:rFonts w:ascii="Times New Roman" w:eastAsia="Times New Roman" w:hAnsi="Times New Roman" w:cs="Times New Roman"/>
          <w:color w:val="000000"/>
          <w:kern w:val="0"/>
          <w:lang w:eastAsia="en-GB"/>
          <w14:ligatures w14:val="none"/>
        </w:rPr>
        <w:t>, [online] 19(4), pp.99–104. Available at: https://iosrjournals.org/iosr-jhss/papers/Vol19-issue4/Version-3/N0194399104.pdf [Accessed 15 Dec. 2023].</w:t>
      </w:r>
    </w:p>
    <w:p w14:paraId="73385D1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Cowie, H., Boardman, C., Dawkins, J. and Jennifer, D. (2004). </w:t>
      </w:r>
      <w:r w:rsidRPr="00B71E6E">
        <w:rPr>
          <w:rFonts w:ascii="Times New Roman" w:eastAsia="Times New Roman" w:hAnsi="Times New Roman" w:cs="Times New Roman"/>
          <w:i/>
          <w:iCs/>
          <w:color w:val="000000"/>
          <w:kern w:val="0"/>
          <w:lang w:eastAsia="en-GB"/>
          <w14:ligatures w14:val="none"/>
        </w:rPr>
        <w:t>Emotional Health and Well-Being: A Practical Guide for Schools</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SAGE. Available at: https://books.google.co.uk/books?hl=en&amp;lr=&amp;id=yCMovmhz3IgC&amp;oi=fnd&amp;pg=PP1&amp;dq=using+strategies+to+promote+emotional+wellbeing+in+classrooms&amp;ots=VCUHgExd3n&amp;sig=ryGuRYX8tRpKiZH-_uIE7bKIerA#v=onepage&amp;q=using%20strategies%20to%20promote%20emotional%20wellbeing%20in%20classrooms&amp;f=false [Accessed 15 Dec. 2023].</w:t>
      </w:r>
    </w:p>
    <w:p w14:paraId="5458269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Cowie, N. (2009). Observation. </w:t>
      </w:r>
      <w:r w:rsidRPr="00B71E6E">
        <w:rPr>
          <w:rFonts w:ascii="Times New Roman" w:eastAsia="Times New Roman" w:hAnsi="Times New Roman" w:cs="Times New Roman"/>
          <w:i/>
          <w:iCs/>
          <w:color w:val="000000"/>
          <w:kern w:val="0"/>
          <w:lang w:eastAsia="en-GB"/>
          <w14:ligatures w14:val="none"/>
        </w:rPr>
        <w:t>Qualitative Research in Applied Linguistics</w:t>
      </w:r>
      <w:r w:rsidRPr="00B71E6E">
        <w:rPr>
          <w:rFonts w:ascii="Times New Roman" w:eastAsia="Times New Roman" w:hAnsi="Times New Roman" w:cs="Times New Roman"/>
          <w:color w:val="000000"/>
          <w:kern w:val="0"/>
          <w:lang w:eastAsia="en-GB"/>
          <w14:ligatures w14:val="none"/>
        </w:rPr>
        <w:t xml:space="preserve">, [online] pp.165–181.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://doi.org/10.1057/9780230239517_8</w:t>
      </w:r>
      <w:proofErr w:type="gramEnd"/>
      <w:r w:rsidRPr="00B71E6E">
        <w:rPr>
          <w:rFonts w:ascii="Times New Roman" w:eastAsia="Times New Roman" w:hAnsi="Times New Roman" w:cs="Times New Roman"/>
          <w:color w:val="000000"/>
          <w:kern w:val="0"/>
          <w:lang w:eastAsia="en-GB"/>
          <w14:ligatures w14:val="none"/>
        </w:rPr>
        <w:t>.</w:t>
      </w:r>
    </w:p>
    <w:p w14:paraId="54CCD2E8"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 xml:space="preserve">Crowe, S., </w:t>
      </w:r>
      <w:proofErr w:type="spellStart"/>
      <w:r w:rsidRPr="00B71E6E">
        <w:rPr>
          <w:rFonts w:ascii="Times New Roman" w:eastAsia="Times New Roman" w:hAnsi="Times New Roman" w:cs="Times New Roman"/>
          <w:color w:val="000000"/>
          <w:kern w:val="0"/>
          <w:lang w:eastAsia="en-GB"/>
          <w14:ligatures w14:val="none"/>
        </w:rPr>
        <w:t>Cresswell</w:t>
      </w:r>
      <w:proofErr w:type="spellEnd"/>
      <w:r w:rsidRPr="00B71E6E">
        <w:rPr>
          <w:rFonts w:ascii="Times New Roman" w:eastAsia="Times New Roman" w:hAnsi="Times New Roman" w:cs="Times New Roman"/>
          <w:color w:val="000000"/>
          <w:kern w:val="0"/>
          <w:lang w:eastAsia="en-GB"/>
          <w14:ligatures w14:val="none"/>
        </w:rPr>
        <w:t xml:space="preserve">, K., Robertson, A., </w:t>
      </w:r>
      <w:proofErr w:type="spellStart"/>
      <w:r w:rsidRPr="00B71E6E">
        <w:rPr>
          <w:rFonts w:ascii="Times New Roman" w:eastAsia="Times New Roman" w:hAnsi="Times New Roman" w:cs="Times New Roman"/>
          <w:color w:val="000000"/>
          <w:kern w:val="0"/>
          <w:lang w:eastAsia="en-GB"/>
          <w14:ligatures w14:val="none"/>
        </w:rPr>
        <w:t>Huby</w:t>
      </w:r>
      <w:proofErr w:type="spellEnd"/>
      <w:r w:rsidRPr="00B71E6E">
        <w:rPr>
          <w:rFonts w:ascii="Times New Roman" w:eastAsia="Times New Roman" w:hAnsi="Times New Roman" w:cs="Times New Roman"/>
          <w:color w:val="000000"/>
          <w:kern w:val="0"/>
          <w:lang w:eastAsia="en-GB"/>
          <w14:ligatures w14:val="none"/>
        </w:rPr>
        <w:t>, G., Avery, A. and Sheikh, A. (2011). The case study approach. </w:t>
      </w:r>
      <w:r w:rsidRPr="00B71E6E">
        <w:rPr>
          <w:rFonts w:ascii="Times New Roman" w:eastAsia="Times New Roman" w:hAnsi="Times New Roman" w:cs="Times New Roman"/>
          <w:i/>
          <w:iCs/>
          <w:color w:val="000000"/>
          <w:kern w:val="0"/>
          <w:lang w:eastAsia="en-GB"/>
          <w14:ligatures w14:val="none"/>
        </w:rPr>
        <w:t>BMC Medical Research Methodology</w:t>
      </w:r>
      <w:r w:rsidRPr="00B71E6E">
        <w:rPr>
          <w:rFonts w:ascii="Times New Roman" w:eastAsia="Times New Roman" w:hAnsi="Times New Roman" w:cs="Times New Roman"/>
          <w:color w:val="000000"/>
          <w:kern w:val="0"/>
          <w:lang w:eastAsia="en-GB"/>
          <w14:ligatures w14:val="none"/>
        </w:rPr>
        <w:t xml:space="preserve">, [online] 11(1).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://doi.org/10.1186/1471-2288-11-100</w:t>
      </w:r>
      <w:proofErr w:type="gramEnd"/>
      <w:r w:rsidRPr="00B71E6E">
        <w:rPr>
          <w:rFonts w:ascii="Times New Roman" w:eastAsia="Times New Roman" w:hAnsi="Times New Roman" w:cs="Times New Roman"/>
          <w:color w:val="000000"/>
          <w:kern w:val="0"/>
          <w:lang w:eastAsia="en-GB"/>
          <w14:ligatures w14:val="none"/>
        </w:rPr>
        <w:t>.</w:t>
      </w:r>
    </w:p>
    <w:p w14:paraId="50C3F1A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DeJonckheere</w:t>
      </w:r>
      <w:proofErr w:type="spellEnd"/>
      <w:r w:rsidRPr="00B71E6E">
        <w:rPr>
          <w:rFonts w:ascii="Times New Roman" w:eastAsia="Times New Roman" w:hAnsi="Times New Roman" w:cs="Times New Roman"/>
          <w:color w:val="000000"/>
          <w:kern w:val="0"/>
          <w:lang w:eastAsia="en-GB"/>
          <w14:ligatures w14:val="none"/>
        </w:rPr>
        <w:t xml:space="preserve">, M. and Vaughn, L.M. (2019). </w:t>
      </w:r>
      <w:proofErr w:type="spellStart"/>
      <w:r w:rsidRPr="00B71E6E">
        <w:rPr>
          <w:rFonts w:ascii="Times New Roman" w:eastAsia="Times New Roman" w:hAnsi="Times New Roman" w:cs="Times New Roman"/>
          <w:color w:val="000000"/>
          <w:kern w:val="0"/>
          <w:lang w:eastAsia="en-GB"/>
          <w14:ligatures w14:val="none"/>
        </w:rPr>
        <w:t>Semistructured</w:t>
      </w:r>
      <w:proofErr w:type="spellEnd"/>
      <w:r w:rsidRPr="00B71E6E">
        <w:rPr>
          <w:rFonts w:ascii="Times New Roman" w:eastAsia="Times New Roman" w:hAnsi="Times New Roman" w:cs="Times New Roman"/>
          <w:color w:val="000000"/>
          <w:kern w:val="0"/>
          <w:lang w:eastAsia="en-GB"/>
          <w14:ligatures w14:val="none"/>
        </w:rPr>
        <w:t xml:space="preserve"> Interviewing in Primary Care Research: </w:t>
      </w:r>
      <w:proofErr w:type="gramStart"/>
      <w:r w:rsidRPr="00B71E6E">
        <w:rPr>
          <w:rFonts w:ascii="Times New Roman" w:eastAsia="Times New Roman" w:hAnsi="Times New Roman" w:cs="Times New Roman"/>
          <w:color w:val="000000"/>
          <w:kern w:val="0"/>
          <w:lang w:eastAsia="en-GB"/>
          <w14:ligatures w14:val="none"/>
        </w:rPr>
        <w:t>a</w:t>
      </w:r>
      <w:proofErr w:type="gramEnd"/>
      <w:r w:rsidRPr="00B71E6E">
        <w:rPr>
          <w:rFonts w:ascii="Times New Roman" w:eastAsia="Times New Roman" w:hAnsi="Times New Roman" w:cs="Times New Roman"/>
          <w:color w:val="000000"/>
          <w:kern w:val="0"/>
          <w:lang w:eastAsia="en-GB"/>
          <w14:ligatures w14:val="none"/>
        </w:rPr>
        <w:t xml:space="preserve"> Balance of Relationship and Rigour. </w:t>
      </w:r>
      <w:r w:rsidRPr="00B71E6E">
        <w:rPr>
          <w:rFonts w:ascii="Times New Roman" w:eastAsia="Times New Roman" w:hAnsi="Times New Roman" w:cs="Times New Roman"/>
          <w:i/>
          <w:iCs/>
          <w:color w:val="000000"/>
          <w:kern w:val="0"/>
          <w:lang w:eastAsia="en-GB"/>
          <w14:ligatures w14:val="none"/>
        </w:rPr>
        <w:t>Family Medicine and Community Health</w:t>
      </w:r>
      <w:r w:rsidRPr="00B71E6E">
        <w:rPr>
          <w:rFonts w:ascii="Times New Roman" w:eastAsia="Times New Roman" w:hAnsi="Times New Roman" w:cs="Times New Roman"/>
          <w:color w:val="000000"/>
          <w:kern w:val="0"/>
          <w:lang w:eastAsia="en-GB"/>
          <w14:ligatures w14:val="none"/>
        </w:rPr>
        <w:t xml:space="preserve">, [online] 7(2).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://doi.org/10.1136/fmch-2018-000057</w:t>
      </w:r>
      <w:proofErr w:type="gramEnd"/>
      <w:r w:rsidRPr="00B71E6E">
        <w:rPr>
          <w:rFonts w:ascii="Times New Roman" w:eastAsia="Times New Roman" w:hAnsi="Times New Roman" w:cs="Times New Roman"/>
          <w:color w:val="000000"/>
          <w:kern w:val="0"/>
          <w:lang w:eastAsia="en-GB"/>
          <w14:ligatures w14:val="none"/>
        </w:rPr>
        <w:t>.</w:t>
      </w:r>
    </w:p>
    <w:p w14:paraId="0819CE8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Dockett, S. and Perry, B. (2010). Researching with Young Children: Seeking Assent. </w:t>
      </w:r>
      <w:r w:rsidRPr="00B71E6E">
        <w:rPr>
          <w:rFonts w:ascii="Times New Roman" w:eastAsia="Times New Roman" w:hAnsi="Times New Roman" w:cs="Times New Roman"/>
          <w:i/>
          <w:iCs/>
          <w:color w:val="000000"/>
          <w:kern w:val="0"/>
          <w:lang w:eastAsia="en-GB"/>
          <w14:ligatures w14:val="none"/>
        </w:rPr>
        <w:t>Child Indicators Research</w:t>
      </w:r>
      <w:r w:rsidRPr="00B71E6E">
        <w:rPr>
          <w:rFonts w:ascii="Times New Roman" w:eastAsia="Times New Roman" w:hAnsi="Times New Roman" w:cs="Times New Roman"/>
          <w:color w:val="000000"/>
          <w:kern w:val="0"/>
          <w:lang w:eastAsia="en-GB"/>
          <w14:ligatures w14:val="none"/>
        </w:rPr>
        <w:t xml:space="preserve">, [online] 4(2), pp.231–247.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://doi.org/10.1007/s12187-010-9084-0</w:t>
      </w:r>
      <w:proofErr w:type="gramEnd"/>
      <w:r w:rsidRPr="00B71E6E">
        <w:rPr>
          <w:rFonts w:ascii="Times New Roman" w:eastAsia="Times New Roman" w:hAnsi="Times New Roman" w:cs="Times New Roman"/>
          <w:color w:val="000000"/>
          <w:kern w:val="0"/>
          <w:lang w:eastAsia="en-GB"/>
          <w14:ligatures w14:val="none"/>
        </w:rPr>
        <w:t>.</w:t>
      </w:r>
    </w:p>
    <w:p w14:paraId="6114385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Estyn (2018). </w:t>
      </w:r>
      <w:r w:rsidRPr="00B71E6E">
        <w:rPr>
          <w:rFonts w:ascii="Times New Roman" w:eastAsia="Times New Roman" w:hAnsi="Times New Roman" w:cs="Times New Roman"/>
          <w:i/>
          <w:iCs/>
          <w:color w:val="000000"/>
          <w:kern w:val="0"/>
          <w:lang w:eastAsia="en-GB"/>
          <w14:ligatures w14:val="none"/>
        </w:rPr>
        <w:t>Teachers as Researchers | Estyn</w:t>
      </w:r>
      <w:r w:rsidRPr="00B71E6E">
        <w:rPr>
          <w:rFonts w:ascii="Times New Roman" w:eastAsia="Times New Roman" w:hAnsi="Times New Roman" w:cs="Times New Roman"/>
          <w:color w:val="000000"/>
          <w:kern w:val="0"/>
          <w:lang w:eastAsia="en-GB"/>
          <w14:ligatures w14:val="none"/>
        </w:rPr>
        <w:t>. [online] www.estyn.gov.wales. Available at: https://www.estyn.gov.wales/effective-practice/teachers-researchers [Accessed 15 Dec. 2023].</w:t>
      </w:r>
    </w:p>
    <w:p w14:paraId="5FC1C5F5"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Farrimond</w:t>
      </w:r>
      <w:proofErr w:type="spellEnd"/>
      <w:r w:rsidRPr="00B71E6E">
        <w:rPr>
          <w:rFonts w:ascii="Times New Roman" w:eastAsia="Times New Roman" w:hAnsi="Times New Roman" w:cs="Times New Roman"/>
          <w:color w:val="000000"/>
          <w:kern w:val="0"/>
          <w:lang w:eastAsia="en-GB"/>
          <w14:ligatures w14:val="none"/>
        </w:rPr>
        <w:t>, H. (2012). </w:t>
      </w:r>
      <w:r w:rsidRPr="00B71E6E">
        <w:rPr>
          <w:rFonts w:ascii="Times New Roman" w:eastAsia="Times New Roman" w:hAnsi="Times New Roman" w:cs="Times New Roman"/>
          <w:i/>
          <w:iCs/>
          <w:color w:val="000000"/>
          <w:kern w:val="0"/>
          <w:lang w:eastAsia="en-GB"/>
          <w14:ligatures w14:val="none"/>
        </w:rPr>
        <w:t>Doing Ethical Research</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Bloomsbury Publishing. Available at: https://books.google.co.uk/books?hl=en&amp;lr=&amp;id=XiNHEAAAQBAJ&amp;oi=fnd&amp;pg=PR2&amp;dq=why+should+research+be+ethical&amp;ots=9rNXboMRK-&amp;sig=DF5VtrURTuy3VBZE-hF_3-WgmE4&amp;redir_esc=y#v=onepage&amp;q=why%20should%20research%20be%20ethical&amp;f=false [Accessed 15 Dec. 2023].</w:t>
      </w:r>
    </w:p>
    <w:p w14:paraId="27D420DF"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Forman, G. and Hall, E. (2013). Wondering With Children: The Importance of Observation in Early Education. </w:t>
      </w:r>
      <w:proofErr w:type="spellStart"/>
      <w:r w:rsidRPr="00B71E6E">
        <w:rPr>
          <w:rFonts w:ascii="Times New Roman" w:eastAsia="Times New Roman" w:hAnsi="Times New Roman" w:cs="Times New Roman"/>
          <w:i/>
          <w:iCs/>
          <w:color w:val="000000"/>
          <w:kern w:val="0"/>
          <w:lang w:eastAsia="en-GB"/>
          <w14:ligatures w14:val="none"/>
        </w:rPr>
        <w:t>LEARNing</w:t>
      </w:r>
      <w:proofErr w:type="spellEnd"/>
      <w:r w:rsidRPr="00B71E6E">
        <w:rPr>
          <w:rFonts w:ascii="Times New Roman" w:eastAsia="Times New Roman" w:hAnsi="Times New Roman" w:cs="Times New Roman"/>
          <w:i/>
          <w:iCs/>
          <w:color w:val="000000"/>
          <w:kern w:val="0"/>
          <w:lang w:eastAsia="en-GB"/>
          <w14:ligatures w14:val="none"/>
        </w:rPr>
        <w:t xml:space="preserve"> Landscapes</w:t>
      </w:r>
      <w:r w:rsidRPr="00B71E6E">
        <w:rPr>
          <w:rFonts w:ascii="Times New Roman" w:eastAsia="Times New Roman" w:hAnsi="Times New Roman" w:cs="Times New Roman"/>
          <w:color w:val="000000"/>
          <w:kern w:val="0"/>
          <w:lang w:eastAsia="en-GB"/>
          <w14:ligatures w14:val="none"/>
        </w:rPr>
        <w:t xml:space="preserve">, [online] 7(1), pp.187–202.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://doi.org/10.36510/learnland.v7i1.637</w:t>
      </w:r>
      <w:proofErr w:type="gramEnd"/>
      <w:r w:rsidRPr="00B71E6E">
        <w:rPr>
          <w:rFonts w:ascii="Times New Roman" w:eastAsia="Times New Roman" w:hAnsi="Times New Roman" w:cs="Times New Roman"/>
          <w:color w:val="000000"/>
          <w:kern w:val="0"/>
          <w:lang w:eastAsia="en-GB"/>
          <w14:ligatures w14:val="none"/>
        </w:rPr>
        <w:t>.</w:t>
      </w:r>
    </w:p>
    <w:p w14:paraId="0FFDCED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Future Generations Commissioner for Wales (2015). </w:t>
      </w:r>
      <w:r w:rsidRPr="00B71E6E">
        <w:rPr>
          <w:rFonts w:ascii="Times New Roman" w:eastAsia="Times New Roman" w:hAnsi="Times New Roman" w:cs="Times New Roman"/>
          <w:i/>
          <w:iCs/>
          <w:color w:val="000000"/>
          <w:kern w:val="0"/>
          <w:lang w:eastAsia="en-GB"/>
          <w14:ligatures w14:val="none"/>
        </w:rPr>
        <w:t>Well-being of Future Generations (Wales) Act 2015</w:t>
      </w:r>
      <w:r w:rsidRPr="00B71E6E">
        <w:rPr>
          <w:rFonts w:ascii="Times New Roman" w:eastAsia="Times New Roman" w:hAnsi="Times New Roman" w:cs="Times New Roman"/>
          <w:color w:val="000000"/>
          <w:kern w:val="0"/>
          <w:lang w:eastAsia="en-GB"/>
          <w14:ligatures w14:val="none"/>
        </w:rPr>
        <w:t>. [online] www.futuregenerations.wales. Available at: https://www.futuregenerations.wales/about-us/future-generations-act/ [Accessed 15 Dec. 2023].</w:t>
      </w:r>
    </w:p>
    <w:p w14:paraId="16F436E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Galletta</w:t>
      </w:r>
      <w:proofErr w:type="spellEnd"/>
      <w:r w:rsidRPr="00B71E6E">
        <w:rPr>
          <w:rFonts w:ascii="Times New Roman" w:eastAsia="Times New Roman" w:hAnsi="Times New Roman" w:cs="Times New Roman"/>
          <w:color w:val="000000"/>
          <w:kern w:val="0"/>
          <w:lang w:eastAsia="en-GB"/>
          <w14:ligatures w14:val="none"/>
        </w:rPr>
        <w:t>, A. (2013). </w:t>
      </w:r>
      <w:r w:rsidRPr="00B71E6E">
        <w:rPr>
          <w:rFonts w:ascii="Times New Roman" w:eastAsia="Times New Roman" w:hAnsi="Times New Roman" w:cs="Times New Roman"/>
          <w:i/>
          <w:iCs/>
          <w:color w:val="000000"/>
          <w:kern w:val="0"/>
          <w:lang w:eastAsia="en-GB"/>
          <w14:ligatures w14:val="none"/>
        </w:rPr>
        <w:t>Mastering the Semi-Structured Interview and Beyond: From Research Design to Analysis and Publication</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NYU Press. Available at: https://books.google.co.uk/books?hl=en&amp;lr=&amp;id=NdbtHg6sPgIC&amp;oi=fnd&amp;pg=PP1&amp;dq=what+is+a+semi+structured+interview&amp;ots=dAwvZTYI-o&amp;sig=0G3Nlp-843DwQkQHL7OWiSx6Zqc&amp;redir_esc=y#v=onepage&amp;q=what%20is%20a%20semi%20structured%20interview&amp;f=false [Accessed 18 Dec. 2023].</w:t>
      </w:r>
    </w:p>
    <w:p w14:paraId="31EA922F"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Heale, R. and Forbes, D. (2013). Understanding Triangulation in Research. </w:t>
      </w:r>
      <w:r w:rsidRPr="00B71E6E">
        <w:rPr>
          <w:rFonts w:ascii="Times New Roman" w:eastAsia="Times New Roman" w:hAnsi="Times New Roman" w:cs="Times New Roman"/>
          <w:i/>
          <w:iCs/>
          <w:color w:val="000000"/>
          <w:kern w:val="0"/>
          <w:lang w:eastAsia="en-GB"/>
          <w14:ligatures w14:val="none"/>
        </w:rPr>
        <w:t>Evidence Based Nursing</w:t>
      </w:r>
      <w:r w:rsidRPr="00B71E6E">
        <w:rPr>
          <w:rFonts w:ascii="Times New Roman" w:eastAsia="Times New Roman" w:hAnsi="Times New Roman" w:cs="Times New Roman"/>
          <w:color w:val="000000"/>
          <w:kern w:val="0"/>
          <w:lang w:eastAsia="en-GB"/>
          <w14:ligatures w14:val="none"/>
        </w:rPr>
        <w:t xml:space="preserve">, [online] 16(4), p.98.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://doi.org/10.1136/eb-2013-101494</w:t>
      </w:r>
      <w:proofErr w:type="gramEnd"/>
      <w:r w:rsidRPr="00B71E6E">
        <w:rPr>
          <w:rFonts w:ascii="Times New Roman" w:eastAsia="Times New Roman" w:hAnsi="Times New Roman" w:cs="Times New Roman"/>
          <w:color w:val="000000"/>
          <w:kern w:val="0"/>
          <w:lang w:eastAsia="en-GB"/>
          <w14:ligatures w14:val="none"/>
        </w:rPr>
        <w:t>.</w:t>
      </w:r>
    </w:p>
    <w:p w14:paraId="0EF6E83F"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Hove, S.E. and Anda, B. (2005). Experiences from Conducting Semi-structured Interviews in Empirical Software Engineering Research. </w:t>
      </w:r>
      <w:r w:rsidRPr="00B71E6E">
        <w:rPr>
          <w:rFonts w:ascii="Times New Roman" w:eastAsia="Times New Roman" w:hAnsi="Times New Roman" w:cs="Times New Roman"/>
          <w:i/>
          <w:iCs/>
          <w:color w:val="000000"/>
          <w:kern w:val="0"/>
          <w:lang w:eastAsia="en-GB"/>
          <w14:ligatures w14:val="none"/>
        </w:rPr>
        <w:t>11th IEEE International Software Metrics Symposium (METRICS’05)</w:t>
      </w:r>
      <w:r w:rsidRPr="00B71E6E">
        <w:rPr>
          <w:rFonts w:ascii="Times New Roman" w:eastAsia="Times New Roman" w:hAnsi="Times New Roman" w:cs="Times New Roman"/>
          <w:color w:val="000000"/>
          <w:kern w:val="0"/>
          <w:lang w:eastAsia="en-GB"/>
          <w14:ligatures w14:val="none"/>
        </w:rPr>
        <w:t xml:space="preserve">. [online]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://doi.org/10.1109/metrics.2005.24</w:t>
      </w:r>
      <w:proofErr w:type="gramEnd"/>
      <w:r w:rsidRPr="00B71E6E">
        <w:rPr>
          <w:rFonts w:ascii="Times New Roman" w:eastAsia="Times New Roman" w:hAnsi="Times New Roman" w:cs="Times New Roman"/>
          <w:color w:val="000000"/>
          <w:kern w:val="0"/>
          <w:lang w:eastAsia="en-GB"/>
          <w14:ligatures w14:val="none"/>
        </w:rPr>
        <w:t>.</w:t>
      </w:r>
    </w:p>
    <w:p w14:paraId="31388431"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Kawulich, B. (2012). </w:t>
      </w:r>
      <w:r w:rsidRPr="00B71E6E">
        <w:rPr>
          <w:rFonts w:ascii="Times New Roman" w:eastAsia="Times New Roman" w:hAnsi="Times New Roman" w:cs="Times New Roman"/>
          <w:i/>
          <w:iCs/>
          <w:color w:val="000000"/>
          <w:kern w:val="0"/>
          <w:lang w:eastAsia="en-GB"/>
          <w14:ligatures w14:val="none"/>
        </w:rPr>
        <w:t>Collecting Data Through Observation</w:t>
      </w:r>
      <w:r w:rsidRPr="00B71E6E">
        <w:rPr>
          <w:rFonts w:ascii="Times New Roman" w:eastAsia="Times New Roman" w:hAnsi="Times New Roman" w:cs="Times New Roman"/>
          <w:color w:val="000000"/>
          <w:kern w:val="0"/>
          <w:lang w:eastAsia="en-GB"/>
          <w14:ligatures w14:val="none"/>
        </w:rPr>
        <w:t>. [online] ResearchGate. Available at: https://www.researchgate.net/publication/257944783_Collecting_data_through_observation [Accessed 18 Dec. 2023].</w:t>
      </w:r>
    </w:p>
    <w:p w14:paraId="6034145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Kircher, R. and Zipp, L. (2022). </w:t>
      </w:r>
      <w:r w:rsidRPr="00B71E6E">
        <w:rPr>
          <w:rFonts w:ascii="Times New Roman" w:eastAsia="Times New Roman" w:hAnsi="Times New Roman" w:cs="Times New Roman"/>
          <w:i/>
          <w:iCs/>
          <w:color w:val="000000"/>
          <w:kern w:val="0"/>
          <w:lang w:eastAsia="en-GB"/>
          <w14:ligatures w14:val="none"/>
        </w:rPr>
        <w:t>Research Methods in Language Attitudes</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Cambridge University Press. Available at: https://books.google.co.uk/books?hl=en&amp;lr=&amp;id=y-ZwEAAAQBAJ&amp;oi=fnd&amp;pg=PA129&amp;dq=using+questionnaires+for+quantitative+data+collection&amp;ots=D6dnmSI9gA&amp;sig=1lJ2jgkDhU3IpB3cmY3ovt7L58w&amp;redir_esc=y#v=onepage&amp;q=using%20questionnaires%20for%20quantitative%20data%20collection&amp;f=false [Accessed 18 Dec. 2023].</w:t>
      </w:r>
    </w:p>
    <w:p w14:paraId="48FCD42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Lantieri, L. (2008). </w:t>
      </w:r>
      <w:r w:rsidRPr="00B71E6E">
        <w:rPr>
          <w:rFonts w:ascii="Times New Roman" w:eastAsia="Times New Roman" w:hAnsi="Times New Roman" w:cs="Times New Roman"/>
          <w:i/>
          <w:iCs/>
          <w:color w:val="000000"/>
          <w:kern w:val="0"/>
          <w:lang w:eastAsia="en-GB"/>
          <w14:ligatures w14:val="none"/>
        </w:rPr>
        <w:t>Nurturing Inner Calm in Children</w:t>
      </w:r>
      <w:r w:rsidRPr="00B71E6E">
        <w:rPr>
          <w:rFonts w:ascii="Times New Roman" w:eastAsia="Times New Roman" w:hAnsi="Times New Roman" w:cs="Times New Roman"/>
          <w:color w:val="000000"/>
          <w:kern w:val="0"/>
          <w:lang w:eastAsia="en-GB"/>
          <w14:ligatures w14:val="none"/>
        </w:rPr>
        <w:t>. [online] Available at: https://www.sterlinghall.com/uploaded/The_Institute/ThinkTanks/Nurturing_Inner_Calm_in_Children.pdf [Accessed 18 Dec. 2023].</w:t>
      </w:r>
    </w:p>
    <w:p w14:paraId="2662A1E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Leavy, P. (2020). </w:t>
      </w:r>
      <w:r w:rsidRPr="00B71E6E">
        <w:rPr>
          <w:rFonts w:ascii="Times New Roman" w:eastAsia="Times New Roman" w:hAnsi="Times New Roman" w:cs="Times New Roman"/>
          <w:i/>
          <w:iCs/>
          <w:color w:val="000000"/>
          <w:kern w:val="0"/>
          <w:lang w:eastAsia="en-GB"/>
          <w14:ligatures w14:val="none"/>
        </w:rPr>
        <w:t>The Oxford Handbook of Qualitative Research</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Oxford University Press. Available at: https://books.google.co.uk/books?hl=en&amp;lr=&amp;id=n771DwAAQBAJ&amp;oi=fnd&amp;pg=PA424&amp;dq=semi+structured+interview+definition&amp;ots=nRGslRxnaJ&amp;sig=bAq2WDfvaVpFui6DnwfveGblZTw#v=onepage&amp;q&amp;f=false [Accessed 18 Dec. 2023].</w:t>
      </w:r>
    </w:p>
    <w:p w14:paraId="30E9B8F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Lefever, S., Dal, M. and Matthíasdóttir, Á. (2007). Online Data Collection in Academic research: Advantages and Limitations. </w:t>
      </w:r>
      <w:r w:rsidRPr="00B71E6E">
        <w:rPr>
          <w:rFonts w:ascii="Times New Roman" w:eastAsia="Times New Roman" w:hAnsi="Times New Roman" w:cs="Times New Roman"/>
          <w:i/>
          <w:iCs/>
          <w:color w:val="000000"/>
          <w:kern w:val="0"/>
          <w:lang w:eastAsia="en-GB"/>
          <w14:ligatures w14:val="none"/>
        </w:rPr>
        <w:t>British Journal of Educational Technology</w:t>
      </w:r>
      <w:r w:rsidRPr="00B71E6E">
        <w:rPr>
          <w:rFonts w:ascii="Times New Roman" w:eastAsia="Times New Roman" w:hAnsi="Times New Roman" w:cs="Times New Roman"/>
          <w:color w:val="000000"/>
          <w:kern w:val="0"/>
          <w:lang w:eastAsia="en-GB"/>
          <w14:ligatures w14:val="none"/>
        </w:rPr>
        <w:t>, [online] 38(4), pp.574–582. Available at: https://bera-journals.onlinelibrary.wiley.com/doi/abs/10.1111/j.1467-8535.2006.00638.x [Accessed 18 Dec. 2023].</w:t>
      </w:r>
    </w:p>
    <w:p w14:paraId="1169AF5B"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McLeod, S. (2023a). </w:t>
      </w:r>
      <w:r w:rsidRPr="00B71E6E">
        <w:rPr>
          <w:rFonts w:ascii="Times New Roman" w:eastAsia="Times New Roman" w:hAnsi="Times New Roman" w:cs="Times New Roman"/>
          <w:i/>
          <w:iCs/>
          <w:color w:val="000000"/>
          <w:kern w:val="0"/>
          <w:lang w:eastAsia="en-GB"/>
          <w14:ligatures w14:val="none"/>
        </w:rPr>
        <w:t>Bowlby’s Attachment Theory</w:t>
      </w:r>
      <w:r w:rsidRPr="00B71E6E">
        <w:rPr>
          <w:rFonts w:ascii="Times New Roman" w:eastAsia="Times New Roman" w:hAnsi="Times New Roman" w:cs="Times New Roman"/>
          <w:color w:val="000000"/>
          <w:kern w:val="0"/>
          <w:lang w:eastAsia="en-GB"/>
          <w14:ligatures w14:val="none"/>
        </w:rPr>
        <w:t>. [online] Simplypsychology.org. Available at: https://www.simplypsychology.org/bowlby.html [Accessed 15 Dec. 2023].</w:t>
      </w:r>
    </w:p>
    <w:p w14:paraId="1E78DE7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McLeod, S. (2023b). </w:t>
      </w:r>
      <w:r w:rsidRPr="00B71E6E">
        <w:rPr>
          <w:rFonts w:ascii="Times New Roman" w:eastAsia="Times New Roman" w:hAnsi="Times New Roman" w:cs="Times New Roman"/>
          <w:i/>
          <w:iCs/>
          <w:color w:val="000000"/>
          <w:kern w:val="0"/>
          <w:lang w:eastAsia="en-GB"/>
          <w14:ligatures w14:val="none"/>
        </w:rPr>
        <w:t>Maslow’s Hierarchy of Needs</w:t>
      </w:r>
      <w:r w:rsidRPr="00B71E6E">
        <w:rPr>
          <w:rFonts w:ascii="Times New Roman" w:eastAsia="Times New Roman" w:hAnsi="Times New Roman" w:cs="Times New Roman"/>
          <w:color w:val="000000"/>
          <w:kern w:val="0"/>
          <w:lang w:eastAsia="en-GB"/>
          <w14:ligatures w14:val="none"/>
        </w:rPr>
        <w:t>. [online] Simply Psychology. Available at: https://www.simplypsychology.org/maslow.html [Accessed 15 Dec. 2023].</w:t>
      </w:r>
    </w:p>
    <w:p w14:paraId="1DFA919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McLeod, S. (2023c). </w:t>
      </w:r>
      <w:r w:rsidRPr="00B71E6E">
        <w:rPr>
          <w:rFonts w:ascii="Times New Roman" w:eastAsia="Times New Roman" w:hAnsi="Times New Roman" w:cs="Times New Roman"/>
          <w:i/>
          <w:iCs/>
          <w:color w:val="000000"/>
          <w:kern w:val="0"/>
          <w:lang w:eastAsia="en-GB"/>
          <w14:ligatures w14:val="none"/>
        </w:rPr>
        <w:t>Qualitative Vs Quantitative Research Methods &amp; Data Analysis</w:t>
      </w:r>
      <w:r w:rsidRPr="00B71E6E">
        <w:rPr>
          <w:rFonts w:ascii="Times New Roman" w:eastAsia="Times New Roman" w:hAnsi="Times New Roman" w:cs="Times New Roman"/>
          <w:color w:val="000000"/>
          <w:kern w:val="0"/>
          <w:lang w:eastAsia="en-GB"/>
          <w14:ligatures w14:val="none"/>
        </w:rPr>
        <w:t>. [online] Simply Psychology. Available at: https://www.simplypsychology.org/qualitative-quantitative.html [Accessed 15 Dec. 2023].</w:t>
      </w:r>
    </w:p>
    <w:p w14:paraId="30AFD6A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Mcleod</w:t>
      </w:r>
      <w:proofErr w:type="spellEnd"/>
      <w:r w:rsidRPr="00B71E6E">
        <w:rPr>
          <w:rFonts w:ascii="Times New Roman" w:eastAsia="Times New Roman" w:hAnsi="Times New Roman" w:cs="Times New Roman"/>
          <w:color w:val="000000"/>
          <w:kern w:val="0"/>
          <w:lang w:eastAsia="en-GB"/>
          <w14:ligatures w14:val="none"/>
        </w:rPr>
        <w:t>, S. (2023). </w:t>
      </w:r>
      <w:r w:rsidRPr="00B71E6E">
        <w:rPr>
          <w:rFonts w:ascii="Times New Roman" w:eastAsia="Times New Roman" w:hAnsi="Times New Roman" w:cs="Times New Roman"/>
          <w:i/>
          <w:iCs/>
          <w:color w:val="000000"/>
          <w:kern w:val="0"/>
          <w:lang w:eastAsia="en-GB"/>
          <w14:ligatures w14:val="none"/>
        </w:rPr>
        <w:t>Erik Erikson’s Stages of Psychosocial Development</w:t>
      </w:r>
      <w:r w:rsidRPr="00B71E6E">
        <w:rPr>
          <w:rFonts w:ascii="Times New Roman" w:eastAsia="Times New Roman" w:hAnsi="Times New Roman" w:cs="Times New Roman"/>
          <w:color w:val="000000"/>
          <w:kern w:val="0"/>
          <w:lang w:eastAsia="en-GB"/>
          <w14:ligatures w14:val="none"/>
        </w:rPr>
        <w:t>. [online] Simply Psychology. Available at: https://www.simplypsychology.org/Erik-Erikson.html [Accessed 15 Dec. 2023].</w:t>
      </w:r>
    </w:p>
    <w:p w14:paraId="64C9754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Miller, B. (2010). </w:t>
      </w:r>
      <w:r w:rsidRPr="00B71E6E">
        <w:rPr>
          <w:rFonts w:ascii="Times New Roman" w:eastAsia="Times New Roman" w:hAnsi="Times New Roman" w:cs="Times New Roman"/>
          <w:i/>
          <w:iCs/>
          <w:color w:val="000000"/>
          <w:kern w:val="0"/>
          <w:lang w:eastAsia="en-GB"/>
          <w14:ligatures w14:val="none"/>
        </w:rPr>
        <w:t>Brookfield’s Four Lenses: Becoming a Critically Reflective Teacher</w:t>
      </w:r>
      <w:r w:rsidRPr="00B71E6E">
        <w:rPr>
          <w:rFonts w:ascii="Times New Roman" w:eastAsia="Times New Roman" w:hAnsi="Times New Roman" w:cs="Times New Roman"/>
          <w:color w:val="000000"/>
          <w:kern w:val="0"/>
          <w:lang w:eastAsia="en-GB"/>
          <w14:ligatures w14:val="none"/>
        </w:rPr>
        <w:t>. [online] Available at: https://valenciacollege.edu/faculty/development/courses-resources/documents/Brookfield_summary.pdf [Accessed 18 Dec. 2023].</w:t>
      </w:r>
    </w:p>
    <w:p w14:paraId="1FA493F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Mills, J. and Earl Rinehart, K. (2019). Teachers as researchers. </w:t>
      </w:r>
      <w:r w:rsidRPr="00B71E6E">
        <w:rPr>
          <w:rFonts w:ascii="Times New Roman" w:eastAsia="Times New Roman" w:hAnsi="Times New Roman" w:cs="Times New Roman"/>
          <w:i/>
          <w:iCs/>
          <w:color w:val="000000"/>
          <w:kern w:val="0"/>
          <w:lang w:eastAsia="en-GB"/>
          <w14:ligatures w14:val="none"/>
        </w:rPr>
        <w:t>Teachers and Curriculum</w:t>
      </w:r>
      <w:r w:rsidRPr="00B71E6E">
        <w:rPr>
          <w:rFonts w:ascii="Times New Roman" w:eastAsia="Times New Roman" w:hAnsi="Times New Roman" w:cs="Times New Roman"/>
          <w:color w:val="000000"/>
          <w:kern w:val="0"/>
          <w:lang w:eastAsia="en-GB"/>
          <w14:ligatures w14:val="none"/>
        </w:rPr>
        <w:t xml:space="preserve">, 19(1), pp.1–5.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://doi.org/10.15663/tandc.v19i1.338</w:t>
      </w:r>
      <w:proofErr w:type="gramEnd"/>
      <w:r w:rsidRPr="00B71E6E">
        <w:rPr>
          <w:rFonts w:ascii="Times New Roman" w:eastAsia="Times New Roman" w:hAnsi="Times New Roman" w:cs="Times New Roman"/>
          <w:color w:val="000000"/>
          <w:kern w:val="0"/>
          <w:lang w:eastAsia="en-GB"/>
          <w14:ligatures w14:val="none"/>
        </w:rPr>
        <w:t>.</w:t>
      </w:r>
    </w:p>
    <w:p w14:paraId="07CC16B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Pembroke Dock Community School (2023). </w:t>
      </w:r>
      <w:r w:rsidRPr="00B71E6E">
        <w:rPr>
          <w:rFonts w:ascii="Times New Roman" w:eastAsia="Times New Roman" w:hAnsi="Times New Roman" w:cs="Times New Roman"/>
          <w:i/>
          <w:iCs/>
          <w:color w:val="000000"/>
          <w:kern w:val="0"/>
          <w:lang w:eastAsia="en-GB"/>
          <w14:ligatures w14:val="none"/>
        </w:rPr>
        <w:t>Pembroke Dock Community School - About us</w:t>
      </w:r>
      <w:r w:rsidRPr="00B71E6E">
        <w:rPr>
          <w:rFonts w:ascii="Times New Roman" w:eastAsia="Times New Roman" w:hAnsi="Times New Roman" w:cs="Times New Roman"/>
          <w:color w:val="000000"/>
          <w:kern w:val="0"/>
          <w:lang w:eastAsia="en-GB"/>
          <w14:ligatures w14:val="none"/>
        </w:rPr>
        <w:t>. [online] sites.google.com. Available at: https://sites.google.com/hwbcymru.net/pdcsprimary/about-us [Accessed 13 Nov. 2023].</w:t>
      </w:r>
    </w:p>
    <w:p w14:paraId="3B8F0FC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Porter, S.R., Whitcomb, M.E. and Weitzer, W.H. (2004). Multiple surveys of students and survey fatigue. </w:t>
      </w:r>
      <w:r w:rsidRPr="00B71E6E">
        <w:rPr>
          <w:rFonts w:ascii="Times New Roman" w:eastAsia="Times New Roman" w:hAnsi="Times New Roman" w:cs="Times New Roman"/>
          <w:i/>
          <w:iCs/>
          <w:color w:val="000000"/>
          <w:kern w:val="0"/>
          <w:lang w:eastAsia="en-GB"/>
          <w14:ligatures w14:val="none"/>
        </w:rPr>
        <w:t>New Directions for Institutional Research</w:t>
      </w:r>
      <w:r w:rsidRPr="00B71E6E">
        <w:rPr>
          <w:rFonts w:ascii="Times New Roman" w:eastAsia="Times New Roman" w:hAnsi="Times New Roman" w:cs="Times New Roman"/>
          <w:color w:val="000000"/>
          <w:kern w:val="0"/>
          <w:lang w:eastAsia="en-GB"/>
          <w14:ligatures w14:val="none"/>
        </w:rPr>
        <w:t xml:space="preserve">, [online] 2004(121), pp.63–73.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://doi.org/10.1002/ir.101</w:t>
      </w:r>
      <w:proofErr w:type="gramEnd"/>
      <w:r w:rsidRPr="00B71E6E">
        <w:rPr>
          <w:rFonts w:ascii="Times New Roman" w:eastAsia="Times New Roman" w:hAnsi="Times New Roman" w:cs="Times New Roman"/>
          <w:color w:val="000000"/>
          <w:kern w:val="0"/>
          <w:lang w:eastAsia="en-GB"/>
          <w14:ligatures w14:val="none"/>
        </w:rPr>
        <w:t>.</w:t>
      </w:r>
    </w:p>
    <w:p w14:paraId="7A5CA40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 xml:space="preserve">Reja, U., </w:t>
      </w:r>
      <w:proofErr w:type="spellStart"/>
      <w:r w:rsidRPr="00B71E6E">
        <w:rPr>
          <w:rFonts w:ascii="Times New Roman" w:eastAsia="Times New Roman" w:hAnsi="Times New Roman" w:cs="Times New Roman"/>
          <w:color w:val="000000"/>
          <w:kern w:val="0"/>
          <w:lang w:eastAsia="en-GB"/>
          <w14:ligatures w14:val="none"/>
        </w:rPr>
        <w:t>Manfreda</w:t>
      </w:r>
      <w:proofErr w:type="spellEnd"/>
      <w:r w:rsidRPr="00B71E6E">
        <w:rPr>
          <w:rFonts w:ascii="Times New Roman" w:eastAsia="Times New Roman" w:hAnsi="Times New Roman" w:cs="Times New Roman"/>
          <w:color w:val="000000"/>
          <w:kern w:val="0"/>
          <w:lang w:eastAsia="en-GB"/>
          <w14:ligatures w14:val="none"/>
        </w:rPr>
        <w:t xml:space="preserve">, K., </w:t>
      </w:r>
      <w:proofErr w:type="spellStart"/>
      <w:r w:rsidRPr="00B71E6E">
        <w:rPr>
          <w:rFonts w:ascii="Times New Roman" w:eastAsia="Times New Roman" w:hAnsi="Times New Roman" w:cs="Times New Roman"/>
          <w:color w:val="000000"/>
          <w:kern w:val="0"/>
          <w:lang w:eastAsia="en-GB"/>
          <w14:ligatures w14:val="none"/>
        </w:rPr>
        <w:t>Hlebec</w:t>
      </w:r>
      <w:proofErr w:type="spellEnd"/>
      <w:r w:rsidRPr="00B71E6E">
        <w:rPr>
          <w:rFonts w:ascii="Times New Roman" w:eastAsia="Times New Roman" w:hAnsi="Times New Roman" w:cs="Times New Roman"/>
          <w:color w:val="000000"/>
          <w:kern w:val="0"/>
          <w:lang w:eastAsia="en-GB"/>
          <w14:ligatures w14:val="none"/>
        </w:rPr>
        <w:t xml:space="preserve">, V. and </w:t>
      </w:r>
      <w:proofErr w:type="spellStart"/>
      <w:r w:rsidRPr="00B71E6E">
        <w:rPr>
          <w:rFonts w:ascii="Times New Roman" w:eastAsia="Times New Roman" w:hAnsi="Times New Roman" w:cs="Times New Roman"/>
          <w:color w:val="000000"/>
          <w:kern w:val="0"/>
          <w:lang w:eastAsia="en-GB"/>
          <w14:ligatures w14:val="none"/>
        </w:rPr>
        <w:t>Vehovar</w:t>
      </w:r>
      <w:proofErr w:type="spellEnd"/>
      <w:r w:rsidRPr="00B71E6E">
        <w:rPr>
          <w:rFonts w:ascii="Times New Roman" w:eastAsia="Times New Roman" w:hAnsi="Times New Roman" w:cs="Times New Roman"/>
          <w:color w:val="000000"/>
          <w:kern w:val="0"/>
          <w:lang w:eastAsia="en-GB"/>
          <w14:ligatures w14:val="none"/>
        </w:rPr>
        <w:t>, V. (2003). </w:t>
      </w:r>
      <w:r w:rsidRPr="00B71E6E">
        <w:rPr>
          <w:rFonts w:ascii="Times New Roman" w:eastAsia="Times New Roman" w:hAnsi="Times New Roman" w:cs="Times New Roman"/>
          <w:i/>
          <w:iCs/>
          <w:color w:val="000000"/>
          <w:kern w:val="0"/>
          <w:lang w:eastAsia="en-GB"/>
          <w14:ligatures w14:val="none"/>
        </w:rPr>
        <w:t>Open-ended vs. Close-ended Questions in Web Questionnaires</w:t>
      </w:r>
      <w:r w:rsidRPr="00B71E6E">
        <w:rPr>
          <w:rFonts w:ascii="Times New Roman" w:eastAsia="Times New Roman" w:hAnsi="Times New Roman" w:cs="Times New Roman"/>
          <w:color w:val="000000"/>
          <w:kern w:val="0"/>
          <w:lang w:eastAsia="en-GB"/>
          <w14:ligatures w14:val="none"/>
        </w:rPr>
        <w:t>. [online] p.161. Available at: https://begrijpelijkeformulieren.org/sites/begrijpelijkeformulieren/files/Reja_e.a._Open-ended_vs._Close-ended_Questions_in_Web.pdf [Accessed 18 Dec. 2023].</w:t>
      </w:r>
    </w:p>
    <w:p w14:paraId="4F0D6181"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Sadan, V. (2014). Mixed Methods Research: A New Approach. </w:t>
      </w:r>
      <w:r w:rsidRPr="00B71E6E">
        <w:rPr>
          <w:rFonts w:ascii="Times New Roman" w:eastAsia="Times New Roman" w:hAnsi="Times New Roman" w:cs="Times New Roman"/>
          <w:i/>
          <w:iCs/>
          <w:color w:val="000000"/>
          <w:kern w:val="0"/>
          <w:lang w:eastAsia="en-GB"/>
          <w14:ligatures w14:val="none"/>
        </w:rPr>
        <w:t>International Journal of Nursing Education</w:t>
      </w:r>
      <w:r w:rsidRPr="00B71E6E">
        <w:rPr>
          <w:rFonts w:ascii="Times New Roman" w:eastAsia="Times New Roman" w:hAnsi="Times New Roman" w:cs="Times New Roman"/>
          <w:color w:val="000000"/>
          <w:kern w:val="0"/>
          <w:lang w:eastAsia="en-GB"/>
          <w14:ligatures w14:val="none"/>
        </w:rPr>
        <w:t xml:space="preserve">, [online] 6(1), p.254.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://doi.org/10.5958/j.0974-9357.6.1.052</w:t>
      </w:r>
      <w:proofErr w:type="gramEnd"/>
      <w:r w:rsidRPr="00B71E6E">
        <w:rPr>
          <w:rFonts w:ascii="Times New Roman" w:eastAsia="Times New Roman" w:hAnsi="Times New Roman" w:cs="Times New Roman"/>
          <w:color w:val="000000"/>
          <w:kern w:val="0"/>
          <w:lang w:eastAsia="en-GB"/>
          <w14:ligatures w14:val="none"/>
        </w:rPr>
        <w:t>.</w:t>
      </w:r>
    </w:p>
    <w:p w14:paraId="4F627E49"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Stake, R.E. (1995). </w:t>
      </w:r>
      <w:r w:rsidRPr="00B71E6E">
        <w:rPr>
          <w:rFonts w:ascii="Times New Roman" w:eastAsia="Times New Roman" w:hAnsi="Times New Roman" w:cs="Times New Roman"/>
          <w:i/>
          <w:iCs/>
          <w:color w:val="000000"/>
          <w:kern w:val="0"/>
          <w:lang w:eastAsia="en-GB"/>
          <w14:ligatures w14:val="none"/>
        </w:rPr>
        <w:t>The Art of Case Study Research</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SAGE. Available at: https://books.google.co.uk/books?hl=en&amp;lr=&amp;id=ApGdBx76b9kC&amp;oi=fnd&amp;pg=PR11&amp;ots=KxGIh1Nner&amp;sig=5Ra4D8uZe3AY9Mwcw24j4h2FFMg&amp;redir_esc=y#v=onepage&amp;q&amp;f=false [Accessed 15 Dec. 2023].</w:t>
      </w:r>
    </w:p>
    <w:p w14:paraId="109389FE"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gramStart"/>
      <w:r w:rsidRPr="00B71E6E">
        <w:rPr>
          <w:rFonts w:ascii="Times New Roman" w:eastAsia="Times New Roman" w:hAnsi="Times New Roman" w:cs="Times New Roman"/>
          <w:color w:val="000000"/>
          <w:kern w:val="0"/>
          <w:lang w:eastAsia="en-GB"/>
          <w14:ligatures w14:val="none"/>
        </w:rPr>
        <w:t>Thomas ,</w:t>
      </w:r>
      <w:proofErr w:type="gramEnd"/>
      <w:r w:rsidRPr="00B71E6E">
        <w:rPr>
          <w:rFonts w:ascii="Times New Roman" w:eastAsia="Times New Roman" w:hAnsi="Times New Roman" w:cs="Times New Roman"/>
          <w:color w:val="000000"/>
          <w:kern w:val="0"/>
          <w:lang w:eastAsia="en-GB"/>
          <w14:ligatures w14:val="none"/>
        </w:rPr>
        <w:t xml:space="preserve"> G., Thomas, S. and Senedd Research, Welsh Parliament (2023). </w:t>
      </w:r>
      <w:r w:rsidRPr="00B71E6E">
        <w:rPr>
          <w:rFonts w:ascii="Times New Roman" w:eastAsia="Times New Roman" w:hAnsi="Times New Roman" w:cs="Times New Roman"/>
          <w:i/>
          <w:iCs/>
          <w:color w:val="000000"/>
          <w:kern w:val="0"/>
          <w:lang w:eastAsia="en-GB"/>
          <w14:ligatures w14:val="none"/>
        </w:rPr>
        <w:t xml:space="preserve">‘The biggest issue affecting children in </w:t>
      </w:r>
      <w:proofErr w:type="spellStart"/>
      <w:r w:rsidRPr="00B71E6E">
        <w:rPr>
          <w:rFonts w:ascii="Times New Roman" w:eastAsia="Times New Roman" w:hAnsi="Times New Roman" w:cs="Times New Roman"/>
          <w:i/>
          <w:iCs/>
          <w:color w:val="000000"/>
          <w:kern w:val="0"/>
          <w:lang w:eastAsia="en-GB"/>
          <w14:ligatures w14:val="none"/>
        </w:rPr>
        <w:t>Wales’</w:t>
      </w:r>
      <w:proofErr w:type="spellEnd"/>
      <w:r w:rsidRPr="00B71E6E">
        <w:rPr>
          <w:rFonts w:ascii="Times New Roman" w:eastAsia="Times New Roman" w:hAnsi="Times New Roman" w:cs="Times New Roman"/>
          <w:i/>
          <w:iCs/>
          <w:color w:val="000000"/>
          <w:kern w:val="0"/>
          <w:lang w:eastAsia="en-GB"/>
          <w14:ligatures w14:val="none"/>
        </w:rPr>
        <w:t xml:space="preserve"> – tackling child poverty</w:t>
      </w:r>
      <w:r w:rsidRPr="00B71E6E">
        <w:rPr>
          <w:rFonts w:ascii="Times New Roman" w:eastAsia="Times New Roman" w:hAnsi="Times New Roman" w:cs="Times New Roman"/>
          <w:color w:val="000000"/>
          <w:kern w:val="0"/>
          <w:lang w:eastAsia="en-GB"/>
          <w14:ligatures w14:val="none"/>
        </w:rPr>
        <w:t xml:space="preserve">. [online] </w:t>
      </w:r>
      <w:proofErr w:type="spellStart"/>
      <w:proofErr w:type="gramStart"/>
      <w:r w:rsidRPr="00B71E6E">
        <w:rPr>
          <w:rFonts w:ascii="Times New Roman" w:eastAsia="Times New Roman" w:hAnsi="Times New Roman" w:cs="Times New Roman"/>
          <w:color w:val="000000"/>
          <w:kern w:val="0"/>
          <w:lang w:eastAsia="en-GB"/>
          <w14:ligatures w14:val="none"/>
        </w:rPr>
        <w:t>research.senedd</w:t>
      </w:r>
      <w:proofErr w:type="gramEnd"/>
      <w:r w:rsidRPr="00B71E6E">
        <w:rPr>
          <w:rFonts w:ascii="Times New Roman" w:eastAsia="Times New Roman" w:hAnsi="Times New Roman" w:cs="Times New Roman"/>
          <w:color w:val="000000"/>
          <w:kern w:val="0"/>
          <w:lang w:eastAsia="en-GB"/>
          <w14:ligatures w14:val="none"/>
        </w:rPr>
        <w:t>.wales</w:t>
      </w:r>
      <w:proofErr w:type="spellEnd"/>
      <w:r w:rsidRPr="00B71E6E">
        <w:rPr>
          <w:rFonts w:ascii="Times New Roman" w:eastAsia="Times New Roman" w:hAnsi="Times New Roman" w:cs="Times New Roman"/>
          <w:color w:val="000000"/>
          <w:kern w:val="0"/>
          <w:lang w:eastAsia="en-GB"/>
          <w14:ligatures w14:val="none"/>
        </w:rPr>
        <w:t>. Available at: https://research.senedd.wales/research-articles/the-biggest-issue-affecting-children-in-wales-tackling-child-poverty/#:~:text=Child%20poverty%20affects%20children%27s%20life [Accessed 15 Dec. 2023].</w:t>
      </w:r>
    </w:p>
    <w:p w14:paraId="0721961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Thomas, G. (2013). From question to inquiry: operationalising the case study for research in teaching. </w:t>
      </w:r>
      <w:r w:rsidRPr="00B71E6E">
        <w:rPr>
          <w:rFonts w:ascii="Times New Roman" w:eastAsia="Times New Roman" w:hAnsi="Times New Roman" w:cs="Times New Roman"/>
          <w:i/>
          <w:iCs/>
          <w:color w:val="000000"/>
          <w:kern w:val="0"/>
          <w:lang w:eastAsia="en-GB"/>
          <w14:ligatures w14:val="none"/>
        </w:rPr>
        <w:t>Journal of Education for Teaching</w:t>
      </w:r>
      <w:r w:rsidRPr="00B71E6E">
        <w:rPr>
          <w:rFonts w:ascii="Times New Roman" w:eastAsia="Times New Roman" w:hAnsi="Times New Roman" w:cs="Times New Roman"/>
          <w:color w:val="000000"/>
          <w:kern w:val="0"/>
          <w:lang w:eastAsia="en-GB"/>
          <w14:ligatures w14:val="none"/>
        </w:rPr>
        <w:t xml:space="preserve">, [online] 39(5), pp.590–601.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://doi.org/10.1080/02607476.2013.852299</w:t>
      </w:r>
      <w:proofErr w:type="gramEnd"/>
      <w:r w:rsidRPr="00B71E6E">
        <w:rPr>
          <w:rFonts w:ascii="Times New Roman" w:eastAsia="Times New Roman" w:hAnsi="Times New Roman" w:cs="Times New Roman"/>
          <w:color w:val="000000"/>
          <w:kern w:val="0"/>
          <w:lang w:eastAsia="en-GB"/>
          <w14:ligatures w14:val="none"/>
        </w:rPr>
        <w:t>.</w:t>
      </w:r>
    </w:p>
    <w:p w14:paraId="2E87A86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Welsh Government (2019). </w:t>
      </w:r>
      <w:r w:rsidRPr="00B71E6E">
        <w:rPr>
          <w:rFonts w:ascii="Times New Roman" w:eastAsia="Times New Roman" w:hAnsi="Times New Roman" w:cs="Times New Roman"/>
          <w:i/>
          <w:iCs/>
          <w:color w:val="000000"/>
          <w:kern w:val="0"/>
          <w:lang w:eastAsia="en-GB"/>
          <w14:ligatures w14:val="none"/>
        </w:rPr>
        <w:t>Professional Standards for Teaching and Leadership</w:t>
      </w:r>
      <w:r w:rsidRPr="00B71E6E">
        <w:rPr>
          <w:rFonts w:ascii="Times New Roman" w:eastAsia="Times New Roman" w:hAnsi="Times New Roman" w:cs="Times New Roman"/>
          <w:color w:val="000000"/>
          <w:kern w:val="0"/>
          <w:lang w:eastAsia="en-GB"/>
          <w14:ligatures w14:val="none"/>
        </w:rPr>
        <w:t>. [online] Available at: https://hwb.gov.wales/api/storage/19bc948b-8a3f-41e0-944a-7bf2cadf7d18/professional-standards-for-teaching-and-leadership-interactive-pdf-for-pc.pdf [Accessed 15 Dec. 2023].</w:t>
      </w:r>
    </w:p>
    <w:p w14:paraId="25544C2A"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Welsh Government (2020). </w:t>
      </w:r>
      <w:r w:rsidRPr="00B71E6E">
        <w:rPr>
          <w:rFonts w:ascii="Times New Roman" w:eastAsia="Times New Roman" w:hAnsi="Times New Roman" w:cs="Times New Roman"/>
          <w:i/>
          <w:iCs/>
          <w:color w:val="000000"/>
          <w:kern w:val="0"/>
          <w:lang w:eastAsia="en-GB"/>
          <w14:ligatures w14:val="none"/>
        </w:rPr>
        <w:t>Developing a vision for curriculum design - Hwb</w:t>
      </w:r>
      <w:r w:rsidRPr="00B71E6E">
        <w:rPr>
          <w:rFonts w:ascii="Times New Roman" w:eastAsia="Times New Roman" w:hAnsi="Times New Roman" w:cs="Times New Roman"/>
          <w:color w:val="000000"/>
          <w:kern w:val="0"/>
          <w:lang w:eastAsia="en-GB"/>
          <w14:ligatures w14:val="none"/>
        </w:rPr>
        <w:t xml:space="preserve">. [online] </w:t>
      </w:r>
      <w:proofErr w:type="spellStart"/>
      <w:proofErr w:type="gramStart"/>
      <w:r w:rsidRPr="00B71E6E">
        <w:rPr>
          <w:rFonts w:ascii="Times New Roman" w:eastAsia="Times New Roman" w:hAnsi="Times New Roman" w:cs="Times New Roman"/>
          <w:color w:val="000000"/>
          <w:kern w:val="0"/>
          <w:lang w:eastAsia="en-GB"/>
          <w14:ligatures w14:val="none"/>
        </w:rPr>
        <w:t>hwb.gov.wales</w:t>
      </w:r>
      <w:proofErr w:type="spellEnd"/>
      <w:proofErr w:type="gramEnd"/>
      <w:r w:rsidRPr="00B71E6E">
        <w:rPr>
          <w:rFonts w:ascii="Times New Roman" w:eastAsia="Times New Roman" w:hAnsi="Times New Roman" w:cs="Times New Roman"/>
          <w:color w:val="000000"/>
          <w:kern w:val="0"/>
          <w:lang w:eastAsia="en-GB"/>
          <w14:ligatures w14:val="none"/>
        </w:rPr>
        <w:t>. Available at: https://hwb.gov.wales/curriculum-for-wales/designing-your-curriculum/developing-a-vision-for-curriculum-design/#curriculum-design-and-the-four-purposes [Accessed 15 Dec. 2023].</w:t>
      </w:r>
    </w:p>
    <w:p w14:paraId="2DFAAB72"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Welsh Government (2017). </w:t>
      </w:r>
      <w:r w:rsidRPr="00B71E6E">
        <w:rPr>
          <w:rFonts w:ascii="Times New Roman" w:eastAsia="Times New Roman" w:hAnsi="Times New Roman" w:cs="Times New Roman"/>
          <w:i/>
          <w:iCs/>
          <w:color w:val="000000"/>
          <w:kern w:val="0"/>
          <w:lang w:eastAsia="en-GB"/>
          <w14:ligatures w14:val="none"/>
        </w:rPr>
        <w:t>Connecting research and teacher education Quality enhancement for ITE Partnerships Information</w:t>
      </w:r>
      <w:r w:rsidRPr="00B71E6E">
        <w:rPr>
          <w:rFonts w:ascii="Times New Roman" w:eastAsia="Times New Roman" w:hAnsi="Times New Roman" w:cs="Times New Roman"/>
          <w:color w:val="000000"/>
          <w:kern w:val="0"/>
          <w:lang w:eastAsia="en-GB"/>
          <w14:ligatures w14:val="none"/>
        </w:rPr>
        <w:t>. [online] Available at: https://www.gov.wales/sites/default/files/publications/2018-09/connecting-research-and-teacher-education-quality-enhancement-for-ite-partnerships.pdf [Accessed 15 Dec. 2023].</w:t>
      </w:r>
    </w:p>
    <w:p w14:paraId="6FFCF551" w14:textId="77777777" w:rsidR="00F90B51" w:rsidRPr="0028294C" w:rsidRDefault="00F90B51" w:rsidP="0028294C">
      <w:pPr>
        <w:rPr>
          <w:rFonts w:ascii="Arial" w:hAnsi="Arial" w:cs="Arial"/>
          <w:b/>
          <w:bCs/>
          <w:sz w:val="22"/>
          <w:szCs w:val="22"/>
        </w:rPr>
      </w:pPr>
    </w:p>
    <w:sectPr w:rsidR="00F90B51" w:rsidRPr="0028294C">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66597" w14:textId="77777777" w:rsidR="00094776" w:rsidRDefault="00094776" w:rsidP="00811DB2">
      <w:r>
        <w:separator/>
      </w:r>
    </w:p>
  </w:endnote>
  <w:endnote w:type="continuationSeparator" w:id="0">
    <w:p w14:paraId="19AFF2CF" w14:textId="77777777" w:rsidR="00094776" w:rsidRDefault="00094776" w:rsidP="00811D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6316864"/>
      <w:docPartObj>
        <w:docPartGallery w:val="Page Numbers (Bottom of Page)"/>
        <w:docPartUnique/>
      </w:docPartObj>
    </w:sdtPr>
    <w:sdtContent>
      <w:p w14:paraId="7F7B002E" w14:textId="4DCE9FFE" w:rsidR="00811DB2" w:rsidRDefault="00811D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6941E7" w14:textId="77777777" w:rsidR="00811DB2" w:rsidRDefault="00811D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6094160"/>
      <w:docPartObj>
        <w:docPartGallery w:val="Page Numbers (Bottom of Page)"/>
        <w:docPartUnique/>
      </w:docPartObj>
    </w:sdtPr>
    <w:sdtContent>
      <w:p w14:paraId="4F06FBEC" w14:textId="2DCEC53B" w:rsidR="00811DB2" w:rsidRDefault="00811D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E43175" w14:textId="77777777" w:rsidR="00811DB2" w:rsidRDefault="00811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B829C" w14:textId="77777777" w:rsidR="00094776" w:rsidRDefault="00094776" w:rsidP="00811DB2">
      <w:r>
        <w:separator/>
      </w:r>
    </w:p>
  </w:footnote>
  <w:footnote w:type="continuationSeparator" w:id="0">
    <w:p w14:paraId="6FE99004" w14:textId="77777777" w:rsidR="00094776" w:rsidRDefault="00094776" w:rsidP="00811D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E0D22" w14:textId="58159019" w:rsidR="00811DB2" w:rsidRDefault="00811DB2">
    <w:pPr>
      <w:pStyle w:val="Header"/>
    </w:pPr>
    <w:r>
      <w:t>Jessica Gethin</w:t>
    </w:r>
  </w:p>
  <w:p w14:paraId="6E32F2CE" w14:textId="214769A2" w:rsidR="00811DB2" w:rsidRDefault="00811DB2">
    <w:pPr>
      <w:pStyle w:val="Header"/>
    </w:pPr>
    <w:r>
      <w:t>2104002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440"/>
    <w:rsid w:val="000214E1"/>
    <w:rsid w:val="00083F0F"/>
    <w:rsid w:val="00085AE1"/>
    <w:rsid w:val="00085DFE"/>
    <w:rsid w:val="00085E6B"/>
    <w:rsid w:val="00094776"/>
    <w:rsid w:val="000D7CF8"/>
    <w:rsid w:val="000F555E"/>
    <w:rsid w:val="00104D27"/>
    <w:rsid w:val="0011796E"/>
    <w:rsid w:val="001D2BF2"/>
    <w:rsid w:val="001D6062"/>
    <w:rsid w:val="001D6725"/>
    <w:rsid w:val="001F641A"/>
    <w:rsid w:val="002017CF"/>
    <w:rsid w:val="00222779"/>
    <w:rsid w:val="002271C4"/>
    <w:rsid w:val="00230632"/>
    <w:rsid w:val="00245694"/>
    <w:rsid w:val="0028294C"/>
    <w:rsid w:val="00300FA3"/>
    <w:rsid w:val="00320080"/>
    <w:rsid w:val="00334630"/>
    <w:rsid w:val="00344119"/>
    <w:rsid w:val="00345146"/>
    <w:rsid w:val="003707EB"/>
    <w:rsid w:val="00383B87"/>
    <w:rsid w:val="003F6C74"/>
    <w:rsid w:val="00416A79"/>
    <w:rsid w:val="00442B8B"/>
    <w:rsid w:val="00451401"/>
    <w:rsid w:val="00457092"/>
    <w:rsid w:val="0045749E"/>
    <w:rsid w:val="00483894"/>
    <w:rsid w:val="00486C53"/>
    <w:rsid w:val="004E009C"/>
    <w:rsid w:val="00515E65"/>
    <w:rsid w:val="00530C0D"/>
    <w:rsid w:val="0054545D"/>
    <w:rsid w:val="005754D7"/>
    <w:rsid w:val="005A0ADF"/>
    <w:rsid w:val="005A52CB"/>
    <w:rsid w:val="005A52E8"/>
    <w:rsid w:val="005B39C6"/>
    <w:rsid w:val="005E0B69"/>
    <w:rsid w:val="005F18B6"/>
    <w:rsid w:val="005F603C"/>
    <w:rsid w:val="00640BE2"/>
    <w:rsid w:val="00675EB8"/>
    <w:rsid w:val="006C705E"/>
    <w:rsid w:val="006D0247"/>
    <w:rsid w:val="006D129B"/>
    <w:rsid w:val="006E5894"/>
    <w:rsid w:val="006F1E74"/>
    <w:rsid w:val="0079019D"/>
    <w:rsid w:val="00795A7D"/>
    <w:rsid w:val="00804AA4"/>
    <w:rsid w:val="00810D75"/>
    <w:rsid w:val="00811DB2"/>
    <w:rsid w:val="00833EC2"/>
    <w:rsid w:val="008774E4"/>
    <w:rsid w:val="008A61A4"/>
    <w:rsid w:val="008E1943"/>
    <w:rsid w:val="0093073E"/>
    <w:rsid w:val="00992DDF"/>
    <w:rsid w:val="009D4E0A"/>
    <w:rsid w:val="009E5C52"/>
    <w:rsid w:val="009E6B7C"/>
    <w:rsid w:val="00A1247B"/>
    <w:rsid w:val="00A23403"/>
    <w:rsid w:val="00AA1AE1"/>
    <w:rsid w:val="00AB0906"/>
    <w:rsid w:val="00AB4EAE"/>
    <w:rsid w:val="00AD312A"/>
    <w:rsid w:val="00AE2321"/>
    <w:rsid w:val="00AE61DB"/>
    <w:rsid w:val="00B55E9F"/>
    <w:rsid w:val="00B71E6E"/>
    <w:rsid w:val="00B771EE"/>
    <w:rsid w:val="00B96E94"/>
    <w:rsid w:val="00BB3C4D"/>
    <w:rsid w:val="00BF30BD"/>
    <w:rsid w:val="00C164E1"/>
    <w:rsid w:val="00C51052"/>
    <w:rsid w:val="00C573AF"/>
    <w:rsid w:val="00C76432"/>
    <w:rsid w:val="00CB7C7D"/>
    <w:rsid w:val="00CC217B"/>
    <w:rsid w:val="00CD4534"/>
    <w:rsid w:val="00D22F38"/>
    <w:rsid w:val="00D320A1"/>
    <w:rsid w:val="00D71440"/>
    <w:rsid w:val="00D86DDA"/>
    <w:rsid w:val="00DA7C09"/>
    <w:rsid w:val="00DD6DAF"/>
    <w:rsid w:val="00E07A68"/>
    <w:rsid w:val="00E444C4"/>
    <w:rsid w:val="00EA35CA"/>
    <w:rsid w:val="00EA6687"/>
    <w:rsid w:val="00EB1894"/>
    <w:rsid w:val="00EB739A"/>
    <w:rsid w:val="00EB77B0"/>
    <w:rsid w:val="00ED3A54"/>
    <w:rsid w:val="00ED55AE"/>
    <w:rsid w:val="00EE4F4D"/>
    <w:rsid w:val="00F369FB"/>
    <w:rsid w:val="00F90B51"/>
    <w:rsid w:val="00FF5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2CEB"/>
  <w15:docId w15:val="{AE5A666E-0766-C24A-8716-55F414EE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440"/>
  </w:style>
  <w:style w:type="paragraph" w:styleId="Heading1">
    <w:name w:val="heading 1"/>
    <w:basedOn w:val="Normal"/>
    <w:link w:val="Heading1Char"/>
    <w:uiPriority w:val="9"/>
    <w:qFormat/>
    <w:rsid w:val="00B71E6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14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144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11DB2"/>
    <w:pPr>
      <w:tabs>
        <w:tab w:val="center" w:pos="4513"/>
        <w:tab w:val="right" w:pos="9026"/>
      </w:tabs>
    </w:pPr>
  </w:style>
  <w:style w:type="character" w:customStyle="1" w:styleId="HeaderChar">
    <w:name w:val="Header Char"/>
    <w:basedOn w:val="DefaultParagraphFont"/>
    <w:link w:val="Header"/>
    <w:uiPriority w:val="99"/>
    <w:rsid w:val="00811DB2"/>
  </w:style>
  <w:style w:type="paragraph" w:styleId="Footer">
    <w:name w:val="footer"/>
    <w:basedOn w:val="Normal"/>
    <w:link w:val="FooterChar"/>
    <w:uiPriority w:val="99"/>
    <w:unhideWhenUsed/>
    <w:rsid w:val="00811DB2"/>
    <w:pPr>
      <w:tabs>
        <w:tab w:val="center" w:pos="4513"/>
        <w:tab w:val="right" w:pos="9026"/>
      </w:tabs>
    </w:pPr>
  </w:style>
  <w:style w:type="character" w:customStyle="1" w:styleId="FooterChar">
    <w:name w:val="Footer Char"/>
    <w:basedOn w:val="DefaultParagraphFont"/>
    <w:link w:val="Footer"/>
    <w:uiPriority w:val="99"/>
    <w:rsid w:val="00811DB2"/>
  </w:style>
  <w:style w:type="character" w:styleId="PageNumber">
    <w:name w:val="page number"/>
    <w:basedOn w:val="DefaultParagraphFont"/>
    <w:uiPriority w:val="99"/>
    <w:semiHidden/>
    <w:unhideWhenUsed/>
    <w:rsid w:val="00811DB2"/>
  </w:style>
  <w:style w:type="character" w:customStyle="1" w:styleId="Heading1Char">
    <w:name w:val="Heading 1 Char"/>
    <w:basedOn w:val="DefaultParagraphFont"/>
    <w:link w:val="Heading1"/>
    <w:uiPriority w:val="9"/>
    <w:rsid w:val="00B71E6E"/>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B71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143487">
      <w:bodyDiv w:val="1"/>
      <w:marLeft w:val="0"/>
      <w:marRight w:val="0"/>
      <w:marTop w:val="0"/>
      <w:marBottom w:val="0"/>
      <w:divBdr>
        <w:top w:val="none" w:sz="0" w:space="0" w:color="auto"/>
        <w:left w:val="none" w:sz="0" w:space="0" w:color="auto"/>
        <w:bottom w:val="none" w:sz="0" w:space="0" w:color="auto"/>
        <w:right w:val="none" w:sz="0" w:space="0" w:color="auto"/>
      </w:divBdr>
      <w:divsChild>
        <w:div w:id="38367658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661</TotalTime>
  <Pages>14</Pages>
  <Words>6149</Words>
  <Characters>35053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Gethin (2104002)</dc:creator>
  <cp:keywords/>
  <dc:description/>
  <cp:lastModifiedBy>Jess Gethin (2104002)</cp:lastModifiedBy>
  <cp:revision>34</cp:revision>
  <dcterms:created xsi:type="dcterms:W3CDTF">2024-01-04T22:29:00Z</dcterms:created>
  <dcterms:modified xsi:type="dcterms:W3CDTF">2024-01-07T07:48:00Z</dcterms:modified>
</cp:coreProperties>
</file>