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66B04" w14:textId="0BBD050A" w:rsidR="009D7D96" w:rsidRPr="00660965" w:rsidRDefault="00155512" w:rsidP="00660965">
      <w:pPr>
        <w:jc w:val="center"/>
        <w:rPr>
          <w:rFonts w:ascii="BASKERVILLE SEMIBOLD" w:hAnsi="BASKERVILLE SEMIBOLD" w:cs="Times New Roman"/>
          <w:b/>
          <w:bCs/>
          <w:sz w:val="40"/>
          <w:szCs w:val="40"/>
        </w:rPr>
      </w:pPr>
      <w:r w:rsidRPr="00660965">
        <w:rPr>
          <w:rFonts w:ascii="BASKERVILLE SEMIBOLD" w:hAnsi="BASKERVILLE SEMIBOLD" w:cs="Times New Roman"/>
          <w:b/>
          <w:bCs/>
          <w:sz w:val="40"/>
          <w:szCs w:val="40"/>
        </w:rPr>
        <w:t>STUDENT:</w:t>
      </w:r>
    </w:p>
    <w:p w14:paraId="090DE18C" w14:textId="51B4F7B8" w:rsidR="00155512" w:rsidRPr="00660965" w:rsidRDefault="00155512" w:rsidP="00660965">
      <w:pPr>
        <w:jc w:val="center"/>
        <w:rPr>
          <w:rFonts w:ascii="BASKERVILLE SEMIBOLD" w:hAnsi="BASKERVILLE SEMIBOLD" w:cs="Times New Roman"/>
          <w:b/>
          <w:bCs/>
          <w:sz w:val="40"/>
          <w:szCs w:val="40"/>
        </w:rPr>
      </w:pPr>
      <w:r w:rsidRPr="00660965">
        <w:rPr>
          <w:rFonts w:ascii="BASKERVILLE SEMIBOLD" w:hAnsi="BASKERVILLE SEMIBOLD" w:cs="Times New Roman"/>
          <w:b/>
          <w:bCs/>
          <w:sz w:val="40"/>
          <w:szCs w:val="40"/>
        </w:rPr>
        <w:t>NOSHEEN MANZOOR</w:t>
      </w:r>
    </w:p>
    <w:p w14:paraId="03971304" w14:textId="1C5F3C52" w:rsidR="00155512" w:rsidRPr="00660965" w:rsidRDefault="00155512" w:rsidP="00660965">
      <w:pPr>
        <w:jc w:val="center"/>
        <w:rPr>
          <w:rFonts w:ascii="BASKERVILLE SEMIBOLD" w:hAnsi="BASKERVILLE SEMIBOLD" w:cs="Times New Roman"/>
          <w:b/>
          <w:bCs/>
          <w:sz w:val="40"/>
          <w:szCs w:val="40"/>
        </w:rPr>
      </w:pPr>
      <w:r w:rsidRPr="00660965">
        <w:rPr>
          <w:rFonts w:ascii="BASKERVILLE SEMIBOLD" w:hAnsi="BASKERVILLE SEMIBOLD" w:cs="Times New Roman"/>
          <w:b/>
          <w:bCs/>
          <w:sz w:val="40"/>
          <w:szCs w:val="40"/>
        </w:rPr>
        <w:t>2218718</w:t>
      </w:r>
    </w:p>
    <w:p w14:paraId="06FB3724" w14:textId="77777777" w:rsidR="00155512" w:rsidRPr="00660965" w:rsidRDefault="00155512" w:rsidP="00660965">
      <w:pPr>
        <w:jc w:val="center"/>
        <w:rPr>
          <w:rFonts w:ascii="BASKERVILLE SEMIBOLD" w:hAnsi="BASKERVILLE SEMIBOLD" w:cs="Times New Roman"/>
          <w:b/>
          <w:bCs/>
          <w:sz w:val="40"/>
          <w:szCs w:val="40"/>
        </w:rPr>
      </w:pPr>
    </w:p>
    <w:p w14:paraId="1BA82590" w14:textId="77777777" w:rsidR="00155512" w:rsidRPr="00660965" w:rsidRDefault="00155512" w:rsidP="00660965">
      <w:pPr>
        <w:jc w:val="center"/>
        <w:rPr>
          <w:rFonts w:ascii="BASKERVILLE SEMIBOLD" w:hAnsi="BASKERVILLE SEMIBOLD" w:cs="Times New Roman"/>
          <w:b/>
          <w:bCs/>
          <w:sz w:val="40"/>
          <w:szCs w:val="40"/>
        </w:rPr>
      </w:pPr>
    </w:p>
    <w:p w14:paraId="04C394EF" w14:textId="3DC5BEA0" w:rsidR="00155512" w:rsidRPr="00660965" w:rsidRDefault="00155512" w:rsidP="00660965">
      <w:pPr>
        <w:jc w:val="center"/>
        <w:rPr>
          <w:rFonts w:ascii="BASKERVILLE SEMIBOLD" w:hAnsi="BASKERVILLE SEMIBOLD" w:cs="Times New Roman"/>
          <w:b/>
          <w:bCs/>
          <w:sz w:val="40"/>
          <w:szCs w:val="40"/>
        </w:rPr>
      </w:pPr>
      <w:r w:rsidRPr="00660965">
        <w:rPr>
          <w:rFonts w:ascii="BASKERVILLE SEMIBOLD" w:hAnsi="BASKERVILLE SEMIBOLD" w:cs="Times New Roman"/>
          <w:b/>
          <w:bCs/>
          <w:sz w:val="40"/>
          <w:szCs w:val="40"/>
        </w:rPr>
        <w:t>MODULE:</w:t>
      </w:r>
    </w:p>
    <w:p w14:paraId="2E080EEE" w14:textId="6815E3F7" w:rsidR="00155512" w:rsidRPr="00660965" w:rsidRDefault="00AB07D4" w:rsidP="00660965">
      <w:pPr>
        <w:jc w:val="center"/>
        <w:rPr>
          <w:rFonts w:ascii="BASKERVILLE SEMIBOLD" w:hAnsi="BASKERVILLE SEMIBOLD" w:cs="Times New Roman"/>
          <w:b/>
          <w:bCs/>
          <w:sz w:val="40"/>
          <w:szCs w:val="40"/>
        </w:rPr>
      </w:pPr>
      <w:r w:rsidRPr="00660965">
        <w:rPr>
          <w:rFonts w:ascii="BASKERVILLE SEMIBOLD" w:hAnsi="BASKERVILLE SEMIBOLD" w:cs="Times New Roman"/>
          <w:b/>
          <w:bCs/>
          <w:sz w:val="40"/>
          <w:szCs w:val="40"/>
        </w:rPr>
        <w:t>MARKETING MANAGEMENT</w:t>
      </w:r>
    </w:p>
    <w:p w14:paraId="25664D96" w14:textId="1AB420AD" w:rsidR="00AB07D4" w:rsidRPr="00660965" w:rsidRDefault="00AB07D4" w:rsidP="00660965">
      <w:pPr>
        <w:jc w:val="center"/>
        <w:rPr>
          <w:rFonts w:ascii="BASKERVILLE SEMIBOLD" w:hAnsi="BASKERVILLE SEMIBOLD" w:cs="Times New Roman"/>
          <w:b/>
          <w:bCs/>
          <w:sz w:val="40"/>
          <w:szCs w:val="40"/>
        </w:rPr>
      </w:pPr>
      <w:r w:rsidRPr="00660965">
        <w:rPr>
          <w:rFonts w:ascii="BASKERVILLE SEMIBOLD" w:hAnsi="BASKERVILLE SEMIBOLD" w:cs="Times New Roman"/>
          <w:b/>
          <w:bCs/>
          <w:sz w:val="40"/>
          <w:szCs w:val="40"/>
        </w:rPr>
        <w:t>LCMB 7024</w:t>
      </w:r>
    </w:p>
    <w:p w14:paraId="07AF192A" w14:textId="10C12868" w:rsidR="00AB07D4" w:rsidRPr="00660965" w:rsidRDefault="00AB07D4" w:rsidP="00660965">
      <w:pPr>
        <w:jc w:val="center"/>
        <w:rPr>
          <w:rFonts w:ascii="BASKERVILLE SEMIBOLD" w:hAnsi="BASKERVILLE SEMIBOLD" w:cs="Times New Roman"/>
          <w:b/>
          <w:bCs/>
          <w:sz w:val="40"/>
          <w:szCs w:val="40"/>
        </w:rPr>
      </w:pPr>
      <w:r w:rsidRPr="00660965">
        <w:rPr>
          <w:rFonts w:ascii="BASKERVILLE SEMIBOLD" w:hAnsi="BASKERVILLE SEMIBOLD" w:cs="Times New Roman"/>
          <w:b/>
          <w:bCs/>
          <w:sz w:val="40"/>
          <w:szCs w:val="40"/>
        </w:rPr>
        <w:t>MARKETING ENVIRONMENT ANALYSIS</w:t>
      </w:r>
    </w:p>
    <w:p w14:paraId="4534F6AD" w14:textId="77777777" w:rsidR="00AB07D4" w:rsidRPr="00660965" w:rsidRDefault="00AB07D4" w:rsidP="00660965">
      <w:pPr>
        <w:jc w:val="center"/>
        <w:rPr>
          <w:rFonts w:ascii="BASKERVILLE SEMIBOLD" w:hAnsi="BASKERVILLE SEMIBOLD" w:cs="Times New Roman"/>
          <w:b/>
          <w:bCs/>
          <w:sz w:val="40"/>
          <w:szCs w:val="40"/>
        </w:rPr>
      </w:pPr>
    </w:p>
    <w:p w14:paraId="368066D5" w14:textId="77777777" w:rsidR="00AB07D4" w:rsidRPr="00660965" w:rsidRDefault="00AB07D4" w:rsidP="00660965">
      <w:pPr>
        <w:jc w:val="center"/>
        <w:rPr>
          <w:rFonts w:ascii="BASKERVILLE SEMIBOLD" w:hAnsi="BASKERVILLE SEMIBOLD" w:cs="Times New Roman"/>
          <w:b/>
          <w:bCs/>
          <w:sz w:val="40"/>
          <w:szCs w:val="40"/>
        </w:rPr>
      </w:pPr>
    </w:p>
    <w:p w14:paraId="4C62034C" w14:textId="1D2891C0" w:rsidR="00AB07D4" w:rsidRPr="00660965" w:rsidRDefault="00AB07D4" w:rsidP="00660965">
      <w:pPr>
        <w:jc w:val="center"/>
        <w:rPr>
          <w:rFonts w:ascii="BASKERVILLE SEMIBOLD" w:hAnsi="BASKERVILLE SEMIBOLD" w:cs="Times New Roman"/>
          <w:b/>
          <w:bCs/>
          <w:sz w:val="40"/>
          <w:szCs w:val="40"/>
        </w:rPr>
      </w:pPr>
      <w:r w:rsidRPr="00660965">
        <w:rPr>
          <w:rFonts w:ascii="BASKERVILLE SEMIBOLD" w:hAnsi="BASKERVILLE SEMIBOLD" w:cs="Times New Roman"/>
          <w:b/>
          <w:bCs/>
          <w:sz w:val="40"/>
          <w:szCs w:val="40"/>
        </w:rPr>
        <w:t>LECTURER</w:t>
      </w:r>
      <w:r w:rsidR="00660965" w:rsidRPr="00660965">
        <w:rPr>
          <w:rFonts w:ascii="BASKERVILLE SEMIBOLD" w:hAnsi="BASKERVILLE SEMIBOLD" w:cs="Times New Roman"/>
          <w:b/>
          <w:bCs/>
          <w:sz w:val="40"/>
          <w:szCs w:val="40"/>
        </w:rPr>
        <w:t>:</w:t>
      </w:r>
    </w:p>
    <w:p w14:paraId="29F49A5F" w14:textId="732422B9" w:rsidR="00660965" w:rsidRPr="00660965" w:rsidRDefault="00660965" w:rsidP="00660965">
      <w:pPr>
        <w:jc w:val="center"/>
        <w:rPr>
          <w:rFonts w:ascii="BASKERVILLE SEMIBOLD" w:hAnsi="BASKERVILLE SEMIBOLD" w:cs="Times New Roman"/>
          <w:b/>
          <w:bCs/>
          <w:sz w:val="40"/>
          <w:szCs w:val="40"/>
        </w:rPr>
      </w:pPr>
      <w:r w:rsidRPr="00660965">
        <w:rPr>
          <w:rFonts w:ascii="BASKERVILLE SEMIBOLD" w:hAnsi="BASKERVILLE SEMIBOLD" w:cs="Times New Roman"/>
          <w:b/>
          <w:bCs/>
          <w:sz w:val="40"/>
          <w:szCs w:val="40"/>
        </w:rPr>
        <w:t>TAONGA KAONGA SOBERE-SNITHERS</w:t>
      </w:r>
    </w:p>
    <w:p w14:paraId="73BD1895" w14:textId="77777777" w:rsidR="00660965" w:rsidRPr="00660965" w:rsidRDefault="00660965" w:rsidP="00660965">
      <w:pPr>
        <w:jc w:val="center"/>
        <w:rPr>
          <w:rFonts w:ascii="BASKERVILLE SEMIBOLD" w:hAnsi="BASKERVILLE SEMIBOLD" w:cs="Times New Roman"/>
          <w:b/>
          <w:bCs/>
          <w:sz w:val="40"/>
          <w:szCs w:val="40"/>
        </w:rPr>
      </w:pPr>
    </w:p>
    <w:p w14:paraId="168B9695" w14:textId="77777777" w:rsidR="00660965" w:rsidRPr="00660965" w:rsidRDefault="00660965" w:rsidP="00660965">
      <w:pPr>
        <w:jc w:val="center"/>
        <w:rPr>
          <w:rFonts w:ascii="BASKERVILLE SEMIBOLD" w:hAnsi="BASKERVILLE SEMIBOLD" w:cs="Times New Roman"/>
          <w:b/>
          <w:bCs/>
          <w:sz w:val="40"/>
          <w:szCs w:val="40"/>
        </w:rPr>
      </w:pPr>
    </w:p>
    <w:p w14:paraId="551EBE67" w14:textId="77777777" w:rsidR="00660965" w:rsidRPr="00660965" w:rsidRDefault="00660965" w:rsidP="00660965">
      <w:pPr>
        <w:jc w:val="center"/>
        <w:rPr>
          <w:rFonts w:ascii="BASKERVILLE SEMIBOLD" w:hAnsi="BASKERVILLE SEMIBOLD" w:cs="Times New Roman"/>
          <w:b/>
          <w:bCs/>
          <w:sz w:val="40"/>
          <w:szCs w:val="40"/>
        </w:rPr>
      </w:pPr>
    </w:p>
    <w:p w14:paraId="71967D65" w14:textId="77777777" w:rsidR="00660965" w:rsidRPr="00660965" w:rsidRDefault="00660965" w:rsidP="00660965">
      <w:pPr>
        <w:jc w:val="center"/>
        <w:rPr>
          <w:rFonts w:ascii="BASKERVILLE SEMIBOLD" w:hAnsi="BASKERVILLE SEMIBOLD" w:cs="Times New Roman"/>
          <w:b/>
          <w:bCs/>
          <w:sz w:val="40"/>
          <w:szCs w:val="40"/>
        </w:rPr>
      </w:pPr>
    </w:p>
    <w:p w14:paraId="2BD69988" w14:textId="2B1F3EDE" w:rsidR="00660965" w:rsidRPr="00660965" w:rsidRDefault="00660965" w:rsidP="00660965">
      <w:pPr>
        <w:jc w:val="center"/>
        <w:rPr>
          <w:rFonts w:ascii="BASKERVILLE SEMIBOLD" w:hAnsi="BASKERVILLE SEMIBOLD" w:cs="Times New Roman"/>
          <w:b/>
          <w:bCs/>
          <w:sz w:val="40"/>
          <w:szCs w:val="40"/>
        </w:rPr>
      </w:pPr>
    </w:p>
    <w:p w14:paraId="409AB321" w14:textId="77777777" w:rsidR="00660965" w:rsidRPr="00660965" w:rsidRDefault="00660965" w:rsidP="00660965">
      <w:pPr>
        <w:jc w:val="center"/>
        <w:rPr>
          <w:rFonts w:ascii="BASKERVILLE SEMIBOLD" w:hAnsi="BASKERVILLE SEMIBOLD" w:cs="Times New Roman"/>
          <w:b/>
          <w:bCs/>
          <w:sz w:val="40"/>
          <w:szCs w:val="40"/>
        </w:rPr>
      </w:pPr>
    </w:p>
    <w:p w14:paraId="10FB6559" w14:textId="4935AC49" w:rsidR="00660965" w:rsidRDefault="00660965" w:rsidP="00660965">
      <w:pPr>
        <w:jc w:val="center"/>
        <w:rPr>
          <w:rFonts w:ascii="BASKERVILLE SEMIBOLD" w:hAnsi="BASKERVILLE SEMIBOLD" w:cs="Times New Roman"/>
          <w:b/>
          <w:bCs/>
          <w:sz w:val="40"/>
          <w:szCs w:val="40"/>
        </w:rPr>
      </w:pPr>
      <w:r w:rsidRPr="00660965">
        <w:rPr>
          <w:rFonts w:ascii="BASKERVILLE SEMIBOLD" w:hAnsi="BASKERVILLE SEMIBOLD" w:cs="Times New Roman"/>
          <w:b/>
          <w:bCs/>
          <w:sz w:val="40"/>
          <w:szCs w:val="40"/>
        </w:rPr>
        <w:t>WORD COUNT:</w:t>
      </w:r>
    </w:p>
    <w:p w14:paraId="783D172D" w14:textId="23DD7AFF" w:rsidR="00E12F86" w:rsidRDefault="000E395C" w:rsidP="00660965">
      <w:pPr>
        <w:jc w:val="center"/>
        <w:rPr>
          <w:rFonts w:ascii="BASKERVILLE SEMIBOLD" w:hAnsi="BASKERVILLE SEMIBOLD" w:cs="Times New Roman"/>
          <w:b/>
          <w:bCs/>
          <w:sz w:val="40"/>
          <w:szCs w:val="40"/>
        </w:rPr>
      </w:pPr>
      <w:r>
        <w:rPr>
          <w:rFonts w:ascii="BASKERVILLE SEMIBOLD" w:hAnsi="BASKERVILLE SEMIBOLD" w:cs="Times New Roman"/>
          <w:b/>
          <w:bCs/>
          <w:sz w:val="40"/>
          <w:szCs w:val="40"/>
        </w:rPr>
        <w:t>25</w:t>
      </w:r>
      <w:r w:rsidR="007566C6">
        <w:rPr>
          <w:rFonts w:ascii="BASKERVILLE SEMIBOLD" w:hAnsi="BASKERVILLE SEMIBOLD" w:cs="Times New Roman"/>
          <w:b/>
          <w:bCs/>
          <w:sz w:val="40"/>
          <w:szCs w:val="40"/>
        </w:rPr>
        <w:t>72</w:t>
      </w:r>
    </w:p>
    <w:p w14:paraId="069FD400" w14:textId="77777777" w:rsidR="00E12F86" w:rsidRDefault="00E12F86" w:rsidP="00660965">
      <w:pPr>
        <w:jc w:val="center"/>
        <w:rPr>
          <w:rFonts w:ascii="BASKERVILLE SEMIBOLD" w:hAnsi="BASKERVILLE SEMIBOLD" w:cs="Times New Roman"/>
          <w:b/>
          <w:bCs/>
          <w:sz w:val="40"/>
          <w:szCs w:val="40"/>
        </w:rPr>
      </w:pPr>
    </w:p>
    <w:p w14:paraId="2E1F0E36" w14:textId="7B4C226B" w:rsidR="00E12F86" w:rsidRDefault="00E12F86" w:rsidP="00660965">
      <w:pPr>
        <w:jc w:val="center"/>
        <w:rPr>
          <w:rFonts w:ascii="BASKERVILLE SEMIBOLD" w:hAnsi="BASKERVILLE SEMIBOLD" w:cs="Times New Roman"/>
          <w:b/>
          <w:bCs/>
          <w:sz w:val="40"/>
          <w:szCs w:val="40"/>
        </w:rPr>
      </w:pPr>
    </w:p>
    <w:p w14:paraId="32D15211" w14:textId="77777777" w:rsidR="00E12F86" w:rsidRDefault="00E12F86">
      <w:pPr>
        <w:rPr>
          <w:rFonts w:ascii="BASKERVILLE SEMIBOLD" w:hAnsi="BASKERVILLE SEMIBOLD" w:cs="Times New Roman"/>
          <w:b/>
          <w:bCs/>
          <w:sz w:val="40"/>
          <w:szCs w:val="40"/>
        </w:rPr>
      </w:pPr>
      <w:r>
        <w:rPr>
          <w:rFonts w:ascii="BASKERVILLE SEMIBOLD" w:hAnsi="BASKERVILLE SEMIBOLD" w:cs="Times New Roman"/>
          <w:b/>
          <w:bCs/>
          <w:sz w:val="40"/>
          <w:szCs w:val="40"/>
        </w:rPr>
        <w:br w:type="page"/>
      </w:r>
    </w:p>
    <w:sdt>
      <w:sdtPr>
        <w:rPr>
          <w:rFonts w:asciiTheme="minorHAnsi" w:eastAsiaTheme="minorHAnsi" w:hAnsiTheme="minorHAnsi" w:cstheme="minorBidi"/>
          <w:b w:val="0"/>
          <w:bCs w:val="0"/>
          <w:color w:val="auto"/>
          <w:kern w:val="2"/>
          <w:sz w:val="24"/>
          <w:szCs w:val="24"/>
          <w:lang w:val="en-GB"/>
          <w14:ligatures w14:val="standardContextual"/>
        </w:rPr>
        <w:id w:val="1868403237"/>
        <w:docPartObj>
          <w:docPartGallery w:val="Table of Contents"/>
          <w:docPartUnique/>
        </w:docPartObj>
      </w:sdtPr>
      <w:sdtEndPr>
        <w:rPr>
          <w:noProof/>
        </w:rPr>
      </w:sdtEndPr>
      <w:sdtContent>
        <w:p w14:paraId="508C0F74" w14:textId="6A897DDF" w:rsidR="00DC67DF" w:rsidRDefault="00DC67DF">
          <w:pPr>
            <w:pStyle w:val="TOCHeading"/>
          </w:pPr>
          <w:r>
            <w:t>Table of Contents</w:t>
          </w:r>
        </w:p>
        <w:p w14:paraId="1C6DCCF2" w14:textId="71296554" w:rsidR="00950DB6" w:rsidRPr="00950DB6" w:rsidRDefault="00DC67DF">
          <w:pPr>
            <w:pStyle w:val="TOC1"/>
            <w:tabs>
              <w:tab w:val="right" w:leader="dot" w:pos="9016"/>
            </w:tabs>
            <w:rPr>
              <w:rFonts w:eastAsiaTheme="minorEastAsia"/>
              <w:b w:val="0"/>
              <w:bCs w:val="0"/>
              <w:caps w:val="0"/>
              <w:noProof/>
              <w:sz w:val="24"/>
              <w:szCs w:val="24"/>
              <w:lang w:eastAsia="en-GB"/>
            </w:rPr>
          </w:pPr>
          <w:r w:rsidRPr="00950DB6">
            <w:rPr>
              <w:b w:val="0"/>
              <w:bCs w:val="0"/>
              <w:sz w:val="24"/>
              <w:szCs w:val="24"/>
            </w:rPr>
            <w:fldChar w:fldCharType="begin"/>
          </w:r>
          <w:r w:rsidRPr="00950DB6">
            <w:rPr>
              <w:sz w:val="24"/>
              <w:szCs w:val="24"/>
            </w:rPr>
            <w:instrText xml:space="preserve"> TOC \o "1-3" \h \z \u </w:instrText>
          </w:r>
          <w:r w:rsidRPr="00950DB6">
            <w:rPr>
              <w:b w:val="0"/>
              <w:bCs w:val="0"/>
              <w:sz w:val="24"/>
              <w:szCs w:val="24"/>
            </w:rPr>
            <w:fldChar w:fldCharType="separate"/>
          </w:r>
          <w:hyperlink w:anchor="_Toc232601713" w:history="1">
            <w:r w:rsidR="00950DB6" w:rsidRPr="00950DB6">
              <w:rPr>
                <w:rStyle w:val="Hyperlink"/>
                <w:rFonts w:ascii="Baskerville Old Face" w:hAnsi="Baskerville Old Face"/>
                <w:noProof/>
                <w:sz w:val="24"/>
                <w:szCs w:val="24"/>
              </w:rPr>
              <w:t>INTRODUCTION:</w:t>
            </w:r>
            <w:r w:rsidR="00950DB6" w:rsidRPr="00950DB6">
              <w:rPr>
                <w:noProof/>
                <w:webHidden/>
                <w:sz w:val="24"/>
                <w:szCs w:val="24"/>
              </w:rPr>
              <w:tab/>
            </w:r>
            <w:r w:rsidR="00950DB6" w:rsidRPr="00950DB6">
              <w:rPr>
                <w:noProof/>
                <w:webHidden/>
                <w:sz w:val="24"/>
                <w:szCs w:val="24"/>
              </w:rPr>
              <w:fldChar w:fldCharType="begin"/>
            </w:r>
            <w:r w:rsidR="00950DB6" w:rsidRPr="00950DB6">
              <w:rPr>
                <w:noProof/>
                <w:webHidden/>
                <w:sz w:val="24"/>
                <w:szCs w:val="24"/>
              </w:rPr>
              <w:instrText xml:space="preserve"> PAGEREF _Toc232601713 \h </w:instrText>
            </w:r>
            <w:r w:rsidR="00950DB6" w:rsidRPr="00950DB6">
              <w:rPr>
                <w:noProof/>
                <w:webHidden/>
                <w:sz w:val="24"/>
                <w:szCs w:val="24"/>
              </w:rPr>
            </w:r>
            <w:r w:rsidR="00950DB6" w:rsidRPr="00950DB6">
              <w:rPr>
                <w:noProof/>
                <w:webHidden/>
                <w:sz w:val="24"/>
                <w:szCs w:val="24"/>
              </w:rPr>
              <w:fldChar w:fldCharType="separate"/>
            </w:r>
            <w:r w:rsidR="00950DB6" w:rsidRPr="00950DB6">
              <w:rPr>
                <w:noProof/>
                <w:webHidden/>
                <w:sz w:val="24"/>
                <w:szCs w:val="24"/>
              </w:rPr>
              <w:t>3</w:t>
            </w:r>
            <w:r w:rsidR="00950DB6" w:rsidRPr="00950DB6">
              <w:rPr>
                <w:noProof/>
                <w:webHidden/>
                <w:sz w:val="24"/>
                <w:szCs w:val="24"/>
              </w:rPr>
              <w:fldChar w:fldCharType="end"/>
            </w:r>
          </w:hyperlink>
        </w:p>
        <w:p w14:paraId="3B5C10B1" w14:textId="04C90402" w:rsidR="00950DB6" w:rsidRPr="00950DB6" w:rsidRDefault="00950DB6">
          <w:pPr>
            <w:pStyle w:val="TOC1"/>
            <w:tabs>
              <w:tab w:val="right" w:leader="dot" w:pos="9016"/>
            </w:tabs>
            <w:rPr>
              <w:rFonts w:eastAsiaTheme="minorEastAsia"/>
              <w:b w:val="0"/>
              <w:bCs w:val="0"/>
              <w:caps w:val="0"/>
              <w:noProof/>
              <w:sz w:val="24"/>
              <w:szCs w:val="24"/>
              <w:lang w:eastAsia="en-GB"/>
            </w:rPr>
          </w:pPr>
          <w:hyperlink w:anchor="_Toc232601714" w:history="1">
            <w:r w:rsidRPr="00950DB6">
              <w:rPr>
                <w:rStyle w:val="Hyperlink"/>
                <w:rFonts w:ascii="Baskerville Old Face" w:hAnsi="Baskerville Old Face"/>
                <w:noProof/>
                <w:sz w:val="24"/>
                <w:szCs w:val="24"/>
              </w:rPr>
              <w:t>Marketing Environment Analysis</w:t>
            </w:r>
            <w:r w:rsidRPr="00950DB6">
              <w:rPr>
                <w:noProof/>
                <w:webHidden/>
                <w:sz w:val="24"/>
                <w:szCs w:val="24"/>
              </w:rPr>
              <w:tab/>
            </w:r>
            <w:r w:rsidRPr="00950DB6">
              <w:rPr>
                <w:noProof/>
                <w:webHidden/>
                <w:sz w:val="24"/>
                <w:szCs w:val="24"/>
              </w:rPr>
              <w:fldChar w:fldCharType="begin"/>
            </w:r>
            <w:r w:rsidRPr="00950DB6">
              <w:rPr>
                <w:noProof/>
                <w:webHidden/>
                <w:sz w:val="24"/>
                <w:szCs w:val="24"/>
              </w:rPr>
              <w:instrText xml:space="preserve"> PAGEREF _Toc232601714 \h </w:instrText>
            </w:r>
            <w:r w:rsidRPr="00950DB6">
              <w:rPr>
                <w:noProof/>
                <w:webHidden/>
                <w:sz w:val="24"/>
                <w:szCs w:val="24"/>
              </w:rPr>
            </w:r>
            <w:r w:rsidRPr="00950DB6">
              <w:rPr>
                <w:noProof/>
                <w:webHidden/>
                <w:sz w:val="24"/>
                <w:szCs w:val="24"/>
              </w:rPr>
              <w:fldChar w:fldCharType="separate"/>
            </w:r>
            <w:r w:rsidRPr="00950DB6">
              <w:rPr>
                <w:noProof/>
                <w:webHidden/>
                <w:sz w:val="24"/>
                <w:szCs w:val="24"/>
              </w:rPr>
              <w:t>3</w:t>
            </w:r>
            <w:r w:rsidRPr="00950DB6">
              <w:rPr>
                <w:noProof/>
                <w:webHidden/>
                <w:sz w:val="24"/>
                <w:szCs w:val="24"/>
              </w:rPr>
              <w:fldChar w:fldCharType="end"/>
            </w:r>
          </w:hyperlink>
        </w:p>
        <w:p w14:paraId="55F939A8" w14:textId="050B443E" w:rsidR="00950DB6" w:rsidRPr="00950DB6" w:rsidRDefault="00950DB6">
          <w:pPr>
            <w:pStyle w:val="TOC2"/>
            <w:tabs>
              <w:tab w:val="right" w:leader="dot" w:pos="9016"/>
            </w:tabs>
            <w:rPr>
              <w:rFonts w:eastAsiaTheme="minorEastAsia"/>
              <w:smallCaps w:val="0"/>
              <w:noProof/>
              <w:sz w:val="24"/>
              <w:szCs w:val="24"/>
              <w:lang w:eastAsia="en-GB"/>
            </w:rPr>
          </w:pPr>
          <w:hyperlink w:anchor="_Toc232601715" w:history="1">
            <w:r w:rsidRPr="00950DB6">
              <w:rPr>
                <w:rStyle w:val="Hyperlink"/>
                <w:rFonts w:ascii="Baskerville Old Face" w:hAnsi="Baskerville Old Face"/>
                <w:b/>
                <w:bCs/>
                <w:noProof/>
                <w:sz w:val="24"/>
                <w:szCs w:val="24"/>
              </w:rPr>
              <w:t>1.Natural Environment</w:t>
            </w:r>
            <w:r w:rsidRPr="00950DB6">
              <w:rPr>
                <w:noProof/>
                <w:webHidden/>
                <w:sz w:val="24"/>
                <w:szCs w:val="24"/>
              </w:rPr>
              <w:tab/>
            </w:r>
            <w:r w:rsidRPr="00950DB6">
              <w:rPr>
                <w:noProof/>
                <w:webHidden/>
                <w:sz w:val="24"/>
                <w:szCs w:val="24"/>
              </w:rPr>
              <w:fldChar w:fldCharType="begin"/>
            </w:r>
            <w:r w:rsidRPr="00950DB6">
              <w:rPr>
                <w:noProof/>
                <w:webHidden/>
                <w:sz w:val="24"/>
                <w:szCs w:val="24"/>
              </w:rPr>
              <w:instrText xml:space="preserve"> PAGEREF _Toc232601715 \h </w:instrText>
            </w:r>
            <w:r w:rsidRPr="00950DB6">
              <w:rPr>
                <w:noProof/>
                <w:webHidden/>
                <w:sz w:val="24"/>
                <w:szCs w:val="24"/>
              </w:rPr>
            </w:r>
            <w:r w:rsidRPr="00950DB6">
              <w:rPr>
                <w:noProof/>
                <w:webHidden/>
                <w:sz w:val="24"/>
                <w:szCs w:val="24"/>
              </w:rPr>
              <w:fldChar w:fldCharType="separate"/>
            </w:r>
            <w:r w:rsidRPr="00950DB6">
              <w:rPr>
                <w:noProof/>
                <w:webHidden/>
                <w:sz w:val="24"/>
                <w:szCs w:val="24"/>
              </w:rPr>
              <w:t>3</w:t>
            </w:r>
            <w:r w:rsidRPr="00950DB6">
              <w:rPr>
                <w:noProof/>
                <w:webHidden/>
                <w:sz w:val="24"/>
                <w:szCs w:val="24"/>
              </w:rPr>
              <w:fldChar w:fldCharType="end"/>
            </w:r>
          </w:hyperlink>
        </w:p>
        <w:p w14:paraId="5525B653" w14:textId="3B73BD06" w:rsidR="00950DB6" w:rsidRPr="00950DB6" w:rsidRDefault="00950DB6">
          <w:pPr>
            <w:pStyle w:val="TOC2"/>
            <w:tabs>
              <w:tab w:val="right" w:leader="dot" w:pos="9016"/>
            </w:tabs>
            <w:rPr>
              <w:rFonts w:eastAsiaTheme="minorEastAsia"/>
              <w:smallCaps w:val="0"/>
              <w:noProof/>
              <w:sz w:val="24"/>
              <w:szCs w:val="24"/>
              <w:lang w:eastAsia="en-GB"/>
            </w:rPr>
          </w:pPr>
          <w:hyperlink w:anchor="_Toc232601716" w:history="1">
            <w:r w:rsidRPr="00950DB6">
              <w:rPr>
                <w:rStyle w:val="Hyperlink"/>
                <w:rFonts w:ascii="Baskerville Old Face" w:hAnsi="Baskerville Old Face"/>
                <w:b/>
                <w:bCs/>
                <w:noProof/>
                <w:sz w:val="24"/>
                <w:szCs w:val="24"/>
              </w:rPr>
              <w:t>2.Political and Legal Environment</w:t>
            </w:r>
            <w:r w:rsidRPr="00950DB6">
              <w:rPr>
                <w:noProof/>
                <w:webHidden/>
                <w:sz w:val="24"/>
                <w:szCs w:val="24"/>
              </w:rPr>
              <w:tab/>
            </w:r>
            <w:r w:rsidRPr="00950DB6">
              <w:rPr>
                <w:noProof/>
                <w:webHidden/>
                <w:sz w:val="24"/>
                <w:szCs w:val="24"/>
              </w:rPr>
              <w:fldChar w:fldCharType="begin"/>
            </w:r>
            <w:r w:rsidRPr="00950DB6">
              <w:rPr>
                <w:noProof/>
                <w:webHidden/>
                <w:sz w:val="24"/>
                <w:szCs w:val="24"/>
              </w:rPr>
              <w:instrText xml:space="preserve"> PAGEREF _Toc232601716 \h </w:instrText>
            </w:r>
            <w:r w:rsidRPr="00950DB6">
              <w:rPr>
                <w:noProof/>
                <w:webHidden/>
                <w:sz w:val="24"/>
                <w:szCs w:val="24"/>
              </w:rPr>
            </w:r>
            <w:r w:rsidRPr="00950DB6">
              <w:rPr>
                <w:noProof/>
                <w:webHidden/>
                <w:sz w:val="24"/>
                <w:szCs w:val="24"/>
              </w:rPr>
              <w:fldChar w:fldCharType="separate"/>
            </w:r>
            <w:r w:rsidRPr="00950DB6">
              <w:rPr>
                <w:noProof/>
                <w:webHidden/>
                <w:sz w:val="24"/>
                <w:szCs w:val="24"/>
              </w:rPr>
              <w:t>6</w:t>
            </w:r>
            <w:r w:rsidRPr="00950DB6">
              <w:rPr>
                <w:noProof/>
                <w:webHidden/>
                <w:sz w:val="24"/>
                <w:szCs w:val="24"/>
              </w:rPr>
              <w:fldChar w:fldCharType="end"/>
            </w:r>
          </w:hyperlink>
        </w:p>
        <w:p w14:paraId="22D07541" w14:textId="1A3FF5A9" w:rsidR="00950DB6" w:rsidRPr="00950DB6" w:rsidRDefault="00950DB6">
          <w:pPr>
            <w:pStyle w:val="TOC1"/>
            <w:tabs>
              <w:tab w:val="right" w:leader="dot" w:pos="9016"/>
            </w:tabs>
            <w:rPr>
              <w:rFonts w:eastAsiaTheme="minorEastAsia"/>
              <w:b w:val="0"/>
              <w:bCs w:val="0"/>
              <w:caps w:val="0"/>
              <w:noProof/>
              <w:sz w:val="24"/>
              <w:szCs w:val="24"/>
              <w:lang w:eastAsia="en-GB"/>
            </w:rPr>
          </w:pPr>
          <w:hyperlink w:anchor="_Toc232601717" w:history="1">
            <w:r w:rsidRPr="00950DB6">
              <w:rPr>
                <w:rStyle w:val="Hyperlink"/>
                <w:rFonts w:ascii="Baskerville Old Face" w:hAnsi="Baskerville Old Face"/>
                <w:noProof/>
                <w:sz w:val="24"/>
                <w:szCs w:val="24"/>
              </w:rPr>
              <w:t>STRETEGIC GROWTH AND COMPETITIVE POSITIONING</w:t>
            </w:r>
            <w:r w:rsidRPr="00950DB6">
              <w:rPr>
                <w:noProof/>
                <w:webHidden/>
                <w:sz w:val="24"/>
                <w:szCs w:val="24"/>
              </w:rPr>
              <w:tab/>
            </w:r>
            <w:r w:rsidRPr="00950DB6">
              <w:rPr>
                <w:noProof/>
                <w:webHidden/>
                <w:sz w:val="24"/>
                <w:szCs w:val="24"/>
              </w:rPr>
              <w:fldChar w:fldCharType="begin"/>
            </w:r>
            <w:r w:rsidRPr="00950DB6">
              <w:rPr>
                <w:noProof/>
                <w:webHidden/>
                <w:sz w:val="24"/>
                <w:szCs w:val="24"/>
              </w:rPr>
              <w:instrText xml:space="preserve"> PAGEREF _Toc232601717 \h </w:instrText>
            </w:r>
            <w:r w:rsidRPr="00950DB6">
              <w:rPr>
                <w:noProof/>
                <w:webHidden/>
                <w:sz w:val="24"/>
                <w:szCs w:val="24"/>
              </w:rPr>
            </w:r>
            <w:r w:rsidRPr="00950DB6">
              <w:rPr>
                <w:noProof/>
                <w:webHidden/>
                <w:sz w:val="24"/>
                <w:szCs w:val="24"/>
              </w:rPr>
              <w:fldChar w:fldCharType="separate"/>
            </w:r>
            <w:r w:rsidRPr="00950DB6">
              <w:rPr>
                <w:noProof/>
                <w:webHidden/>
                <w:sz w:val="24"/>
                <w:szCs w:val="24"/>
              </w:rPr>
              <w:t>6</w:t>
            </w:r>
            <w:r w:rsidRPr="00950DB6">
              <w:rPr>
                <w:noProof/>
                <w:webHidden/>
                <w:sz w:val="24"/>
                <w:szCs w:val="24"/>
              </w:rPr>
              <w:fldChar w:fldCharType="end"/>
            </w:r>
          </w:hyperlink>
        </w:p>
        <w:p w14:paraId="322F160E" w14:textId="3B45AFD5" w:rsidR="00950DB6" w:rsidRPr="00950DB6" w:rsidRDefault="00950DB6">
          <w:pPr>
            <w:pStyle w:val="TOC2"/>
            <w:tabs>
              <w:tab w:val="right" w:leader="dot" w:pos="9016"/>
            </w:tabs>
            <w:rPr>
              <w:rFonts w:eastAsiaTheme="minorEastAsia"/>
              <w:smallCaps w:val="0"/>
              <w:noProof/>
              <w:sz w:val="24"/>
              <w:szCs w:val="24"/>
              <w:lang w:eastAsia="en-GB"/>
            </w:rPr>
          </w:pPr>
          <w:hyperlink w:anchor="_Toc232601718" w:history="1">
            <w:r w:rsidRPr="00950DB6">
              <w:rPr>
                <w:rStyle w:val="Hyperlink"/>
                <w:rFonts w:ascii="Baskerville Old Face" w:hAnsi="Baskerville Old Face"/>
                <w:b/>
                <w:bCs/>
                <w:noProof/>
                <w:sz w:val="24"/>
                <w:szCs w:val="24"/>
              </w:rPr>
              <w:t>ANSOFF MATRIX</w:t>
            </w:r>
            <w:r w:rsidRPr="00950DB6">
              <w:rPr>
                <w:noProof/>
                <w:webHidden/>
                <w:sz w:val="24"/>
                <w:szCs w:val="24"/>
              </w:rPr>
              <w:tab/>
            </w:r>
            <w:r w:rsidRPr="00950DB6">
              <w:rPr>
                <w:noProof/>
                <w:webHidden/>
                <w:sz w:val="24"/>
                <w:szCs w:val="24"/>
              </w:rPr>
              <w:fldChar w:fldCharType="begin"/>
            </w:r>
            <w:r w:rsidRPr="00950DB6">
              <w:rPr>
                <w:noProof/>
                <w:webHidden/>
                <w:sz w:val="24"/>
                <w:szCs w:val="24"/>
              </w:rPr>
              <w:instrText xml:space="preserve"> PAGEREF _Toc232601718 \h </w:instrText>
            </w:r>
            <w:r w:rsidRPr="00950DB6">
              <w:rPr>
                <w:noProof/>
                <w:webHidden/>
                <w:sz w:val="24"/>
                <w:szCs w:val="24"/>
              </w:rPr>
            </w:r>
            <w:r w:rsidRPr="00950DB6">
              <w:rPr>
                <w:noProof/>
                <w:webHidden/>
                <w:sz w:val="24"/>
                <w:szCs w:val="24"/>
              </w:rPr>
              <w:fldChar w:fldCharType="separate"/>
            </w:r>
            <w:r w:rsidRPr="00950DB6">
              <w:rPr>
                <w:noProof/>
                <w:webHidden/>
                <w:sz w:val="24"/>
                <w:szCs w:val="24"/>
              </w:rPr>
              <w:t>6</w:t>
            </w:r>
            <w:r w:rsidRPr="00950DB6">
              <w:rPr>
                <w:noProof/>
                <w:webHidden/>
                <w:sz w:val="24"/>
                <w:szCs w:val="24"/>
              </w:rPr>
              <w:fldChar w:fldCharType="end"/>
            </w:r>
          </w:hyperlink>
        </w:p>
        <w:p w14:paraId="536DEFF3" w14:textId="2B18DE2F" w:rsidR="00950DB6" w:rsidRPr="00950DB6" w:rsidRDefault="00950DB6">
          <w:pPr>
            <w:pStyle w:val="TOC2"/>
            <w:tabs>
              <w:tab w:val="right" w:leader="dot" w:pos="9016"/>
            </w:tabs>
            <w:rPr>
              <w:rFonts w:eastAsiaTheme="minorEastAsia"/>
              <w:smallCaps w:val="0"/>
              <w:noProof/>
              <w:sz w:val="24"/>
              <w:szCs w:val="24"/>
              <w:lang w:eastAsia="en-GB"/>
            </w:rPr>
          </w:pPr>
          <w:hyperlink w:anchor="_Toc232601719" w:history="1">
            <w:r w:rsidRPr="00950DB6">
              <w:rPr>
                <w:rStyle w:val="Hyperlink"/>
                <w:rFonts w:ascii="Baskerville Old Face" w:hAnsi="Baskerville Old Face"/>
                <w:b/>
                <w:bCs/>
                <w:noProof/>
                <w:sz w:val="24"/>
                <w:szCs w:val="24"/>
              </w:rPr>
              <w:t>Porter’s Generic Strategy</w:t>
            </w:r>
            <w:r w:rsidRPr="00950DB6">
              <w:rPr>
                <w:noProof/>
                <w:webHidden/>
                <w:sz w:val="24"/>
                <w:szCs w:val="24"/>
              </w:rPr>
              <w:tab/>
            </w:r>
            <w:r w:rsidRPr="00950DB6">
              <w:rPr>
                <w:noProof/>
                <w:webHidden/>
                <w:sz w:val="24"/>
                <w:szCs w:val="24"/>
              </w:rPr>
              <w:fldChar w:fldCharType="begin"/>
            </w:r>
            <w:r w:rsidRPr="00950DB6">
              <w:rPr>
                <w:noProof/>
                <w:webHidden/>
                <w:sz w:val="24"/>
                <w:szCs w:val="24"/>
              </w:rPr>
              <w:instrText xml:space="preserve"> PAGEREF _Toc232601719 \h </w:instrText>
            </w:r>
            <w:r w:rsidRPr="00950DB6">
              <w:rPr>
                <w:noProof/>
                <w:webHidden/>
                <w:sz w:val="24"/>
                <w:szCs w:val="24"/>
              </w:rPr>
            </w:r>
            <w:r w:rsidRPr="00950DB6">
              <w:rPr>
                <w:noProof/>
                <w:webHidden/>
                <w:sz w:val="24"/>
                <w:szCs w:val="24"/>
              </w:rPr>
              <w:fldChar w:fldCharType="separate"/>
            </w:r>
            <w:r w:rsidRPr="00950DB6">
              <w:rPr>
                <w:noProof/>
                <w:webHidden/>
                <w:sz w:val="24"/>
                <w:szCs w:val="24"/>
              </w:rPr>
              <w:t>7</w:t>
            </w:r>
            <w:r w:rsidRPr="00950DB6">
              <w:rPr>
                <w:noProof/>
                <w:webHidden/>
                <w:sz w:val="24"/>
                <w:szCs w:val="24"/>
              </w:rPr>
              <w:fldChar w:fldCharType="end"/>
            </w:r>
          </w:hyperlink>
        </w:p>
        <w:p w14:paraId="3B9B2774" w14:textId="36556B38" w:rsidR="00950DB6" w:rsidRPr="00950DB6" w:rsidRDefault="00950DB6">
          <w:pPr>
            <w:pStyle w:val="TOC1"/>
            <w:tabs>
              <w:tab w:val="right" w:leader="dot" w:pos="9016"/>
            </w:tabs>
            <w:rPr>
              <w:rFonts w:eastAsiaTheme="minorEastAsia"/>
              <w:b w:val="0"/>
              <w:bCs w:val="0"/>
              <w:caps w:val="0"/>
              <w:noProof/>
              <w:sz w:val="24"/>
              <w:szCs w:val="24"/>
              <w:lang w:eastAsia="en-GB"/>
            </w:rPr>
          </w:pPr>
          <w:hyperlink w:anchor="_Toc232601720" w:history="1">
            <w:r w:rsidRPr="00950DB6">
              <w:rPr>
                <w:rStyle w:val="Hyperlink"/>
                <w:rFonts w:ascii="Baskerville Old Face" w:hAnsi="Baskerville Old Face"/>
                <w:noProof/>
                <w:sz w:val="24"/>
                <w:szCs w:val="24"/>
              </w:rPr>
              <w:t>INTERNATIONAL BUSINESS STRATEGY CONSIDERATIONS</w:t>
            </w:r>
            <w:r w:rsidRPr="00950DB6">
              <w:rPr>
                <w:noProof/>
                <w:webHidden/>
                <w:sz w:val="24"/>
                <w:szCs w:val="24"/>
              </w:rPr>
              <w:tab/>
            </w:r>
            <w:r w:rsidRPr="00950DB6">
              <w:rPr>
                <w:noProof/>
                <w:webHidden/>
                <w:sz w:val="24"/>
                <w:szCs w:val="24"/>
              </w:rPr>
              <w:fldChar w:fldCharType="begin"/>
            </w:r>
            <w:r w:rsidRPr="00950DB6">
              <w:rPr>
                <w:noProof/>
                <w:webHidden/>
                <w:sz w:val="24"/>
                <w:szCs w:val="24"/>
              </w:rPr>
              <w:instrText xml:space="preserve"> PAGEREF _Toc232601720 \h </w:instrText>
            </w:r>
            <w:r w:rsidRPr="00950DB6">
              <w:rPr>
                <w:noProof/>
                <w:webHidden/>
                <w:sz w:val="24"/>
                <w:szCs w:val="24"/>
              </w:rPr>
            </w:r>
            <w:r w:rsidRPr="00950DB6">
              <w:rPr>
                <w:noProof/>
                <w:webHidden/>
                <w:sz w:val="24"/>
                <w:szCs w:val="24"/>
              </w:rPr>
              <w:fldChar w:fldCharType="separate"/>
            </w:r>
            <w:r w:rsidRPr="00950DB6">
              <w:rPr>
                <w:noProof/>
                <w:webHidden/>
                <w:sz w:val="24"/>
                <w:szCs w:val="24"/>
              </w:rPr>
              <w:t>8</w:t>
            </w:r>
            <w:r w:rsidRPr="00950DB6">
              <w:rPr>
                <w:noProof/>
                <w:webHidden/>
                <w:sz w:val="24"/>
                <w:szCs w:val="24"/>
              </w:rPr>
              <w:fldChar w:fldCharType="end"/>
            </w:r>
          </w:hyperlink>
        </w:p>
        <w:p w14:paraId="4A454F60" w14:textId="270F65BF" w:rsidR="00950DB6" w:rsidRPr="00950DB6" w:rsidRDefault="00950DB6">
          <w:pPr>
            <w:pStyle w:val="TOC1"/>
            <w:tabs>
              <w:tab w:val="right" w:leader="dot" w:pos="9016"/>
            </w:tabs>
            <w:rPr>
              <w:rFonts w:eastAsiaTheme="minorEastAsia"/>
              <w:b w:val="0"/>
              <w:bCs w:val="0"/>
              <w:caps w:val="0"/>
              <w:noProof/>
              <w:sz w:val="24"/>
              <w:szCs w:val="24"/>
              <w:lang w:eastAsia="en-GB"/>
            </w:rPr>
          </w:pPr>
          <w:hyperlink w:anchor="_Toc232601721" w:history="1">
            <w:r w:rsidRPr="00950DB6">
              <w:rPr>
                <w:rStyle w:val="Hyperlink"/>
                <w:rFonts w:ascii="Baskerville Old Face" w:hAnsi="Baskerville Old Face"/>
                <w:noProof/>
                <w:sz w:val="24"/>
                <w:szCs w:val="24"/>
              </w:rPr>
              <w:t>Critical Reflection on AI Usage</w:t>
            </w:r>
            <w:r w:rsidRPr="00950DB6">
              <w:rPr>
                <w:noProof/>
                <w:webHidden/>
                <w:sz w:val="24"/>
                <w:szCs w:val="24"/>
              </w:rPr>
              <w:tab/>
            </w:r>
            <w:r w:rsidRPr="00950DB6">
              <w:rPr>
                <w:noProof/>
                <w:webHidden/>
                <w:sz w:val="24"/>
                <w:szCs w:val="24"/>
              </w:rPr>
              <w:fldChar w:fldCharType="begin"/>
            </w:r>
            <w:r w:rsidRPr="00950DB6">
              <w:rPr>
                <w:noProof/>
                <w:webHidden/>
                <w:sz w:val="24"/>
                <w:szCs w:val="24"/>
              </w:rPr>
              <w:instrText xml:space="preserve"> PAGEREF _Toc232601721 \h </w:instrText>
            </w:r>
            <w:r w:rsidRPr="00950DB6">
              <w:rPr>
                <w:noProof/>
                <w:webHidden/>
                <w:sz w:val="24"/>
                <w:szCs w:val="24"/>
              </w:rPr>
            </w:r>
            <w:r w:rsidRPr="00950DB6">
              <w:rPr>
                <w:noProof/>
                <w:webHidden/>
                <w:sz w:val="24"/>
                <w:szCs w:val="24"/>
              </w:rPr>
              <w:fldChar w:fldCharType="separate"/>
            </w:r>
            <w:r w:rsidRPr="00950DB6">
              <w:rPr>
                <w:noProof/>
                <w:webHidden/>
                <w:sz w:val="24"/>
                <w:szCs w:val="24"/>
              </w:rPr>
              <w:t>9</w:t>
            </w:r>
            <w:r w:rsidRPr="00950DB6">
              <w:rPr>
                <w:noProof/>
                <w:webHidden/>
                <w:sz w:val="24"/>
                <w:szCs w:val="24"/>
              </w:rPr>
              <w:fldChar w:fldCharType="end"/>
            </w:r>
          </w:hyperlink>
        </w:p>
        <w:p w14:paraId="60030597" w14:textId="04B28586" w:rsidR="00950DB6" w:rsidRPr="00950DB6" w:rsidRDefault="00950DB6">
          <w:pPr>
            <w:pStyle w:val="TOC1"/>
            <w:tabs>
              <w:tab w:val="right" w:leader="dot" w:pos="9016"/>
            </w:tabs>
            <w:rPr>
              <w:rFonts w:eastAsiaTheme="minorEastAsia"/>
              <w:b w:val="0"/>
              <w:bCs w:val="0"/>
              <w:caps w:val="0"/>
              <w:noProof/>
              <w:sz w:val="24"/>
              <w:szCs w:val="24"/>
              <w:lang w:eastAsia="en-GB"/>
            </w:rPr>
          </w:pPr>
          <w:hyperlink w:anchor="_Toc232601722" w:history="1">
            <w:r w:rsidRPr="00950DB6">
              <w:rPr>
                <w:rStyle w:val="Hyperlink"/>
                <w:rFonts w:ascii="Baskerville Old Face" w:hAnsi="Baskerville Old Face"/>
                <w:noProof/>
                <w:sz w:val="24"/>
                <w:szCs w:val="24"/>
              </w:rPr>
              <w:t>References:</w:t>
            </w:r>
            <w:r w:rsidRPr="00950DB6">
              <w:rPr>
                <w:noProof/>
                <w:webHidden/>
                <w:sz w:val="24"/>
                <w:szCs w:val="24"/>
              </w:rPr>
              <w:tab/>
            </w:r>
            <w:r w:rsidRPr="00950DB6">
              <w:rPr>
                <w:noProof/>
                <w:webHidden/>
                <w:sz w:val="24"/>
                <w:szCs w:val="24"/>
              </w:rPr>
              <w:fldChar w:fldCharType="begin"/>
            </w:r>
            <w:r w:rsidRPr="00950DB6">
              <w:rPr>
                <w:noProof/>
                <w:webHidden/>
                <w:sz w:val="24"/>
                <w:szCs w:val="24"/>
              </w:rPr>
              <w:instrText xml:space="preserve"> PAGEREF _Toc232601722 \h </w:instrText>
            </w:r>
            <w:r w:rsidRPr="00950DB6">
              <w:rPr>
                <w:noProof/>
                <w:webHidden/>
                <w:sz w:val="24"/>
                <w:szCs w:val="24"/>
              </w:rPr>
            </w:r>
            <w:r w:rsidRPr="00950DB6">
              <w:rPr>
                <w:noProof/>
                <w:webHidden/>
                <w:sz w:val="24"/>
                <w:szCs w:val="24"/>
              </w:rPr>
              <w:fldChar w:fldCharType="separate"/>
            </w:r>
            <w:r w:rsidRPr="00950DB6">
              <w:rPr>
                <w:noProof/>
                <w:webHidden/>
                <w:sz w:val="24"/>
                <w:szCs w:val="24"/>
              </w:rPr>
              <w:t>10</w:t>
            </w:r>
            <w:r w:rsidRPr="00950DB6">
              <w:rPr>
                <w:noProof/>
                <w:webHidden/>
                <w:sz w:val="24"/>
                <w:szCs w:val="24"/>
              </w:rPr>
              <w:fldChar w:fldCharType="end"/>
            </w:r>
          </w:hyperlink>
        </w:p>
        <w:p w14:paraId="2839C2EA" w14:textId="6EFA6B63" w:rsidR="00DC67DF" w:rsidRDefault="00DC67DF">
          <w:r w:rsidRPr="00950DB6">
            <w:rPr>
              <w:b/>
              <w:bCs/>
              <w:noProof/>
            </w:rPr>
            <w:fldChar w:fldCharType="end"/>
          </w:r>
        </w:p>
      </w:sdtContent>
    </w:sdt>
    <w:p w14:paraId="22D90972" w14:textId="09A8E4F2" w:rsidR="00E12F86" w:rsidRDefault="00E12F86" w:rsidP="00DC67DF">
      <w:pPr>
        <w:rPr>
          <w:rFonts w:ascii="BASKERVILLE SEMIBOLD" w:hAnsi="BASKERVILLE SEMIBOLD" w:cs="Times New Roman"/>
          <w:b/>
          <w:bCs/>
          <w:sz w:val="40"/>
          <w:szCs w:val="40"/>
        </w:rPr>
      </w:pPr>
    </w:p>
    <w:p w14:paraId="541D789C" w14:textId="0E20B295" w:rsidR="00E12F86" w:rsidRDefault="00E12F86" w:rsidP="00097C31">
      <w:pPr>
        <w:rPr>
          <w:rFonts w:ascii="BASKERVILLE SEMIBOLD" w:hAnsi="BASKERVILLE SEMIBOLD" w:cs="Times New Roman"/>
          <w:b/>
          <w:bCs/>
          <w:sz w:val="40"/>
          <w:szCs w:val="40"/>
        </w:rPr>
      </w:pPr>
      <w:r>
        <w:rPr>
          <w:rFonts w:ascii="BASKERVILLE SEMIBOLD" w:hAnsi="BASKERVILLE SEMIBOLD" w:cs="Times New Roman"/>
          <w:b/>
          <w:bCs/>
          <w:sz w:val="40"/>
          <w:szCs w:val="40"/>
        </w:rPr>
        <w:br w:type="page"/>
      </w:r>
    </w:p>
    <w:p w14:paraId="1A463331" w14:textId="77777777" w:rsidR="000938EB" w:rsidRPr="00FE1579" w:rsidRDefault="000938EB" w:rsidP="00F03D86">
      <w:pPr>
        <w:pStyle w:val="Heading1"/>
        <w:spacing w:line="360" w:lineRule="auto"/>
        <w:rPr>
          <w:rFonts w:ascii="Baskerville Old Face" w:hAnsi="Baskerville Old Face"/>
          <w:b/>
          <w:bCs/>
          <w:color w:val="000000" w:themeColor="text1"/>
        </w:rPr>
      </w:pPr>
      <w:bookmarkStart w:id="0" w:name="_Toc232601713"/>
      <w:r w:rsidRPr="00FE1579">
        <w:rPr>
          <w:rFonts w:ascii="Baskerville Old Face" w:hAnsi="Baskerville Old Face"/>
          <w:b/>
          <w:bCs/>
          <w:color w:val="000000" w:themeColor="text1"/>
        </w:rPr>
        <w:lastRenderedPageBreak/>
        <w:t>INTRODUCTION:</w:t>
      </w:r>
      <w:bookmarkEnd w:id="0"/>
    </w:p>
    <w:p w14:paraId="5C67702B" w14:textId="071FB5A2" w:rsidR="00817157" w:rsidRPr="004B350C" w:rsidRDefault="00ED4F00" w:rsidP="00F03D86">
      <w:pPr>
        <w:spacing w:line="360" w:lineRule="auto"/>
        <w:jc w:val="both"/>
        <w:rPr>
          <w:rFonts w:ascii="Arial" w:hAnsi="Arial" w:cs="Arial"/>
        </w:rPr>
      </w:pPr>
      <w:r w:rsidRPr="004B350C">
        <w:rPr>
          <w:rFonts w:ascii="Arial" w:hAnsi="Arial" w:cs="Arial"/>
        </w:rPr>
        <w:t>The metal production and mining industry is changing as a result of the world's shift to a low-carbon economy, especially for companies that produce copper like Codelco. Copper is essential to grid infrastructure, electric cars, and renewable energy systems, putting Codelco at the forefront of the energy shift. Nevertheless, despite its strategic significance, copper mining is still quite vulnerable to environmental stresses, especially water shortages and carbon-intensive extraction techniques</w:t>
      </w:r>
      <w:r w:rsidR="00582574" w:rsidRPr="004B350C">
        <w:rPr>
          <w:rFonts w:ascii="Arial" w:hAnsi="Arial" w:cs="Arial"/>
        </w:rPr>
        <w:t xml:space="preserve"> (</w:t>
      </w:r>
      <w:r w:rsidR="00771703" w:rsidRPr="004B350C">
        <w:rPr>
          <w:rFonts w:ascii="Arial" w:hAnsi="Arial" w:cs="Arial"/>
        </w:rPr>
        <w:t>Codelco,2025)</w:t>
      </w:r>
      <w:r w:rsidRPr="004B350C">
        <w:rPr>
          <w:rFonts w:ascii="Arial" w:hAnsi="Arial" w:cs="Arial"/>
        </w:rPr>
        <w:t xml:space="preserve">. </w:t>
      </w:r>
    </w:p>
    <w:p w14:paraId="5E711209" w14:textId="5E5E22BC" w:rsidR="00817157" w:rsidRPr="004B350C" w:rsidRDefault="00817157" w:rsidP="00F03D86">
      <w:pPr>
        <w:spacing w:line="360" w:lineRule="auto"/>
        <w:jc w:val="both"/>
        <w:rPr>
          <w:rFonts w:ascii="Arial" w:hAnsi="Arial" w:cs="Arial"/>
        </w:rPr>
      </w:pPr>
      <w:r w:rsidRPr="004B350C">
        <w:rPr>
          <w:rFonts w:ascii="Arial" w:hAnsi="Arial" w:cs="Arial"/>
        </w:rPr>
        <w:t>Considering an emphasis on the natural environment and a secondary emphasis on the political and legal environment, this research examines two significant external marketing environment players impacting Codelco's shift toward lower-carbon materials.   In order to suggest a suitable competitive positioning strategy, it then assesses strategic growth possibilities using the Ansoff Matrix and Porter's Generic Strategies. Lastly, it offers a critical reflection on how artificial intelligence techniques were used to help this analysis's creation.</w:t>
      </w:r>
    </w:p>
    <w:p w14:paraId="264C4EE1" w14:textId="525DEA57" w:rsidR="008E01C6" w:rsidRPr="004B350C" w:rsidRDefault="00817157" w:rsidP="00F03D86">
      <w:pPr>
        <w:spacing w:line="360" w:lineRule="auto"/>
        <w:jc w:val="both"/>
        <w:rPr>
          <w:rFonts w:ascii="Arial" w:hAnsi="Arial" w:cs="Arial"/>
        </w:rPr>
      </w:pPr>
      <w:r w:rsidRPr="004B350C">
        <w:rPr>
          <w:rFonts w:ascii="Arial" w:hAnsi="Arial" w:cs="Arial"/>
        </w:rPr>
        <w:t>In order to evaluate Codelco's sustainability transition's prospects and inconsistencies, the paper employs a critical, evidence-based methodology that draws from both industry data and scholarly literature.</w:t>
      </w:r>
    </w:p>
    <w:p w14:paraId="469B3D07" w14:textId="6FB35A2C" w:rsidR="00621B48" w:rsidRPr="00FE1579" w:rsidRDefault="002A41FE" w:rsidP="00F03D86">
      <w:pPr>
        <w:pStyle w:val="Heading1"/>
        <w:spacing w:line="360" w:lineRule="auto"/>
        <w:rPr>
          <w:rFonts w:ascii="Baskerville Old Face" w:hAnsi="Baskerville Old Face"/>
          <w:b/>
          <w:bCs/>
          <w:color w:val="000000" w:themeColor="text1"/>
          <w:sz w:val="36"/>
          <w:szCs w:val="36"/>
        </w:rPr>
      </w:pPr>
      <w:bookmarkStart w:id="1" w:name="_Toc232601714"/>
      <w:r w:rsidRPr="00FE1579">
        <w:rPr>
          <w:rFonts w:ascii="Baskerville Old Face" w:hAnsi="Baskerville Old Face"/>
          <w:b/>
          <w:bCs/>
          <w:color w:val="000000" w:themeColor="text1"/>
          <w:sz w:val="36"/>
          <w:szCs w:val="36"/>
        </w:rPr>
        <w:t>Marketing Environment Analysis</w:t>
      </w:r>
      <w:bookmarkEnd w:id="1"/>
    </w:p>
    <w:p w14:paraId="1362C151" w14:textId="76EF27B8" w:rsidR="008A475E" w:rsidRPr="00FE1579" w:rsidRDefault="00813BDC" w:rsidP="00F03D86">
      <w:pPr>
        <w:pStyle w:val="Heading2"/>
        <w:spacing w:line="360" w:lineRule="auto"/>
        <w:rPr>
          <w:rFonts w:ascii="Baskerville Old Face" w:hAnsi="Baskerville Old Face"/>
          <w:b/>
          <w:bCs/>
          <w:color w:val="000000" w:themeColor="text1"/>
          <w:sz w:val="24"/>
          <w:szCs w:val="24"/>
        </w:rPr>
      </w:pPr>
      <w:bookmarkStart w:id="2" w:name="_Toc232601715"/>
      <w:r w:rsidRPr="00FE1579">
        <w:rPr>
          <w:rFonts w:ascii="Baskerville Old Face" w:hAnsi="Baskerville Old Face"/>
          <w:b/>
          <w:bCs/>
          <w:color w:val="000000" w:themeColor="text1"/>
        </w:rPr>
        <w:t>1.</w:t>
      </w:r>
      <w:r w:rsidR="00566CCC" w:rsidRPr="00FE1579">
        <w:rPr>
          <w:rFonts w:ascii="Baskerville Old Face" w:hAnsi="Baskerville Old Face"/>
          <w:b/>
          <w:bCs/>
          <w:color w:val="000000" w:themeColor="text1"/>
        </w:rPr>
        <w:t>Natural Environment</w:t>
      </w:r>
      <w:bookmarkEnd w:id="2"/>
    </w:p>
    <w:p w14:paraId="7A25953A" w14:textId="1764F31A" w:rsidR="00CB318C" w:rsidRPr="004B350C" w:rsidRDefault="007802C9" w:rsidP="00F03D86">
      <w:pPr>
        <w:spacing w:line="360" w:lineRule="auto"/>
        <w:jc w:val="both"/>
        <w:rPr>
          <w:rFonts w:ascii="Arial" w:hAnsi="Arial" w:cs="Arial"/>
        </w:rPr>
      </w:pPr>
      <w:r w:rsidRPr="004B350C">
        <w:rPr>
          <w:rFonts w:ascii="Arial" w:hAnsi="Arial" w:cs="Arial"/>
        </w:rPr>
        <w:t>The biggest external factor driving Codelco's strategy shift to low-carbon production is the natural environment. In Chile's northern mining areas, where Codelco's operations are largely focused, climate change has made water shortages worse. Because copper extraction requires a lot of water, this places a structural limit on output capacity</w:t>
      </w:r>
      <w:r w:rsidR="002B630A" w:rsidRPr="004B350C">
        <w:rPr>
          <w:rFonts w:ascii="Arial" w:hAnsi="Arial" w:cs="Arial"/>
        </w:rPr>
        <w:t xml:space="preserve"> (OECD 2024)</w:t>
      </w:r>
      <w:r w:rsidRPr="004B350C">
        <w:rPr>
          <w:rFonts w:ascii="Arial" w:hAnsi="Arial" w:cs="Arial"/>
        </w:rPr>
        <w:t>. Although the corporation has made investments in water recycling systems and desalination facilities, these solutions raise operating costs and energy consumption, which may negate certain environmental advantages.</w:t>
      </w:r>
      <w:r w:rsidR="00566CCC" w:rsidRPr="004B350C">
        <w:rPr>
          <w:rFonts w:ascii="Arial" w:hAnsi="Arial" w:cs="Arial"/>
        </w:rPr>
        <w:t xml:space="preserve"> </w:t>
      </w:r>
    </w:p>
    <w:p w14:paraId="343C0541" w14:textId="013D3BE4" w:rsidR="0034720F" w:rsidRPr="004B350C" w:rsidRDefault="00CB318C" w:rsidP="00F03D86">
      <w:pPr>
        <w:spacing w:line="360" w:lineRule="auto"/>
        <w:jc w:val="both"/>
        <w:rPr>
          <w:rFonts w:ascii="Arial" w:hAnsi="Arial" w:cs="Arial"/>
        </w:rPr>
      </w:pPr>
      <w:r w:rsidRPr="004B350C">
        <w:rPr>
          <w:rFonts w:ascii="Arial" w:hAnsi="Arial" w:cs="Arial"/>
        </w:rPr>
        <w:t>However, when looking at today's debate on sustainability, a contradiction appears.</w:t>
      </w:r>
      <w:r w:rsidR="00724F73" w:rsidRPr="004B350C">
        <w:rPr>
          <w:rFonts w:ascii="Arial" w:hAnsi="Arial" w:cs="Arial"/>
        </w:rPr>
        <w:t xml:space="preserve"> According to Duex et al. (2026)</w:t>
      </w:r>
      <w:r w:rsidRPr="004B350C">
        <w:rPr>
          <w:rFonts w:ascii="Arial" w:hAnsi="Arial" w:cs="Arial"/>
        </w:rPr>
        <w:t xml:space="preserve"> </w:t>
      </w:r>
      <w:r w:rsidR="000915F8" w:rsidRPr="004B350C">
        <w:rPr>
          <w:rFonts w:ascii="Arial" w:hAnsi="Arial" w:cs="Arial"/>
        </w:rPr>
        <w:t>c</w:t>
      </w:r>
      <w:r w:rsidRPr="004B350C">
        <w:rPr>
          <w:rFonts w:ascii="Arial" w:hAnsi="Arial" w:cs="Arial"/>
        </w:rPr>
        <w:t xml:space="preserve">opper is necessary for decarbonisation technology like wind turbines and electric cars, despite the fact that mining is frequently blamed </w:t>
      </w:r>
      <w:r w:rsidRPr="004B350C">
        <w:rPr>
          <w:rFonts w:ascii="Arial" w:hAnsi="Arial" w:cs="Arial"/>
        </w:rPr>
        <w:lastRenderedPageBreak/>
        <w:t>for environmental damage. This leads to a paradox: although worldwide environmental transformation is accelerated by rising copper demand, local environmental concerns in Chile are intensified. As a result, Codelco works in a dual-role environment where it both facilitates and contributes to climate mitigation.</w:t>
      </w:r>
    </w:p>
    <w:p w14:paraId="45141E4D" w14:textId="73D8527D" w:rsidR="00863710" w:rsidRPr="004B350C" w:rsidRDefault="0034720F" w:rsidP="00F03D86">
      <w:pPr>
        <w:spacing w:line="360" w:lineRule="auto"/>
        <w:jc w:val="both"/>
        <w:rPr>
          <w:rFonts w:ascii="Arial" w:hAnsi="Arial" w:cs="Arial"/>
          <w:sz w:val="44"/>
          <w:szCs w:val="44"/>
        </w:rPr>
      </w:pPr>
      <w:r w:rsidRPr="004B350C">
        <w:rPr>
          <w:rFonts w:ascii="Arial" w:hAnsi="Arial" w:cs="Arial"/>
        </w:rPr>
        <w:t>Increased demand for copper across the world offers Codelco a huge market potential, especially in light of increased investment in electric vehicles and renewable energy infrastructure.</w:t>
      </w:r>
      <w:r w:rsidR="001720D0" w:rsidRPr="004B350C">
        <w:rPr>
          <w:rFonts w:ascii="Arial" w:hAnsi="Arial" w:cs="Arial"/>
        </w:rPr>
        <w:t xml:space="preserve"> </w:t>
      </w:r>
      <w:r w:rsidR="002E2DC0" w:rsidRPr="004B350C">
        <w:rPr>
          <w:rFonts w:ascii="Arial" w:hAnsi="Arial" w:cs="Arial"/>
        </w:rPr>
        <w:t>According to Biancardi</w:t>
      </w:r>
      <w:r w:rsidR="001720D0" w:rsidRPr="004B350C">
        <w:rPr>
          <w:rFonts w:ascii="Arial" w:hAnsi="Arial" w:cs="Arial"/>
        </w:rPr>
        <w:t xml:space="preserve"> et al. (2025</w:t>
      </w:r>
      <w:proofErr w:type="gramStart"/>
      <w:r w:rsidR="001720D0" w:rsidRPr="004B350C">
        <w:rPr>
          <w:rFonts w:ascii="Arial" w:hAnsi="Arial" w:cs="Arial"/>
        </w:rPr>
        <w:t xml:space="preserve">) </w:t>
      </w:r>
      <w:r w:rsidRPr="004B350C">
        <w:rPr>
          <w:rFonts w:ascii="Arial" w:hAnsi="Arial" w:cs="Arial"/>
        </w:rPr>
        <w:t xml:space="preserve"> </w:t>
      </w:r>
      <w:r w:rsidR="000915F8" w:rsidRPr="004B350C">
        <w:rPr>
          <w:rFonts w:ascii="Arial" w:hAnsi="Arial" w:cs="Arial"/>
        </w:rPr>
        <w:t>i</w:t>
      </w:r>
      <w:r w:rsidRPr="004B350C">
        <w:rPr>
          <w:rFonts w:ascii="Arial" w:hAnsi="Arial" w:cs="Arial"/>
        </w:rPr>
        <w:t>ndustry</w:t>
      </w:r>
      <w:proofErr w:type="gramEnd"/>
      <w:r w:rsidRPr="004B350C">
        <w:rPr>
          <w:rFonts w:ascii="Arial" w:hAnsi="Arial" w:cs="Arial"/>
        </w:rPr>
        <w:t xml:space="preserve"> predictions indicate that as nations move away from fossil fuels, copper consumption will increase significantly over the next several decades. But as demand rises, so does the investigation of supply chain emissions. Codelco must therefore strike a balance between expansion prospects and decarbonisation constraints, necessitating investment in cleaner production methods to preserve market access in areas subject to environmental regulations like the European Union.</w:t>
      </w:r>
      <w:r w:rsidR="003A6E4C" w:rsidRPr="004B350C">
        <w:rPr>
          <w:rFonts w:ascii="Arial" w:hAnsi="Arial" w:cs="Arial"/>
          <w:sz w:val="44"/>
          <w:szCs w:val="44"/>
        </w:rPr>
        <w:t xml:space="preserve"> </w:t>
      </w:r>
    </w:p>
    <w:p w14:paraId="0F2F6383" w14:textId="02E4339D" w:rsidR="00A607F9" w:rsidRDefault="00A607F9" w:rsidP="00F03D86">
      <w:pPr>
        <w:spacing w:line="360" w:lineRule="auto"/>
        <w:jc w:val="both"/>
        <w:rPr>
          <w:rFonts w:ascii="Arial" w:hAnsi="Arial" w:cs="Arial"/>
          <w:b/>
          <w:bCs/>
        </w:rPr>
      </w:pPr>
      <w:r w:rsidRPr="00A607F9">
        <w:rPr>
          <w:rFonts w:ascii="Arial" w:hAnsi="Arial" w:cs="Arial"/>
          <w:b/>
          <w:bCs/>
        </w:rPr>
        <w:t>Water scarcity in Chile</w:t>
      </w:r>
    </w:p>
    <w:p w14:paraId="62373A2E" w14:textId="6373CC25" w:rsidR="00C63FD7" w:rsidRPr="004B350C" w:rsidRDefault="00CD2ED1" w:rsidP="00F03D86">
      <w:pPr>
        <w:spacing w:line="360" w:lineRule="auto"/>
        <w:jc w:val="both"/>
        <w:rPr>
          <w:rFonts w:ascii="Arial" w:hAnsi="Arial" w:cs="Arial"/>
        </w:rPr>
      </w:pPr>
      <w:r w:rsidRPr="004B350C">
        <w:rPr>
          <w:rFonts w:ascii="Arial" w:hAnsi="Arial" w:cs="Arial"/>
        </w:rPr>
        <w:t xml:space="preserve">One of Codelco's biggest environmental problems is still water shortage. </w:t>
      </w:r>
      <w:r w:rsidR="00CE6E3B" w:rsidRPr="004B350C">
        <w:rPr>
          <w:rFonts w:ascii="Arial" w:hAnsi="Arial" w:cs="Arial"/>
        </w:rPr>
        <w:t>According to Codelco annual report</w:t>
      </w:r>
      <w:r w:rsidR="001055FA" w:rsidRPr="004B350C">
        <w:rPr>
          <w:rFonts w:ascii="Arial" w:hAnsi="Arial" w:cs="Arial"/>
        </w:rPr>
        <w:t xml:space="preserve"> (</w:t>
      </w:r>
      <w:r w:rsidR="00CE6E3B" w:rsidRPr="004B350C">
        <w:rPr>
          <w:rFonts w:ascii="Arial" w:hAnsi="Arial" w:cs="Arial"/>
        </w:rPr>
        <w:t xml:space="preserve">2025) </w:t>
      </w:r>
      <w:r w:rsidR="000915F8" w:rsidRPr="004B350C">
        <w:rPr>
          <w:rFonts w:ascii="Arial" w:hAnsi="Arial" w:cs="Arial"/>
        </w:rPr>
        <w:t>l</w:t>
      </w:r>
      <w:r w:rsidRPr="004B350C">
        <w:rPr>
          <w:rFonts w:ascii="Arial" w:hAnsi="Arial" w:cs="Arial"/>
        </w:rPr>
        <w:t>ong-term climatic pressures indicate that water security will continue to be a strategic concern, even if the corporation reduced water usage in highly stressed basins by 12% in 2024. As a result, water management should be seen as both an environmental obligation and a crucial component affecting future competitiveness and operational continuity.</w:t>
      </w:r>
    </w:p>
    <w:p w14:paraId="22A745FE" w14:textId="2B7D8211" w:rsidR="00E02894" w:rsidRDefault="008C0C0C" w:rsidP="00F03D86">
      <w:pPr>
        <w:spacing w:line="360" w:lineRule="auto"/>
        <w:jc w:val="both"/>
        <w:rPr>
          <w:rFonts w:ascii="Arial" w:hAnsi="Arial" w:cs="Arial"/>
          <w:b/>
          <w:bCs/>
        </w:rPr>
      </w:pPr>
      <w:r>
        <w:rPr>
          <w:rFonts w:ascii="Arial" w:hAnsi="Arial" w:cs="Arial"/>
          <w:b/>
          <w:bCs/>
        </w:rPr>
        <w:t>Renewable Energy Transition</w:t>
      </w:r>
    </w:p>
    <w:p w14:paraId="09CC8389" w14:textId="3DEF3DD5" w:rsidR="00E02894" w:rsidRPr="004B350C" w:rsidRDefault="000A0EA2" w:rsidP="00F03D86">
      <w:pPr>
        <w:spacing w:line="360" w:lineRule="auto"/>
        <w:jc w:val="both"/>
        <w:rPr>
          <w:rFonts w:ascii="Arial" w:hAnsi="Arial" w:cs="Arial"/>
        </w:rPr>
      </w:pPr>
      <w:r w:rsidRPr="004B350C">
        <w:rPr>
          <w:rFonts w:ascii="Arial" w:hAnsi="Arial" w:cs="Arial"/>
        </w:rPr>
        <w:t xml:space="preserve">According to Santos et al. (2025) </w:t>
      </w:r>
      <w:r w:rsidR="000915F8" w:rsidRPr="004B350C">
        <w:rPr>
          <w:rFonts w:ascii="Arial" w:hAnsi="Arial" w:cs="Arial"/>
        </w:rPr>
        <w:t>t</w:t>
      </w:r>
      <w:r w:rsidR="00986122" w:rsidRPr="004B350C">
        <w:rPr>
          <w:rFonts w:ascii="Arial" w:hAnsi="Arial" w:cs="Arial"/>
        </w:rPr>
        <w:t>he manufacture of copper still requires a lot of energy, especially in the extraction and concentration stages. As a result, cutting emissions necessitates large investments in electrification and renewable energy infrastructure. However, short-term financial success may be constrained by the high cost of technological innovation, highlighting the conflict between economic efficiency and environmental responsibility.</w:t>
      </w:r>
    </w:p>
    <w:p w14:paraId="1C2690DD" w14:textId="225DD917" w:rsidR="00986122" w:rsidRDefault="004A6FC4" w:rsidP="00F03D86">
      <w:pPr>
        <w:spacing w:line="360" w:lineRule="auto"/>
        <w:jc w:val="both"/>
      </w:pPr>
      <w:r>
        <w:lastRenderedPageBreak/>
        <w:fldChar w:fldCharType="begin"/>
      </w:r>
      <w:r>
        <w:instrText xml:space="preserve"> INCLUDEPICTURE "/Users/noshmanzo/Library/Group Containers/UBF8T346G9.ms/WebArchiveCopyPasteTempFiles/com.microsoft.Word/433195152.png" \* MERGEFORMATINET </w:instrText>
      </w:r>
      <w:r>
        <w:fldChar w:fldCharType="separate"/>
      </w:r>
      <w:r>
        <w:rPr>
          <w:noProof/>
        </w:rPr>
        <w:drawing>
          <wp:inline distT="0" distB="0" distL="0" distR="0" wp14:anchorId="055E07F3" wp14:editId="0363986C">
            <wp:extent cx="5731510" cy="3323590"/>
            <wp:effectExtent l="0" t="0" r="0" b="3810"/>
            <wp:docPr id="1815492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323590"/>
                    </a:xfrm>
                    <a:prstGeom prst="rect">
                      <a:avLst/>
                    </a:prstGeom>
                    <a:noFill/>
                    <a:ln>
                      <a:noFill/>
                    </a:ln>
                  </pic:spPr>
                </pic:pic>
              </a:graphicData>
            </a:graphic>
          </wp:inline>
        </w:drawing>
      </w:r>
      <w:r>
        <w:fldChar w:fldCharType="end"/>
      </w:r>
    </w:p>
    <w:p w14:paraId="21093F39" w14:textId="0BA8F553" w:rsidR="00664C3F" w:rsidRDefault="00664C3F" w:rsidP="00F03D86">
      <w:pPr>
        <w:spacing w:line="360" w:lineRule="auto"/>
        <w:jc w:val="both"/>
        <w:rPr>
          <w:rFonts w:ascii="Arial" w:hAnsi="Arial" w:cs="Arial"/>
          <w:sz w:val="22"/>
          <w:szCs w:val="22"/>
        </w:rPr>
      </w:pPr>
      <w:r>
        <w:t>IMAGE</w:t>
      </w:r>
      <w:r w:rsidR="00562924">
        <w:t xml:space="preserve"> 1</w:t>
      </w:r>
    </w:p>
    <w:p w14:paraId="4B719BBE" w14:textId="23CC2A0E" w:rsidR="00986122" w:rsidRDefault="00986122" w:rsidP="00F03D86">
      <w:pPr>
        <w:spacing w:line="360" w:lineRule="auto"/>
        <w:jc w:val="both"/>
        <w:rPr>
          <w:rFonts w:ascii="Arial" w:hAnsi="Arial" w:cs="Arial"/>
          <w:b/>
          <w:bCs/>
        </w:rPr>
      </w:pPr>
      <w:r w:rsidRPr="00986122">
        <w:rPr>
          <w:rFonts w:ascii="Arial" w:hAnsi="Arial" w:cs="Arial"/>
          <w:b/>
          <w:bCs/>
        </w:rPr>
        <w:t>Climate change Impacts</w:t>
      </w:r>
    </w:p>
    <w:p w14:paraId="40BF762E" w14:textId="678498ED" w:rsidR="00A32841" w:rsidRPr="004B350C" w:rsidRDefault="0004053B" w:rsidP="00F03D86">
      <w:pPr>
        <w:spacing w:line="360" w:lineRule="auto"/>
        <w:jc w:val="both"/>
        <w:rPr>
          <w:rFonts w:ascii="Arial" w:hAnsi="Arial" w:cs="Arial"/>
        </w:rPr>
      </w:pPr>
      <w:r w:rsidRPr="004B350C">
        <w:rPr>
          <w:rFonts w:ascii="Arial" w:hAnsi="Arial" w:cs="Arial"/>
        </w:rPr>
        <w:t>Codelco has operational and strategic issues as a result of climate change.</w:t>
      </w:r>
      <w:r w:rsidR="00DF0FA2" w:rsidRPr="004B350C">
        <w:rPr>
          <w:rFonts w:ascii="Arial" w:hAnsi="Arial" w:cs="Arial"/>
        </w:rPr>
        <w:t xml:space="preserve"> According to Ang</w:t>
      </w:r>
      <w:r w:rsidR="00E86DB9" w:rsidRPr="004B350C">
        <w:rPr>
          <w:rFonts w:ascii="Arial" w:hAnsi="Arial" w:cs="Arial"/>
        </w:rPr>
        <w:t>, Lebre and Mclntyre (2026)</w:t>
      </w:r>
      <w:r w:rsidRPr="004B350C">
        <w:rPr>
          <w:rFonts w:ascii="Arial" w:hAnsi="Arial" w:cs="Arial"/>
        </w:rPr>
        <w:t xml:space="preserve"> </w:t>
      </w:r>
      <w:r w:rsidR="000915F8" w:rsidRPr="004B350C">
        <w:rPr>
          <w:rFonts w:ascii="Arial" w:hAnsi="Arial" w:cs="Arial"/>
        </w:rPr>
        <w:t>s</w:t>
      </w:r>
      <w:r w:rsidRPr="004B350C">
        <w:rPr>
          <w:rFonts w:ascii="Arial" w:hAnsi="Arial" w:cs="Arial"/>
        </w:rPr>
        <w:t>takeholder expectations are raised by increased public awareness about environmental sustainability, but production stability is threatened by rising temperatures and protracted drought conditions. Because of this, climate change poses both a physical and a reputational danger, necessitating the development of complete adaption measures.</w:t>
      </w:r>
    </w:p>
    <w:p w14:paraId="17307EB6" w14:textId="2C191D7D" w:rsidR="00A32841" w:rsidRDefault="00A32841" w:rsidP="00F03D86">
      <w:pPr>
        <w:spacing w:line="360" w:lineRule="auto"/>
        <w:jc w:val="both"/>
        <w:rPr>
          <w:rFonts w:ascii="Arial" w:hAnsi="Arial" w:cs="Arial"/>
          <w:b/>
          <w:bCs/>
        </w:rPr>
      </w:pPr>
      <w:r w:rsidRPr="00A32841">
        <w:rPr>
          <w:rFonts w:ascii="Arial" w:hAnsi="Arial" w:cs="Arial"/>
          <w:b/>
          <w:bCs/>
        </w:rPr>
        <w:t>Rising Global Copper Demand</w:t>
      </w:r>
    </w:p>
    <w:p w14:paraId="4536D3A9" w14:textId="1C14B8B0" w:rsidR="003F4FF7" w:rsidRPr="004B350C" w:rsidRDefault="003F4FF7" w:rsidP="00F03D86">
      <w:pPr>
        <w:spacing w:line="360" w:lineRule="auto"/>
        <w:jc w:val="both"/>
        <w:rPr>
          <w:rFonts w:ascii="Arial" w:hAnsi="Arial" w:cs="Arial"/>
        </w:rPr>
      </w:pPr>
      <w:r w:rsidRPr="004B350C">
        <w:rPr>
          <w:rFonts w:ascii="Arial" w:hAnsi="Arial" w:cs="Arial"/>
        </w:rPr>
        <w:t xml:space="preserve">The worldwide shift to renewable energy presents significant development prospects for Codelco notwithstanding environmental difficulties. </w:t>
      </w:r>
      <w:r w:rsidR="00A47C8F" w:rsidRPr="004B350C">
        <w:rPr>
          <w:rFonts w:ascii="Arial" w:hAnsi="Arial" w:cs="Arial"/>
        </w:rPr>
        <w:t xml:space="preserve">According to Duex, Busch and </w:t>
      </w:r>
      <w:r w:rsidR="006245BB" w:rsidRPr="004B350C">
        <w:rPr>
          <w:rFonts w:ascii="Arial" w:hAnsi="Arial" w:cs="Arial"/>
        </w:rPr>
        <w:t xml:space="preserve">Kendall (2026) </w:t>
      </w:r>
      <w:r w:rsidR="000915F8" w:rsidRPr="004B350C">
        <w:rPr>
          <w:rFonts w:ascii="Arial" w:hAnsi="Arial" w:cs="Arial"/>
        </w:rPr>
        <w:t>i</w:t>
      </w:r>
      <w:r w:rsidRPr="004B350C">
        <w:rPr>
          <w:rFonts w:ascii="Arial" w:hAnsi="Arial" w:cs="Arial"/>
        </w:rPr>
        <w:t>nfrastructure for electrical transmission, renewable energy production, and electric cars all depend on copper. As a result, the corporation has a strong financial incentive to invest in lower-carbon manufacturing techniques that satisfy changing customer expectations due to rising worldwide demand.</w:t>
      </w:r>
    </w:p>
    <w:p w14:paraId="63212033" w14:textId="038C849F" w:rsidR="003F4FF7" w:rsidRDefault="00CA7EDD" w:rsidP="00F03D86">
      <w:pPr>
        <w:spacing w:line="360" w:lineRule="auto"/>
        <w:jc w:val="both"/>
        <w:rPr>
          <w:rFonts w:ascii="Arial" w:hAnsi="Arial" w:cs="Arial"/>
          <w:b/>
          <w:bCs/>
        </w:rPr>
      </w:pPr>
      <w:r w:rsidRPr="00CA7EDD">
        <w:rPr>
          <w:rFonts w:ascii="Arial" w:hAnsi="Arial" w:cs="Arial"/>
          <w:b/>
          <w:bCs/>
        </w:rPr>
        <w:t>ESG pressure from Customers</w:t>
      </w:r>
    </w:p>
    <w:p w14:paraId="77E22D86" w14:textId="53F55C2F" w:rsidR="00440FFB" w:rsidRPr="004B350C" w:rsidRDefault="00EE37B5" w:rsidP="00F03D86">
      <w:pPr>
        <w:spacing w:line="360" w:lineRule="auto"/>
        <w:jc w:val="both"/>
        <w:rPr>
          <w:rFonts w:ascii="Arial" w:hAnsi="Arial" w:cs="Arial"/>
        </w:rPr>
      </w:pPr>
      <w:r w:rsidRPr="004B350C">
        <w:rPr>
          <w:rFonts w:ascii="Arial" w:hAnsi="Arial" w:cs="Arial"/>
        </w:rPr>
        <w:t>According to Alan and Ko</w:t>
      </w:r>
      <w:r w:rsidR="00D8085C" w:rsidRPr="004B350C">
        <w:rPr>
          <w:rFonts w:ascii="Arial" w:hAnsi="Arial" w:cs="Arial"/>
        </w:rPr>
        <w:t xml:space="preserve">ker (2023) </w:t>
      </w:r>
      <w:r w:rsidR="000915F8" w:rsidRPr="004B350C">
        <w:rPr>
          <w:rFonts w:ascii="Arial" w:hAnsi="Arial" w:cs="Arial"/>
        </w:rPr>
        <w:t>c</w:t>
      </w:r>
      <w:r w:rsidR="00440FFB" w:rsidRPr="004B350C">
        <w:rPr>
          <w:rFonts w:ascii="Arial" w:hAnsi="Arial" w:cs="Arial"/>
        </w:rPr>
        <w:t xml:space="preserve">onsumer expectations have changed to include factors other than price and quality. Industrial purchasers are increasingly looking for proof that raw materials were produced ethically and with reduced carbon emissions. Codelco is under pressure from competitors to enhance its sustainability performance </w:t>
      </w:r>
      <w:r w:rsidR="00440FFB" w:rsidRPr="004B350C">
        <w:rPr>
          <w:rFonts w:ascii="Arial" w:hAnsi="Arial" w:cs="Arial"/>
        </w:rPr>
        <w:lastRenderedPageBreak/>
        <w:t>as a result of this change, which also presents chances to set its goods apart with environmental credentials.</w:t>
      </w:r>
    </w:p>
    <w:p w14:paraId="0DD10AAA" w14:textId="3796E2AD" w:rsidR="00440FFB" w:rsidRPr="00765EFD" w:rsidRDefault="00440FFB" w:rsidP="00F03D86">
      <w:pPr>
        <w:spacing w:line="360" w:lineRule="auto"/>
        <w:jc w:val="both"/>
        <w:rPr>
          <w:rFonts w:ascii="Arial" w:hAnsi="Arial" w:cs="Arial"/>
          <w:b/>
          <w:bCs/>
        </w:rPr>
      </w:pPr>
      <w:r w:rsidRPr="00765EFD">
        <w:rPr>
          <w:rFonts w:ascii="Arial" w:hAnsi="Arial" w:cs="Arial"/>
          <w:b/>
          <w:bCs/>
        </w:rPr>
        <w:t xml:space="preserve">Carbon intensity </w:t>
      </w:r>
      <w:r w:rsidR="004C0F4E" w:rsidRPr="00765EFD">
        <w:rPr>
          <w:rFonts w:ascii="Arial" w:hAnsi="Arial" w:cs="Arial"/>
          <w:b/>
          <w:bCs/>
        </w:rPr>
        <w:t>reduction initiatives</w:t>
      </w:r>
    </w:p>
    <w:p w14:paraId="6D0C00BB" w14:textId="0564775C" w:rsidR="00765EFD" w:rsidRPr="004B350C" w:rsidRDefault="00E9345B" w:rsidP="00F03D86">
      <w:pPr>
        <w:spacing w:line="360" w:lineRule="auto"/>
        <w:jc w:val="both"/>
        <w:rPr>
          <w:rFonts w:ascii="Arial" w:hAnsi="Arial" w:cs="Arial"/>
        </w:rPr>
      </w:pPr>
      <w:r w:rsidRPr="004B350C">
        <w:rPr>
          <w:rFonts w:ascii="Arial" w:hAnsi="Arial" w:cs="Arial"/>
        </w:rPr>
        <w:t>Codelco's promise to minimise Scope 1 and 2 emissions by 70% by 2030 shows that decarbonisation is now a strategic objective rather than just a need for compliance</w:t>
      </w:r>
      <w:r w:rsidR="00606C98" w:rsidRPr="004B350C">
        <w:rPr>
          <w:rFonts w:ascii="Arial" w:hAnsi="Arial" w:cs="Arial"/>
        </w:rPr>
        <w:t xml:space="preserve"> </w:t>
      </w:r>
      <w:r w:rsidR="00056A69" w:rsidRPr="004B350C">
        <w:rPr>
          <w:rFonts w:ascii="Arial" w:hAnsi="Arial" w:cs="Arial"/>
        </w:rPr>
        <w:t>(Codelco, 2025)</w:t>
      </w:r>
      <w:r w:rsidRPr="004B350C">
        <w:rPr>
          <w:rFonts w:ascii="Arial" w:hAnsi="Arial" w:cs="Arial"/>
        </w:rPr>
        <w:t>. However, reaching this goal would need significant investments in renewable energy and operational change, putting cost-effectiveness and environmental goals at odds. Although</w:t>
      </w:r>
      <w:r w:rsidR="00765EFD" w:rsidRPr="004B350C">
        <w:rPr>
          <w:rFonts w:ascii="Arial" w:hAnsi="Arial" w:cs="Arial"/>
        </w:rPr>
        <w:t xml:space="preserve"> these actions show a dedication to sustainability, their long-term efficacy depends on advancements in technology and ongoing funding. Therefore, rather than being a comprehensive answer to the problems associated with decarbonisation, environmental measures should be seen as a continuous strategic process.</w:t>
      </w:r>
      <w:r w:rsidR="008E5875" w:rsidRPr="004B350C">
        <w:rPr>
          <w:rFonts w:ascii="Arial" w:hAnsi="Arial" w:cs="Arial"/>
        </w:rPr>
        <w:t xml:space="preserve"> </w:t>
      </w:r>
    </w:p>
    <w:p w14:paraId="54FA2BC3" w14:textId="3E1588C3" w:rsidR="00830249" w:rsidRPr="004B350C" w:rsidRDefault="00E034F8" w:rsidP="00F03D86">
      <w:pPr>
        <w:spacing w:line="360" w:lineRule="auto"/>
        <w:jc w:val="both"/>
        <w:rPr>
          <w:rFonts w:ascii="Arial" w:hAnsi="Arial" w:cs="Arial"/>
        </w:rPr>
      </w:pPr>
      <w:r w:rsidRPr="004B350C">
        <w:rPr>
          <w:rFonts w:ascii="Arial" w:hAnsi="Arial" w:cs="Arial"/>
        </w:rPr>
        <w:t xml:space="preserve">In general, Codelco faces both possibilities and risks from the natural environment. </w:t>
      </w:r>
      <w:r w:rsidR="00235395" w:rsidRPr="004B350C">
        <w:rPr>
          <w:rFonts w:ascii="Arial" w:hAnsi="Arial" w:cs="Arial"/>
        </w:rPr>
        <w:t>According to Moreno</w:t>
      </w:r>
      <w:r w:rsidR="00363935" w:rsidRPr="004B350C">
        <w:rPr>
          <w:rFonts w:ascii="Arial" w:hAnsi="Arial" w:cs="Arial"/>
        </w:rPr>
        <w:t xml:space="preserve">-Leiva et al. (2020) </w:t>
      </w:r>
      <w:r w:rsidR="000915F8" w:rsidRPr="004B350C">
        <w:rPr>
          <w:rFonts w:ascii="Arial" w:hAnsi="Arial" w:cs="Arial"/>
        </w:rPr>
        <w:t>g</w:t>
      </w:r>
      <w:r w:rsidRPr="004B350C">
        <w:rPr>
          <w:rFonts w:ascii="Arial" w:hAnsi="Arial" w:cs="Arial"/>
        </w:rPr>
        <w:t>rowing demand for copper produced responsibly gives chances for economic advantage, while climate change, water shortages, and emissions challenges raise operational complexity. As a result, environmental sustainability is now not just a compliance duty but a strategic imperative.</w:t>
      </w:r>
    </w:p>
    <w:p w14:paraId="35430030" w14:textId="289AC812" w:rsidR="00B41B4D" w:rsidRPr="00950DB6" w:rsidRDefault="00B41B4D" w:rsidP="00F03D86">
      <w:pPr>
        <w:pStyle w:val="Heading2"/>
        <w:spacing w:line="360" w:lineRule="auto"/>
        <w:rPr>
          <w:rFonts w:ascii="Baskerville Old Face" w:hAnsi="Baskerville Old Face"/>
          <w:b/>
          <w:bCs/>
          <w:color w:val="000000" w:themeColor="text1"/>
        </w:rPr>
      </w:pPr>
      <w:bookmarkStart w:id="3" w:name="_Toc232601716"/>
      <w:r w:rsidRPr="00950DB6">
        <w:rPr>
          <w:rFonts w:ascii="Baskerville Old Face" w:hAnsi="Baskerville Old Face"/>
          <w:b/>
          <w:bCs/>
          <w:color w:val="000000" w:themeColor="text1"/>
        </w:rPr>
        <w:t>2.Political and Legal Environment</w:t>
      </w:r>
      <w:bookmarkEnd w:id="3"/>
    </w:p>
    <w:p w14:paraId="028AC1D3" w14:textId="06242F9B" w:rsidR="00815B36" w:rsidRPr="004B350C" w:rsidRDefault="00815B36" w:rsidP="00F03D86">
      <w:pPr>
        <w:spacing w:line="360" w:lineRule="auto"/>
        <w:jc w:val="both"/>
        <w:rPr>
          <w:rFonts w:ascii="Arial" w:hAnsi="Arial" w:cs="Arial"/>
        </w:rPr>
      </w:pPr>
      <w:r w:rsidRPr="004B350C">
        <w:rPr>
          <w:rFonts w:ascii="Arial" w:hAnsi="Arial" w:cs="Arial"/>
        </w:rPr>
        <w:t>Codelco's strategic flexibility is greatly influenced by the political and legal environment because of its state-owned nature and Chile's changing environmental governance framework. In addition to encouraging mining as a significant export sector, government policy also enforces more stringent environmental compliance regulations. For example, Chile's environmental licensing laws and national decarbonisation commitments raise the cost of compliance while encouraging greener manufacturing practices.</w:t>
      </w:r>
    </w:p>
    <w:p w14:paraId="6C661453" w14:textId="72256002" w:rsidR="00D5350C" w:rsidRPr="004B350C" w:rsidRDefault="00815B36" w:rsidP="00F03D86">
      <w:pPr>
        <w:spacing w:line="360" w:lineRule="auto"/>
        <w:jc w:val="both"/>
        <w:rPr>
          <w:rFonts w:ascii="Arial" w:hAnsi="Arial" w:cs="Arial"/>
        </w:rPr>
      </w:pPr>
      <w:r w:rsidRPr="004B350C">
        <w:rPr>
          <w:rFonts w:ascii="Arial" w:hAnsi="Arial" w:cs="Arial"/>
        </w:rPr>
        <w:t xml:space="preserve">Furthermore, Codelco is under indirect pressure to lower embedded carbon emissions due to international regulatory mechanisms like carbon border adjustment rules in important export markets. This demonstrates how business sustainability initiatives are influenced by the interaction between local and global regulatory systems. </w:t>
      </w:r>
      <w:r w:rsidR="00691ABF" w:rsidRPr="004B350C">
        <w:rPr>
          <w:rFonts w:ascii="Arial" w:hAnsi="Arial" w:cs="Arial"/>
        </w:rPr>
        <w:t>According to Clara (2024)</w:t>
      </w:r>
      <w:r w:rsidRPr="004B350C">
        <w:rPr>
          <w:rFonts w:ascii="Arial" w:hAnsi="Arial" w:cs="Arial"/>
        </w:rPr>
        <w:t xml:space="preserve"> </w:t>
      </w:r>
      <w:r w:rsidR="000915F8" w:rsidRPr="004B350C">
        <w:rPr>
          <w:rFonts w:ascii="Arial" w:hAnsi="Arial" w:cs="Arial"/>
        </w:rPr>
        <w:t>l</w:t>
      </w:r>
      <w:r w:rsidRPr="004B350C">
        <w:rPr>
          <w:rFonts w:ascii="Arial" w:hAnsi="Arial" w:cs="Arial"/>
        </w:rPr>
        <w:t>ong-term investment planning is more difficult, though, due to regulatory fragmentation between countries.</w:t>
      </w:r>
    </w:p>
    <w:p w14:paraId="7BCB57E5" w14:textId="347183A2" w:rsidR="00B824FC" w:rsidRPr="004B350C" w:rsidRDefault="00B824FC" w:rsidP="00F03D86">
      <w:pPr>
        <w:spacing w:line="360" w:lineRule="auto"/>
        <w:jc w:val="both"/>
        <w:rPr>
          <w:rFonts w:ascii="Arial" w:hAnsi="Arial" w:cs="Arial"/>
        </w:rPr>
      </w:pPr>
      <w:r w:rsidRPr="004B350C">
        <w:rPr>
          <w:rFonts w:ascii="Arial" w:hAnsi="Arial" w:cs="Arial"/>
        </w:rPr>
        <w:lastRenderedPageBreak/>
        <w:t>Codelco may be compared to industry giants like Rio Tinto, which has made significant investments in decarbonisation technology and mining operations powered by renewable energy. On the other hand, Codelco's sustainability approach has always prioritised water management and operational effectiveness above extensive technical change. This implies that Codelco may be viewed as a growing follower rather than a leader in low-carbon mining innovation, even though it is reacting to environmental challenges.</w:t>
      </w:r>
    </w:p>
    <w:p w14:paraId="48064C3D" w14:textId="795FF5A4" w:rsidR="00FA2691" w:rsidRPr="00C34304" w:rsidRDefault="00FA2691" w:rsidP="00F03D86">
      <w:pPr>
        <w:pStyle w:val="Heading1"/>
        <w:spacing w:line="360" w:lineRule="auto"/>
        <w:rPr>
          <w:rFonts w:ascii="Baskerville Old Face" w:hAnsi="Baskerville Old Face"/>
          <w:b/>
          <w:bCs/>
          <w:color w:val="000000" w:themeColor="text1"/>
          <w:sz w:val="32"/>
          <w:szCs w:val="32"/>
        </w:rPr>
      </w:pPr>
      <w:bookmarkStart w:id="4" w:name="_Toc232601717"/>
      <w:r w:rsidRPr="00C34304">
        <w:rPr>
          <w:rFonts w:ascii="Baskerville Old Face" w:hAnsi="Baskerville Old Face"/>
          <w:b/>
          <w:bCs/>
          <w:color w:val="000000" w:themeColor="text1"/>
          <w:sz w:val="32"/>
          <w:szCs w:val="32"/>
        </w:rPr>
        <w:t>STRETEGIC GROWTH AND COMPETITIVE POSITIONING</w:t>
      </w:r>
      <w:bookmarkEnd w:id="4"/>
    </w:p>
    <w:p w14:paraId="42132A59" w14:textId="247A2FB3" w:rsidR="00FA7F40" w:rsidRPr="00C34304" w:rsidRDefault="00FA2691" w:rsidP="00F03D86">
      <w:pPr>
        <w:pStyle w:val="Heading2"/>
        <w:spacing w:line="360" w:lineRule="auto"/>
        <w:rPr>
          <w:rFonts w:ascii="Baskerville Old Face" w:hAnsi="Baskerville Old Face"/>
          <w:b/>
          <w:bCs/>
          <w:color w:val="000000" w:themeColor="text1"/>
        </w:rPr>
      </w:pPr>
      <w:bookmarkStart w:id="5" w:name="_Toc232601718"/>
      <w:r w:rsidRPr="00C34304">
        <w:rPr>
          <w:rFonts w:ascii="Baskerville Old Face" w:hAnsi="Baskerville Old Face"/>
          <w:b/>
          <w:bCs/>
          <w:color w:val="000000" w:themeColor="text1"/>
        </w:rPr>
        <w:t>ANSOFF MATRIX</w:t>
      </w:r>
      <w:bookmarkEnd w:id="5"/>
    </w:p>
    <w:p w14:paraId="036BEE52" w14:textId="033F57E1" w:rsidR="00360225" w:rsidRPr="004B350C" w:rsidRDefault="00B248BB" w:rsidP="00F03D86">
      <w:pPr>
        <w:spacing w:line="360" w:lineRule="auto"/>
        <w:jc w:val="both"/>
        <w:rPr>
          <w:rFonts w:ascii="Arial" w:hAnsi="Arial" w:cs="Arial"/>
        </w:rPr>
      </w:pPr>
      <w:r w:rsidRPr="004B350C">
        <w:rPr>
          <w:rFonts w:ascii="Arial" w:hAnsi="Arial" w:cs="Arial"/>
        </w:rPr>
        <w:t xml:space="preserve">The best growth strategy for Codelco, </w:t>
      </w:r>
      <w:r w:rsidR="00974C7E" w:rsidRPr="004B350C">
        <w:rPr>
          <w:rFonts w:ascii="Arial" w:hAnsi="Arial" w:cs="Arial"/>
        </w:rPr>
        <w:t>A</w:t>
      </w:r>
      <w:r w:rsidRPr="004B350C">
        <w:rPr>
          <w:rFonts w:ascii="Arial" w:hAnsi="Arial" w:cs="Arial"/>
        </w:rPr>
        <w:t>ccording to Ansoff's Matrix</w:t>
      </w:r>
      <w:r w:rsidR="00974C7E" w:rsidRPr="004B350C">
        <w:rPr>
          <w:rFonts w:ascii="Arial" w:hAnsi="Arial" w:cs="Arial"/>
        </w:rPr>
        <w:t xml:space="preserve"> (1957)</w:t>
      </w:r>
      <w:r w:rsidRPr="004B350C">
        <w:rPr>
          <w:rFonts w:ascii="Arial" w:hAnsi="Arial" w:cs="Arial"/>
        </w:rPr>
        <w:t>, is development of products as it involves introducing new goods into current markets. The development of approved low-carbon copper goods aimed at current industry clients, such as producers of electric cars, renewable energy infrastructure, and energy storage systems, would be the main emphasis of this approach. The environmental study, which revealed increased stakeholder pressure for sustainable manufacturing and rising demand for minerals that enable the global energy transition, is intimately related to this proposal.</w:t>
      </w:r>
    </w:p>
    <w:p w14:paraId="2ACBCCA4" w14:textId="05826D8E" w:rsidR="00B248BB" w:rsidRPr="004B350C" w:rsidRDefault="007A226D" w:rsidP="00F03D86">
      <w:pPr>
        <w:spacing w:line="360" w:lineRule="auto"/>
        <w:jc w:val="both"/>
        <w:rPr>
          <w:rFonts w:ascii="Arial" w:hAnsi="Arial" w:cs="Arial"/>
        </w:rPr>
      </w:pPr>
      <w:r w:rsidRPr="004B350C">
        <w:rPr>
          <w:rFonts w:ascii="Arial" w:hAnsi="Arial" w:cs="Arial"/>
        </w:rPr>
        <w:t xml:space="preserve">According to Whittington et al. (2019) </w:t>
      </w:r>
      <w:r w:rsidR="000915F8" w:rsidRPr="004B350C">
        <w:rPr>
          <w:rFonts w:ascii="Arial" w:hAnsi="Arial" w:cs="Arial"/>
        </w:rPr>
        <w:t xml:space="preserve">a </w:t>
      </w:r>
      <w:r w:rsidR="001F026A" w:rsidRPr="004B350C">
        <w:rPr>
          <w:rFonts w:ascii="Arial" w:hAnsi="Arial" w:cs="Arial"/>
        </w:rPr>
        <w:t>careful evaluation of different growth methods makes the appropriateness of product development more apparent. The goal of market penetration is to increase sales of current items in current markets. Because copper is primarily a commodity product and Codelco already has a dominant position in the global copper markets, this strategy may have limited development potential even if it typically entails reduced risk. In a similar vein, market development would help the business expand into new areas, but it wouldn't immediately meet shifting consumer demands for carbon emissions and sustainability. The most drastic growth strategy is diversification, but it also carries the greatest degree of risk as it necessitates large investments in untested goods and markets. As a result, Product Development provides the most well-rounded strategy by fusing strategic alignment with environmental trends with growth prospects.</w:t>
      </w:r>
    </w:p>
    <w:p w14:paraId="513E53F9" w14:textId="022014D7" w:rsidR="001F026A" w:rsidRPr="004B350C" w:rsidRDefault="00895199" w:rsidP="00F03D86">
      <w:pPr>
        <w:spacing w:line="360" w:lineRule="auto"/>
        <w:jc w:val="both"/>
        <w:rPr>
          <w:rFonts w:ascii="Arial" w:hAnsi="Arial" w:cs="Arial"/>
        </w:rPr>
      </w:pPr>
      <w:r w:rsidRPr="004B350C">
        <w:rPr>
          <w:rFonts w:ascii="Arial" w:hAnsi="Arial" w:cs="Arial"/>
        </w:rPr>
        <w:t xml:space="preserve">According to Cong, Freedman and Park (2020) </w:t>
      </w:r>
      <w:r w:rsidR="000915F8" w:rsidRPr="004B350C">
        <w:rPr>
          <w:rFonts w:ascii="Arial" w:hAnsi="Arial" w:cs="Arial"/>
        </w:rPr>
        <w:t>t</w:t>
      </w:r>
      <w:r w:rsidR="00AC5792" w:rsidRPr="004B350C">
        <w:rPr>
          <w:rFonts w:ascii="Arial" w:hAnsi="Arial" w:cs="Arial"/>
        </w:rPr>
        <w:t xml:space="preserve">he production of low-carbon copper goods supported by the use of energy from renewable sources, emissions-reduction </w:t>
      </w:r>
      <w:r w:rsidR="00AC5792" w:rsidRPr="004B350C">
        <w:rPr>
          <w:rFonts w:ascii="Arial" w:hAnsi="Arial" w:cs="Arial"/>
        </w:rPr>
        <w:lastRenderedPageBreak/>
        <w:t>technology, and open carbon reporting systems should be the main focus of the suggested product development plan. Industrial clients are looking more and more for proof that raw materials were produced ethically and with less of an impact on the environment. As a result, the idea of product development goes beyond the actual manufacture of copper and include the addition of value through independent certification, sustainability standards, and traceability systems. This strategy strengthens Codelco's position within ecologically responsible supply chains while enabling it to adapt to changing consumer demands.</w:t>
      </w:r>
    </w:p>
    <w:p w14:paraId="31279C89" w14:textId="78DB5ABA" w:rsidR="00C049EA" w:rsidRPr="004B350C" w:rsidRDefault="00CA6D5F" w:rsidP="00F03D86">
      <w:pPr>
        <w:spacing w:line="360" w:lineRule="auto"/>
        <w:jc w:val="both"/>
        <w:rPr>
          <w:rFonts w:ascii="Arial" w:hAnsi="Arial" w:cs="Arial"/>
        </w:rPr>
      </w:pPr>
      <w:r w:rsidRPr="004B350C">
        <w:rPr>
          <w:rFonts w:ascii="Arial" w:hAnsi="Arial" w:cs="Arial"/>
        </w:rPr>
        <w:t xml:space="preserve">Major challenges still exist despite these opportunities. Considerable financial investments in renewable energy facilities, emissions monitoring systems, and operational change are needed to make the shift to low-carbon copper manufacturing. </w:t>
      </w:r>
      <w:r w:rsidR="002F11D0" w:rsidRPr="004B350C">
        <w:rPr>
          <w:rFonts w:ascii="Arial" w:hAnsi="Arial" w:cs="Arial"/>
        </w:rPr>
        <w:t>According to Bloomfield</w:t>
      </w:r>
      <w:r w:rsidR="00887B6F" w:rsidRPr="004B350C">
        <w:rPr>
          <w:rFonts w:ascii="Arial" w:hAnsi="Arial" w:cs="Arial"/>
        </w:rPr>
        <w:t xml:space="preserve"> (2021) </w:t>
      </w:r>
      <w:r w:rsidR="000915F8" w:rsidRPr="004B350C">
        <w:rPr>
          <w:rFonts w:ascii="Arial" w:hAnsi="Arial" w:cs="Arial"/>
        </w:rPr>
        <w:t>s</w:t>
      </w:r>
      <w:r w:rsidRPr="004B350C">
        <w:rPr>
          <w:rFonts w:ascii="Arial" w:hAnsi="Arial" w:cs="Arial"/>
        </w:rPr>
        <w:t>takeholders looking for quick financial returns may put pressure on these investments, which might lower short-term profitability. Furthermore, because certain decarbonisation technologies are still in the development stage and could not produce the anticipated efficiency improvements, technical uncertainty continues to be a worry. Management must so carefully strike a balance between financial success goals and sustainability aspirations. This demonstrates how difficult it is to make strategic decisions in sectors of the economy that are going through environmental change.</w:t>
      </w:r>
    </w:p>
    <w:p w14:paraId="215254FD" w14:textId="65E94CE9" w:rsidR="00C049EA" w:rsidRPr="00D07E31" w:rsidRDefault="00374CB2" w:rsidP="00F03D86">
      <w:pPr>
        <w:pStyle w:val="Heading2"/>
        <w:spacing w:line="360" w:lineRule="auto"/>
        <w:rPr>
          <w:rFonts w:ascii="Baskerville Old Face" w:hAnsi="Baskerville Old Face"/>
          <w:b/>
          <w:bCs/>
          <w:color w:val="000000" w:themeColor="text1"/>
        </w:rPr>
      </w:pPr>
      <w:bookmarkStart w:id="6" w:name="_Toc232601719"/>
      <w:r w:rsidRPr="00D07E31">
        <w:rPr>
          <w:rFonts w:ascii="Baskerville Old Face" w:hAnsi="Baskerville Old Face"/>
          <w:b/>
          <w:bCs/>
          <w:color w:val="000000" w:themeColor="text1"/>
        </w:rPr>
        <w:t>Porter</w:t>
      </w:r>
      <w:r w:rsidR="00264ABF" w:rsidRPr="00D07E31">
        <w:rPr>
          <w:rFonts w:ascii="Baskerville Old Face" w:hAnsi="Baskerville Old Face"/>
          <w:b/>
          <w:bCs/>
          <w:color w:val="000000" w:themeColor="text1"/>
        </w:rPr>
        <w:t>’s Generic Strategy</w:t>
      </w:r>
      <w:bookmarkEnd w:id="6"/>
    </w:p>
    <w:p w14:paraId="5F0A1A71" w14:textId="21ED2E90" w:rsidR="00CA6D5F" w:rsidRPr="004B350C" w:rsidRDefault="00F92043" w:rsidP="00F03D86">
      <w:pPr>
        <w:spacing w:line="360" w:lineRule="auto"/>
        <w:jc w:val="both"/>
        <w:rPr>
          <w:rFonts w:ascii="Arial" w:hAnsi="Arial" w:cs="Arial"/>
        </w:rPr>
      </w:pPr>
      <w:r w:rsidRPr="004B350C">
        <w:rPr>
          <w:rFonts w:ascii="Arial" w:hAnsi="Arial" w:cs="Arial"/>
        </w:rPr>
        <w:t xml:space="preserve">Porter's </w:t>
      </w:r>
      <w:r w:rsidR="00BD2779" w:rsidRPr="004B350C">
        <w:rPr>
          <w:rFonts w:ascii="Arial" w:hAnsi="Arial" w:cs="Arial"/>
        </w:rPr>
        <w:t>(19</w:t>
      </w:r>
      <w:r w:rsidR="001301C2" w:rsidRPr="004B350C">
        <w:rPr>
          <w:rFonts w:ascii="Arial" w:hAnsi="Arial" w:cs="Arial"/>
        </w:rPr>
        <w:t xml:space="preserve">80) </w:t>
      </w:r>
      <w:r w:rsidR="00B57E12" w:rsidRPr="004B350C">
        <w:rPr>
          <w:rFonts w:ascii="Arial" w:hAnsi="Arial" w:cs="Arial"/>
        </w:rPr>
        <w:t xml:space="preserve">Generic </w:t>
      </w:r>
      <w:r w:rsidRPr="004B350C">
        <w:rPr>
          <w:rFonts w:ascii="Arial" w:hAnsi="Arial" w:cs="Arial"/>
        </w:rPr>
        <w:t>Strategy should be used by Codelco to get a competitive edge. Differentiation allows the business to compete through distinctive value creation, as opposed to Cost Leadership, which aims to compete largely through lower pricing. This strategy is especially pertinent as an increasing number of clients are assessing suppliers not just on cost and quality but also on sustainability pledges and environmental performance. By creating certified low-carbon copper goods, Codelco can establish itself as an ethical supplier that can help clients achieve their own sustainability goals.</w:t>
      </w:r>
    </w:p>
    <w:p w14:paraId="3A8FCFEC" w14:textId="11CABC98" w:rsidR="00F92043" w:rsidRPr="004B350C" w:rsidRDefault="00D24267" w:rsidP="00F03D86">
      <w:pPr>
        <w:spacing w:line="360" w:lineRule="auto"/>
        <w:jc w:val="both"/>
        <w:rPr>
          <w:rFonts w:ascii="Arial" w:hAnsi="Arial" w:cs="Arial"/>
        </w:rPr>
      </w:pPr>
      <w:r w:rsidRPr="004B350C">
        <w:rPr>
          <w:rFonts w:ascii="Arial" w:hAnsi="Arial" w:cs="Arial"/>
        </w:rPr>
        <w:t>However,</w:t>
      </w:r>
      <w:r w:rsidR="00E16125" w:rsidRPr="004B350C">
        <w:rPr>
          <w:rFonts w:ascii="Arial" w:hAnsi="Arial" w:cs="Arial"/>
        </w:rPr>
        <w:t xml:space="preserve"> According to Herrington (2021)</w:t>
      </w:r>
      <w:r w:rsidRPr="004B350C">
        <w:rPr>
          <w:rFonts w:ascii="Arial" w:hAnsi="Arial" w:cs="Arial"/>
        </w:rPr>
        <w:t xml:space="preserve"> there are inherent challenges to distinctiveness in traditional commodities markets.</w:t>
      </w:r>
      <w:r w:rsidR="00C22493" w:rsidRPr="004B350C">
        <w:rPr>
          <w:rFonts w:ascii="Arial" w:hAnsi="Arial" w:cs="Arial"/>
        </w:rPr>
        <w:t xml:space="preserve"> </w:t>
      </w:r>
      <w:r w:rsidRPr="004B350C">
        <w:rPr>
          <w:rFonts w:ascii="Arial" w:hAnsi="Arial" w:cs="Arial"/>
        </w:rPr>
        <w:t xml:space="preserve">Because copper is typically thought of as a uniform commodity, it is difficult to establish significant differences across providers. As a result, sustainability claims by themselves might not be enough to create a sustained competitive advantage. Therefore, Codelco needs to make sure </w:t>
      </w:r>
      <w:r w:rsidRPr="004B350C">
        <w:rPr>
          <w:rFonts w:ascii="Arial" w:hAnsi="Arial" w:cs="Arial"/>
        </w:rPr>
        <w:lastRenderedPageBreak/>
        <w:t>that third-party verification, quantifiable environmental performance indicators, and open reporting systems encourage distinction. If the firm doesn't present reliable proof, it might be accused of greenwashing, which could harm its brand and shareholder trust. This shows that the legitimacy and openness of sustainability programs are just as important to effective differentiation as their execution.</w:t>
      </w:r>
    </w:p>
    <w:p w14:paraId="3BF2D934" w14:textId="2EBBB289" w:rsidR="00C049EA" w:rsidRPr="004B350C" w:rsidRDefault="00BF4675" w:rsidP="00F03D86">
      <w:pPr>
        <w:spacing w:line="360" w:lineRule="auto"/>
        <w:jc w:val="both"/>
        <w:rPr>
          <w:rFonts w:ascii="Arial" w:hAnsi="Arial" w:cs="Arial"/>
        </w:rPr>
      </w:pPr>
      <w:r w:rsidRPr="004B350C">
        <w:rPr>
          <w:rFonts w:ascii="Arial" w:hAnsi="Arial" w:cs="Arial"/>
        </w:rPr>
        <w:t xml:space="preserve">According to Bechini </w:t>
      </w:r>
      <w:r w:rsidR="00435B73" w:rsidRPr="004B350C">
        <w:rPr>
          <w:rFonts w:ascii="Arial" w:hAnsi="Arial" w:cs="Arial"/>
        </w:rPr>
        <w:t xml:space="preserve">et al. (2020) </w:t>
      </w:r>
      <w:r w:rsidR="000915F8" w:rsidRPr="004B350C">
        <w:rPr>
          <w:rFonts w:ascii="Arial" w:hAnsi="Arial" w:cs="Arial"/>
        </w:rPr>
        <w:t>c</w:t>
      </w:r>
      <w:r w:rsidR="008C5577" w:rsidRPr="004B350C">
        <w:rPr>
          <w:rFonts w:ascii="Arial" w:hAnsi="Arial" w:cs="Arial"/>
        </w:rPr>
        <w:t>ompetitors like Rio Tinto and BHP, who have made large investments in operations powered by renewable energy sources and initiatives to reduce emissions, provide a valuable contrast. These companies are frequently recognised as leaders in mining innovation with an emphasis on sustainability. In contrast, Codelco's approach has traditionally placed a greater emphasis on resource management and operational effectiveness. Although this strategy has been successful, rising environmental standards indicate that sustaining competitiveness will need a greater focus on sustainability leadership and product uniqueness. Codelco should thus create a unique market position built on low-carbon copper production and prudent resource management rather than just copying rival initiatives.</w:t>
      </w:r>
    </w:p>
    <w:p w14:paraId="434F5EB6" w14:textId="091873AA" w:rsidR="00C049EA" w:rsidRPr="00D07E31" w:rsidRDefault="00C049EA" w:rsidP="00F03D86">
      <w:pPr>
        <w:pStyle w:val="Heading1"/>
        <w:spacing w:line="360" w:lineRule="auto"/>
        <w:rPr>
          <w:rFonts w:ascii="Baskerville Old Face" w:hAnsi="Baskerville Old Face"/>
          <w:b/>
          <w:bCs/>
          <w:color w:val="000000" w:themeColor="text1"/>
          <w:sz w:val="32"/>
          <w:szCs w:val="32"/>
        </w:rPr>
      </w:pPr>
      <w:bookmarkStart w:id="7" w:name="_Toc232601720"/>
      <w:r w:rsidRPr="00D07E31">
        <w:rPr>
          <w:rFonts w:ascii="Baskerville Old Face" w:hAnsi="Baskerville Old Face"/>
          <w:b/>
          <w:bCs/>
          <w:color w:val="000000" w:themeColor="text1"/>
          <w:sz w:val="32"/>
          <w:szCs w:val="32"/>
        </w:rPr>
        <w:t>INTERNATIONAL BUSINESS STRATEGY CONSIDERATIONS</w:t>
      </w:r>
      <w:bookmarkEnd w:id="7"/>
    </w:p>
    <w:p w14:paraId="09C8EE70" w14:textId="06E42D86" w:rsidR="008C5577" w:rsidRPr="004B350C" w:rsidRDefault="00CB6E4E" w:rsidP="00F03D86">
      <w:pPr>
        <w:spacing w:line="360" w:lineRule="auto"/>
        <w:jc w:val="both"/>
        <w:rPr>
          <w:rFonts w:ascii="Arial" w:hAnsi="Arial" w:cs="Arial"/>
        </w:rPr>
      </w:pPr>
      <w:r w:rsidRPr="004B350C">
        <w:rPr>
          <w:rFonts w:ascii="Arial" w:hAnsi="Arial" w:cs="Arial"/>
        </w:rPr>
        <w:t xml:space="preserve">The need for a differentiated approach is further supported by international commercial concerns. </w:t>
      </w:r>
      <w:r w:rsidR="004F46C6" w:rsidRPr="004B350C">
        <w:rPr>
          <w:rFonts w:ascii="Arial" w:hAnsi="Arial" w:cs="Arial"/>
        </w:rPr>
        <w:t>According to Wang</w:t>
      </w:r>
      <w:r w:rsidR="00CC045A" w:rsidRPr="004B350C">
        <w:rPr>
          <w:rFonts w:ascii="Arial" w:hAnsi="Arial" w:cs="Arial"/>
        </w:rPr>
        <w:t xml:space="preserve">, Zhang and Feng (2022) </w:t>
      </w:r>
      <w:r w:rsidRPr="004B350C">
        <w:rPr>
          <w:rFonts w:ascii="Arial" w:hAnsi="Arial" w:cs="Arial"/>
        </w:rPr>
        <w:t>More strict environmental laws and criteria for sustainability disclosure are being imposed by developed markets like the European Union. These markets show a greater demand for certified low-carbon products, which may support premium pricing potential even if compliance costs may be higher. The benefit of sustainability-based differentiation, however, may be limited since many emerging countries still place a higher priority on industrial expansion and affordability. This leads to a strategic conundrum about the distribution of resources and the priority of the market. However, rather than competing mostly on price, concentrating on areas where environmental performance creates quantifiable economic value is probably going to provide greater long-term benefits.</w:t>
      </w:r>
    </w:p>
    <w:p w14:paraId="0E1B6121" w14:textId="006B602F" w:rsidR="00374CB2" w:rsidRPr="004B350C" w:rsidRDefault="0068298F" w:rsidP="00F03D86">
      <w:pPr>
        <w:spacing w:line="360" w:lineRule="auto"/>
        <w:jc w:val="both"/>
        <w:rPr>
          <w:rFonts w:ascii="Arial" w:hAnsi="Arial" w:cs="Arial"/>
        </w:rPr>
      </w:pPr>
      <w:r w:rsidRPr="004B350C">
        <w:rPr>
          <w:rFonts w:ascii="Arial" w:hAnsi="Arial" w:cs="Arial"/>
        </w:rPr>
        <w:t xml:space="preserve">Codelco should undertake a gradual shift to low-carbon operations in order to successfully execute this strategy. Increased use of emissions reduction technologies, expansion of water recycling systems, increased investment in renewable energy, and the creation of transparent carbon footprint tracking mechanisms should all be part of this. </w:t>
      </w:r>
      <w:r w:rsidR="003263B6" w:rsidRPr="004B350C">
        <w:rPr>
          <w:rFonts w:ascii="Arial" w:hAnsi="Arial" w:cs="Arial"/>
        </w:rPr>
        <w:t xml:space="preserve">According to Watari et al. (2019) </w:t>
      </w:r>
      <w:r w:rsidRPr="004B350C">
        <w:rPr>
          <w:rFonts w:ascii="Arial" w:hAnsi="Arial" w:cs="Arial"/>
        </w:rPr>
        <w:t xml:space="preserve">By generating long-term demand for certified </w:t>
      </w:r>
      <w:r w:rsidRPr="004B350C">
        <w:rPr>
          <w:rFonts w:ascii="Arial" w:hAnsi="Arial" w:cs="Arial"/>
        </w:rPr>
        <w:lastRenderedPageBreak/>
        <w:t>low-carbon copper products, strategic collaborations with manufacturers of electric vehicles and renewable energy firms may further improve market positioning. These kinds of partnerships would also encourage innovation and make it easier for knowledge to be shared across the value chain.</w:t>
      </w:r>
    </w:p>
    <w:p w14:paraId="7BFBF336" w14:textId="1F8A6817" w:rsidR="00714883" w:rsidRPr="004B350C" w:rsidRDefault="001812F1" w:rsidP="00F03D86">
      <w:pPr>
        <w:spacing w:line="360" w:lineRule="auto"/>
        <w:jc w:val="both"/>
        <w:rPr>
          <w:rFonts w:ascii="Arial" w:hAnsi="Arial" w:cs="Arial"/>
        </w:rPr>
      </w:pPr>
      <w:r w:rsidRPr="004B350C">
        <w:rPr>
          <w:rFonts w:ascii="Arial" w:hAnsi="Arial" w:cs="Arial"/>
        </w:rPr>
        <w:t>In conclusion, Codelco's best growth strategy is product development as it combines environmental sustainability goals with new market prospects. The firm may adapt to shifting stakeholder expectations and improve its competitive position by developing low-carbon copper goods and implementing a differentiation strategy. The long-term advantages of greater market access, stronger customer connections, and higher sustainability performance exceed the substantial costs and operational risks associated with implementation. As a result, sustainability should be seen as a strategic source of future growth and competitive advantage rather than just a necessity for compliance.</w:t>
      </w:r>
    </w:p>
    <w:p w14:paraId="3BB7AD31" w14:textId="28AEBD59" w:rsidR="00714883" w:rsidRPr="00D07E31" w:rsidRDefault="00D57AB7" w:rsidP="00F03D86">
      <w:pPr>
        <w:pStyle w:val="Heading1"/>
        <w:spacing w:line="360" w:lineRule="auto"/>
        <w:rPr>
          <w:rFonts w:ascii="Baskerville Old Face" w:hAnsi="Baskerville Old Face"/>
          <w:b/>
          <w:bCs/>
          <w:color w:val="000000" w:themeColor="text1"/>
          <w:sz w:val="36"/>
          <w:szCs w:val="36"/>
        </w:rPr>
      </w:pPr>
      <w:bookmarkStart w:id="8" w:name="_Toc232601721"/>
      <w:r w:rsidRPr="00D07E31">
        <w:rPr>
          <w:rFonts w:ascii="Baskerville Old Face" w:hAnsi="Baskerville Old Face"/>
          <w:b/>
          <w:bCs/>
          <w:color w:val="000000" w:themeColor="text1"/>
          <w:sz w:val="36"/>
          <w:szCs w:val="36"/>
        </w:rPr>
        <w:t>Critical Reflection on AI Usage</w:t>
      </w:r>
      <w:bookmarkEnd w:id="8"/>
    </w:p>
    <w:p w14:paraId="796B53BF" w14:textId="6565EEBF" w:rsidR="00DD3674" w:rsidRPr="00EE240A" w:rsidRDefault="00EE240A" w:rsidP="00F03D86">
      <w:pPr>
        <w:spacing w:line="360" w:lineRule="auto"/>
        <w:jc w:val="both"/>
        <w:rPr>
          <w:rFonts w:ascii="Arial" w:hAnsi="Arial" w:cs="Arial"/>
          <w:b/>
          <w:bCs/>
        </w:rPr>
      </w:pPr>
      <w:r w:rsidRPr="00EE240A">
        <w:rPr>
          <w:rFonts w:ascii="Arial" w:hAnsi="Arial" w:cs="Arial"/>
          <w:b/>
          <w:bCs/>
        </w:rPr>
        <w:t>Tool Disclosure:</w:t>
      </w:r>
    </w:p>
    <w:p w14:paraId="0094740F" w14:textId="6A556759" w:rsidR="00714883" w:rsidRDefault="00714883" w:rsidP="00F03D86">
      <w:pPr>
        <w:spacing w:line="360" w:lineRule="auto"/>
        <w:jc w:val="both"/>
        <w:rPr>
          <w:rFonts w:ascii="Arial" w:hAnsi="Arial" w:cs="Arial"/>
        </w:rPr>
      </w:pPr>
      <w:r w:rsidRPr="004B350C">
        <w:rPr>
          <w:rFonts w:ascii="Arial" w:hAnsi="Arial" w:cs="Arial"/>
        </w:rPr>
        <w:t xml:space="preserve">The majority of the research for this paper was done independently utilising </w:t>
      </w:r>
      <w:proofErr w:type="spellStart"/>
      <w:r w:rsidRPr="004B350C">
        <w:rPr>
          <w:rFonts w:ascii="Arial" w:hAnsi="Arial" w:cs="Arial"/>
        </w:rPr>
        <w:t>publically</w:t>
      </w:r>
      <w:proofErr w:type="spellEnd"/>
      <w:r w:rsidRPr="004B350C">
        <w:rPr>
          <w:rFonts w:ascii="Arial" w:hAnsi="Arial" w:cs="Arial"/>
        </w:rPr>
        <w:t xml:space="preserve"> accessible sources, company publications, industry studies, and scholarly journals</w:t>
      </w:r>
      <w:r w:rsidR="00AA77F0" w:rsidRPr="004B350C">
        <w:rPr>
          <w:rFonts w:ascii="Arial" w:hAnsi="Arial" w:cs="Arial"/>
        </w:rPr>
        <w:t xml:space="preserve"> from </w:t>
      </w:r>
      <w:r w:rsidR="00C97D46" w:rsidRPr="004B350C">
        <w:rPr>
          <w:rFonts w:ascii="Arial" w:hAnsi="Arial" w:cs="Arial"/>
        </w:rPr>
        <w:t>(</w:t>
      </w:r>
      <w:r w:rsidR="00AA77F0" w:rsidRPr="004B350C">
        <w:rPr>
          <w:rFonts w:ascii="Arial" w:hAnsi="Arial" w:cs="Arial"/>
        </w:rPr>
        <w:t>Google scholar)</w:t>
      </w:r>
      <w:r w:rsidRPr="004B350C">
        <w:rPr>
          <w:rFonts w:ascii="Arial" w:hAnsi="Arial" w:cs="Arial"/>
        </w:rPr>
        <w:t>. In order to facilitate information retrieval and investigate possible literature pertinent to topics like sustainability, reducing carbon emissions, and strategic planning within the mining industry, artificial intelligence (AI</w:t>
      </w:r>
      <w:r w:rsidR="00EE240A">
        <w:rPr>
          <w:rFonts w:ascii="Arial" w:hAnsi="Arial" w:cs="Arial"/>
        </w:rPr>
        <w:t xml:space="preserve"> Copilot</w:t>
      </w:r>
      <w:r w:rsidRPr="004B350C">
        <w:rPr>
          <w:rFonts w:ascii="Arial" w:hAnsi="Arial" w:cs="Arial"/>
        </w:rPr>
        <w:t xml:space="preserve">) was implemented selectively.   Throughout the study, I maintained control over the primary research procedure, source selection, and analytical choices. </w:t>
      </w:r>
    </w:p>
    <w:p w14:paraId="656CB139" w14:textId="0BCECA06" w:rsidR="000A2749" w:rsidRPr="000A2749" w:rsidRDefault="000A2749" w:rsidP="00F03D86">
      <w:pPr>
        <w:spacing w:line="360" w:lineRule="auto"/>
        <w:jc w:val="both"/>
        <w:rPr>
          <w:rFonts w:ascii="Arial" w:hAnsi="Arial" w:cs="Arial"/>
          <w:b/>
          <w:bCs/>
        </w:rPr>
      </w:pPr>
      <w:r w:rsidRPr="000A2749">
        <w:rPr>
          <w:rFonts w:ascii="Arial" w:hAnsi="Arial" w:cs="Arial"/>
          <w:b/>
          <w:bCs/>
        </w:rPr>
        <w:t>Critical Evaluation of AI Output:</w:t>
      </w:r>
    </w:p>
    <w:p w14:paraId="1D5BEA66" w14:textId="2A6513A8" w:rsidR="000A2749" w:rsidRPr="00DD691C" w:rsidRDefault="00DD691C" w:rsidP="00F03D86">
      <w:pPr>
        <w:spacing w:line="360" w:lineRule="auto"/>
        <w:jc w:val="both"/>
        <w:rPr>
          <w:rFonts w:ascii="Arial" w:hAnsi="Arial" w:cs="Arial"/>
        </w:rPr>
      </w:pPr>
      <w:r w:rsidRPr="00DD691C">
        <w:rPr>
          <w:rFonts w:ascii="Arial" w:hAnsi="Arial" w:cs="Arial"/>
        </w:rPr>
        <w:t xml:space="preserve">To ensure accuracy, each piece of information suggested by AI-assisted (Copilot) searches was carefully verified against reputable sources. Cross-referencing claims with official Codelco documents (Codelco Annual Report, 2025), research from the International Energy Agency and OECD (2024), and peer-reviewed scholarly journals were all necessary for this. There were no references in the final report that could not be verified through academic databases or other trustworthy sources. The identification of AI hallucinations, such as unsubstantiated arguments, incorrect figures, or references that could not be linked to reliable sources, was made possible in large part by this verification procedure. When contradictions or unconfirmed facts </w:t>
      </w:r>
      <w:r w:rsidRPr="00DD691C">
        <w:rPr>
          <w:rFonts w:ascii="Arial" w:hAnsi="Arial" w:cs="Arial"/>
        </w:rPr>
        <w:lastRenderedPageBreak/>
        <w:t>were found, they were either eliminated from the final report or fixed using proof from reliable sources. This method contributed to the final content's accuracy, logical consistency, and evidence-based foundation.</w:t>
      </w:r>
    </w:p>
    <w:p w14:paraId="1E6EED3D" w14:textId="1F7083AE" w:rsidR="000A2749" w:rsidRDefault="000A2749" w:rsidP="00F03D86">
      <w:pPr>
        <w:spacing w:line="360" w:lineRule="auto"/>
        <w:jc w:val="both"/>
        <w:rPr>
          <w:rFonts w:ascii="Arial" w:hAnsi="Arial" w:cs="Arial"/>
          <w:b/>
          <w:bCs/>
        </w:rPr>
      </w:pPr>
      <w:r>
        <w:rPr>
          <w:rFonts w:ascii="Arial" w:hAnsi="Arial" w:cs="Arial"/>
          <w:b/>
          <w:bCs/>
        </w:rPr>
        <w:t>Contribution Analysis:</w:t>
      </w:r>
    </w:p>
    <w:p w14:paraId="4EBFD4BB" w14:textId="6A3C17EE" w:rsidR="009875F5" w:rsidRPr="004B350C" w:rsidRDefault="00AE144F" w:rsidP="00F03D86">
      <w:pPr>
        <w:spacing w:line="360" w:lineRule="auto"/>
        <w:jc w:val="both"/>
        <w:rPr>
          <w:rFonts w:ascii="Arial" w:hAnsi="Arial" w:cs="Arial"/>
        </w:rPr>
      </w:pPr>
      <w:r w:rsidRPr="00520DD9">
        <w:rPr>
          <w:rFonts w:ascii="Arial" w:hAnsi="Arial" w:cs="Arial"/>
        </w:rPr>
        <w:t>The analytical material</w:t>
      </w:r>
      <w:r w:rsidRPr="004B350C">
        <w:rPr>
          <w:rFonts w:ascii="Arial" w:hAnsi="Arial" w:cs="Arial"/>
        </w:rPr>
        <w:t xml:space="preserve"> of the paper, such as the assessment of competitive positioning, strategic growth alternatives, and environmental concerns, was created separately. The interpretation of facts, use of strategic frameworks, and formulation of conclusions were entirely dependent on my own critical evaluation of the available data, even though AI occasionally helped find appropriate topics or books. Thus, rather than being automated outputs, the final structure, arguments, and recommendations represent my personal evaluation.</w:t>
      </w:r>
    </w:p>
    <w:p w14:paraId="3A04D0F2" w14:textId="245B28B3" w:rsidR="00AE144F" w:rsidRPr="004B350C" w:rsidRDefault="00A5524D" w:rsidP="00F03D86">
      <w:pPr>
        <w:spacing w:line="360" w:lineRule="auto"/>
        <w:jc w:val="both"/>
        <w:rPr>
          <w:rFonts w:ascii="Arial" w:hAnsi="Arial" w:cs="Arial"/>
        </w:rPr>
      </w:pPr>
      <w:r w:rsidRPr="004B350C">
        <w:rPr>
          <w:rFonts w:ascii="Arial" w:hAnsi="Arial" w:cs="Arial"/>
          <w:b/>
          <w:bCs/>
        </w:rPr>
        <w:t>From a professional and ethical point of view</w:t>
      </w:r>
      <w:r w:rsidRPr="004B350C">
        <w:rPr>
          <w:rFonts w:ascii="Arial" w:hAnsi="Arial" w:cs="Arial"/>
        </w:rPr>
        <w:t>, AI offers marketing and strategic analysis both possibilities and threats. It may provide biased, misleading, or unverifiable content, yet it can increase productivity when finding information and investigating new subjects. Therefore, rather than accepting AI-assisted outputs without question, users have a need to critically assess them. This experience highlighted the significance of independent judgement, source validation, and openness when integrating AI into academic and professional tasks.</w:t>
      </w:r>
    </w:p>
    <w:p w14:paraId="338D5744" w14:textId="2326AF1D" w:rsidR="00E12F86" w:rsidRPr="004B350C" w:rsidRDefault="00E12F86" w:rsidP="00815B36">
      <w:pPr>
        <w:rPr>
          <w:rFonts w:ascii="Arial" w:hAnsi="Arial" w:cs="Arial"/>
          <w:sz w:val="44"/>
          <w:szCs w:val="44"/>
        </w:rPr>
      </w:pPr>
      <w:r w:rsidRPr="004B350C">
        <w:rPr>
          <w:rFonts w:ascii="Arial" w:hAnsi="Arial" w:cs="Arial"/>
          <w:sz w:val="44"/>
          <w:szCs w:val="44"/>
        </w:rPr>
        <w:br w:type="page"/>
      </w:r>
    </w:p>
    <w:p w14:paraId="0A628A91" w14:textId="400EE277" w:rsidR="00BE1950" w:rsidRPr="00DC67DF" w:rsidRDefault="00997FEC" w:rsidP="00EA02A2">
      <w:pPr>
        <w:pStyle w:val="Heading1"/>
        <w:spacing w:line="360" w:lineRule="auto"/>
        <w:rPr>
          <w:rFonts w:ascii="Baskerville Old Face" w:hAnsi="Baskerville Old Face"/>
          <w:b/>
          <w:bCs/>
          <w:color w:val="000000" w:themeColor="text1"/>
        </w:rPr>
      </w:pPr>
      <w:bookmarkStart w:id="9" w:name="_Toc232601722"/>
      <w:r w:rsidRPr="00DC67DF">
        <w:rPr>
          <w:rFonts w:ascii="Baskerville Old Face" w:hAnsi="Baskerville Old Face"/>
          <w:b/>
          <w:bCs/>
          <w:color w:val="000000" w:themeColor="text1"/>
        </w:rPr>
        <w:lastRenderedPageBreak/>
        <w:t>References:</w:t>
      </w:r>
      <w:bookmarkEnd w:id="9"/>
    </w:p>
    <w:p w14:paraId="0FB685B5" w14:textId="6A46E473" w:rsidR="00E01528" w:rsidRPr="00EA02A2" w:rsidRDefault="00934BC0" w:rsidP="00EA02A2">
      <w:pPr>
        <w:spacing w:line="360" w:lineRule="auto"/>
        <w:jc w:val="both"/>
        <w:rPr>
          <w:rFonts w:ascii="Arial" w:hAnsi="Arial" w:cs="Arial"/>
        </w:rPr>
      </w:pPr>
      <w:r w:rsidRPr="00EA02A2">
        <w:rPr>
          <w:rFonts w:ascii="Arial" w:hAnsi="Arial" w:cs="Arial"/>
        </w:rPr>
        <w:t xml:space="preserve">Alan, H. and </w:t>
      </w:r>
      <w:proofErr w:type="spellStart"/>
      <w:r w:rsidRPr="00EA02A2">
        <w:rPr>
          <w:rFonts w:ascii="Arial" w:hAnsi="Arial" w:cs="Arial"/>
        </w:rPr>
        <w:t>Köker</w:t>
      </w:r>
      <w:proofErr w:type="spellEnd"/>
      <w:r w:rsidRPr="00EA02A2">
        <w:rPr>
          <w:rFonts w:ascii="Arial" w:hAnsi="Arial" w:cs="Arial"/>
        </w:rPr>
        <w:t>, A.R. (2023) “</w:t>
      </w:r>
      <w:proofErr w:type="spellStart"/>
      <w:r w:rsidRPr="00EA02A2">
        <w:rPr>
          <w:rFonts w:ascii="Arial" w:hAnsi="Arial" w:cs="Arial"/>
        </w:rPr>
        <w:t>Analyzing</w:t>
      </w:r>
      <w:proofErr w:type="spellEnd"/>
      <w:r w:rsidRPr="00EA02A2">
        <w:rPr>
          <w:rFonts w:ascii="Arial" w:hAnsi="Arial" w:cs="Arial"/>
        </w:rPr>
        <w:t xml:space="preserve"> and mapping agricultural waste recycling research: An integrative review for conceptual framework and future directions,” Resources policy, 85. Available at: </w:t>
      </w:r>
      <w:hyperlink r:id="rId7" w:history="1">
        <w:r w:rsidRPr="00EA02A2">
          <w:rPr>
            <w:rStyle w:val="Hyperlink"/>
            <w:rFonts w:ascii="Arial" w:hAnsi="Arial" w:cs="Arial"/>
          </w:rPr>
          <w:t>https://doi.org/10.1016/j.resourpol.2023.103987</w:t>
        </w:r>
      </w:hyperlink>
      <w:r w:rsidRPr="00EA02A2">
        <w:rPr>
          <w:rFonts w:ascii="Arial" w:hAnsi="Arial" w:cs="Arial"/>
        </w:rPr>
        <w:t xml:space="preserve">. </w:t>
      </w:r>
    </w:p>
    <w:p w14:paraId="31E06E4F" w14:textId="15D05A10" w:rsidR="00E01528" w:rsidRPr="00EA02A2" w:rsidRDefault="00934BC0" w:rsidP="00EA02A2">
      <w:pPr>
        <w:spacing w:line="360" w:lineRule="auto"/>
        <w:jc w:val="both"/>
        <w:rPr>
          <w:rFonts w:ascii="Arial" w:hAnsi="Arial" w:cs="Arial"/>
        </w:rPr>
      </w:pPr>
      <w:r w:rsidRPr="00EA02A2">
        <w:rPr>
          <w:rFonts w:ascii="Arial" w:hAnsi="Arial" w:cs="Arial"/>
        </w:rPr>
        <w:t xml:space="preserve">Ang, M.L.E., Lebre, E. and McIntyre, N. (2026) “A review of data challenges and opportunities for large-scale assessments of mining’s social and environmental impacts,” The extractive industries and society, 26. Available at: </w:t>
      </w:r>
      <w:hyperlink r:id="rId8" w:history="1">
        <w:r w:rsidRPr="00EA02A2">
          <w:rPr>
            <w:rStyle w:val="Hyperlink"/>
            <w:rFonts w:ascii="Arial" w:hAnsi="Arial" w:cs="Arial"/>
          </w:rPr>
          <w:t>https://doi.org/10.1016/j.exis.2026.101871</w:t>
        </w:r>
      </w:hyperlink>
      <w:r w:rsidRPr="00EA02A2">
        <w:rPr>
          <w:rFonts w:ascii="Arial" w:hAnsi="Arial" w:cs="Arial"/>
        </w:rPr>
        <w:t xml:space="preserve">. </w:t>
      </w:r>
    </w:p>
    <w:p w14:paraId="057B5DCA" w14:textId="5D8A89A4" w:rsidR="00E01528" w:rsidRPr="00EA02A2" w:rsidRDefault="00934BC0" w:rsidP="00EA02A2">
      <w:pPr>
        <w:spacing w:line="360" w:lineRule="auto"/>
        <w:jc w:val="both"/>
        <w:rPr>
          <w:rFonts w:ascii="Arial" w:hAnsi="Arial" w:cs="Arial"/>
        </w:rPr>
      </w:pPr>
      <w:r w:rsidRPr="00EA02A2">
        <w:rPr>
          <w:rFonts w:ascii="Arial" w:hAnsi="Arial" w:cs="Arial"/>
        </w:rPr>
        <w:t xml:space="preserve">Ansoff, H.I. (1957) “Strategies for diversification: here is a method for measuring the profit potential of alternative product-market strategies, starting with a forecast of trends and contingencies and then working toward company needs and long-run objectives,” Harvard business review, 1 October, pp. 113–124. </w:t>
      </w:r>
    </w:p>
    <w:p w14:paraId="1E361112" w14:textId="57FED88F" w:rsidR="00E01528" w:rsidRPr="00EA02A2" w:rsidRDefault="00934BC0" w:rsidP="00EA02A2">
      <w:pPr>
        <w:spacing w:line="360" w:lineRule="auto"/>
        <w:jc w:val="both"/>
        <w:rPr>
          <w:rFonts w:ascii="Arial" w:hAnsi="Arial" w:cs="Arial"/>
        </w:rPr>
      </w:pPr>
      <w:r w:rsidRPr="00EA02A2">
        <w:rPr>
          <w:rFonts w:ascii="Arial" w:hAnsi="Arial" w:cs="Arial"/>
        </w:rPr>
        <w:t xml:space="preserve">Bechini, L. et al. (2020) “Drivers and barriers to adopt best management practices. Survey among Italian dairy farmers,” Journal of cleaner production, 245. Available at: </w:t>
      </w:r>
      <w:hyperlink r:id="rId9" w:history="1">
        <w:r w:rsidRPr="00EA02A2">
          <w:rPr>
            <w:rStyle w:val="Hyperlink"/>
            <w:rFonts w:ascii="Arial" w:hAnsi="Arial" w:cs="Arial"/>
          </w:rPr>
          <w:t>https://doi.org/10.1016/j.jclepro.2019.118825</w:t>
        </w:r>
      </w:hyperlink>
      <w:r w:rsidRPr="00EA02A2">
        <w:rPr>
          <w:rFonts w:ascii="Arial" w:hAnsi="Arial" w:cs="Arial"/>
        </w:rPr>
        <w:t xml:space="preserve">. </w:t>
      </w:r>
    </w:p>
    <w:p w14:paraId="0EC0847A" w14:textId="56B1B8CB" w:rsidR="00E01528" w:rsidRPr="00EA02A2" w:rsidRDefault="00934BC0" w:rsidP="00EA02A2">
      <w:pPr>
        <w:spacing w:line="360" w:lineRule="auto"/>
        <w:jc w:val="both"/>
        <w:rPr>
          <w:rFonts w:ascii="Arial" w:hAnsi="Arial" w:cs="Arial"/>
          <w:color w:val="000000" w:themeColor="text1"/>
        </w:rPr>
      </w:pPr>
      <w:r w:rsidRPr="00EA02A2">
        <w:rPr>
          <w:rFonts w:ascii="Arial" w:hAnsi="Arial" w:cs="Arial"/>
          <w:color w:val="000000" w:themeColor="text1"/>
        </w:rPr>
        <w:t xml:space="preserve">Biancardi, A., D’Adamo, I., Santibanez-Gonzalez, E.D. and </w:t>
      </w:r>
      <w:proofErr w:type="spellStart"/>
      <w:r w:rsidRPr="00EA02A2">
        <w:rPr>
          <w:rFonts w:ascii="Arial" w:hAnsi="Arial" w:cs="Arial"/>
          <w:color w:val="000000" w:themeColor="text1"/>
        </w:rPr>
        <w:t>Bascur</w:t>
      </w:r>
      <w:proofErr w:type="spellEnd"/>
      <w:r w:rsidRPr="00EA02A2">
        <w:rPr>
          <w:rFonts w:ascii="Arial" w:hAnsi="Arial" w:cs="Arial"/>
          <w:color w:val="000000" w:themeColor="text1"/>
        </w:rPr>
        <w:t xml:space="preserve">, J.F.V., (2025). A flexible and circular management of copper in </w:t>
      </w:r>
      <w:proofErr w:type="spellStart"/>
      <w:r w:rsidRPr="00EA02A2">
        <w:rPr>
          <w:rFonts w:ascii="Arial" w:hAnsi="Arial" w:cs="Arial"/>
          <w:color w:val="000000" w:themeColor="text1"/>
        </w:rPr>
        <w:t>chile</w:t>
      </w:r>
      <w:proofErr w:type="spellEnd"/>
      <w:r w:rsidRPr="00EA02A2">
        <w:rPr>
          <w:rFonts w:ascii="Arial" w:hAnsi="Arial" w:cs="Arial"/>
          <w:color w:val="000000" w:themeColor="text1"/>
        </w:rPr>
        <w:t>: new perspectives toward sustainable development. Global Journal of Flexible Systems Management, 26(4), pp.813-837.</w:t>
      </w:r>
    </w:p>
    <w:p w14:paraId="41AED241" w14:textId="73AD500F" w:rsidR="00E01528" w:rsidRPr="00EA02A2" w:rsidRDefault="00934BC0" w:rsidP="00EA02A2">
      <w:pPr>
        <w:spacing w:line="360" w:lineRule="auto"/>
        <w:jc w:val="both"/>
        <w:rPr>
          <w:rFonts w:ascii="Arial" w:hAnsi="Arial" w:cs="Arial"/>
        </w:rPr>
      </w:pPr>
      <w:r w:rsidRPr="00EA02A2">
        <w:rPr>
          <w:rFonts w:ascii="Arial" w:hAnsi="Arial" w:cs="Arial"/>
        </w:rPr>
        <w:t xml:space="preserve">Bloomfield, M.J. (2021) “Compensation disclosures and strategic commitment: Evidence from revenue-based pay,” Journal of financial economics, 141(2), pp. 620–643. Available at: </w:t>
      </w:r>
      <w:hyperlink r:id="rId10" w:history="1">
        <w:r w:rsidRPr="00EA02A2">
          <w:rPr>
            <w:rStyle w:val="Hyperlink"/>
            <w:rFonts w:ascii="Arial" w:hAnsi="Arial" w:cs="Arial"/>
          </w:rPr>
          <w:t>https://doi.org/10.1016/j.jfineco.2021.04.006</w:t>
        </w:r>
      </w:hyperlink>
      <w:r w:rsidRPr="00EA02A2">
        <w:rPr>
          <w:rFonts w:ascii="Arial" w:hAnsi="Arial" w:cs="Arial"/>
        </w:rPr>
        <w:t xml:space="preserve">. </w:t>
      </w:r>
    </w:p>
    <w:p w14:paraId="1F5A41AF" w14:textId="3E16F2BE" w:rsidR="00E01528" w:rsidRPr="00EA02A2" w:rsidRDefault="00934BC0" w:rsidP="00EA02A2">
      <w:pPr>
        <w:spacing w:line="360" w:lineRule="auto"/>
        <w:jc w:val="both"/>
        <w:rPr>
          <w:rFonts w:ascii="Arial" w:hAnsi="Arial" w:cs="Arial"/>
        </w:rPr>
      </w:pPr>
      <w:r w:rsidRPr="00EA02A2">
        <w:rPr>
          <w:rFonts w:ascii="Arial" w:hAnsi="Arial" w:cs="Arial"/>
        </w:rPr>
        <w:t xml:space="preserve">Clara Lopez (2024) “Mining in investment arbitration: An analysis of mining companies’ legitimate expectations,” Journal of international economic law, 27(2), pp. 297–313. Available at: </w:t>
      </w:r>
      <w:hyperlink r:id="rId11" w:history="1">
        <w:r w:rsidRPr="00EA02A2">
          <w:rPr>
            <w:rStyle w:val="Hyperlink"/>
            <w:rFonts w:ascii="Arial" w:hAnsi="Arial" w:cs="Arial"/>
          </w:rPr>
          <w:t>https://doi.org/10.1093/jiel/jgae023</w:t>
        </w:r>
      </w:hyperlink>
      <w:r w:rsidRPr="00EA02A2">
        <w:rPr>
          <w:rFonts w:ascii="Arial" w:hAnsi="Arial" w:cs="Arial"/>
        </w:rPr>
        <w:t xml:space="preserve">. </w:t>
      </w:r>
    </w:p>
    <w:p w14:paraId="359C71D3" w14:textId="6AC4EA37" w:rsidR="00E01528" w:rsidRPr="00EA02A2" w:rsidRDefault="00E01528" w:rsidP="00EA02A2">
      <w:pPr>
        <w:spacing w:line="360" w:lineRule="auto"/>
        <w:jc w:val="both"/>
        <w:rPr>
          <w:rFonts w:ascii="Arial" w:hAnsi="Arial" w:cs="Arial"/>
        </w:rPr>
      </w:pPr>
      <w:r w:rsidRPr="00EA02A2">
        <w:rPr>
          <w:rFonts w:ascii="Arial" w:hAnsi="Arial" w:cs="Arial"/>
        </w:rPr>
        <w:t>Codelco (2025) Annual Report 2024. Santiago: Available at:</w:t>
      </w:r>
    </w:p>
    <w:p w14:paraId="145E7CE0" w14:textId="381616BA" w:rsidR="0002516C" w:rsidRPr="00EA02A2" w:rsidRDefault="00E01528" w:rsidP="00EA02A2">
      <w:pPr>
        <w:spacing w:line="360" w:lineRule="auto"/>
        <w:jc w:val="both"/>
        <w:rPr>
          <w:rFonts w:ascii="Arial" w:hAnsi="Arial" w:cs="Arial"/>
        </w:rPr>
      </w:pPr>
      <w:hyperlink r:id="rId12" w:history="1">
        <w:r w:rsidRPr="00EA02A2">
          <w:rPr>
            <w:rStyle w:val="Hyperlink"/>
            <w:rFonts w:ascii="Arial" w:hAnsi="Arial" w:cs="Arial"/>
          </w:rPr>
          <w:t>https://www.codelco.com/sites/site/docs/20250428/20250428185356/operational_and_financial_report_december_31_2025.pdf</w:t>
        </w:r>
      </w:hyperlink>
      <w:r w:rsidRPr="00EA02A2">
        <w:rPr>
          <w:rFonts w:ascii="Arial" w:hAnsi="Arial" w:cs="Arial"/>
        </w:rPr>
        <w:t xml:space="preserve"> (Accessed: 12 June 2026)</w:t>
      </w:r>
    </w:p>
    <w:p w14:paraId="75A70018" w14:textId="05AE42FF" w:rsidR="00414DDD" w:rsidRPr="00EA02A2" w:rsidRDefault="00934BC0" w:rsidP="00EA02A2">
      <w:pPr>
        <w:spacing w:line="360" w:lineRule="auto"/>
        <w:jc w:val="both"/>
        <w:rPr>
          <w:rFonts w:ascii="Arial" w:hAnsi="Arial" w:cs="Arial"/>
        </w:rPr>
      </w:pPr>
      <w:r w:rsidRPr="00EA02A2">
        <w:rPr>
          <w:rFonts w:ascii="Arial" w:hAnsi="Arial" w:cs="Arial"/>
        </w:rPr>
        <w:t xml:space="preserve">Cong, Y., Freedman, M. and Park, J.D. (2020) “Mandated greenhouse gas emissions and required SEC climate change disclosures,” Journal of cleaner production, 247. Available at: </w:t>
      </w:r>
      <w:hyperlink r:id="rId13" w:history="1">
        <w:r w:rsidRPr="00EA02A2">
          <w:rPr>
            <w:rStyle w:val="Hyperlink"/>
            <w:rFonts w:ascii="Arial" w:hAnsi="Arial" w:cs="Arial"/>
          </w:rPr>
          <w:t>https://doi.org/10.1016/j.jclepro.2019.119111</w:t>
        </w:r>
      </w:hyperlink>
      <w:r w:rsidRPr="00EA02A2">
        <w:rPr>
          <w:rFonts w:ascii="Arial" w:hAnsi="Arial" w:cs="Arial"/>
        </w:rPr>
        <w:t xml:space="preserve">. </w:t>
      </w:r>
    </w:p>
    <w:p w14:paraId="47FC92E8" w14:textId="7EF319F4" w:rsidR="00414DDD" w:rsidRPr="00EA02A2" w:rsidRDefault="00934BC0" w:rsidP="00EA02A2">
      <w:pPr>
        <w:spacing w:line="360" w:lineRule="auto"/>
        <w:jc w:val="both"/>
        <w:rPr>
          <w:rFonts w:ascii="Arial" w:hAnsi="Arial" w:cs="Arial"/>
          <w:color w:val="000000" w:themeColor="text1"/>
          <w:shd w:val="clear" w:color="auto" w:fill="FFFFFF"/>
        </w:rPr>
      </w:pPr>
      <w:r w:rsidRPr="00EA02A2">
        <w:rPr>
          <w:rFonts w:ascii="Arial" w:hAnsi="Arial" w:cs="Arial"/>
          <w:color w:val="000000" w:themeColor="text1"/>
          <w:shd w:val="clear" w:color="auto" w:fill="FFFFFF"/>
        </w:rPr>
        <w:lastRenderedPageBreak/>
        <w:t xml:space="preserve">Duex, S., Busch, P. and Kendall, A. (2026) “The electric vehicle transition: effects on copper supply dynamics in a net-zero future,” Resources, conservation and recycling, 228. Available at: </w:t>
      </w:r>
      <w:hyperlink r:id="rId14" w:history="1">
        <w:r w:rsidRPr="00EA02A2">
          <w:rPr>
            <w:rStyle w:val="Hyperlink"/>
            <w:rFonts w:ascii="Arial" w:hAnsi="Arial" w:cs="Arial"/>
            <w:shd w:val="clear" w:color="auto" w:fill="FFFFFF"/>
          </w:rPr>
          <w:t>https://doi.org/10.1016/j.resconrec.2026.108798</w:t>
        </w:r>
      </w:hyperlink>
      <w:r w:rsidRPr="00EA02A2">
        <w:rPr>
          <w:rFonts w:ascii="Arial" w:hAnsi="Arial" w:cs="Arial"/>
          <w:color w:val="000000" w:themeColor="text1"/>
          <w:shd w:val="clear" w:color="auto" w:fill="FFFFFF"/>
        </w:rPr>
        <w:t xml:space="preserve">. </w:t>
      </w:r>
    </w:p>
    <w:p w14:paraId="79299093" w14:textId="74FB4CF9" w:rsidR="00414DDD" w:rsidRPr="00EA02A2" w:rsidRDefault="00934BC0" w:rsidP="00EA02A2">
      <w:pPr>
        <w:spacing w:line="360" w:lineRule="auto"/>
        <w:jc w:val="both"/>
        <w:rPr>
          <w:rFonts w:ascii="Arial" w:hAnsi="Arial" w:cs="Arial"/>
        </w:rPr>
      </w:pPr>
      <w:r w:rsidRPr="00EA02A2">
        <w:rPr>
          <w:rFonts w:ascii="Arial" w:hAnsi="Arial" w:cs="Arial"/>
        </w:rPr>
        <w:t xml:space="preserve">Herrington, R. (2021) “Mining our green future,” Nature reviews. Materials, 6(6), pp. 456–458. Available at: </w:t>
      </w:r>
      <w:hyperlink r:id="rId15" w:history="1">
        <w:r w:rsidRPr="00EA02A2">
          <w:rPr>
            <w:rStyle w:val="Hyperlink"/>
            <w:rFonts w:ascii="Arial" w:hAnsi="Arial" w:cs="Arial"/>
          </w:rPr>
          <w:t>https://doi.org/10.1038/s41578-021-00325-9</w:t>
        </w:r>
      </w:hyperlink>
      <w:r w:rsidRPr="00EA02A2">
        <w:rPr>
          <w:rFonts w:ascii="Arial" w:hAnsi="Arial" w:cs="Arial"/>
        </w:rPr>
        <w:t xml:space="preserve">. </w:t>
      </w:r>
    </w:p>
    <w:p w14:paraId="44271DA3" w14:textId="7C74B439" w:rsidR="00E01528" w:rsidRPr="00EA02A2" w:rsidRDefault="00F55741" w:rsidP="00EA02A2">
      <w:pPr>
        <w:spacing w:line="360" w:lineRule="auto"/>
        <w:jc w:val="both"/>
        <w:rPr>
          <w:rFonts w:ascii="Arial" w:hAnsi="Arial" w:cs="Arial"/>
        </w:rPr>
      </w:pPr>
      <w:r w:rsidRPr="00EA02A2">
        <w:rPr>
          <w:rFonts w:ascii="Arial" w:hAnsi="Arial" w:cs="Arial"/>
        </w:rPr>
        <w:t>IMAGE 1:</w:t>
      </w:r>
      <w:r w:rsidR="00446AE3" w:rsidRPr="00EA02A2">
        <w:rPr>
          <w:rFonts w:ascii="Arial" w:hAnsi="Arial" w:cs="Arial"/>
        </w:rPr>
        <w:t xml:space="preserve"> </w:t>
      </w:r>
      <w:hyperlink r:id="rId16" w:history="1">
        <w:r w:rsidR="00446AE3" w:rsidRPr="00EA02A2">
          <w:rPr>
            <w:rStyle w:val="Hyperlink"/>
            <w:rFonts w:ascii="Arial" w:hAnsi="Arial" w:cs="Arial"/>
          </w:rPr>
          <w:t>https://www.capitaliq.spglobal.com/Articles/433195152.png</w:t>
        </w:r>
      </w:hyperlink>
      <w:r w:rsidR="00446AE3" w:rsidRPr="00EA02A2">
        <w:rPr>
          <w:rFonts w:ascii="Arial" w:hAnsi="Arial" w:cs="Arial"/>
        </w:rPr>
        <w:t xml:space="preserve"> </w:t>
      </w:r>
    </w:p>
    <w:p w14:paraId="14D2F47F" w14:textId="549BCCF5" w:rsidR="00414DDD" w:rsidRPr="00EA02A2" w:rsidRDefault="00934BC0" w:rsidP="00EA02A2">
      <w:pPr>
        <w:spacing w:line="360" w:lineRule="auto"/>
        <w:jc w:val="both"/>
        <w:rPr>
          <w:rFonts w:ascii="Arial" w:hAnsi="Arial" w:cs="Arial"/>
        </w:rPr>
      </w:pPr>
      <w:r w:rsidRPr="00EA02A2">
        <w:rPr>
          <w:rFonts w:ascii="Arial" w:hAnsi="Arial" w:cs="Arial"/>
        </w:rPr>
        <w:t xml:space="preserve">Moreno-Leiva, S. et al. (2020) “Renewable energy in copper production: A review on systems design and methodological approaches,” Journal of cleaner production, 246. Available at: </w:t>
      </w:r>
      <w:hyperlink r:id="rId17" w:history="1">
        <w:r w:rsidRPr="00EA02A2">
          <w:rPr>
            <w:rStyle w:val="Hyperlink"/>
            <w:rFonts w:ascii="Arial" w:hAnsi="Arial" w:cs="Arial"/>
          </w:rPr>
          <w:t>https://doi.org/10.1016/j.jclepro.2019.118978</w:t>
        </w:r>
      </w:hyperlink>
      <w:r w:rsidRPr="00EA02A2">
        <w:rPr>
          <w:rFonts w:ascii="Arial" w:hAnsi="Arial" w:cs="Arial"/>
        </w:rPr>
        <w:t xml:space="preserve">. </w:t>
      </w:r>
    </w:p>
    <w:p w14:paraId="4FBFB55F" w14:textId="7E144C59" w:rsidR="00414DDD" w:rsidRPr="00EA02A2" w:rsidRDefault="00934BC0" w:rsidP="00EA02A2">
      <w:pPr>
        <w:spacing w:line="360" w:lineRule="auto"/>
        <w:rPr>
          <w:rFonts w:ascii="Arial" w:hAnsi="Arial" w:cs="Arial"/>
          <w:color w:val="000000" w:themeColor="text1"/>
          <w:shd w:val="clear" w:color="auto" w:fill="FFFFFF"/>
        </w:rPr>
      </w:pPr>
      <w:r w:rsidRPr="00EA02A2">
        <w:rPr>
          <w:rFonts w:ascii="Arial" w:hAnsi="Arial" w:cs="Arial"/>
          <w:color w:val="000000" w:themeColor="text1"/>
          <w:shd w:val="clear" w:color="auto" w:fill="FFFFFF"/>
        </w:rPr>
        <w:t>OECD (2024), </w:t>
      </w:r>
      <w:r w:rsidRPr="00EA02A2">
        <w:rPr>
          <w:rFonts w:ascii="Arial" w:hAnsi="Arial" w:cs="Arial"/>
          <w:i/>
          <w:iCs/>
          <w:color w:val="000000" w:themeColor="text1"/>
          <w:bdr w:val="none" w:sz="0" w:space="0" w:color="auto" w:frame="1"/>
        </w:rPr>
        <w:t>OECD Environmental Performance Reviews: Chile 2024</w:t>
      </w:r>
      <w:r w:rsidRPr="00EA02A2">
        <w:rPr>
          <w:rFonts w:ascii="Arial" w:hAnsi="Arial" w:cs="Arial"/>
          <w:color w:val="000000" w:themeColor="text1"/>
          <w:shd w:val="clear" w:color="auto" w:fill="FFFFFF"/>
        </w:rPr>
        <w:t>, OECD</w:t>
      </w:r>
      <w:r w:rsidR="00F049EB" w:rsidRPr="00EA02A2">
        <w:rPr>
          <w:rFonts w:ascii="Arial" w:hAnsi="Arial" w:cs="Arial"/>
          <w:color w:val="000000" w:themeColor="text1"/>
          <w:shd w:val="clear" w:color="auto" w:fill="FFFFFF"/>
        </w:rPr>
        <w:t xml:space="preserve"> </w:t>
      </w:r>
      <w:r w:rsidRPr="00EA02A2">
        <w:rPr>
          <w:rFonts w:ascii="Arial" w:hAnsi="Arial" w:cs="Arial"/>
          <w:color w:val="000000" w:themeColor="text1"/>
          <w:shd w:val="clear" w:color="auto" w:fill="FFFFFF"/>
        </w:rPr>
        <w:t>Environmental Performance Reviews, OECD Publishing, Paris, </w:t>
      </w:r>
      <w:hyperlink r:id="rId18" w:history="1">
        <w:r w:rsidRPr="00EA02A2">
          <w:rPr>
            <w:rFonts w:ascii="Arial" w:hAnsi="Arial" w:cs="Arial"/>
            <w:color w:val="000000" w:themeColor="text1"/>
            <w:u w:val="single"/>
            <w:bdr w:val="none" w:sz="0" w:space="0" w:color="auto" w:frame="1"/>
          </w:rPr>
          <w:t>https://doi.org/10.1787/5bc65d36-en</w:t>
        </w:r>
      </w:hyperlink>
      <w:r w:rsidRPr="00EA02A2">
        <w:rPr>
          <w:rFonts w:ascii="Arial" w:hAnsi="Arial" w:cs="Arial"/>
          <w:color w:val="000000" w:themeColor="text1"/>
          <w:shd w:val="clear" w:color="auto" w:fill="FFFFFF"/>
        </w:rPr>
        <w:t>.</w:t>
      </w:r>
    </w:p>
    <w:p w14:paraId="28C8FB79" w14:textId="403FE11C" w:rsidR="00414DDD" w:rsidRPr="00EA02A2" w:rsidRDefault="00934BC0" w:rsidP="00EA02A2">
      <w:pPr>
        <w:spacing w:line="360" w:lineRule="auto"/>
        <w:jc w:val="both"/>
        <w:rPr>
          <w:rFonts w:ascii="Arial" w:hAnsi="Arial" w:cs="Arial"/>
        </w:rPr>
      </w:pPr>
      <w:r w:rsidRPr="00EA02A2">
        <w:rPr>
          <w:rFonts w:ascii="Arial" w:hAnsi="Arial" w:cs="Arial"/>
        </w:rPr>
        <w:t xml:space="preserve">Santos, A., Rodriguez, A. and Carvalho, A., (2025). Decarbonization of the electrical sector: A new model for the environmental assessment of global copper cathode and </w:t>
      </w:r>
      <w:proofErr w:type="spellStart"/>
      <w:r w:rsidRPr="00EA02A2">
        <w:rPr>
          <w:rFonts w:ascii="Arial" w:hAnsi="Arial" w:cs="Arial"/>
        </w:rPr>
        <w:t>aluminum</w:t>
      </w:r>
      <w:proofErr w:type="spellEnd"/>
      <w:r w:rsidRPr="00EA02A2">
        <w:rPr>
          <w:rFonts w:ascii="Arial" w:hAnsi="Arial" w:cs="Arial"/>
        </w:rPr>
        <w:t xml:space="preserve"> ingot supply chains. Computers &amp; Chemical Engineering, p.109475.</w:t>
      </w:r>
    </w:p>
    <w:p w14:paraId="3AF2E3F9" w14:textId="4F9DD2B0" w:rsidR="00414DDD" w:rsidRPr="00EA02A2" w:rsidRDefault="00934BC0" w:rsidP="00EA02A2">
      <w:pPr>
        <w:spacing w:line="360" w:lineRule="auto"/>
        <w:jc w:val="both"/>
        <w:rPr>
          <w:rFonts w:ascii="Arial" w:hAnsi="Arial" w:cs="Arial"/>
        </w:rPr>
      </w:pPr>
      <w:r w:rsidRPr="00EA02A2">
        <w:rPr>
          <w:rFonts w:ascii="Arial" w:hAnsi="Arial" w:cs="Arial"/>
        </w:rPr>
        <w:t xml:space="preserve">Wang, B., Zhang, Y. and Feng, S. (2022) “Impact of the low-carbon city pilot project on China’s land transfers in high energy-consuming industries,” Journal of cleaner production, 363. Available at: </w:t>
      </w:r>
      <w:hyperlink r:id="rId19" w:history="1">
        <w:r w:rsidRPr="00EA02A2">
          <w:rPr>
            <w:rStyle w:val="Hyperlink"/>
            <w:rFonts w:ascii="Arial" w:hAnsi="Arial" w:cs="Arial"/>
          </w:rPr>
          <w:t>https://doi.org/10.1016/j.jclepro.2022.132491</w:t>
        </w:r>
      </w:hyperlink>
      <w:r w:rsidRPr="00EA02A2">
        <w:rPr>
          <w:rFonts w:ascii="Arial" w:hAnsi="Arial" w:cs="Arial"/>
        </w:rPr>
        <w:t xml:space="preserve">. </w:t>
      </w:r>
    </w:p>
    <w:p w14:paraId="054819BD" w14:textId="6A1C6CC0" w:rsidR="0002516C" w:rsidRPr="00EA02A2" w:rsidRDefault="00934BC0" w:rsidP="00EA02A2">
      <w:pPr>
        <w:spacing w:line="360" w:lineRule="auto"/>
        <w:jc w:val="both"/>
        <w:rPr>
          <w:rFonts w:ascii="Arial" w:hAnsi="Arial" w:cs="Arial"/>
        </w:rPr>
      </w:pPr>
      <w:r w:rsidRPr="00EA02A2">
        <w:rPr>
          <w:rFonts w:ascii="Arial" w:hAnsi="Arial" w:cs="Arial"/>
        </w:rPr>
        <w:t xml:space="preserve">Watari, T. et al. (2019) “Total material requirement for the global energy transition to 2050: A focus on transport and electricity,” Resources, conservation and recycling, 148, pp. 91–103. Available at: </w:t>
      </w:r>
      <w:hyperlink r:id="rId20" w:history="1">
        <w:r w:rsidRPr="00EA02A2">
          <w:rPr>
            <w:rStyle w:val="Hyperlink"/>
            <w:rFonts w:ascii="Arial" w:hAnsi="Arial" w:cs="Arial"/>
          </w:rPr>
          <w:t>https://doi.org/10.1016/j.resconrec.2019.05.015</w:t>
        </w:r>
      </w:hyperlink>
      <w:r w:rsidRPr="00EA02A2">
        <w:rPr>
          <w:rFonts w:ascii="Arial" w:hAnsi="Arial" w:cs="Arial"/>
        </w:rPr>
        <w:t xml:space="preserve">. </w:t>
      </w:r>
    </w:p>
    <w:p w14:paraId="53E5DAF8" w14:textId="3CF478D1" w:rsidR="00AB4C7E" w:rsidRPr="00EA02A2" w:rsidRDefault="00934BC0" w:rsidP="00EA02A2">
      <w:pPr>
        <w:spacing w:line="360" w:lineRule="auto"/>
        <w:jc w:val="both"/>
        <w:rPr>
          <w:rFonts w:ascii="Arial" w:hAnsi="Arial" w:cs="Arial"/>
        </w:rPr>
      </w:pPr>
      <w:r w:rsidRPr="00EA02A2">
        <w:rPr>
          <w:rFonts w:ascii="Arial" w:hAnsi="Arial" w:cs="Arial"/>
        </w:rPr>
        <w:t xml:space="preserve">Whittington, R., </w:t>
      </w:r>
      <w:proofErr w:type="spellStart"/>
      <w:r w:rsidRPr="00EA02A2">
        <w:rPr>
          <w:rFonts w:ascii="Arial" w:hAnsi="Arial" w:cs="Arial"/>
        </w:rPr>
        <w:t>Regnér</w:t>
      </w:r>
      <w:proofErr w:type="spellEnd"/>
      <w:r w:rsidRPr="00EA02A2">
        <w:rPr>
          <w:rFonts w:ascii="Arial" w:hAnsi="Arial" w:cs="Arial"/>
        </w:rPr>
        <w:t>, P., Johnson, G., Angwin, D. and Scholes, K., (2019). Exploring strategy. Pearson UK.</w:t>
      </w:r>
    </w:p>
    <w:p w14:paraId="7C98CCE1" w14:textId="445A3667" w:rsidR="00B42F05" w:rsidRPr="00EA02A2" w:rsidRDefault="00B42F05" w:rsidP="00EA02A2">
      <w:pPr>
        <w:spacing w:line="360" w:lineRule="auto"/>
        <w:jc w:val="both"/>
        <w:rPr>
          <w:rFonts w:ascii="Arial" w:hAnsi="Arial" w:cs="Arial"/>
        </w:rPr>
      </w:pPr>
      <w:r w:rsidRPr="00EA02A2">
        <w:rPr>
          <w:rFonts w:ascii="Arial" w:hAnsi="Arial" w:cs="Arial"/>
        </w:rPr>
        <w:t xml:space="preserve">Google Scholar </w:t>
      </w:r>
      <w:hyperlink r:id="rId21" w:history="1">
        <w:r w:rsidR="00C97D46" w:rsidRPr="00EA02A2">
          <w:rPr>
            <w:rStyle w:val="Hyperlink"/>
            <w:rFonts w:ascii="Arial" w:hAnsi="Arial" w:cs="Arial"/>
          </w:rPr>
          <w:t>https://scholar.google.com</w:t>
        </w:r>
      </w:hyperlink>
      <w:r w:rsidRPr="00EA02A2">
        <w:rPr>
          <w:rFonts w:ascii="Arial" w:hAnsi="Arial" w:cs="Arial"/>
        </w:rPr>
        <w:t xml:space="preserve"> </w:t>
      </w:r>
    </w:p>
    <w:p w14:paraId="65BB0F0F" w14:textId="3839811C" w:rsidR="005375D4" w:rsidRPr="00EA02A2" w:rsidRDefault="00AF68F9" w:rsidP="00EA02A2">
      <w:pPr>
        <w:spacing w:line="360" w:lineRule="auto"/>
        <w:jc w:val="both"/>
        <w:rPr>
          <w:rFonts w:ascii="Arial" w:hAnsi="Arial" w:cs="Arial"/>
        </w:rPr>
      </w:pPr>
      <w:r w:rsidRPr="00EA02A2">
        <w:rPr>
          <w:rFonts w:ascii="Arial" w:hAnsi="Arial" w:cs="Arial"/>
        </w:rPr>
        <w:t xml:space="preserve">AI Copilot </w:t>
      </w:r>
      <w:hyperlink r:id="rId22" w:history="1">
        <w:r w:rsidRPr="00EA02A2">
          <w:rPr>
            <w:rStyle w:val="Hyperlink"/>
            <w:rFonts w:ascii="Arial" w:hAnsi="Arial" w:cs="Arial"/>
          </w:rPr>
          <w:t>https://copilot.microsoft.com</w:t>
        </w:r>
      </w:hyperlink>
      <w:r w:rsidRPr="00EA02A2">
        <w:rPr>
          <w:rFonts w:ascii="Arial" w:hAnsi="Arial" w:cs="Arial"/>
        </w:rPr>
        <w:t xml:space="preserve"> </w:t>
      </w:r>
    </w:p>
    <w:sectPr w:rsidR="005375D4" w:rsidRPr="00EA02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BASKERVILLE SEMIBOLD">
    <w:panose1 w:val="02020702070400020203"/>
    <w:charset w:val="00"/>
    <w:family w:val="roman"/>
    <w:pitch w:val="variable"/>
    <w:sig w:usb0="80000067" w:usb1="02000040" w:usb2="00000000" w:usb3="00000000" w:csb0="0000019F" w:csb1="00000000"/>
  </w:font>
  <w:font w:name="Baskerville Old Face">
    <w:panose1 w:val="02020602080505020303"/>
    <w:charset w:val="4D"/>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510BD"/>
    <w:multiLevelType w:val="hybridMultilevel"/>
    <w:tmpl w:val="EA6A78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992DCE"/>
    <w:multiLevelType w:val="hybridMultilevel"/>
    <w:tmpl w:val="96A01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6810327">
    <w:abstractNumId w:val="0"/>
  </w:num>
  <w:num w:numId="2" w16cid:durableId="876502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BC0"/>
    <w:rsid w:val="0002516C"/>
    <w:rsid w:val="0004053B"/>
    <w:rsid w:val="00056A69"/>
    <w:rsid w:val="000915F8"/>
    <w:rsid w:val="000938EB"/>
    <w:rsid w:val="00097C31"/>
    <w:rsid w:val="000A0EA2"/>
    <w:rsid w:val="000A2749"/>
    <w:rsid w:val="000B221F"/>
    <w:rsid w:val="000E395C"/>
    <w:rsid w:val="001055FA"/>
    <w:rsid w:val="001301C2"/>
    <w:rsid w:val="00155512"/>
    <w:rsid w:val="001720D0"/>
    <w:rsid w:val="001812F1"/>
    <w:rsid w:val="001F026A"/>
    <w:rsid w:val="00200FC2"/>
    <w:rsid w:val="002270B8"/>
    <w:rsid w:val="00235395"/>
    <w:rsid w:val="00261A01"/>
    <w:rsid w:val="00264ABF"/>
    <w:rsid w:val="00275B41"/>
    <w:rsid w:val="002A41FE"/>
    <w:rsid w:val="002B630A"/>
    <w:rsid w:val="002C18F1"/>
    <w:rsid w:val="002D4623"/>
    <w:rsid w:val="002E2DC0"/>
    <w:rsid w:val="002E3C76"/>
    <w:rsid w:val="002F11D0"/>
    <w:rsid w:val="0031687D"/>
    <w:rsid w:val="003263B6"/>
    <w:rsid w:val="0034720F"/>
    <w:rsid w:val="00360225"/>
    <w:rsid w:val="00363935"/>
    <w:rsid w:val="00374CB2"/>
    <w:rsid w:val="003A6E4C"/>
    <w:rsid w:val="003B3D0E"/>
    <w:rsid w:val="003C1AA6"/>
    <w:rsid w:val="003F4FF7"/>
    <w:rsid w:val="003F6864"/>
    <w:rsid w:val="00414DDD"/>
    <w:rsid w:val="00435B73"/>
    <w:rsid w:val="00440FFB"/>
    <w:rsid w:val="0044600E"/>
    <w:rsid w:val="00446AE3"/>
    <w:rsid w:val="00462BD7"/>
    <w:rsid w:val="00480F4B"/>
    <w:rsid w:val="004A6FC4"/>
    <w:rsid w:val="004B350C"/>
    <w:rsid w:val="004C0F4E"/>
    <w:rsid w:val="004F46C6"/>
    <w:rsid w:val="00520DD9"/>
    <w:rsid w:val="005375D4"/>
    <w:rsid w:val="00562924"/>
    <w:rsid w:val="00566CCC"/>
    <w:rsid w:val="00582574"/>
    <w:rsid w:val="00606C98"/>
    <w:rsid w:val="00621B48"/>
    <w:rsid w:val="006245BB"/>
    <w:rsid w:val="00660965"/>
    <w:rsid w:val="00664C3F"/>
    <w:rsid w:val="0068298F"/>
    <w:rsid w:val="00691ABF"/>
    <w:rsid w:val="006A5F1C"/>
    <w:rsid w:val="006D02B1"/>
    <w:rsid w:val="00714883"/>
    <w:rsid w:val="00724F73"/>
    <w:rsid w:val="007566C6"/>
    <w:rsid w:val="00765EFD"/>
    <w:rsid w:val="00771703"/>
    <w:rsid w:val="007802C9"/>
    <w:rsid w:val="007A226D"/>
    <w:rsid w:val="00813BDC"/>
    <w:rsid w:val="00815B36"/>
    <w:rsid w:val="00817157"/>
    <w:rsid w:val="00830249"/>
    <w:rsid w:val="00863710"/>
    <w:rsid w:val="0087125C"/>
    <w:rsid w:val="00887B6F"/>
    <w:rsid w:val="00895199"/>
    <w:rsid w:val="00895BC0"/>
    <w:rsid w:val="008A475E"/>
    <w:rsid w:val="008C0C0C"/>
    <w:rsid w:val="008C5577"/>
    <w:rsid w:val="008D0FF1"/>
    <w:rsid w:val="008E01C6"/>
    <w:rsid w:val="008E5875"/>
    <w:rsid w:val="00934BC0"/>
    <w:rsid w:val="00950DB6"/>
    <w:rsid w:val="00974C7E"/>
    <w:rsid w:val="00986122"/>
    <w:rsid w:val="009875F5"/>
    <w:rsid w:val="00997FEC"/>
    <w:rsid w:val="009D7D96"/>
    <w:rsid w:val="009E0B3D"/>
    <w:rsid w:val="009E2A90"/>
    <w:rsid w:val="009E2D46"/>
    <w:rsid w:val="00A103CF"/>
    <w:rsid w:val="00A32841"/>
    <w:rsid w:val="00A34E32"/>
    <w:rsid w:val="00A47C8F"/>
    <w:rsid w:val="00A5524D"/>
    <w:rsid w:val="00A607F9"/>
    <w:rsid w:val="00A84BD6"/>
    <w:rsid w:val="00AA399A"/>
    <w:rsid w:val="00AA77F0"/>
    <w:rsid w:val="00AB07D4"/>
    <w:rsid w:val="00AB4C7E"/>
    <w:rsid w:val="00AC5792"/>
    <w:rsid w:val="00AE144F"/>
    <w:rsid w:val="00AF68F9"/>
    <w:rsid w:val="00B248BB"/>
    <w:rsid w:val="00B27492"/>
    <w:rsid w:val="00B41B4D"/>
    <w:rsid w:val="00B42F05"/>
    <w:rsid w:val="00B57E12"/>
    <w:rsid w:val="00B824FC"/>
    <w:rsid w:val="00B93BAD"/>
    <w:rsid w:val="00BD2779"/>
    <w:rsid w:val="00BE1950"/>
    <w:rsid w:val="00BF4675"/>
    <w:rsid w:val="00C049EA"/>
    <w:rsid w:val="00C04F4B"/>
    <w:rsid w:val="00C22493"/>
    <w:rsid w:val="00C33CCE"/>
    <w:rsid w:val="00C34304"/>
    <w:rsid w:val="00C63FD7"/>
    <w:rsid w:val="00C675DE"/>
    <w:rsid w:val="00C80E00"/>
    <w:rsid w:val="00C97D46"/>
    <w:rsid w:val="00CA6D5F"/>
    <w:rsid w:val="00CA7EDD"/>
    <w:rsid w:val="00CB318C"/>
    <w:rsid w:val="00CB3995"/>
    <w:rsid w:val="00CB6E4E"/>
    <w:rsid w:val="00CC045A"/>
    <w:rsid w:val="00CD1AE1"/>
    <w:rsid w:val="00CD2ED1"/>
    <w:rsid w:val="00CE6E3B"/>
    <w:rsid w:val="00CF558D"/>
    <w:rsid w:val="00D04E22"/>
    <w:rsid w:val="00D07E31"/>
    <w:rsid w:val="00D24267"/>
    <w:rsid w:val="00D523A7"/>
    <w:rsid w:val="00D5350C"/>
    <w:rsid w:val="00D57AB7"/>
    <w:rsid w:val="00D64474"/>
    <w:rsid w:val="00D8085C"/>
    <w:rsid w:val="00DB0A2D"/>
    <w:rsid w:val="00DC67DF"/>
    <w:rsid w:val="00DD3674"/>
    <w:rsid w:val="00DD691C"/>
    <w:rsid w:val="00DF0FA2"/>
    <w:rsid w:val="00E01528"/>
    <w:rsid w:val="00E02894"/>
    <w:rsid w:val="00E034F8"/>
    <w:rsid w:val="00E03B06"/>
    <w:rsid w:val="00E12F86"/>
    <w:rsid w:val="00E16125"/>
    <w:rsid w:val="00E2382F"/>
    <w:rsid w:val="00E86DB9"/>
    <w:rsid w:val="00E9345B"/>
    <w:rsid w:val="00E96BBD"/>
    <w:rsid w:val="00EA02A2"/>
    <w:rsid w:val="00EB0A16"/>
    <w:rsid w:val="00ED4F00"/>
    <w:rsid w:val="00EE240A"/>
    <w:rsid w:val="00EE37B5"/>
    <w:rsid w:val="00F03D86"/>
    <w:rsid w:val="00F049EB"/>
    <w:rsid w:val="00F354C6"/>
    <w:rsid w:val="00F4405F"/>
    <w:rsid w:val="00F55741"/>
    <w:rsid w:val="00F92043"/>
    <w:rsid w:val="00F95FF1"/>
    <w:rsid w:val="00FA2691"/>
    <w:rsid w:val="00FA7F40"/>
    <w:rsid w:val="00FD5505"/>
    <w:rsid w:val="00FD5B72"/>
    <w:rsid w:val="00FE1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4A4404"/>
  <w15:chartTrackingRefBased/>
  <w15:docId w15:val="{235831DC-C1E1-C747-80A4-62FB0512F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B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5B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5B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5B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5B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5B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B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B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B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B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5B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5B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5B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5B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5B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B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B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BC0"/>
    <w:rPr>
      <w:rFonts w:eastAsiaTheme="majorEastAsia" w:cstheme="majorBidi"/>
      <w:color w:val="272727" w:themeColor="text1" w:themeTint="D8"/>
    </w:rPr>
  </w:style>
  <w:style w:type="paragraph" w:styleId="Title">
    <w:name w:val="Title"/>
    <w:basedOn w:val="Normal"/>
    <w:next w:val="Normal"/>
    <w:link w:val="TitleChar"/>
    <w:uiPriority w:val="10"/>
    <w:qFormat/>
    <w:rsid w:val="00895B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B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B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B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B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5BC0"/>
    <w:rPr>
      <w:i/>
      <w:iCs/>
      <w:color w:val="404040" w:themeColor="text1" w:themeTint="BF"/>
    </w:rPr>
  </w:style>
  <w:style w:type="paragraph" w:styleId="ListParagraph">
    <w:name w:val="List Paragraph"/>
    <w:basedOn w:val="Normal"/>
    <w:uiPriority w:val="34"/>
    <w:qFormat/>
    <w:rsid w:val="00895BC0"/>
    <w:pPr>
      <w:ind w:left="720"/>
      <w:contextualSpacing/>
    </w:pPr>
  </w:style>
  <w:style w:type="character" w:styleId="IntenseEmphasis">
    <w:name w:val="Intense Emphasis"/>
    <w:basedOn w:val="DefaultParagraphFont"/>
    <w:uiPriority w:val="21"/>
    <w:qFormat/>
    <w:rsid w:val="00895BC0"/>
    <w:rPr>
      <w:i/>
      <w:iCs/>
      <w:color w:val="0F4761" w:themeColor="accent1" w:themeShade="BF"/>
    </w:rPr>
  </w:style>
  <w:style w:type="paragraph" w:styleId="IntenseQuote">
    <w:name w:val="Intense Quote"/>
    <w:basedOn w:val="Normal"/>
    <w:next w:val="Normal"/>
    <w:link w:val="IntenseQuoteChar"/>
    <w:uiPriority w:val="30"/>
    <w:qFormat/>
    <w:rsid w:val="00895B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5BC0"/>
    <w:rPr>
      <w:i/>
      <w:iCs/>
      <w:color w:val="0F4761" w:themeColor="accent1" w:themeShade="BF"/>
    </w:rPr>
  </w:style>
  <w:style w:type="character" w:styleId="IntenseReference">
    <w:name w:val="Intense Reference"/>
    <w:basedOn w:val="DefaultParagraphFont"/>
    <w:uiPriority w:val="32"/>
    <w:qFormat/>
    <w:rsid w:val="00895BC0"/>
    <w:rPr>
      <w:b/>
      <w:bCs/>
      <w:smallCaps/>
      <w:color w:val="0F4761" w:themeColor="accent1" w:themeShade="BF"/>
      <w:spacing w:val="5"/>
    </w:rPr>
  </w:style>
  <w:style w:type="character" w:styleId="Hyperlink">
    <w:name w:val="Hyperlink"/>
    <w:basedOn w:val="DefaultParagraphFont"/>
    <w:uiPriority w:val="99"/>
    <w:unhideWhenUsed/>
    <w:rsid w:val="00997FEC"/>
    <w:rPr>
      <w:color w:val="467886" w:themeColor="hyperlink"/>
      <w:u w:val="single"/>
    </w:rPr>
  </w:style>
  <w:style w:type="character" w:styleId="UnresolvedMention">
    <w:name w:val="Unresolved Mention"/>
    <w:basedOn w:val="DefaultParagraphFont"/>
    <w:uiPriority w:val="99"/>
    <w:semiHidden/>
    <w:unhideWhenUsed/>
    <w:rsid w:val="00997FEC"/>
    <w:rPr>
      <w:color w:val="605E5C"/>
      <w:shd w:val="clear" w:color="auto" w:fill="E1DFDD"/>
    </w:rPr>
  </w:style>
  <w:style w:type="character" w:styleId="FollowedHyperlink">
    <w:name w:val="FollowedHyperlink"/>
    <w:basedOn w:val="DefaultParagraphFont"/>
    <w:uiPriority w:val="99"/>
    <w:semiHidden/>
    <w:unhideWhenUsed/>
    <w:rsid w:val="00BE1950"/>
    <w:rPr>
      <w:color w:val="96607D" w:themeColor="followedHyperlink"/>
      <w:u w:val="single"/>
    </w:rPr>
  </w:style>
  <w:style w:type="character" w:customStyle="1" w:styleId="apple-converted-space">
    <w:name w:val="apple-converted-space"/>
    <w:basedOn w:val="DefaultParagraphFont"/>
    <w:rsid w:val="002B630A"/>
  </w:style>
  <w:style w:type="paragraph" w:styleId="TOCHeading">
    <w:name w:val="TOC Heading"/>
    <w:basedOn w:val="Heading1"/>
    <w:next w:val="Normal"/>
    <w:uiPriority w:val="39"/>
    <w:unhideWhenUsed/>
    <w:qFormat/>
    <w:rsid w:val="00DC67D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C67DF"/>
    <w:pPr>
      <w:spacing w:before="120" w:after="120"/>
    </w:pPr>
    <w:rPr>
      <w:b/>
      <w:bCs/>
      <w:caps/>
      <w:sz w:val="20"/>
      <w:szCs w:val="20"/>
    </w:rPr>
  </w:style>
  <w:style w:type="paragraph" w:styleId="TOC2">
    <w:name w:val="toc 2"/>
    <w:basedOn w:val="Normal"/>
    <w:next w:val="Normal"/>
    <w:autoRedefine/>
    <w:uiPriority w:val="39"/>
    <w:unhideWhenUsed/>
    <w:rsid w:val="00DC67DF"/>
    <w:pPr>
      <w:ind w:left="240"/>
    </w:pPr>
    <w:rPr>
      <w:smallCaps/>
      <w:sz w:val="20"/>
      <w:szCs w:val="20"/>
    </w:rPr>
  </w:style>
  <w:style w:type="paragraph" w:styleId="TOC3">
    <w:name w:val="toc 3"/>
    <w:basedOn w:val="Normal"/>
    <w:next w:val="Normal"/>
    <w:autoRedefine/>
    <w:uiPriority w:val="39"/>
    <w:semiHidden/>
    <w:unhideWhenUsed/>
    <w:rsid w:val="00DC67DF"/>
    <w:pPr>
      <w:ind w:left="480"/>
    </w:pPr>
    <w:rPr>
      <w:i/>
      <w:iCs/>
      <w:sz w:val="20"/>
      <w:szCs w:val="20"/>
    </w:rPr>
  </w:style>
  <w:style w:type="paragraph" w:styleId="TOC4">
    <w:name w:val="toc 4"/>
    <w:basedOn w:val="Normal"/>
    <w:next w:val="Normal"/>
    <w:autoRedefine/>
    <w:uiPriority w:val="39"/>
    <w:semiHidden/>
    <w:unhideWhenUsed/>
    <w:rsid w:val="00DC67DF"/>
    <w:pPr>
      <w:ind w:left="720"/>
    </w:pPr>
    <w:rPr>
      <w:sz w:val="18"/>
      <w:szCs w:val="18"/>
    </w:rPr>
  </w:style>
  <w:style w:type="paragraph" w:styleId="TOC5">
    <w:name w:val="toc 5"/>
    <w:basedOn w:val="Normal"/>
    <w:next w:val="Normal"/>
    <w:autoRedefine/>
    <w:uiPriority w:val="39"/>
    <w:semiHidden/>
    <w:unhideWhenUsed/>
    <w:rsid w:val="00DC67DF"/>
    <w:pPr>
      <w:ind w:left="960"/>
    </w:pPr>
    <w:rPr>
      <w:sz w:val="18"/>
      <w:szCs w:val="18"/>
    </w:rPr>
  </w:style>
  <w:style w:type="paragraph" w:styleId="TOC6">
    <w:name w:val="toc 6"/>
    <w:basedOn w:val="Normal"/>
    <w:next w:val="Normal"/>
    <w:autoRedefine/>
    <w:uiPriority w:val="39"/>
    <w:semiHidden/>
    <w:unhideWhenUsed/>
    <w:rsid w:val="00DC67DF"/>
    <w:pPr>
      <w:ind w:left="1200"/>
    </w:pPr>
    <w:rPr>
      <w:sz w:val="18"/>
      <w:szCs w:val="18"/>
    </w:rPr>
  </w:style>
  <w:style w:type="paragraph" w:styleId="TOC7">
    <w:name w:val="toc 7"/>
    <w:basedOn w:val="Normal"/>
    <w:next w:val="Normal"/>
    <w:autoRedefine/>
    <w:uiPriority w:val="39"/>
    <w:semiHidden/>
    <w:unhideWhenUsed/>
    <w:rsid w:val="00DC67DF"/>
    <w:pPr>
      <w:ind w:left="1440"/>
    </w:pPr>
    <w:rPr>
      <w:sz w:val="18"/>
      <w:szCs w:val="18"/>
    </w:rPr>
  </w:style>
  <w:style w:type="paragraph" w:styleId="TOC8">
    <w:name w:val="toc 8"/>
    <w:basedOn w:val="Normal"/>
    <w:next w:val="Normal"/>
    <w:autoRedefine/>
    <w:uiPriority w:val="39"/>
    <w:semiHidden/>
    <w:unhideWhenUsed/>
    <w:rsid w:val="00DC67DF"/>
    <w:pPr>
      <w:ind w:left="1680"/>
    </w:pPr>
    <w:rPr>
      <w:sz w:val="18"/>
      <w:szCs w:val="18"/>
    </w:rPr>
  </w:style>
  <w:style w:type="paragraph" w:styleId="TOC9">
    <w:name w:val="toc 9"/>
    <w:basedOn w:val="Normal"/>
    <w:next w:val="Normal"/>
    <w:autoRedefine/>
    <w:uiPriority w:val="39"/>
    <w:semiHidden/>
    <w:unhideWhenUsed/>
    <w:rsid w:val="00DC67DF"/>
    <w:pPr>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xis.2026.101871" TargetMode="External"/><Relationship Id="rId13" Type="http://schemas.openxmlformats.org/officeDocument/2006/relationships/hyperlink" Target="https://doi.org/10.1016/j.jclepro.2019.119111" TargetMode="External"/><Relationship Id="rId18" Type="http://schemas.openxmlformats.org/officeDocument/2006/relationships/hyperlink" Target="https://doi.org/10.1787/5bc65d36-en" TargetMode="External"/><Relationship Id="rId3" Type="http://schemas.openxmlformats.org/officeDocument/2006/relationships/styles" Target="styles.xml"/><Relationship Id="rId21" Type="http://schemas.openxmlformats.org/officeDocument/2006/relationships/hyperlink" Target="https://scholar.google.com" TargetMode="External"/><Relationship Id="rId7" Type="http://schemas.openxmlformats.org/officeDocument/2006/relationships/hyperlink" Target="https://doi.org/10.1016/j.resourpol.2023.103987" TargetMode="External"/><Relationship Id="rId12" Type="http://schemas.openxmlformats.org/officeDocument/2006/relationships/hyperlink" Target="https://www.codelco.com/sites/site/docs/20250428/20250428185356/operational_and_financial_report_december_31_2025.pdf" TargetMode="External"/><Relationship Id="rId17" Type="http://schemas.openxmlformats.org/officeDocument/2006/relationships/hyperlink" Target="https://doi.org/10.1016/j.jclepro.2019.118978" TargetMode="External"/><Relationship Id="rId2" Type="http://schemas.openxmlformats.org/officeDocument/2006/relationships/numbering" Target="numbering.xml"/><Relationship Id="rId16" Type="http://schemas.openxmlformats.org/officeDocument/2006/relationships/hyperlink" Target="https://www.capitaliq.spglobal.com/Articles/433195152.png" TargetMode="External"/><Relationship Id="rId20" Type="http://schemas.openxmlformats.org/officeDocument/2006/relationships/hyperlink" Target="https://doi.org/10.1016/j.resconrec.2019.05.01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93/jiel/jgae02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38/s41578-021-00325-9" TargetMode="External"/><Relationship Id="rId23" Type="http://schemas.openxmlformats.org/officeDocument/2006/relationships/fontTable" Target="fontTable.xml"/><Relationship Id="rId10" Type="http://schemas.openxmlformats.org/officeDocument/2006/relationships/hyperlink" Target="https://doi.org/10.1016/j.jfineco.2021.04.006" TargetMode="External"/><Relationship Id="rId19" Type="http://schemas.openxmlformats.org/officeDocument/2006/relationships/hyperlink" Target="https://doi.org/10.1016/j.jclepro.2022.132491" TargetMode="External"/><Relationship Id="rId4" Type="http://schemas.openxmlformats.org/officeDocument/2006/relationships/settings" Target="settings.xml"/><Relationship Id="rId9" Type="http://schemas.openxmlformats.org/officeDocument/2006/relationships/hyperlink" Target="https://doi.org/10.1016/j.jclepro.2019.118825" TargetMode="External"/><Relationship Id="rId14" Type="http://schemas.openxmlformats.org/officeDocument/2006/relationships/hyperlink" Target="https://doi.org/10.1016/j.resconrec.2026.108798" TargetMode="External"/><Relationship Id="rId22" Type="http://schemas.openxmlformats.org/officeDocument/2006/relationships/hyperlink" Target="https://copilot.microsof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6B80D-A90B-634E-A22C-31294E020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3758</Words>
  <Characters>21427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Nosheen Manzoor (2218718)</dc:creator>
  <cp:keywords/>
  <dc:description/>
  <cp:lastModifiedBy>Nosheen Manzoor (2218718)</cp:lastModifiedBy>
  <cp:revision>2</cp:revision>
  <dcterms:created xsi:type="dcterms:W3CDTF">2026-06-25T20:39:00Z</dcterms:created>
  <dcterms:modified xsi:type="dcterms:W3CDTF">2026-06-25T20:39:00Z</dcterms:modified>
</cp:coreProperties>
</file>