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DEAB2D" w14:textId="77777777" w:rsidR="00453301" w:rsidRDefault="00453301">
      <w:pPr>
        <w:rPr>
          <w:rFonts w:ascii="Calibri" w:hAnsi="Calibri" w:cs="Calibri"/>
          <w:b/>
          <w:bCs/>
          <w:color w:val="1D2228"/>
          <w:sz w:val="36"/>
          <w:szCs w:val="36"/>
        </w:rPr>
      </w:pPr>
      <w:r w:rsidRPr="00453301">
        <w:rPr>
          <w:rFonts w:ascii="Calibri" w:hAnsi="Calibri" w:cs="Calibri"/>
          <w:b/>
          <w:bCs/>
          <w:noProof/>
          <w:color w:val="1D2228"/>
          <w:sz w:val="28"/>
          <w:szCs w:val="28"/>
        </w:rPr>
        <w:drawing>
          <wp:inline distT="0" distB="0" distL="0" distR="0" wp14:anchorId="39ADE836" wp14:editId="37174381">
            <wp:extent cx="2152742" cy="11144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157768" cy="1117027"/>
                    </a:xfrm>
                    <a:prstGeom prst="rect">
                      <a:avLst/>
                    </a:prstGeom>
                  </pic:spPr>
                </pic:pic>
              </a:graphicData>
            </a:graphic>
          </wp:inline>
        </w:drawing>
      </w:r>
    </w:p>
    <w:p w14:paraId="5DBBAB98" w14:textId="77777777" w:rsidR="00453301" w:rsidRDefault="00453301" w:rsidP="00453301">
      <w:pPr>
        <w:jc w:val="center"/>
        <w:rPr>
          <w:rFonts w:ascii="Calibri" w:hAnsi="Calibri" w:cs="Calibri"/>
          <w:b/>
          <w:bCs/>
          <w:color w:val="1D2228"/>
          <w:sz w:val="48"/>
          <w:szCs w:val="48"/>
        </w:rPr>
      </w:pPr>
      <w:r w:rsidRPr="00453301">
        <w:rPr>
          <w:rFonts w:ascii="Calibri" w:hAnsi="Calibri" w:cs="Calibri"/>
          <w:b/>
          <w:bCs/>
          <w:color w:val="1D2228"/>
          <w:sz w:val="48"/>
          <w:szCs w:val="48"/>
        </w:rPr>
        <w:t>LCBB4002</w:t>
      </w:r>
    </w:p>
    <w:p w14:paraId="6C60B205" w14:textId="77777777" w:rsidR="00453301" w:rsidRDefault="00453301" w:rsidP="00453301">
      <w:pPr>
        <w:jc w:val="center"/>
        <w:rPr>
          <w:rFonts w:ascii="Calibri" w:hAnsi="Calibri" w:cs="Calibri"/>
          <w:b/>
          <w:bCs/>
          <w:color w:val="1D2228"/>
          <w:sz w:val="48"/>
          <w:szCs w:val="48"/>
        </w:rPr>
      </w:pPr>
      <w:r w:rsidRPr="00453301">
        <w:rPr>
          <w:rFonts w:ascii="Calibri" w:hAnsi="Calibri" w:cs="Calibri"/>
          <w:b/>
          <w:bCs/>
          <w:color w:val="1D2228"/>
          <w:sz w:val="48"/>
          <w:szCs w:val="48"/>
        </w:rPr>
        <w:t>Community Engagement</w:t>
      </w:r>
    </w:p>
    <w:p w14:paraId="4B251FFA" w14:textId="77777777" w:rsidR="00453301" w:rsidRDefault="00453301" w:rsidP="00453301">
      <w:pPr>
        <w:rPr>
          <w:rFonts w:ascii="Calibri" w:hAnsi="Calibri" w:cs="Calibri"/>
          <w:b/>
          <w:bCs/>
          <w:color w:val="1D2228"/>
          <w:sz w:val="28"/>
          <w:szCs w:val="28"/>
        </w:rPr>
      </w:pPr>
    </w:p>
    <w:p w14:paraId="383FE702" w14:textId="77777777" w:rsidR="00453301" w:rsidRDefault="00453301" w:rsidP="00453301">
      <w:pPr>
        <w:rPr>
          <w:rFonts w:ascii="Calibri" w:hAnsi="Calibri" w:cs="Calibri"/>
          <w:b/>
          <w:bCs/>
          <w:color w:val="1D2228"/>
          <w:sz w:val="28"/>
          <w:szCs w:val="28"/>
        </w:rPr>
      </w:pPr>
    </w:p>
    <w:p w14:paraId="14220F64" w14:textId="77777777" w:rsidR="00453301" w:rsidRDefault="00453301" w:rsidP="00453301">
      <w:pPr>
        <w:rPr>
          <w:rFonts w:ascii="Calibri" w:hAnsi="Calibri" w:cs="Calibri"/>
          <w:b/>
          <w:bCs/>
          <w:color w:val="1D2228"/>
          <w:sz w:val="28"/>
          <w:szCs w:val="28"/>
        </w:rPr>
      </w:pPr>
    </w:p>
    <w:p w14:paraId="149D402F" w14:textId="330B8406" w:rsidR="00453301" w:rsidRPr="00BA5365" w:rsidRDefault="00453301" w:rsidP="00453301">
      <w:pPr>
        <w:rPr>
          <w:rFonts w:ascii="Calibri" w:hAnsi="Calibri" w:cs="Calibri"/>
          <w:color w:val="1D2228"/>
          <w:sz w:val="28"/>
          <w:szCs w:val="28"/>
        </w:rPr>
      </w:pPr>
      <w:r>
        <w:rPr>
          <w:rFonts w:ascii="Calibri" w:hAnsi="Calibri" w:cs="Calibri"/>
          <w:b/>
          <w:bCs/>
          <w:color w:val="1D2228"/>
          <w:sz w:val="28"/>
          <w:szCs w:val="28"/>
        </w:rPr>
        <w:t>Student Name:</w:t>
      </w:r>
      <w:r w:rsidR="00BA5365">
        <w:rPr>
          <w:rFonts w:ascii="Calibri" w:hAnsi="Calibri" w:cs="Calibri"/>
          <w:b/>
          <w:bCs/>
          <w:color w:val="1D2228"/>
          <w:sz w:val="28"/>
          <w:szCs w:val="28"/>
        </w:rPr>
        <w:t xml:space="preserve"> c-</w:t>
      </w:r>
      <w:proofErr w:type="spellStart"/>
      <w:r w:rsidR="00BA5365">
        <w:rPr>
          <w:rFonts w:ascii="Calibri" w:hAnsi="Calibri" w:cs="Calibri"/>
          <w:b/>
          <w:bCs/>
          <w:color w:val="1D2228"/>
          <w:sz w:val="28"/>
          <w:szCs w:val="28"/>
        </w:rPr>
        <w:t>Claudiu</w:t>
      </w:r>
      <w:proofErr w:type="spellEnd"/>
      <w:r w:rsidR="00BA5365">
        <w:rPr>
          <w:rFonts w:ascii="Calibri" w:hAnsi="Calibri" w:cs="Calibri"/>
          <w:b/>
          <w:bCs/>
          <w:color w:val="1D2228"/>
          <w:sz w:val="28"/>
          <w:szCs w:val="28"/>
        </w:rPr>
        <w:t xml:space="preserve"> </w:t>
      </w:r>
      <w:r w:rsidR="00BA5365">
        <w:rPr>
          <w:rFonts w:ascii="Calibri" w:hAnsi="Calibri" w:cs="Calibri"/>
          <w:color w:val="1D2228"/>
          <w:sz w:val="28"/>
          <w:szCs w:val="28"/>
        </w:rPr>
        <w:t xml:space="preserve">Constantin </w:t>
      </w:r>
      <w:proofErr w:type="spellStart"/>
      <w:r w:rsidR="00BA5365">
        <w:rPr>
          <w:rFonts w:ascii="Calibri" w:hAnsi="Calibri" w:cs="Calibri"/>
          <w:color w:val="1D2228"/>
          <w:sz w:val="28"/>
          <w:szCs w:val="28"/>
        </w:rPr>
        <w:t>Buzduga</w:t>
      </w:r>
      <w:proofErr w:type="spellEnd"/>
    </w:p>
    <w:p w14:paraId="74C26CE6" w14:textId="13644105" w:rsidR="00453301" w:rsidRDefault="00453301" w:rsidP="00453301">
      <w:pPr>
        <w:rPr>
          <w:rFonts w:ascii="Calibri" w:hAnsi="Calibri" w:cs="Calibri"/>
          <w:b/>
          <w:bCs/>
          <w:color w:val="1D2228"/>
          <w:sz w:val="28"/>
          <w:szCs w:val="28"/>
        </w:rPr>
      </w:pPr>
      <w:r>
        <w:rPr>
          <w:rFonts w:ascii="Calibri" w:hAnsi="Calibri" w:cs="Calibri"/>
          <w:b/>
          <w:bCs/>
          <w:color w:val="1D2228"/>
          <w:sz w:val="28"/>
          <w:szCs w:val="28"/>
        </w:rPr>
        <w:t>Student ID:</w:t>
      </w:r>
      <w:r w:rsidR="00BA5365">
        <w:rPr>
          <w:rFonts w:ascii="Calibri" w:hAnsi="Calibri" w:cs="Calibri"/>
          <w:b/>
          <w:bCs/>
          <w:color w:val="1D2228"/>
          <w:sz w:val="28"/>
          <w:szCs w:val="28"/>
        </w:rPr>
        <w:t>2215956</w:t>
      </w:r>
    </w:p>
    <w:p w14:paraId="081F27AC" w14:textId="76B5F8D7" w:rsidR="00BA5365" w:rsidRDefault="00BA5365" w:rsidP="00453301">
      <w:pPr>
        <w:rPr>
          <w:rFonts w:ascii="Calibri" w:hAnsi="Calibri" w:cs="Calibri"/>
          <w:b/>
          <w:bCs/>
          <w:color w:val="1D2228"/>
          <w:sz w:val="28"/>
          <w:szCs w:val="28"/>
        </w:rPr>
      </w:pPr>
      <w:r>
        <w:rPr>
          <w:rFonts w:ascii="Calibri" w:hAnsi="Calibri" w:cs="Calibri"/>
          <w:b/>
          <w:bCs/>
          <w:color w:val="1D2228"/>
          <w:sz w:val="28"/>
          <w:szCs w:val="28"/>
        </w:rPr>
        <w:t xml:space="preserve">Module Community </w:t>
      </w:r>
      <w:proofErr w:type="spellStart"/>
      <w:r>
        <w:rPr>
          <w:rFonts w:ascii="Calibri" w:hAnsi="Calibri" w:cs="Calibri"/>
          <w:b/>
          <w:bCs/>
          <w:color w:val="1D2228"/>
          <w:sz w:val="28"/>
          <w:szCs w:val="28"/>
        </w:rPr>
        <w:t>Emgagement</w:t>
      </w:r>
      <w:proofErr w:type="spellEnd"/>
    </w:p>
    <w:p w14:paraId="3E184D50" w14:textId="4D9E633F" w:rsidR="00BA5365" w:rsidRDefault="00BA5365" w:rsidP="00453301">
      <w:pPr>
        <w:rPr>
          <w:rFonts w:ascii="Calibri" w:hAnsi="Calibri" w:cs="Calibri"/>
          <w:b/>
          <w:bCs/>
          <w:color w:val="1D2228"/>
          <w:sz w:val="28"/>
          <w:szCs w:val="28"/>
        </w:rPr>
      </w:pPr>
      <w:r>
        <w:rPr>
          <w:rFonts w:ascii="Calibri" w:hAnsi="Calibri" w:cs="Calibri"/>
          <w:b/>
          <w:bCs/>
          <w:color w:val="1D2228"/>
          <w:sz w:val="28"/>
          <w:szCs w:val="28"/>
        </w:rPr>
        <w:t xml:space="preserve">Lecture: </w:t>
      </w:r>
      <w:proofErr w:type="spellStart"/>
      <w:r>
        <w:rPr>
          <w:rFonts w:ascii="Calibri" w:hAnsi="Calibri" w:cs="Calibri"/>
          <w:b/>
          <w:bCs/>
          <w:color w:val="1D2228"/>
          <w:sz w:val="28"/>
          <w:szCs w:val="28"/>
        </w:rPr>
        <w:t>Efua</w:t>
      </w:r>
      <w:proofErr w:type="spellEnd"/>
      <w:r>
        <w:rPr>
          <w:rFonts w:ascii="Calibri" w:hAnsi="Calibri" w:cs="Calibri"/>
          <w:b/>
          <w:bCs/>
          <w:color w:val="1D2228"/>
          <w:sz w:val="28"/>
          <w:szCs w:val="28"/>
        </w:rPr>
        <w:t xml:space="preserve"> Adams</w:t>
      </w:r>
    </w:p>
    <w:p w14:paraId="2C9CB6ED" w14:textId="6FDC62AD" w:rsidR="00453301" w:rsidRDefault="00453301" w:rsidP="00453301">
      <w:pPr>
        <w:jc w:val="left"/>
        <w:rPr>
          <w:rFonts w:ascii="Calibri" w:hAnsi="Calibri" w:cs="Calibri"/>
          <w:b/>
          <w:bCs/>
          <w:color w:val="1D2228"/>
          <w:sz w:val="28"/>
          <w:szCs w:val="28"/>
        </w:rPr>
      </w:pPr>
      <w:r>
        <w:rPr>
          <w:rFonts w:ascii="Calibri" w:hAnsi="Calibri" w:cs="Calibri"/>
          <w:b/>
          <w:bCs/>
          <w:color w:val="1D2228"/>
          <w:sz w:val="28"/>
          <w:szCs w:val="28"/>
        </w:rPr>
        <w:br w:type="page"/>
      </w:r>
    </w:p>
    <w:sdt>
      <w:sdtPr>
        <w:rPr>
          <w:rFonts w:ascii="Arial" w:eastAsiaTheme="minorEastAsia" w:hAnsi="Arial" w:cstheme="minorBidi"/>
          <w:color w:val="auto"/>
          <w:sz w:val="24"/>
          <w:szCs w:val="22"/>
          <w:lang w:val="en-GB" w:eastAsia="zh-CN"/>
        </w:rPr>
        <w:id w:val="291481150"/>
        <w:docPartObj>
          <w:docPartGallery w:val="Table of Contents"/>
          <w:docPartUnique/>
        </w:docPartObj>
      </w:sdtPr>
      <w:sdtEndPr>
        <w:rPr>
          <w:b/>
          <w:bCs/>
          <w:noProof/>
        </w:rPr>
      </w:sdtEndPr>
      <w:sdtContent>
        <w:p w14:paraId="34AD4692" w14:textId="27B69C75" w:rsidR="00C1378C" w:rsidRDefault="00C1378C">
          <w:pPr>
            <w:pStyle w:val="TOCHeading"/>
          </w:pPr>
          <w:r>
            <w:t>Table of Contents</w:t>
          </w:r>
        </w:p>
        <w:p w14:paraId="7DC7E793" w14:textId="5190A2E8" w:rsidR="00C1378C" w:rsidRDefault="00C1378C">
          <w:pPr>
            <w:pStyle w:val="TOC1"/>
            <w:tabs>
              <w:tab w:val="right" w:leader="dot" w:pos="9016"/>
            </w:tabs>
            <w:rPr>
              <w:rFonts w:asciiTheme="minorHAnsi" w:hAnsiTheme="minorHAnsi"/>
              <w:noProof/>
              <w:sz w:val="22"/>
              <w:lang w:val="en-US" w:eastAsia="en-US"/>
            </w:rPr>
          </w:pPr>
          <w:r>
            <w:fldChar w:fldCharType="begin"/>
          </w:r>
          <w:r>
            <w:instrText xml:space="preserve"> TOC \o "1-3" \h \z \u </w:instrText>
          </w:r>
          <w:r>
            <w:fldChar w:fldCharType="separate"/>
          </w:r>
          <w:hyperlink w:anchor="_Toc128753776" w:history="1">
            <w:r w:rsidRPr="002D0B94">
              <w:rPr>
                <w:rStyle w:val="Hyperlink"/>
                <w:noProof/>
              </w:rPr>
              <w:t>Introduction</w:t>
            </w:r>
            <w:r>
              <w:rPr>
                <w:noProof/>
                <w:webHidden/>
              </w:rPr>
              <w:tab/>
            </w:r>
            <w:r>
              <w:rPr>
                <w:noProof/>
                <w:webHidden/>
              </w:rPr>
              <w:fldChar w:fldCharType="begin"/>
            </w:r>
            <w:r>
              <w:rPr>
                <w:noProof/>
                <w:webHidden/>
              </w:rPr>
              <w:instrText xml:space="preserve"> PAGEREF _Toc128753776 \h </w:instrText>
            </w:r>
            <w:r>
              <w:rPr>
                <w:noProof/>
                <w:webHidden/>
              </w:rPr>
            </w:r>
            <w:r>
              <w:rPr>
                <w:noProof/>
                <w:webHidden/>
              </w:rPr>
              <w:fldChar w:fldCharType="separate"/>
            </w:r>
            <w:r>
              <w:rPr>
                <w:noProof/>
                <w:webHidden/>
              </w:rPr>
              <w:t>3</w:t>
            </w:r>
            <w:r>
              <w:rPr>
                <w:noProof/>
                <w:webHidden/>
              </w:rPr>
              <w:fldChar w:fldCharType="end"/>
            </w:r>
          </w:hyperlink>
        </w:p>
        <w:p w14:paraId="790BDC1F" w14:textId="3A76BC97" w:rsidR="00C1378C" w:rsidRDefault="00BA5365">
          <w:pPr>
            <w:pStyle w:val="TOC1"/>
            <w:tabs>
              <w:tab w:val="right" w:leader="dot" w:pos="9016"/>
            </w:tabs>
            <w:rPr>
              <w:rFonts w:asciiTheme="minorHAnsi" w:hAnsiTheme="minorHAnsi"/>
              <w:noProof/>
              <w:sz w:val="22"/>
              <w:lang w:val="en-US" w:eastAsia="en-US"/>
            </w:rPr>
          </w:pPr>
          <w:hyperlink w:anchor="_Toc128753777" w:history="1">
            <w:r w:rsidR="00C1378C" w:rsidRPr="002D0B94">
              <w:rPr>
                <w:rStyle w:val="Hyperlink"/>
                <w:noProof/>
              </w:rPr>
              <w:t>Principles</w:t>
            </w:r>
            <w:r w:rsidR="00C1378C">
              <w:rPr>
                <w:noProof/>
                <w:webHidden/>
              </w:rPr>
              <w:tab/>
            </w:r>
            <w:r w:rsidR="00C1378C">
              <w:rPr>
                <w:noProof/>
                <w:webHidden/>
              </w:rPr>
              <w:fldChar w:fldCharType="begin"/>
            </w:r>
            <w:r w:rsidR="00C1378C">
              <w:rPr>
                <w:noProof/>
                <w:webHidden/>
              </w:rPr>
              <w:instrText xml:space="preserve"> PAGEREF _Toc128753777 \h </w:instrText>
            </w:r>
            <w:r w:rsidR="00C1378C">
              <w:rPr>
                <w:noProof/>
                <w:webHidden/>
              </w:rPr>
            </w:r>
            <w:r w:rsidR="00C1378C">
              <w:rPr>
                <w:noProof/>
                <w:webHidden/>
              </w:rPr>
              <w:fldChar w:fldCharType="separate"/>
            </w:r>
            <w:r w:rsidR="00C1378C">
              <w:rPr>
                <w:noProof/>
                <w:webHidden/>
              </w:rPr>
              <w:t>5</w:t>
            </w:r>
            <w:r w:rsidR="00C1378C">
              <w:rPr>
                <w:noProof/>
                <w:webHidden/>
              </w:rPr>
              <w:fldChar w:fldCharType="end"/>
            </w:r>
          </w:hyperlink>
        </w:p>
        <w:p w14:paraId="57089CDA" w14:textId="56BF7DA9" w:rsidR="00C1378C" w:rsidRDefault="00BA5365">
          <w:pPr>
            <w:pStyle w:val="TOC2"/>
            <w:tabs>
              <w:tab w:val="right" w:leader="dot" w:pos="9016"/>
            </w:tabs>
            <w:rPr>
              <w:rFonts w:asciiTheme="minorHAnsi" w:hAnsiTheme="minorHAnsi"/>
              <w:noProof/>
              <w:sz w:val="22"/>
              <w:lang w:val="en-US" w:eastAsia="en-US"/>
            </w:rPr>
          </w:pPr>
          <w:hyperlink w:anchor="_Toc128753778" w:history="1">
            <w:r w:rsidR="00C1378C" w:rsidRPr="002D0B94">
              <w:rPr>
                <w:rStyle w:val="Hyperlink"/>
                <w:noProof/>
              </w:rPr>
              <w:t>Purpose</w:t>
            </w:r>
            <w:r w:rsidR="00C1378C">
              <w:rPr>
                <w:noProof/>
                <w:webHidden/>
              </w:rPr>
              <w:tab/>
            </w:r>
            <w:r w:rsidR="00C1378C">
              <w:rPr>
                <w:noProof/>
                <w:webHidden/>
              </w:rPr>
              <w:fldChar w:fldCharType="begin"/>
            </w:r>
            <w:r w:rsidR="00C1378C">
              <w:rPr>
                <w:noProof/>
                <w:webHidden/>
              </w:rPr>
              <w:instrText xml:space="preserve"> PAGEREF _Toc128753778 \h </w:instrText>
            </w:r>
            <w:r w:rsidR="00C1378C">
              <w:rPr>
                <w:noProof/>
                <w:webHidden/>
              </w:rPr>
            </w:r>
            <w:r w:rsidR="00C1378C">
              <w:rPr>
                <w:noProof/>
                <w:webHidden/>
              </w:rPr>
              <w:fldChar w:fldCharType="separate"/>
            </w:r>
            <w:r w:rsidR="00C1378C">
              <w:rPr>
                <w:noProof/>
                <w:webHidden/>
              </w:rPr>
              <w:t>5</w:t>
            </w:r>
            <w:r w:rsidR="00C1378C">
              <w:rPr>
                <w:noProof/>
                <w:webHidden/>
              </w:rPr>
              <w:fldChar w:fldCharType="end"/>
            </w:r>
          </w:hyperlink>
        </w:p>
        <w:p w14:paraId="00764053" w14:textId="6A3376E9" w:rsidR="00C1378C" w:rsidRDefault="00BA5365">
          <w:pPr>
            <w:pStyle w:val="TOC2"/>
            <w:tabs>
              <w:tab w:val="right" w:leader="dot" w:pos="9016"/>
            </w:tabs>
            <w:rPr>
              <w:rFonts w:asciiTheme="minorHAnsi" w:hAnsiTheme="minorHAnsi"/>
              <w:noProof/>
              <w:sz w:val="22"/>
              <w:lang w:val="en-US" w:eastAsia="en-US"/>
            </w:rPr>
          </w:pPr>
          <w:hyperlink w:anchor="_Toc128753779" w:history="1">
            <w:r w:rsidR="00C1378C" w:rsidRPr="002D0B94">
              <w:rPr>
                <w:rStyle w:val="Hyperlink"/>
                <w:noProof/>
              </w:rPr>
              <w:t>Context</w:t>
            </w:r>
            <w:r w:rsidR="00C1378C">
              <w:rPr>
                <w:noProof/>
                <w:webHidden/>
              </w:rPr>
              <w:tab/>
            </w:r>
            <w:r w:rsidR="00C1378C">
              <w:rPr>
                <w:noProof/>
                <w:webHidden/>
              </w:rPr>
              <w:fldChar w:fldCharType="begin"/>
            </w:r>
            <w:r w:rsidR="00C1378C">
              <w:rPr>
                <w:noProof/>
                <w:webHidden/>
              </w:rPr>
              <w:instrText xml:space="preserve"> PAGEREF _Toc128753779 \h </w:instrText>
            </w:r>
            <w:r w:rsidR="00C1378C">
              <w:rPr>
                <w:noProof/>
                <w:webHidden/>
              </w:rPr>
            </w:r>
            <w:r w:rsidR="00C1378C">
              <w:rPr>
                <w:noProof/>
                <w:webHidden/>
              </w:rPr>
              <w:fldChar w:fldCharType="separate"/>
            </w:r>
            <w:r w:rsidR="00C1378C">
              <w:rPr>
                <w:noProof/>
                <w:webHidden/>
              </w:rPr>
              <w:t>7</w:t>
            </w:r>
            <w:r w:rsidR="00C1378C">
              <w:rPr>
                <w:noProof/>
                <w:webHidden/>
              </w:rPr>
              <w:fldChar w:fldCharType="end"/>
            </w:r>
          </w:hyperlink>
        </w:p>
        <w:p w14:paraId="538E5D8F" w14:textId="21BE0FCC" w:rsidR="00C1378C" w:rsidRDefault="00BA5365">
          <w:pPr>
            <w:pStyle w:val="TOC1"/>
            <w:tabs>
              <w:tab w:val="right" w:leader="dot" w:pos="9016"/>
            </w:tabs>
            <w:rPr>
              <w:rFonts w:asciiTheme="minorHAnsi" w:hAnsiTheme="minorHAnsi"/>
              <w:noProof/>
              <w:sz w:val="22"/>
              <w:lang w:val="en-US" w:eastAsia="en-US"/>
            </w:rPr>
          </w:pPr>
          <w:hyperlink w:anchor="_Toc128753780" w:history="1">
            <w:r w:rsidR="00C1378C" w:rsidRPr="002D0B94">
              <w:rPr>
                <w:rStyle w:val="Hyperlink"/>
                <w:noProof/>
              </w:rPr>
              <w:t>Strategies</w:t>
            </w:r>
            <w:r w:rsidR="00C1378C">
              <w:rPr>
                <w:noProof/>
                <w:webHidden/>
              </w:rPr>
              <w:tab/>
            </w:r>
            <w:r w:rsidR="00C1378C">
              <w:rPr>
                <w:noProof/>
                <w:webHidden/>
              </w:rPr>
              <w:fldChar w:fldCharType="begin"/>
            </w:r>
            <w:r w:rsidR="00C1378C">
              <w:rPr>
                <w:noProof/>
                <w:webHidden/>
              </w:rPr>
              <w:instrText xml:space="preserve"> PAGEREF _Toc128753780 \h </w:instrText>
            </w:r>
            <w:r w:rsidR="00C1378C">
              <w:rPr>
                <w:noProof/>
                <w:webHidden/>
              </w:rPr>
            </w:r>
            <w:r w:rsidR="00C1378C">
              <w:rPr>
                <w:noProof/>
                <w:webHidden/>
              </w:rPr>
              <w:fldChar w:fldCharType="separate"/>
            </w:r>
            <w:r w:rsidR="00C1378C">
              <w:rPr>
                <w:noProof/>
                <w:webHidden/>
              </w:rPr>
              <w:t>8</w:t>
            </w:r>
            <w:r w:rsidR="00C1378C">
              <w:rPr>
                <w:noProof/>
                <w:webHidden/>
              </w:rPr>
              <w:fldChar w:fldCharType="end"/>
            </w:r>
          </w:hyperlink>
        </w:p>
        <w:p w14:paraId="17A813A4" w14:textId="36DF3B3F" w:rsidR="00C1378C" w:rsidRDefault="00BA5365">
          <w:pPr>
            <w:pStyle w:val="TOC1"/>
            <w:tabs>
              <w:tab w:val="right" w:leader="dot" w:pos="9016"/>
            </w:tabs>
            <w:rPr>
              <w:rFonts w:asciiTheme="minorHAnsi" w:hAnsiTheme="minorHAnsi"/>
              <w:noProof/>
              <w:sz w:val="22"/>
              <w:lang w:val="en-US" w:eastAsia="en-US"/>
            </w:rPr>
          </w:pPr>
          <w:hyperlink w:anchor="_Toc128753781" w:history="1">
            <w:r w:rsidR="00C1378C" w:rsidRPr="002D0B94">
              <w:rPr>
                <w:rStyle w:val="Hyperlink"/>
                <w:noProof/>
              </w:rPr>
              <w:t>Consequences</w:t>
            </w:r>
            <w:r w:rsidR="00C1378C">
              <w:rPr>
                <w:noProof/>
                <w:webHidden/>
              </w:rPr>
              <w:tab/>
            </w:r>
            <w:r w:rsidR="00C1378C">
              <w:rPr>
                <w:noProof/>
                <w:webHidden/>
              </w:rPr>
              <w:fldChar w:fldCharType="begin"/>
            </w:r>
            <w:r w:rsidR="00C1378C">
              <w:rPr>
                <w:noProof/>
                <w:webHidden/>
              </w:rPr>
              <w:instrText xml:space="preserve"> PAGEREF _Toc128753781 \h </w:instrText>
            </w:r>
            <w:r w:rsidR="00C1378C">
              <w:rPr>
                <w:noProof/>
                <w:webHidden/>
              </w:rPr>
            </w:r>
            <w:r w:rsidR="00C1378C">
              <w:rPr>
                <w:noProof/>
                <w:webHidden/>
              </w:rPr>
              <w:fldChar w:fldCharType="separate"/>
            </w:r>
            <w:r w:rsidR="00C1378C">
              <w:rPr>
                <w:noProof/>
                <w:webHidden/>
              </w:rPr>
              <w:t>9</w:t>
            </w:r>
            <w:r w:rsidR="00C1378C">
              <w:rPr>
                <w:noProof/>
                <w:webHidden/>
              </w:rPr>
              <w:fldChar w:fldCharType="end"/>
            </w:r>
          </w:hyperlink>
        </w:p>
        <w:p w14:paraId="26062D9B" w14:textId="2934EE2F" w:rsidR="00C1378C" w:rsidRDefault="00BA5365">
          <w:pPr>
            <w:pStyle w:val="TOC1"/>
            <w:tabs>
              <w:tab w:val="right" w:leader="dot" w:pos="9016"/>
            </w:tabs>
            <w:rPr>
              <w:rFonts w:asciiTheme="minorHAnsi" w:hAnsiTheme="minorHAnsi"/>
              <w:noProof/>
              <w:sz w:val="22"/>
              <w:lang w:val="en-US" w:eastAsia="en-US"/>
            </w:rPr>
          </w:pPr>
          <w:hyperlink w:anchor="_Toc128753782" w:history="1">
            <w:r w:rsidR="00C1378C" w:rsidRPr="002D0B94">
              <w:rPr>
                <w:rStyle w:val="Hyperlink"/>
                <w:noProof/>
              </w:rPr>
              <w:t>Conclusion</w:t>
            </w:r>
            <w:r w:rsidR="00C1378C">
              <w:rPr>
                <w:noProof/>
                <w:webHidden/>
              </w:rPr>
              <w:tab/>
            </w:r>
            <w:r w:rsidR="00C1378C">
              <w:rPr>
                <w:noProof/>
                <w:webHidden/>
              </w:rPr>
              <w:fldChar w:fldCharType="begin"/>
            </w:r>
            <w:r w:rsidR="00C1378C">
              <w:rPr>
                <w:noProof/>
                <w:webHidden/>
              </w:rPr>
              <w:instrText xml:space="preserve"> PAGEREF _Toc128753782 \h </w:instrText>
            </w:r>
            <w:r w:rsidR="00C1378C">
              <w:rPr>
                <w:noProof/>
                <w:webHidden/>
              </w:rPr>
            </w:r>
            <w:r w:rsidR="00C1378C">
              <w:rPr>
                <w:noProof/>
                <w:webHidden/>
              </w:rPr>
              <w:fldChar w:fldCharType="separate"/>
            </w:r>
            <w:r w:rsidR="00C1378C">
              <w:rPr>
                <w:noProof/>
                <w:webHidden/>
              </w:rPr>
              <w:t>10</w:t>
            </w:r>
            <w:r w:rsidR="00C1378C">
              <w:rPr>
                <w:noProof/>
                <w:webHidden/>
              </w:rPr>
              <w:fldChar w:fldCharType="end"/>
            </w:r>
          </w:hyperlink>
        </w:p>
        <w:p w14:paraId="56106188" w14:textId="1A91A806" w:rsidR="00C1378C" w:rsidRDefault="00BA5365">
          <w:pPr>
            <w:pStyle w:val="TOC1"/>
            <w:tabs>
              <w:tab w:val="right" w:leader="dot" w:pos="9016"/>
            </w:tabs>
            <w:rPr>
              <w:rFonts w:asciiTheme="minorHAnsi" w:hAnsiTheme="minorHAnsi"/>
              <w:noProof/>
              <w:sz w:val="22"/>
              <w:lang w:val="en-US" w:eastAsia="en-US"/>
            </w:rPr>
          </w:pPr>
          <w:hyperlink w:anchor="_Toc128753783" w:history="1">
            <w:r w:rsidR="00C1378C" w:rsidRPr="002D0B94">
              <w:rPr>
                <w:rStyle w:val="Hyperlink"/>
                <w:noProof/>
              </w:rPr>
              <w:t>References</w:t>
            </w:r>
            <w:r w:rsidR="00C1378C">
              <w:rPr>
                <w:noProof/>
                <w:webHidden/>
              </w:rPr>
              <w:tab/>
            </w:r>
            <w:r w:rsidR="00C1378C">
              <w:rPr>
                <w:noProof/>
                <w:webHidden/>
              </w:rPr>
              <w:fldChar w:fldCharType="begin"/>
            </w:r>
            <w:r w:rsidR="00C1378C">
              <w:rPr>
                <w:noProof/>
                <w:webHidden/>
              </w:rPr>
              <w:instrText xml:space="preserve"> PAGEREF _Toc128753783 \h </w:instrText>
            </w:r>
            <w:r w:rsidR="00C1378C">
              <w:rPr>
                <w:noProof/>
                <w:webHidden/>
              </w:rPr>
            </w:r>
            <w:r w:rsidR="00C1378C">
              <w:rPr>
                <w:noProof/>
                <w:webHidden/>
              </w:rPr>
              <w:fldChar w:fldCharType="separate"/>
            </w:r>
            <w:r w:rsidR="00C1378C">
              <w:rPr>
                <w:noProof/>
                <w:webHidden/>
              </w:rPr>
              <w:t>11</w:t>
            </w:r>
            <w:r w:rsidR="00C1378C">
              <w:rPr>
                <w:noProof/>
                <w:webHidden/>
              </w:rPr>
              <w:fldChar w:fldCharType="end"/>
            </w:r>
          </w:hyperlink>
        </w:p>
        <w:p w14:paraId="76792833" w14:textId="4D7A9086" w:rsidR="00C1378C" w:rsidRDefault="00C1378C">
          <w:r>
            <w:rPr>
              <w:b/>
              <w:bCs/>
              <w:noProof/>
            </w:rPr>
            <w:fldChar w:fldCharType="end"/>
          </w:r>
        </w:p>
      </w:sdtContent>
    </w:sdt>
    <w:p w14:paraId="6281D2F2" w14:textId="77777777" w:rsidR="00C1378C" w:rsidRDefault="00C1378C" w:rsidP="00C1378C"/>
    <w:p w14:paraId="21CA47F6" w14:textId="77777777" w:rsidR="00C1378C" w:rsidRDefault="00C1378C">
      <w:pPr>
        <w:spacing w:line="259" w:lineRule="auto"/>
        <w:jc w:val="left"/>
        <w:rPr>
          <w:rFonts w:eastAsiaTheme="majorEastAsia" w:cstheme="majorBidi"/>
          <w:b/>
          <w:color w:val="2F5496" w:themeColor="accent1" w:themeShade="BF"/>
          <w:sz w:val="32"/>
          <w:szCs w:val="32"/>
        </w:rPr>
      </w:pPr>
      <w:r>
        <w:br w:type="page"/>
      </w:r>
    </w:p>
    <w:p w14:paraId="526FF1F7" w14:textId="6F86CF44" w:rsidR="00061E73" w:rsidRDefault="0056443E" w:rsidP="00B9242F">
      <w:pPr>
        <w:pStyle w:val="Heading1"/>
      </w:pPr>
      <w:bookmarkStart w:id="0" w:name="_Toc128753776"/>
      <w:r>
        <w:lastRenderedPageBreak/>
        <w:t>Introduction</w:t>
      </w:r>
      <w:bookmarkEnd w:id="0"/>
      <w:r w:rsidR="00061E73" w:rsidRPr="00061E73">
        <w:t xml:space="preserve"> </w:t>
      </w:r>
    </w:p>
    <w:p w14:paraId="37F3DDAA" w14:textId="68375D57" w:rsidR="00B9242F" w:rsidRPr="00B9242F" w:rsidRDefault="00B9242F" w:rsidP="00B9242F">
      <w:r w:rsidRPr="00B9242F">
        <w:t>Community engagement has become a crucial part of social development, with numerous organisations and government agencies implementing community engagement initiatives to address challenges affecting the social wellbeing of individuals. According to Bowen et al. (2010), a community engagement strategy is the pattern of activities undertaken by businesses to collaborate with and through groups of individuals</w:t>
      </w:r>
      <w:r w:rsidR="00467DF4">
        <w:t xml:space="preserve"> (Huda et al., 2018)</w:t>
      </w:r>
      <w:r w:rsidRPr="00B9242F">
        <w:t>. This encompasses a variety of processes and activities meant to allow successful community participation and guarantee that community members' wants and concerns are effectively addressed.</w:t>
      </w:r>
      <w:r w:rsidR="0056443E">
        <w:t xml:space="preserve"> </w:t>
      </w:r>
      <w:r w:rsidRPr="00B9242F">
        <w:t>Yet, a set of processes must be followed to achieve a successful conclusion. Many parties, including community members, local groups, and government agencies, must collaborate on these procedures. Effective community engagement also necessitates a collaborative approach, which entails working with and through groups of people to address challenges affecting their social well-being.</w:t>
      </w:r>
    </w:p>
    <w:p w14:paraId="218B8778" w14:textId="09BF1DB3" w:rsidR="00B9242F" w:rsidRPr="00B9242F" w:rsidRDefault="003F07C2" w:rsidP="003F07C2">
      <w:r>
        <w:t xml:space="preserve">The Big Local initiative is a successful social and economic development project in the United Kingdom. Launched in 2010, with initial funding from the National Lottery Community Fund, this initiative was spearheaded by the Local Trust, an independent organisation that </w:t>
      </w:r>
      <w:proofErr w:type="gramStart"/>
      <w:r>
        <w:t>provides assistance to</w:t>
      </w:r>
      <w:proofErr w:type="gramEnd"/>
      <w:r>
        <w:t xml:space="preserve"> communities in the United Kingdom</w:t>
      </w:r>
      <w:r w:rsidR="00207EAC">
        <w:t xml:space="preserve"> (</w:t>
      </w:r>
      <w:r w:rsidR="00207EAC" w:rsidRPr="00207EAC">
        <w:t>Orton et al., 2017)</w:t>
      </w:r>
      <w:r>
        <w:t>.</w:t>
      </w:r>
      <w:r w:rsidR="0056443E">
        <w:t xml:space="preserve"> </w:t>
      </w:r>
      <w:r>
        <w:t>The goal of the Big Local programme is to help communities help themselves by giving them the means to create and carry out their own plans for improvement. Community-led action is at the heart of this project, which seeks to empower area residents to play a hand in determining the course of their neighbourhood</w:t>
      </w:r>
      <w:r w:rsidR="00467DF4">
        <w:t xml:space="preserve"> (Mbah, 2019)</w:t>
      </w:r>
      <w:r>
        <w:t>.</w:t>
      </w:r>
      <w:r w:rsidR="0056443E">
        <w:t xml:space="preserve"> </w:t>
      </w:r>
      <w:r>
        <w:t xml:space="preserve">Through the Big Local programme, communities receive substantial funding to use for a wide variety of purposes. These include, but are not limited to, the renovation of public areas, the promotion of local businesses, the encouragement of healthy lifestyles, and the provision of educational opportunities for children and youth. </w:t>
      </w:r>
      <w:proofErr w:type="gramStart"/>
      <w:r>
        <w:t>In order to</w:t>
      </w:r>
      <w:proofErr w:type="gramEnd"/>
      <w:r>
        <w:t xml:space="preserve"> make the biggest possible influence on the community, locals are urged to collaborate on project ideas and submit proposa</w:t>
      </w:r>
      <w:r w:rsidRPr="00207EAC">
        <w:t>ls</w:t>
      </w:r>
      <w:r w:rsidR="00207EAC" w:rsidRPr="00207EAC">
        <w:t xml:space="preserve"> (Parris, 2017)</w:t>
      </w:r>
      <w:r w:rsidRPr="00207EAC">
        <w:t>.</w:t>
      </w:r>
    </w:p>
    <w:p w14:paraId="02E3C0F4" w14:textId="72747E80" w:rsidR="00207EAC" w:rsidRDefault="0056443E" w:rsidP="00207EAC">
      <w:r w:rsidRPr="00207EAC">
        <w:t>The Big Local's innovative community development model has garnered public favour. This technique prioritises locals' input in neighbourhood development</w:t>
      </w:r>
      <w:r w:rsidR="00207EAC">
        <w:t xml:space="preserve"> </w:t>
      </w:r>
      <w:r w:rsidR="00207EAC" w:rsidRPr="00761861">
        <w:t>(</w:t>
      </w:r>
      <w:proofErr w:type="spellStart"/>
      <w:r w:rsidR="00207EAC" w:rsidRPr="00761861">
        <w:t>Bødker</w:t>
      </w:r>
      <w:proofErr w:type="spellEnd"/>
      <w:r w:rsidR="00207EAC" w:rsidRPr="00761861">
        <w:t xml:space="preserve"> and </w:t>
      </w:r>
      <w:proofErr w:type="spellStart"/>
      <w:r w:rsidR="00207EAC" w:rsidRPr="00761861">
        <w:t>Kyng</w:t>
      </w:r>
      <w:proofErr w:type="spellEnd"/>
      <w:r w:rsidR="00207EAC" w:rsidRPr="00761861">
        <w:t>, 2018)</w:t>
      </w:r>
      <w:r w:rsidRPr="00761861">
        <w:t xml:space="preserve">. </w:t>
      </w:r>
      <w:r w:rsidRPr="00207EAC">
        <w:t xml:space="preserve">Companies, NGOs, and individuals contributed to the project's success. </w:t>
      </w:r>
      <w:r w:rsidRPr="00207EAC">
        <w:lastRenderedPageBreak/>
        <w:t>The Big Local programme helps economically and socially challenged UK communities</w:t>
      </w:r>
      <w:r w:rsidR="00467DF4">
        <w:t xml:space="preserve"> (</w:t>
      </w:r>
      <w:proofErr w:type="spellStart"/>
      <w:r w:rsidR="00467DF4">
        <w:t>Malinen</w:t>
      </w:r>
      <w:proofErr w:type="spellEnd"/>
      <w:r w:rsidR="00467DF4">
        <w:t>, 2015)</w:t>
      </w:r>
      <w:r w:rsidRPr="00207EAC">
        <w:t xml:space="preserve">. The programme equips locals to solve social and economic problems long-term. This proposal will facilitate neighbourhood investment over 10–15 </w:t>
      </w:r>
      <w:r w:rsidRPr="00761861">
        <w:t>years</w:t>
      </w:r>
      <w:r w:rsidR="00761861" w:rsidRPr="00761861">
        <w:t xml:space="preserve"> (</w:t>
      </w:r>
      <w:proofErr w:type="spellStart"/>
      <w:r w:rsidR="00761861" w:rsidRPr="00761861">
        <w:t>Salemink</w:t>
      </w:r>
      <w:proofErr w:type="spellEnd"/>
      <w:r w:rsidR="00761861" w:rsidRPr="00761861">
        <w:t xml:space="preserve"> et al., 2017)</w:t>
      </w:r>
      <w:r w:rsidRPr="00761861">
        <w:t>.</w:t>
      </w:r>
      <w:r w:rsidRPr="00207EAC">
        <w:t xml:space="preserve"> Locals lead the Big Local initiative, which the Local Trust oversees. Government agencies, </w:t>
      </w:r>
      <w:proofErr w:type="spellStart"/>
      <w:r w:rsidRPr="00207EAC">
        <w:t>nonprofits</w:t>
      </w:r>
      <w:proofErr w:type="spellEnd"/>
      <w:r w:rsidRPr="00207EAC">
        <w:t xml:space="preserve">, and private companies have joined together to aid the neighbourhood. The Big Local project aims to permanently transform low-income neighbourhoods. The project aims to include people in community improvement and give them a voice. Bringing disparate groups of individuals together to achieve a shared goal is the program's </w:t>
      </w:r>
      <w:proofErr w:type="gramStart"/>
      <w:r w:rsidRPr="00207EAC">
        <w:t>main focus</w:t>
      </w:r>
      <w:proofErr w:type="gramEnd"/>
      <w:r w:rsidR="00467DF4">
        <w:t xml:space="preserve"> (</w:t>
      </w:r>
      <w:proofErr w:type="spellStart"/>
      <w:r w:rsidR="00467DF4">
        <w:t>Phua</w:t>
      </w:r>
      <w:proofErr w:type="spellEnd"/>
      <w:r w:rsidR="00467DF4">
        <w:t xml:space="preserve"> et al., 2017)</w:t>
      </w:r>
      <w:r w:rsidRPr="00207EAC">
        <w:t xml:space="preserve">. Big Local methods and engagement criteria reflect its values of community-led action and collaboration. Local citizens, community groups, businesses, and other stakeholders must work together to succeed. This endeavour informs locals through social media, community events, and digital polls. </w:t>
      </w:r>
      <w:proofErr w:type="gramStart"/>
      <w:r w:rsidRPr="00207EAC">
        <w:t>Local residents</w:t>
      </w:r>
      <w:proofErr w:type="gramEnd"/>
      <w:r w:rsidRPr="00207EAC">
        <w:t xml:space="preserve"> and other stakeholders' trust and teamwork helped the project </w:t>
      </w:r>
      <w:r w:rsidRPr="00761861">
        <w:t>succeed</w:t>
      </w:r>
      <w:r w:rsidR="00761861" w:rsidRPr="00761861">
        <w:t xml:space="preserve"> (Groves et al., 2016)</w:t>
      </w:r>
      <w:r w:rsidRPr="00761861">
        <w:t>.</w:t>
      </w:r>
      <w:r w:rsidR="00100271" w:rsidRPr="00761861">
        <w:t xml:space="preserve"> </w:t>
      </w:r>
    </w:p>
    <w:p w14:paraId="63C26747" w14:textId="77777777" w:rsidR="00C1378C" w:rsidRDefault="00C1378C">
      <w:pPr>
        <w:spacing w:line="259" w:lineRule="auto"/>
        <w:jc w:val="left"/>
        <w:rPr>
          <w:rFonts w:eastAsiaTheme="majorEastAsia" w:cstheme="majorBidi"/>
          <w:b/>
          <w:color w:val="2F5496" w:themeColor="accent1" w:themeShade="BF"/>
          <w:sz w:val="32"/>
          <w:szCs w:val="32"/>
        </w:rPr>
      </w:pPr>
      <w:r>
        <w:br w:type="page"/>
      </w:r>
    </w:p>
    <w:p w14:paraId="73B0ACF3" w14:textId="2F04BC8E" w:rsidR="00100271" w:rsidRDefault="00100271" w:rsidP="0056443E">
      <w:pPr>
        <w:pStyle w:val="Heading1"/>
      </w:pPr>
      <w:bookmarkStart w:id="1" w:name="_Toc128753777"/>
      <w:r>
        <w:lastRenderedPageBreak/>
        <w:t>Principles</w:t>
      </w:r>
      <w:bookmarkEnd w:id="1"/>
      <w:r>
        <w:t xml:space="preserve"> </w:t>
      </w:r>
    </w:p>
    <w:p w14:paraId="7441501A" w14:textId="77777777" w:rsidR="00E52D66" w:rsidRDefault="00100271" w:rsidP="0056443E">
      <w:pPr>
        <w:pStyle w:val="Heading2"/>
      </w:pPr>
      <w:bookmarkStart w:id="2" w:name="_Toc128753778"/>
      <w:r w:rsidRPr="00E52D66">
        <w:t>Purpose</w:t>
      </w:r>
      <w:bookmarkEnd w:id="2"/>
      <w:r w:rsidRPr="00100271">
        <w:t xml:space="preserve"> </w:t>
      </w:r>
    </w:p>
    <w:p w14:paraId="06BAD94E" w14:textId="06317072" w:rsidR="00182A72" w:rsidRDefault="00182A72" w:rsidP="00182A72">
      <w:r>
        <w:t>It is the mission of the Big Local effort to help communities across the United Kingdom create and carry out their own plans for social improvement</w:t>
      </w:r>
      <w:r w:rsidR="00467DF4">
        <w:t xml:space="preserve"> (Huda et al., 2018)</w:t>
      </w:r>
      <w:r>
        <w:t xml:space="preserve">. By participating in this initiative, neighbourhoods will have access to </w:t>
      </w:r>
      <w:proofErr w:type="gramStart"/>
      <w:r>
        <w:t>the means by which</w:t>
      </w:r>
      <w:proofErr w:type="gramEnd"/>
      <w:r>
        <w:t xml:space="preserve"> they can better their own conditions in terms of security, accessibility, health, opportunity, economic development, education, and the environment</w:t>
      </w:r>
      <w:r w:rsidR="00761861">
        <w:t xml:space="preserve"> (</w:t>
      </w:r>
      <w:r w:rsidR="00761861">
        <w:rPr>
          <w:rFonts w:cs="Arial"/>
          <w:color w:val="222222"/>
          <w:sz w:val="20"/>
          <w:szCs w:val="20"/>
          <w:shd w:val="clear" w:color="auto" w:fill="FFFFFF"/>
        </w:rPr>
        <w:t xml:space="preserve">Van Der </w:t>
      </w:r>
      <w:proofErr w:type="spellStart"/>
      <w:r w:rsidR="00761861">
        <w:rPr>
          <w:rFonts w:cs="Arial"/>
          <w:color w:val="222222"/>
          <w:sz w:val="20"/>
          <w:szCs w:val="20"/>
          <w:shd w:val="clear" w:color="auto" w:fill="FFFFFF"/>
        </w:rPr>
        <w:t>Schoor</w:t>
      </w:r>
      <w:proofErr w:type="spellEnd"/>
      <w:r w:rsidR="00761861">
        <w:rPr>
          <w:rFonts w:cs="Arial"/>
          <w:color w:val="222222"/>
          <w:sz w:val="20"/>
          <w:szCs w:val="20"/>
          <w:shd w:val="clear" w:color="auto" w:fill="FFFFFF"/>
        </w:rPr>
        <w:t xml:space="preserve"> and </w:t>
      </w:r>
      <w:proofErr w:type="spellStart"/>
      <w:r w:rsidR="00761861">
        <w:rPr>
          <w:rFonts w:cs="Arial"/>
          <w:color w:val="222222"/>
          <w:sz w:val="20"/>
          <w:szCs w:val="20"/>
          <w:shd w:val="clear" w:color="auto" w:fill="FFFFFF"/>
        </w:rPr>
        <w:t>Scholtens</w:t>
      </w:r>
      <w:proofErr w:type="spellEnd"/>
      <w:r w:rsidR="00761861">
        <w:rPr>
          <w:rFonts w:cs="Arial"/>
          <w:color w:val="222222"/>
          <w:sz w:val="20"/>
          <w:szCs w:val="20"/>
          <w:shd w:val="clear" w:color="auto" w:fill="FFFFFF"/>
        </w:rPr>
        <w:t>, 2015)</w:t>
      </w:r>
      <w:r>
        <w:t>.</w:t>
      </w:r>
    </w:p>
    <w:p w14:paraId="3310D2D3" w14:textId="640F29CD" w:rsidR="00182A72" w:rsidRDefault="00182A72" w:rsidP="00182A72">
      <w:r>
        <w:t>The Big Local project places a premium on neighbourhood safety. The installation of closed-circuit television (CCTV) cameras in public areas and the upgrading of lighting in high-crime neighbourhoods are two examples of these efforts to be</w:t>
      </w:r>
      <w:r w:rsidRPr="00761861">
        <w:t>tter protect citizens</w:t>
      </w:r>
      <w:r w:rsidR="00761861" w:rsidRPr="00761861">
        <w:t xml:space="preserve"> (World Health Organization, 2020)</w:t>
      </w:r>
      <w:r w:rsidRPr="00761861">
        <w:t>.</w:t>
      </w:r>
    </w:p>
    <w:p w14:paraId="445EF891" w14:textId="450A2EFD" w:rsidR="00182A72" w:rsidRDefault="00182A72" w:rsidP="00182A72">
      <w:r>
        <w:t>The project also prioritises mobility by enhancing public transportation and enhancing the accessibility and safety of streets and pedestrian zones. Bicycle lanes, pedestrian walkways, and other efforts to reduce vehicle traffic are also part of these plans</w:t>
      </w:r>
      <w:r w:rsidR="00467DF4">
        <w:t xml:space="preserve"> (</w:t>
      </w:r>
      <w:proofErr w:type="spellStart"/>
      <w:r w:rsidR="00467DF4">
        <w:t>Phua</w:t>
      </w:r>
      <w:proofErr w:type="spellEnd"/>
      <w:r w:rsidR="00467DF4">
        <w:t xml:space="preserve"> et al., 2017)</w:t>
      </w:r>
      <w:r>
        <w:t>.</w:t>
      </w:r>
    </w:p>
    <w:p w14:paraId="6D9E869F" w14:textId="20343A42" w:rsidR="00182A72" w:rsidRDefault="00182A72" w:rsidP="00182A72">
      <w:r>
        <w:t>Time is also a major factor in the Big Local programme, which aims to boost local inhabitants' quality of life by speeding up their access to necessary services and amenities. Initiatives to improve healthcare, social services, and education are included here, as are efforts to decrease patient wait times</w:t>
      </w:r>
      <w:r w:rsidR="00761861">
        <w:t xml:space="preserve"> (</w:t>
      </w:r>
      <w:r w:rsidR="00761861">
        <w:rPr>
          <w:rFonts w:cs="Arial"/>
          <w:color w:val="222222"/>
          <w:sz w:val="20"/>
          <w:szCs w:val="20"/>
          <w:shd w:val="clear" w:color="auto" w:fill="FFFFFF"/>
        </w:rPr>
        <w:t>Baldus et al., 2015)</w:t>
      </w:r>
      <w:r>
        <w:t>.</w:t>
      </w:r>
    </w:p>
    <w:p w14:paraId="009211C7" w14:textId="1C434229" w:rsidR="00182A72" w:rsidRDefault="00182A72" w:rsidP="00182A72">
      <w:r>
        <w:t>As part of its mission, Big Local aims to improve people's access to healthcare and encourage healthy lifestyles</w:t>
      </w:r>
      <w:r w:rsidR="00467DF4">
        <w:t xml:space="preserve"> </w:t>
      </w:r>
      <w:r w:rsidR="00467DF4" w:rsidRPr="00761861">
        <w:t>(Mbah, 2019)</w:t>
      </w:r>
      <w:r>
        <w:t>. This encompasses campaigns to promote community-based health initiatives and enhance access to nutritious food, as well as those that encourage physical activity and wellness.</w:t>
      </w:r>
    </w:p>
    <w:p w14:paraId="428E361E" w14:textId="5D306AD8" w:rsidR="00182A72" w:rsidRDefault="00182A72" w:rsidP="00182A72">
      <w:proofErr w:type="gramStart"/>
      <w:r>
        <w:t>In order to</w:t>
      </w:r>
      <w:proofErr w:type="gramEnd"/>
      <w:r>
        <w:t xml:space="preserve"> upgrade and modernise public spaces, public buildings, and amenities, a second major focus is on creating better, enhanced, and more up-to-date infrastructure. Community centres, libraries, and other public services can all benefit from attempts to improve their facilities, as can parks and </w:t>
      </w:r>
      <w:r w:rsidRPr="00761861">
        <w:t>playgrounds</w:t>
      </w:r>
      <w:r w:rsidR="00761861" w:rsidRPr="00761861">
        <w:t xml:space="preserve"> (</w:t>
      </w:r>
      <w:proofErr w:type="spellStart"/>
      <w:r w:rsidR="00761861" w:rsidRPr="00761861">
        <w:t>Simplican</w:t>
      </w:r>
      <w:proofErr w:type="spellEnd"/>
      <w:r w:rsidR="00761861" w:rsidRPr="00761861">
        <w:t xml:space="preserve"> et al., 2015)</w:t>
      </w:r>
      <w:r w:rsidRPr="00761861">
        <w:t>.</w:t>
      </w:r>
    </w:p>
    <w:p w14:paraId="64BEF8AF" w14:textId="3A5C517C" w:rsidR="00182A72" w:rsidRDefault="00182A72" w:rsidP="00182A72">
      <w:r>
        <w:t>The Big Local strategy also emphasises economic growth potential, with the goal of bolstering local businesses and generating new job openings</w:t>
      </w:r>
      <w:r w:rsidR="00467DF4">
        <w:t xml:space="preserve"> </w:t>
      </w:r>
      <w:r w:rsidR="00467DF4" w:rsidRPr="00761861">
        <w:t>(Mbah, 2019)</w:t>
      </w:r>
      <w:r>
        <w:t xml:space="preserve">. This </w:t>
      </w:r>
      <w:proofErr w:type="gramStart"/>
      <w:r>
        <w:lastRenderedPageBreak/>
        <w:t>include</w:t>
      </w:r>
      <w:proofErr w:type="gramEnd"/>
      <w:r>
        <w:t xml:space="preserve"> efforts to aid local businesses of all sizes, encourage innovation and entrepreneurship, and entice new companies to set up shop in the area</w:t>
      </w:r>
      <w:r w:rsidR="00467DF4">
        <w:t xml:space="preserve"> (Huda et al., 2018)</w:t>
      </w:r>
      <w:r>
        <w:t>.</w:t>
      </w:r>
    </w:p>
    <w:p w14:paraId="6717916C" w14:textId="31F1008C" w:rsidR="00182A72" w:rsidRDefault="00182A72" w:rsidP="00182A72">
      <w:r>
        <w:t>The project also places a strong emphasis on education, with a primary goal of expanding students' access to quality learning experiences and encouraging them to continue their education throughout their lives. Efforts in this area include those made to better schools, provide access to educational opportunities for all ages, and foster localised classroom</w:t>
      </w:r>
      <w:r w:rsidRPr="00761861">
        <w:t>s</w:t>
      </w:r>
      <w:r w:rsidR="00761861" w:rsidRPr="00761861">
        <w:t xml:space="preserve"> (Mbah, 2019)</w:t>
      </w:r>
      <w:r w:rsidRPr="00761861">
        <w:t>.</w:t>
      </w:r>
    </w:p>
    <w:p w14:paraId="1FFB05EF" w14:textId="4FF7A998" w:rsidR="00E52D66" w:rsidRDefault="00182A72" w:rsidP="00182A72">
      <w:r>
        <w:t xml:space="preserve">Lastly, Big Local prioritises environmental benefit through encouraging sustainable growth and safeguarding the natural ecosystem. This </w:t>
      </w:r>
      <w:proofErr w:type="gramStart"/>
      <w:r>
        <w:t>include</w:t>
      </w:r>
      <w:proofErr w:type="gramEnd"/>
      <w:r>
        <w:t xml:space="preserve"> efforts to preserve natural ecosystems, decrease waste, and increase energy efficiency.</w:t>
      </w:r>
      <w:r w:rsidR="00E52D66">
        <w:br w:type="page"/>
      </w:r>
    </w:p>
    <w:p w14:paraId="75A0EA99" w14:textId="77777777" w:rsidR="00E52D66" w:rsidRDefault="00E52D66" w:rsidP="00E52D66"/>
    <w:p w14:paraId="7BB9DF83" w14:textId="1C6DBF80" w:rsidR="00E52D66" w:rsidRDefault="00B21957" w:rsidP="00E52D66">
      <w:pPr>
        <w:pStyle w:val="Heading2"/>
      </w:pPr>
      <w:bookmarkStart w:id="3" w:name="_Toc128753779"/>
      <w:r w:rsidRPr="00B21957">
        <w:t>Co</w:t>
      </w:r>
      <w:r>
        <w:t>n</w:t>
      </w:r>
      <w:r w:rsidRPr="00B21957">
        <w:t>text</w:t>
      </w:r>
      <w:bookmarkEnd w:id="3"/>
    </w:p>
    <w:p w14:paraId="07541C76" w14:textId="0D132CDF" w:rsidR="00182A72" w:rsidRPr="00182A72" w:rsidRDefault="00182A72" w:rsidP="00182A72">
      <w:r w:rsidRPr="00182A72">
        <w:t xml:space="preserve">Many different groups and individuals are involved in the Big Local project. The initiative's driving force is the </w:t>
      </w:r>
      <w:proofErr w:type="spellStart"/>
      <w:r w:rsidRPr="00182A72">
        <w:t>neighborhood's</w:t>
      </w:r>
      <w:proofErr w:type="spellEnd"/>
      <w:r w:rsidRPr="00182A72">
        <w:t xml:space="preserve"> people themselves, who are urged to form a unified front </w:t>
      </w:r>
      <w:proofErr w:type="gramStart"/>
      <w:r w:rsidRPr="00182A72">
        <w:t>in order to</w:t>
      </w:r>
      <w:proofErr w:type="gramEnd"/>
      <w:r w:rsidRPr="00182A72">
        <w:t xml:space="preserve"> better shape their future</w:t>
      </w:r>
      <w:r w:rsidR="00467DF4">
        <w:t xml:space="preserve"> (</w:t>
      </w:r>
      <w:proofErr w:type="spellStart"/>
      <w:r w:rsidR="00467DF4">
        <w:t>Phua</w:t>
      </w:r>
      <w:proofErr w:type="spellEnd"/>
      <w:r w:rsidR="00467DF4">
        <w:t xml:space="preserve"> et al., 2017)</w:t>
      </w:r>
      <w:r w:rsidRPr="00182A72">
        <w:t xml:space="preserve">. The Local Trust, which oversees the programme, and the National Lottery Community Fund, which offers financial support, are just two of the many local and national institutions that have </w:t>
      </w:r>
      <w:r w:rsidRPr="00761861">
        <w:t>their backs</w:t>
      </w:r>
      <w:r w:rsidR="00761861" w:rsidRPr="00761861">
        <w:t xml:space="preserve"> (</w:t>
      </w:r>
      <w:proofErr w:type="spellStart"/>
      <w:r w:rsidR="00761861" w:rsidRPr="00761861">
        <w:t>Rasoolimanesh</w:t>
      </w:r>
      <w:proofErr w:type="spellEnd"/>
      <w:r w:rsidR="00761861" w:rsidRPr="00761861">
        <w:t xml:space="preserve"> et al., 2017)</w:t>
      </w:r>
      <w:r w:rsidRPr="00761861">
        <w:t>.</w:t>
      </w:r>
    </w:p>
    <w:p w14:paraId="6BD988D4" w14:textId="63F19C1F" w:rsidR="00182A72" w:rsidRPr="00182A72" w:rsidRDefault="00DF1E5E" w:rsidP="00182A72">
      <w:r w:rsidRPr="00DF1E5E">
        <w:t>The council may be engaged for financial and advisory support. Lancaster City Council funded Morecambe's West End Big Local. Many channels inform residents about the Big Local project</w:t>
      </w:r>
      <w:r w:rsidR="00467DF4">
        <w:t xml:space="preserve"> </w:t>
      </w:r>
      <w:r w:rsidR="00467DF4" w:rsidRPr="00761861">
        <w:t>(</w:t>
      </w:r>
      <w:proofErr w:type="spellStart"/>
      <w:r w:rsidR="00467DF4" w:rsidRPr="00761861">
        <w:t>Malinen</w:t>
      </w:r>
      <w:proofErr w:type="spellEnd"/>
      <w:r w:rsidR="00467DF4" w:rsidRPr="00761861">
        <w:t>, 2015)</w:t>
      </w:r>
      <w:r w:rsidRPr="00DF1E5E">
        <w:t>. They include: The Local Trust website describes the programme, how to get involved, and successful projects. Many Big Local regions update their Facebook pages and address resident inquiries. Local media coverage of Big Local can raise awareness and encourage participation. Local radio stations have informed and engaged community members in Big Local in several areas. The Local Trust and some Big Local regions update Twitter. Large communities may hold periodic meetings for residents to discuss community improvements</w:t>
      </w:r>
      <w:r w:rsidR="00467DF4">
        <w:t xml:space="preserve"> (</w:t>
      </w:r>
      <w:proofErr w:type="spellStart"/>
      <w:r w:rsidR="00467DF4">
        <w:t>Phua</w:t>
      </w:r>
      <w:proofErr w:type="spellEnd"/>
      <w:r w:rsidR="00467DF4">
        <w:t xml:space="preserve"> et al., 2017)</w:t>
      </w:r>
      <w:r w:rsidRPr="00DF1E5E">
        <w:t>. Locals can learn about Big Local and become engaged at open days in several parts. Big Local empowers locals to make decisions. It funds and supports community-driven activities. The Local Trust manages the endeavour, but locals decide how to spend the mone</w:t>
      </w:r>
      <w:r w:rsidRPr="00761861">
        <w:t>y</w:t>
      </w:r>
      <w:r w:rsidR="00761861" w:rsidRPr="00761861">
        <w:t xml:space="preserve"> (</w:t>
      </w:r>
      <w:proofErr w:type="spellStart"/>
      <w:r w:rsidR="00761861" w:rsidRPr="00761861">
        <w:t>Etchegary</w:t>
      </w:r>
      <w:proofErr w:type="spellEnd"/>
      <w:r w:rsidR="00761861" w:rsidRPr="00761861">
        <w:t xml:space="preserve"> et al., 2015)</w:t>
      </w:r>
      <w:r w:rsidRPr="00761861">
        <w:t>.</w:t>
      </w:r>
    </w:p>
    <w:p w14:paraId="13631851" w14:textId="77777777" w:rsidR="00182A72" w:rsidRPr="00182A72" w:rsidRDefault="00182A72" w:rsidP="00182A72">
      <w:r w:rsidRPr="00182A72">
        <w:t>Several groups and individuals may collaborate to strengthen the community in favour of the initiative. The local transport authority may offer advice and support on transportation projects, charities may offer volunteers or additional funding, members of parliament may lobby for the project on a national level, members of the public may donate time or money, and highway authorities may manage the project's physical infrastructure and traffic flow.</w:t>
      </w:r>
    </w:p>
    <w:p w14:paraId="548B13D8" w14:textId="77777777" w:rsidR="00182A72" w:rsidRDefault="00182A72" w:rsidP="00182A72">
      <w:r w:rsidRPr="00182A72">
        <w:t>In sum, the Big Local initiative is a model of community engagement since it encourages people to get involved in their neighbourhood and make a difference.</w:t>
      </w:r>
    </w:p>
    <w:p w14:paraId="00B49402" w14:textId="585EF4E3" w:rsidR="00FC7525" w:rsidRPr="00BD773A" w:rsidRDefault="004E6638" w:rsidP="004E6638">
      <w:pPr>
        <w:pStyle w:val="Heading1"/>
      </w:pPr>
      <w:bookmarkStart w:id="4" w:name="_Toc128753780"/>
      <w:r>
        <w:lastRenderedPageBreak/>
        <w:t>Strategies</w:t>
      </w:r>
      <w:bookmarkEnd w:id="4"/>
    </w:p>
    <w:p w14:paraId="4D6C50AF" w14:textId="5C3DEA51" w:rsidR="004E6638" w:rsidRDefault="004E6638" w:rsidP="00761861">
      <w:pPr>
        <w:spacing w:before="240"/>
      </w:pPr>
      <w:r>
        <w:t xml:space="preserve">Many methods for community involvement and resident empowerment have been put into place as part of the Big Local programme. Building solid bonds with many stakeholders is one such tactic. The initiative collaborated extensively with the government to seek money, much of which came from the National Lottery Community Fund. Charity have contributed as well by giving both paid workers and unpaid volunteers to see projects through to completion. Some of the projects have received funding from banks, and traffic organisations have offered standards for building that infrastructure to make sure it is safe and up to code. In addition, construction and building firms have offered comprehensive details on project designs, which has aided in their efficient </w:t>
      </w:r>
      <w:r w:rsidRPr="00761861">
        <w:t>execution</w:t>
      </w:r>
      <w:r w:rsidR="00761861" w:rsidRPr="00761861">
        <w:t xml:space="preserve"> (</w:t>
      </w:r>
      <w:proofErr w:type="spellStart"/>
      <w:r w:rsidR="00761861" w:rsidRPr="00761861">
        <w:t>Malinen</w:t>
      </w:r>
      <w:proofErr w:type="spellEnd"/>
      <w:r w:rsidR="00761861" w:rsidRPr="00761861">
        <w:t>, 2015)</w:t>
      </w:r>
      <w:r w:rsidRPr="00761861">
        <w:t>.</w:t>
      </w:r>
    </w:p>
    <w:p w14:paraId="349A9DEF" w14:textId="732C89CD" w:rsidR="004E6638" w:rsidRDefault="004E6638" w:rsidP="004E6638">
      <w:r>
        <w:t xml:space="preserve">The community will be kept informed and involved in the process thanks to the Big Local initiative's smart use of communication channels. Twitter, Facebook, and Instagram have all been used to spread news about the campaign, and the program's plans have been announced in newspapers and community bulletins. Also, the programme has made use of online questionnaires to gather comments and suggestions from the local populace. There have been public gatherings for people to interact and exchange opinions. To establish a two-way line of communication with the populace, social media comments and Facebook feedback have been encouraged. </w:t>
      </w:r>
      <w:proofErr w:type="gramStart"/>
      <w:r>
        <w:t>Last but not least</w:t>
      </w:r>
      <w:proofErr w:type="gramEnd"/>
      <w:r>
        <w:t xml:space="preserve">, review meetings </w:t>
      </w:r>
      <w:r w:rsidRPr="00761861">
        <w:t>have been held frequently to assess the success of the completed projects and locate any enhancements</w:t>
      </w:r>
      <w:r w:rsidR="00761861" w:rsidRPr="00761861">
        <w:t xml:space="preserve"> (</w:t>
      </w:r>
      <w:proofErr w:type="spellStart"/>
      <w:r w:rsidR="00761861" w:rsidRPr="00761861">
        <w:t>Cantarero-Arévalo</w:t>
      </w:r>
      <w:proofErr w:type="spellEnd"/>
      <w:r w:rsidR="00761861" w:rsidRPr="00761861">
        <w:t xml:space="preserve"> and </w:t>
      </w:r>
      <w:proofErr w:type="spellStart"/>
      <w:r w:rsidR="00761861" w:rsidRPr="00761861">
        <w:t>Werremeyer</w:t>
      </w:r>
      <w:proofErr w:type="spellEnd"/>
      <w:r w:rsidR="00761861" w:rsidRPr="00761861">
        <w:t>, 2021)</w:t>
      </w:r>
      <w:r w:rsidRPr="00761861">
        <w:t>.</w:t>
      </w:r>
    </w:p>
    <w:p w14:paraId="28E5B1E8" w14:textId="77777777" w:rsidR="004E6638" w:rsidRDefault="004E6638" w:rsidP="004E6638">
      <w:r>
        <w:t xml:space="preserve">In sum, these methods have helped the Big Local effort successfully include residents and provide them the tools they need to shape the future of their neighbourhoods. The programme has successfully completed </w:t>
      </w:r>
      <w:proofErr w:type="gramStart"/>
      <w:r>
        <w:t>a number of</w:t>
      </w:r>
      <w:proofErr w:type="gramEnd"/>
      <w:r>
        <w:t xml:space="preserve"> projects that have enhanced the quality of life for locals, boosted economic growth, and expanded educational and environmental opportunities through strong connections with a wide range of stakeholders and clear, open lines of communication.</w:t>
      </w:r>
    </w:p>
    <w:p w14:paraId="1060071C" w14:textId="13363061" w:rsidR="00D84EC6" w:rsidRPr="00D84EC6" w:rsidRDefault="00D84EC6" w:rsidP="0056443E">
      <w:pPr>
        <w:pStyle w:val="Heading1"/>
      </w:pPr>
      <w:bookmarkStart w:id="5" w:name="_Toc128753781"/>
      <w:r w:rsidRPr="00D84EC6">
        <w:lastRenderedPageBreak/>
        <w:t>Consequences</w:t>
      </w:r>
      <w:bookmarkEnd w:id="5"/>
      <w:r w:rsidRPr="00D84EC6">
        <w:t xml:space="preserve"> </w:t>
      </w:r>
    </w:p>
    <w:p w14:paraId="6EE25BC3" w14:textId="57459D22" w:rsidR="00207EAC" w:rsidRDefault="004E6638" w:rsidP="00761861">
      <w:pPr>
        <w:spacing w:before="240"/>
      </w:pPr>
      <w:r>
        <w:t>Since its debut in 2010, the Big Local initiative's results have been mixed. Communities' increased agency in shaping their own futures and influencing their immediate environments ranks high among the project's many promising outcomes. Communities have received large cash through the initiative, allowing them to put money towards projects that will have a long-term positive effect on their a</w:t>
      </w:r>
      <w:r w:rsidRPr="00761861">
        <w:t>rea</w:t>
      </w:r>
      <w:r w:rsidR="00761861" w:rsidRPr="00761861">
        <w:t xml:space="preserve"> (Huda et al., 2018)</w:t>
      </w:r>
      <w:r w:rsidRPr="00761861">
        <w:t>.</w:t>
      </w:r>
      <w:r w:rsidR="00207EAC" w:rsidRPr="00761861">
        <w:t xml:space="preserve"> </w:t>
      </w:r>
    </w:p>
    <w:p w14:paraId="023A2ACC" w14:textId="656705A5" w:rsidR="004E6638" w:rsidRDefault="004E6638" w:rsidP="004E6638">
      <w:r>
        <w:t>The elevated level of community involvement is just another win for the project. Residents are encouraged to form teams and work together on community-wide projects as part of the Big Local programme. Community pride and solidarity have increased as a result</w:t>
      </w:r>
      <w:r w:rsidR="00467DF4">
        <w:t xml:space="preserve"> </w:t>
      </w:r>
      <w:r w:rsidR="00467DF4" w:rsidRPr="00761861">
        <w:t>(Huda et al., 2018)</w:t>
      </w:r>
      <w:r>
        <w:t>.</w:t>
      </w:r>
    </w:p>
    <w:p w14:paraId="4D2EC3FA" w14:textId="5BD4E3C3" w:rsidR="00207EAC" w:rsidRDefault="004E6638" w:rsidP="004E6638">
      <w:r>
        <w:t xml:space="preserve">While many good things have come out of this endeavour, there have also been those that are merely ambivalent. Some areas have had trouble developing workable strategies or putting them into action, for instance. </w:t>
      </w:r>
      <w:proofErr w:type="gramStart"/>
      <w:r>
        <w:t>As a consequence</w:t>
      </w:r>
      <w:proofErr w:type="gramEnd"/>
      <w:r>
        <w:t>, some regions of development have slowed down</w:t>
      </w:r>
      <w:r w:rsidR="00761861">
        <w:t xml:space="preserve"> </w:t>
      </w:r>
      <w:r w:rsidR="00761861" w:rsidRPr="00761861">
        <w:t>(</w:t>
      </w:r>
      <w:proofErr w:type="spellStart"/>
      <w:r w:rsidR="00761861" w:rsidRPr="00761861">
        <w:t>Phua</w:t>
      </w:r>
      <w:proofErr w:type="spellEnd"/>
      <w:r w:rsidR="00761861" w:rsidRPr="00761861">
        <w:t xml:space="preserve"> et al., 2017)</w:t>
      </w:r>
      <w:r w:rsidRPr="00761861">
        <w:t>.</w:t>
      </w:r>
    </w:p>
    <w:p w14:paraId="5B463FD8" w14:textId="1B76CA50" w:rsidR="0083765E" w:rsidRDefault="004E6638" w:rsidP="004E6638">
      <w:r>
        <w:t>Monitoring the project's development on a frequent basis is crucial to its success. Methods like internet surveys, focus groups, and stakeholder interviews are all part of this process. The project's performance could sway voter behaviour in next municipal elections, so it's important to think about that, too</w:t>
      </w:r>
      <w:r w:rsidR="00467DF4">
        <w:t xml:space="preserve"> </w:t>
      </w:r>
      <w:r w:rsidR="00467DF4" w:rsidRPr="00761861">
        <w:t>(</w:t>
      </w:r>
      <w:proofErr w:type="spellStart"/>
      <w:r w:rsidR="00467DF4" w:rsidRPr="00761861">
        <w:t>Phua</w:t>
      </w:r>
      <w:proofErr w:type="spellEnd"/>
      <w:r w:rsidR="00467DF4" w:rsidRPr="00761861">
        <w:t xml:space="preserve"> et al., 2017)</w:t>
      </w:r>
      <w:r>
        <w:t>. Anyone involved in the project can contribute to its ongoing success by keeping tabs on its development and making any necessary revisions based on what they learn.</w:t>
      </w:r>
    </w:p>
    <w:p w14:paraId="7B283636" w14:textId="4C22DB90" w:rsidR="004E6638" w:rsidRDefault="0083765E" w:rsidP="0083765E">
      <w:pPr>
        <w:spacing w:line="259" w:lineRule="auto"/>
        <w:jc w:val="left"/>
      </w:pPr>
      <w:r>
        <w:br w:type="page"/>
      </w:r>
    </w:p>
    <w:p w14:paraId="7479A2D8" w14:textId="69D33717" w:rsidR="0083765E" w:rsidRPr="0083765E" w:rsidRDefault="008B12F3" w:rsidP="0083765E">
      <w:pPr>
        <w:pStyle w:val="Heading1"/>
      </w:pPr>
      <w:bookmarkStart w:id="6" w:name="_Toc128753782"/>
      <w:r w:rsidRPr="008B12F3">
        <w:lastRenderedPageBreak/>
        <w:t>C</w:t>
      </w:r>
      <w:r w:rsidR="00207EAC">
        <w:t>onclusion</w:t>
      </w:r>
      <w:bookmarkEnd w:id="6"/>
    </w:p>
    <w:p w14:paraId="662901D0" w14:textId="01605090" w:rsidR="0056443E" w:rsidRDefault="0056443E" w:rsidP="0056443E">
      <w:r>
        <w:t xml:space="preserve">Overall, communities across the UK have benefited from the Big Local initiative's provision of funds and resources, allowing them to carry out their own plans for positive transformation. Innovative and imaginative proposals were submitted, new community concepts were developed, and local infrastructure and possibilities </w:t>
      </w:r>
      <w:r w:rsidRPr="00467DF4">
        <w:t xml:space="preserve">were enhanced </w:t>
      </w:r>
      <w:proofErr w:type="gramStart"/>
      <w:r w:rsidRPr="00467DF4">
        <w:t>as a result of</w:t>
      </w:r>
      <w:proofErr w:type="gramEnd"/>
      <w:r w:rsidRPr="00467DF4">
        <w:t xml:space="preserve"> this project</w:t>
      </w:r>
      <w:r w:rsidR="00467DF4" w:rsidRPr="00467DF4">
        <w:t xml:space="preserve"> (</w:t>
      </w:r>
      <w:proofErr w:type="spellStart"/>
      <w:r w:rsidR="00467DF4" w:rsidRPr="00467DF4">
        <w:t>Seemiller</w:t>
      </w:r>
      <w:proofErr w:type="spellEnd"/>
      <w:r w:rsidR="00467DF4" w:rsidRPr="00467DF4">
        <w:t xml:space="preserve"> and Grace, 2017)</w:t>
      </w:r>
      <w:r w:rsidRPr="00467DF4">
        <w:t>.</w:t>
      </w:r>
    </w:p>
    <w:p w14:paraId="4186EFE5" w14:textId="77777777" w:rsidR="0056443E" w:rsidRDefault="0056443E" w:rsidP="0056443E">
      <w:r>
        <w:t>Yet, no undertaking is ever perfect. Better online surveys with more specific questions and more community participation in the evaluation process are two examples of how the Big Local initiative's current communication techniques could be improved.</w:t>
      </w:r>
    </w:p>
    <w:p w14:paraId="5E984356" w14:textId="77777777" w:rsidR="0056443E" w:rsidRDefault="0056443E" w:rsidP="0056443E">
      <w:r>
        <w:t>It is suggested that projects think about using a variety of communication channels, such as social media, local meetings, and open events, to further develop community participation tactics. It's also crucial to give locals a voice and give them agency over the project from start to finish.</w:t>
      </w:r>
    </w:p>
    <w:p w14:paraId="7158BCDA" w14:textId="77777777" w:rsidR="0056443E" w:rsidRDefault="0056443E" w:rsidP="0056443E">
      <w:r>
        <w:t>The Eden Project in Cornwall is only one of many examples of a successful community involvement initiative that relied heavily on input from locals at every stage of planning, design, and construction. Strong community involvement, openness to input, and clear lines of communication all contributed to the success of these projects.</w:t>
      </w:r>
    </w:p>
    <w:p w14:paraId="19C74570" w14:textId="0B640081" w:rsidR="00761861" w:rsidRDefault="0056443E" w:rsidP="0056443E">
      <w:r>
        <w:t>Ultimately, the Big Local effort has been a great example of community-led action, and by refining their methods of communication and involvement, similar projects can continue to have a good effect on neighbourhoods all over the UK.</w:t>
      </w:r>
    </w:p>
    <w:p w14:paraId="16740FE9" w14:textId="77777777" w:rsidR="00761861" w:rsidRDefault="00761861">
      <w:pPr>
        <w:spacing w:line="259" w:lineRule="auto"/>
        <w:jc w:val="left"/>
      </w:pPr>
      <w:r>
        <w:br w:type="page"/>
      </w:r>
    </w:p>
    <w:p w14:paraId="7D61CBCC" w14:textId="7EE51445" w:rsidR="00467DF4" w:rsidRDefault="00761861" w:rsidP="00C1378C">
      <w:pPr>
        <w:pStyle w:val="Heading1"/>
      </w:pPr>
      <w:bookmarkStart w:id="7" w:name="_Toc128753783"/>
      <w:r>
        <w:lastRenderedPageBreak/>
        <w:t>References</w:t>
      </w:r>
      <w:bookmarkEnd w:id="7"/>
    </w:p>
    <w:p w14:paraId="3556F5C0" w14:textId="77777777" w:rsidR="00C1378C" w:rsidRDefault="00C1378C" w:rsidP="00467DF4">
      <w:pPr>
        <w:rPr>
          <w:shd w:val="clear" w:color="auto" w:fill="FFFFFF"/>
        </w:rPr>
      </w:pPr>
      <w:r>
        <w:rPr>
          <w:shd w:val="clear" w:color="auto" w:fill="FFFFFF"/>
        </w:rPr>
        <w:t xml:space="preserve">Baldus, B.J., Voorhees, C. and </w:t>
      </w:r>
      <w:proofErr w:type="spellStart"/>
      <w:r>
        <w:rPr>
          <w:shd w:val="clear" w:color="auto" w:fill="FFFFFF"/>
        </w:rPr>
        <w:t>Calantone</w:t>
      </w:r>
      <w:proofErr w:type="spellEnd"/>
      <w:r>
        <w:rPr>
          <w:shd w:val="clear" w:color="auto" w:fill="FFFFFF"/>
        </w:rPr>
        <w:t>, R. (2015). Online brand community engagement: Scale development and validation. </w:t>
      </w:r>
      <w:r>
        <w:rPr>
          <w:i/>
          <w:iCs/>
          <w:shd w:val="clear" w:color="auto" w:fill="FFFFFF"/>
        </w:rPr>
        <w:t>Journal of business research</w:t>
      </w:r>
      <w:r>
        <w:rPr>
          <w:shd w:val="clear" w:color="auto" w:fill="FFFFFF"/>
        </w:rPr>
        <w:t>, </w:t>
      </w:r>
      <w:r>
        <w:rPr>
          <w:i/>
          <w:iCs/>
          <w:shd w:val="clear" w:color="auto" w:fill="FFFFFF"/>
        </w:rPr>
        <w:t>68</w:t>
      </w:r>
      <w:r>
        <w:rPr>
          <w:shd w:val="clear" w:color="auto" w:fill="FFFFFF"/>
        </w:rPr>
        <w:t>(5), pp.978-985.</w:t>
      </w:r>
    </w:p>
    <w:p w14:paraId="641E9FFD" w14:textId="77777777" w:rsidR="00C1378C" w:rsidRDefault="00C1378C" w:rsidP="00467DF4">
      <w:pPr>
        <w:rPr>
          <w:shd w:val="clear" w:color="auto" w:fill="FFFFFF"/>
        </w:rPr>
      </w:pPr>
      <w:proofErr w:type="spellStart"/>
      <w:r>
        <w:rPr>
          <w:shd w:val="clear" w:color="auto" w:fill="FFFFFF"/>
        </w:rPr>
        <w:t>Bødker</w:t>
      </w:r>
      <w:proofErr w:type="spellEnd"/>
      <w:r>
        <w:rPr>
          <w:shd w:val="clear" w:color="auto" w:fill="FFFFFF"/>
        </w:rPr>
        <w:t xml:space="preserve">, S. and </w:t>
      </w:r>
      <w:proofErr w:type="spellStart"/>
      <w:r>
        <w:rPr>
          <w:shd w:val="clear" w:color="auto" w:fill="FFFFFF"/>
        </w:rPr>
        <w:t>Kyng</w:t>
      </w:r>
      <w:proofErr w:type="spellEnd"/>
      <w:r>
        <w:rPr>
          <w:shd w:val="clear" w:color="auto" w:fill="FFFFFF"/>
        </w:rPr>
        <w:t>, M. (2018). Participatory design that matters—Facing the big issues. </w:t>
      </w:r>
      <w:r>
        <w:rPr>
          <w:i/>
          <w:iCs/>
          <w:shd w:val="clear" w:color="auto" w:fill="FFFFFF"/>
        </w:rPr>
        <w:t>ACM Transactions on Computer-Human Interaction (TOCHI)</w:t>
      </w:r>
      <w:r>
        <w:rPr>
          <w:shd w:val="clear" w:color="auto" w:fill="FFFFFF"/>
        </w:rPr>
        <w:t>, </w:t>
      </w:r>
      <w:r>
        <w:rPr>
          <w:i/>
          <w:iCs/>
          <w:shd w:val="clear" w:color="auto" w:fill="FFFFFF"/>
        </w:rPr>
        <w:t>25</w:t>
      </w:r>
      <w:r>
        <w:rPr>
          <w:shd w:val="clear" w:color="auto" w:fill="FFFFFF"/>
        </w:rPr>
        <w:t>(1), pp.1-31.</w:t>
      </w:r>
    </w:p>
    <w:p w14:paraId="05EC9391" w14:textId="77777777" w:rsidR="00C1378C" w:rsidRDefault="00C1378C" w:rsidP="00467DF4">
      <w:pPr>
        <w:rPr>
          <w:shd w:val="clear" w:color="auto" w:fill="FFFFFF"/>
        </w:rPr>
      </w:pPr>
      <w:proofErr w:type="spellStart"/>
      <w:r>
        <w:rPr>
          <w:shd w:val="clear" w:color="auto" w:fill="FFFFFF"/>
        </w:rPr>
        <w:t>Cantarero-Arévalo</w:t>
      </w:r>
      <w:proofErr w:type="spellEnd"/>
      <w:r>
        <w:rPr>
          <w:shd w:val="clear" w:color="auto" w:fill="FFFFFF"/>
        </w:rPr>
        <w:t xml:space="preserve">, L. and </w:t>
      </w:r>
      <w:proofErr w:type="spellStart"/>
      <w:r>
        <w:rPr>
          <w:shd w:val="clear" w:color="auto" w:fill="FFFFFF"/>
        </w:rPr>
        <w:t>Werremeyer</w:t>
      </w:r>
      <w:proofErr w:type="spellEnd"/>
      <w:r>
        <w:rPr>
          <w:shd w:val="clear" w:color="auto" w:fill="FFFFFF"/>
        </w:rPr>
        <w:t xml:space="preserve">, A. (2021). Community involvement and awareness raising for better development, </w:t>
      </w:r>
      <w:proofErr w:type="gramStart"/>
      <w:r>
        <w:rPr>
          <w:shd w:val="clear" w:color="auto" w:fill="FFFFFF"/>
        </w:rPr>
        <w:t>access</w:t>
      </w:r>
      <w:proofErr w:type="gramEnd"/>
      <w:r>
        <w:rPr>
          <w:shd w:val="clear" w:color="auto" w:fill="FFFFFF"/>
        </w:rPr>
        <w:t xml:space="preserve"> and use of medicines: The transformative potential of photovoice. </w:t>
      </w:r>
      <w:r>
        <w:rPr>
          <w:i/>
          <w:iCs/>
          <w:shd w:val="clear" w:color="auto" w:fill="FFFFFF"/>
        </w:rPr>
        <w:t>Research in Social and Administrative Pharmacy</w:t>
      </w:r>
      <w:r>
        <w:rPr>
          <w:shd w:val="clear" w:color="auto" w:fill="FFFFFF"/>
        </w:rPr>
        <w:t>, </w:t>
      </w:r>
      <w:r>
        <w:rPr>
          <w:i/>
          <w:iCs/>
          <w:shd w:val="clear" w:color="auto" w:fill="FFFFFF"/>
        </w:rPr>
        <w:t>17</w:t>
      </w:r>
      <w:r>
        <w:rPr>
          <w:shd w:val="clear" w:color="auto" w:fill="FFFFFF"/>
        </w:rPr>
        <w:t>(12), pp.2062-2069.</w:t>
      </w:r>
    </w:p>
    <w:p w14:paraId="5FE5CF4E" w14:textId="77777777" w:rsidR="00C1378C" w:rsidRDefault="00C1378C" w:rsidP="00467DF4">
      <w:pPr>
        <w:rPr>
          <w:shd w:val="clear" w:color="auto" w:fill="FFFFFF"/>
        </w:rPr>
      </w:pPr>
      <w:proofErr w:type="spellStart"/>
      <w:r>
        <w:rPr>
          <w:shd w:val="clear" w:color="auto" w:fill="FFFFFF"/>
        </w:rPr>
        <w:t>Etchegary</w:t>
      </w:r>
      <w:proofErr w:type="spellEnd"/>
      <w:r>
        <w:rPr>
          <w:shd w:val="clear" w:color="auto" w:fill="FFFFFF"/>
        </w:rPr>
        <w:t xml:space="preserve">, H., Green, J., </w:t>
      </w:r>
      <w:proofErr w:type="spellStart"/>
      <w:r>
        <w:rPr>
          <w:shd w:val="clear" w:color="auto" w:fill="FFFFFF"/>
        </w:rPr>
        <w:t>Parfrey</w:t>
      </w:r>
      <w:proofErr w:type="spellEnd"/>
      <w:r>
        <w:rPr>
          <w:shd w:val="clear" w:color="auto" w:fill="FFFFFF"/>
        </w:rPr>
        <w:t>, P., Street, C. and Pullman, D. (2015). Community engagement with genetics: public perceptions and expectations about genetics research. </w:t>
      </w:r>
      <w:r>
        <w:rPr>
          <w:i/>
          <w:iCs/>
          <w:shd w:val="clear" w:color="auto" w:fill="FFFFFF"/>
        </w:rPr>
        <w:t>Health Expectations</w:t>
      </w:r>
      <w:r>
        <w:rPr>
          <w:shd w:val="clear" w:color="auto" w:fill="FFFFFF"/>
        </w:rPr>
        <w:t>, </w:t>
      </w:r>
      <w:r>
        <w:rPr>
          <w:i/>
          <w:iCs/>
          <w:shd w:val="clear" w:color="auto" w:fill="FFFFFF"/>
        </w:rPr>
        <w:t>18</w:t>
      </w:r>
      <w:r>
        <w:rPr>
          <w:shd w:val="clear" w:color="auto" w:fill="FFFFFF"/>
        </w:rPr>
        <w:t>(5), pp.1413-1425.</w:t>
      </w:r>
    </w:p>
    <w:p w14:paraId="0E4ED4EE" w14:textId="77777777" w:rsidR="00C1378C" w:rsidRDefault="00C1378C" w:rsidP="00467DF4">
      <w:pPr>
        <w:rPr>
          <w:shd w:val="clear" w:color="auto" w:fill="FFFFFF"/>
        </w:rPr>
      </w:pPr>
      <w:r>
        <w:rPr>
          <w:shd w:val="clear" w:color="auto" w:fill="FFFFFF"/>
        </w:rPr>
        <w:t xml:space="preserve">Groves, P., </w:t>
      </w:r>
      <w:proofErr w:type="spellStart"/>
      <w:r>
        <w:rPr>
          <w:shd w:val="clear" w:color="auto" w:fill="FFFFFF"/>
        </w:rPr>
        <w:t>Kayyali</w:t>
      </w:r>
      <w:proofErr w:type="spellEnd"/>
      <w:r>
        <w:rPr>
          <w:shd w:val="clear" w:color="auto" w:fill="FFFFFF"/>
        </w:rPr>
        <w:t xml:space="preserve">, B., Knott, </w:t>
      </w:r>
      <w:proofErr w:type="gramStart"/>
      <w:r>
        <w:rPr>
          <w:shd w:val="clear" w:color="auto" w:fill="FFFFFF"/>
        </w:rPr>
        <w:t>D.</w:t>
      </w:r>
      <w:proofErr w:type="gramEnd"/>
      <w:r>
        <w:rPr>
          <w:shd w:val="clear" w:color="auto" w:fill="FFFFFF"/>
        </w:rPr>
        <w:t xml:space="preserve"> and </w:t>
      </w:r>
      <w:proofErr w:type="spellStart"/>
      <w:r>
        <w:rPr>
          <w:shd w:val="clear" w:color="auto" w:fill="FFFFFF"/>
        </w:rPr>
        <w:t>Kuiken</w:t>
      </w:r>
      <w:proofErr w:type="spellEnd"/>
      <w:r>
        <w:rPr>
          <w:shd w:val="clear" w:color="auto" w:fill="FFFFFF"/>
        </w:rPr>
        <w:t xml:space="preserve">, S.V. (2016). </w:t>
      </w:r>
      <w:proofErr w:type="spellStart"/>
      <w:r>
        <w:rPr>
          <w:shd w:val="clear" w:color="auto" w:fill="FFFFFF"/>
        </w:rPr>
        <w:t>The'big</w:t>
      </w:r>
      <w:proofErr w:type="spellEnd"/>
      <w:r>
        <w:rPr>
          <w:shd w:val="clear" w:color="auto" w:fill="FFFFFF"/>
        </w:rPr>
        <w:t xml:space="preserve"> </w:t>
      </w:r>
      <w:proofErr w:type="spellStart"/>
      <w:r>
        <w:rPr>
          <w:shd w:val="clear" w:color="auto" w:fill="FFFFFF"/>
        </w:rPr>
        <w:t>data'revolution</w:t>
      </w:r>
      <w:proofErr w:type="spellEnd"/>
      <w:r>
        <w:rPr>
          <w:shd w:val="clear" w:color="auto" w:fill="FFFFFF"/>
        </w:rPr>
        <w:t xml:space="preserve"> in healthcare: Accelerating value and innovation.</w:t>
      </w:r>
    </w:p>
    <w:p w14:paraId="014B7007" w14:textId="77777777" w:rsidR="00C1378C" w:rsidRDefault="00C1378C" w:rsidP="00467DF4">
      <w:pPr>
        <w:rPr>
          <w:shd w:val="clear" w:color="auto" w:fill="FFFFFF"/>
        </w:rPr>
      </w:pPr>
      <w:r>
        <w:rPr>
          <w:shd w:val="clear" w:color="auto" w:fill="FFFFFF"/>
        </w:rPr>
        <w:t xml:space="preserve">Huda, M., Mat </w:t>
      </w:r>
      <w:proofErr w:type="spellStart"/>
      <w:r>
        <w:rPr>
          <w:shd w:val="clear" w:color="auto" w:fill="FFFFFF"/>
        </w:rPr>
        <w:t>Teh</w:t>
      </w:r>
      <w:proofErr w:type="spellEnd"/>
      <w:r>
        <w:rPr>
          <w:shd w:val="clear" w:color="auto" w:fill="FFFFFF"/>
        </w:rPr>
        <w:t xml:space="preserve">, K.S., Nor Muhamad, N.H. and </w:t>
      </w:r>
      <w:proofErr w:type="spellStart"/>
      <w:r>
        <w:rPr>
          <w:shd w:val="clear" w:color="auto" w:fill="FFFFFF"/>
        </w:rPr>
        <w:t>Mohd</w:t>
      </w:r>
      <w:proofErr w:type="spellEnd"/>
      <w:r>
        <w:rPr>
          <w:shd w:val="clear" w:color="auto" w:fill="FFFFFF"/>
        </w:rPr>
        <w:t xml:space="preserve"> Nasir, B. (2018). Transmitting leadership based civic responsibility: Insights from service learning. </w:t>
      </w:r>
      <w:r>
        <w:rPr>
          <w:i/>
          <w:iCs/>
          <w:shd w:val="clear" w:color="auto" w:fill="FFFFFF"/>
        </w:rPr>
        <w:t>International Journal of Ethics and Systems</w:t>
      </w:r>
      <w:r>
        <w:rPr>
          <w:shd w:val="clear" w:color="auto" w:fill="FFFFFF"/>
        </w:rPr>
        <w:t>, </w:t>
      </w:r>
      <w:r>
        <w:rPr>
          <w:i/>
          <w:iCs/>
          <w:shd w:val="clear" w:color="auto" w:fill="FFFFFF"/>
        </w:rPr>
        <w:t>34</w:t>
      </w:r>
      <w:r>
        <w:rPr>
          <w:shd w:val="clear" w:color="auto" w:fill="FFFFFF"/>
        </w:rPr>
        <w:t>(1), pp.20-31.</w:t>
      </w:r>
    </w:p>
    <w:p w14:paraId="46156D8C" w14:textId="77777777" w:rsidR="00C1378C" w:rsidRDefault="00C1378C" w:rsidP="00467DF4">
      <w:pPr>
        <w:rPr>
          <w:shd w:val="clear" w:color="auto" w:fill="FFFFFF"/>
        </w:rPr>
      </w:pPr>
      <w:proofErr w:type="spellStart"/>
      <w:r>
        <w:rPr>
          <w:shd w:val="clear" w:color="auto" w:fill="FFFFFF"/>
        </w:rPr>
        <w:t>Malinen</w:t>
      </w:r>
      <w:proofErr w:type="spellEnd"/>
      <w:r>
        <w:rPr>
          <w:shd w:val="clear" w:color="auto" w:fill="FFFFFF"/>
        </w:rPr>
        <w:t>, S. (2015). Understanding user participation in online communities: A systematic literature review of empirical studies. </w:t>
      </w:r>
      <w:r>
        <w:rPr>
          <w:i/>
          <w:iCs/>
          <w:shd w:val="clear" w:color="auto" w:fill="FFFFFF"/>
        </w:rPr>
        <w:t xml:space="preserve">Computers in human </w:t>
      </w:r>
      <w:proofErr w:type="spellStart"/>
      <w:r>
        <w:rPr>
          <w:i/>
          <w:iCs/>
          <w:shd w:val="clear" w:color="auto" w:fill="FFFFFF"/>
        </w:rPr>
        <w:t>behavior</w:t>
      </w:r>
      <w:proofErr w:type="spellEnd"/>
      <w:r>
        <w:rPr>
          <w:shd w:val="clear" w:color="auto" w:fill="FFFFFF"/>
        </w:rPr>
        <w:t>, </w:t>
      </w:r>
      <w:r>
        <w:rPr>
          <w:i/>
          <w:iCs/>
          <w:shd w:val="clear" w:color="auto" w:fill="FFFFFF"/>
        </w:rPr>
        <w:t>46</w:t>
      </w:r>
      <w:r>
        <w:rPr>
          <w:shd w:val="clear" w:color="auto" w:fill="FFFFFF"/>
        </w:rPr>
        <w:t>, pp.228-238.</w:t>
      </w:r>
    </w:p>
    <w:p w14:paraId="3F1865C2" w14:textId="77777777" w:rsidR="00C1378C" w:rsidRDefault="00C1378C" w:rsidP="00467DF4">
      <w:pPr>
        <w:rPr>
          <w:shd w:val="clear" w:color="auto" w:fill="FFFFFF"/>
        </w:rPr>
      </w:pPr>
      <w:r>
        <w:rPr>
          <w:shd w:val="clear" w:color="auto" w:fill="FFFFFF"/>
        </w:rPr>
        <w:t>Mbah, M. (2019). Can local knowledge make the difference? Rethinking universities' community engagement and prospect for sustainable community development. </w:t>
      </w:r>
      <w:r>
        <w:rPr>
          <w:i/>
          <w:iCs/>
          <w:shd w:val="clear" w:color="auto" w:fill="FFFFFF"/>
        </w:rPr>
        <w:t>The Journal of Environmental Education</w:t>
      </w:r>
      <w:r>
        <w:rPr>
          <w:shd w:val="clear" w:color="auto" w:fill="FFFFFF"/>
        </w:rPr>
        <w:t>, </w:t>
      </w:r>
      <w:r>
        <w:rPr>
          <w:i/>
          <w:iCs/>
          <w:shd w:val="clear" w:color="auto" w:fill="FFFFFF"/>
        </w:rPr>
        <w:t>50</w:t>
      </w:r>
      <w:r>
        <w:rPr>
          <w:shd w:val="clear" w:color="auto" w:fill="FFFFFF"/>
        </w:rPr>
        <w:t>(1), pp.11-22.</w:t>
      </w:r>
    </w:p>
    <w:p w14:paraId="260496E0" w14:textId="77777777" w:rsidR="00C1378C" w:rsidRDefault="00C1378C" w:rsidP="00467DF4">
      <w:pPr>
        <w:rPr>
          <w:shd w:val="clear" w:color="auto" w:fill="FFFFFF"/>
        </w:rPr>
      </w:pPr>
      <w:r>
        <w:rPr>
          <w:shd w:val="clear" w:color="auto" w:fill="FFFFFF"/>
        </w:rPr>
        <w:t xml:space="preserve">Orton, L., Halliday, E., Collins, M., Egan, M., Lewis, S., </w:t>
      </w:r>
      <w:proofErr w:type="spellStart"/>
      <w:r>
        <w:rPr>
          <w:shd w:val="clear" w:color="auto" w:fill="FFFFFF"/>
        </w:rPr>
        <w:t>Ponsford</w:t>
      </w:r>
      <w:proofErr w:type="spellEnd"/>
      <w:r>
        <w:rPr>
          <w:shd w:val="clear" w:color="auto" w:fill="FFFFFF"/>
        </w:rPr>
        <w:t xml:space="preserve">, R., Powell, K., </w:t>
      </w:r>
      <w:proofErr w:type="spellStart"/>
      <w:r>
        <w:rPr>
          <w:shd w:val="clear" w:color="auto" w:fill="FFFFFF"/>
        </w:rPr>
        <w:t>Salway</w:t>
      </w:r>
      <w:proofErr w:type="spellEnd"/>
      <w:r>
        <w:rPr>
          <w:shd w:val="clear" w:color="auto" w:fill="FFFFFF"/>
        </w:rPr>
        <w:t xml:space="preserve">, S., Townsend, A., Whitehead, M. and Popay, J. (2017). Putting context centre stage: evidence from a systems evaluation of an </w:t>
      </w:r>
      <w:proofErr w:type="gramStart"/>
      <w:r>
        <w:rPr>
          <w:shd w:val="clear" w:color="auto" w:fill="FFFFFF"/>
        </w:rPr>
        <w:t>area based</w:t>
      </w:r>
      <w:proofErr w:type="gramEnd"/>
      <w:r>
        <w:rPr>
          <w:shd w:val="clear" w:color="auto" w:fill="FFFFFF"/>
        </w:rPr>
        <w:t xml:space="preserve"> empowerment initiative in England. </w:t>
      </w:r>
      <w:r>
        <w:rPr>
          <w:i/>
          <w:iCs/>
          <w:shd w:val="clear" w:color="auto" w:fill="FFFFFF"/>
        </w:rPr>
        <w:t>Critical Public Health</w:t>
      </w:r>
      <w:r>
        <w:rPr>
          <w:shd w:val="clear" w:color="auto" w:fill="FFFFFF"/>
        </w:rPr>
        <w:t>, </w:t>
      </w:r>
      <w:r>
        <w:rPr>
          <w:i/>
          <w:iCs/>
          <w:shd w:val="clear" w:color="auto" w:fill="FFFFFF"/>
        </w:rPr>
        <w:t>27</w:t>
      </w:r>
      <w:r>
        <w:rPr>
          <w:shd w:val="clear" w:color="auto" w:fill="FFFFFF"/>
        </w:rPr>
        <w:t>(4), pp.477-489.</w:t>
      </w:r>
    </w:p>
    <w:p w14:paraId="191CC939" w14:textId="77777777" w:rsidR="00C1378C" w:rsidRDefault="00C1378C" w:rsidP="00467DF4">
      <w:pPr>
        <w:rPr>
          <w:shd w:val="clear" w:color="auto" w:fill="FFFFFF"/>
        </w:rPr>
      </w:pPr>
      <w:r>
        <w:rPr>
          <w:shd w:val="clear" w:color="auto" w:fill="FFFFFF"/>
        </w:rPr>
        <w:t>Parris, K. (2017). Local initiative and national reform: The Wenzhou model of development. In </w:t>
      </w:r>
      <w:r>
        <w:rPr>
          <w:i/>
          <w:iCs/>
          <w:shd w:val="clear" w:color="auto" w:fill="FFFFFF"/>
        </w:rPr>
        <w:t>Chinese Economic History Since 1949</w:t>
      </w:r>
      <w:r>
        <w:rPr>
          <w:shd w:val="clear" w:color="auto" w:fill="FFFFFF"/>
        </w:rPr>
        <w:t> (pp. 1479-1502). Brill.</w:t>
      </w:r>
    </w:p>
    <w:p w14:paraId="00604BE1" w14:textId="77777777" w:rsidR="00C1378C" w:rsidRDefault="00C1378C" w:rsidP="00467DF4">
      <w:pPr>
        <w:rPr>
          <w:shd w:val="clear" w:color="auto" w:fill="FFFFFF"/>
        </w:rPr>
      </w:pPr>
      <w:proofErr w:type="spellStart"/>
      <w:r>
        <w:rPr>
          <w:shd w:val="clear" w:color="auto" w:fill="FFFFFF"/>
        </w:rPr>
        <w:lastRenderedPageBreak/>
        <w:t>Phua</w:t>
      </w:r>
      <w:proofErr w:type="spellEnd"/>
      <w:r>
        <w:rPr>
          <w:shd w:val="clear" w:color="auto" w:fill="FFFFFF"/>
        </w:rPr>
        <w:t xml:space="preserve">, J., </w:t>
      </w:r>
      <w:proofErr w:type="spellStart"/>
      <w:r>
        <w:rPr>
          <w:shd w:val="clear" w:color="auto" w:fill="FFFFFF"/>
        </w:rPr>
        <w:t>Jin</w:t>
      </w:r>
      <w:proofErr w:type="spellEnd"/>
      <w:r>
        <w:rPr>
          <w:shd w:val="clear" w:color="auto" w:fill="FFFFFF"/>
        </w:rPr>
        <w:t>, S.V. and Kim, J.J. (2017). Gratifications of using Facebook, Twitter, Instagram, or Snapchat to follow brands: The moderating effect of social comparison, trust, tie strength, and network homophily on brand identification, brand engagement, brand commitment, and membership intention. </w:t>
      </w:r>
      <w:r>
        <w:rPr>
          <w:i/>
          <w:iCs/>
          <w:shd w:val="clear" w:color="auto" w:fill="FFFFFF"/>
        </w:rPr>
        <w:t>Telematics and Informatics</w:t>
      </w:r>
      <w:r>
        <w:rPr>
          <w:shd w:val="clear" w:color="auto" w:fill="FFFFFF"/>
        </w:rPr>
        <w:t>, </w:t>
      </w:r>
      <w:r>
        <w:rPr>
          <w:i/>
          <w:iCs/>
          <w:shd w:val="clear" w:color="auto" w:fill="FFFFFF"/>
        </w:rPr>
        <w:t>34</w:t>
      </w:r>
      <w:r>
        <w:rPr>
          <w:shd w:val="clear" w:color="auto" w:fill="FFFFFF"/>
        </w:rPr>
        <w:t>(1), pp.412-424.</w:t>
      </w:r>
    </w:p>
    <w:p w14:paraId="094BA4BF" w14:textId="77777777" w:rsidR="00C1378C" w:rsidRDefault="00C1378C" w:rsidP="00467DF4">
      <w:pPr>
        <w:rPr>
          <w:shd w:val="clear" w:color="auto" w:fill="FFFFFF"/>
        </w:rPr>
      </w:pPr>
      <w:proofErr w:type="spellStart"/>
      <w:r>
        <w:rPr>
          <w:shd w:val="clear" w:color="auto" w:fill="FFFFFF"/>
        </w:rPr>
        <w:t>Rasoolimanesh</w:t>
      </w:r>
      <w:proofErr w:type="spellEnd"/>
      <w:r>
        <w:rPr>
          <w:shd w:val="clear" w:color="auto" w:fill="FFFFFF"/>
        </w:rPr>
        <w:t xml:space="preserve">, S.M., </w:t>
      </w:r>
      <w:proofErr w:type="spellStart"/>
      <w:r>
        <w:rPr>
          <w:shd w:val="clear" w:color="auto" w:fill="FFFFFF"/>
        </w:rPr>
        <w:t>Ringle</w:t>
      </w:r>
      <w:proofErr w:type="spellEnd"/>
      <w:r>
        <w:rPr>
          <w:shd w:val="clear" w:color="auto" w:fill="FFFFFF"/>
        </w:rPr>
        <w:t xml:space="preserve">, C.M., Jaafar, M. and </w:t>
      </w:r>
      <w:proofErr w:type="spellStart"/>
      <w:r>
        <w:rPr>
          <w:shd w:val="clear" w:color="auto" w:fill="FFFFFF"/>
        </w:rPr>
        <w:t>Ramayah</w:t>
      </w:r>
      <w:proofErr w:type="spellEnd"/>
      <w:r>
        <w:rPr>
          <w:shd w:val="clear" w:color="auto" w:fill="FFFFFF"/>
        </w:rPr>
        <w:t>, T. (2017). Urban vs. rural destinations: Residents’ perceptions, community participation and support for tourism development. </w:t>
      </w:r>
      <w:r>
        <w:rPr>
          <w:i/>
          <w:iCs/>
          <w:shd w:val="clear" w:color="auto" w:fill="FFFFFF"/>
        </w:rPr>
        <w:t>Tourism management</w:t>
      </w:r>
      <w:r>
        <w:rPr>
          <w:shd w:val="clear" w:color="auto" w:fill="FFFFFF"/>
        </w:rPr>
        <w:t>, </w:t>
      </w:r>
      <w:r>
        <w:rPr>
          <w:i/>
          <w:iCs/>
          <w:shd w:val="clear" w:color="auto" w:fill="FFFFFF"/>
        </w:rPr>
        <w:t>60</w:t>
      </w:r>
      <w:r>
        <w:rPr>
          <w:shd w:val="clear" w:color="auto" w:fill="FFFFFF"/>
        </w:rPr>
        <w:t>, pp.147-158.</w:t>
      </w:r>
    </w:p>
    <w:p w14:paraId="35FBFB18" w14:textId="77777777" w:rsidR="00C1378C" w:rsidRDefault="00C1378C" w:rsidP="00467DF4">
      <w:pPr>
        <w:rPr>
          <w:shd w:val="clear" w:color="auto" w:fill="FFFFFF"/>
        </w:rPr>
      </w:pPr>
      <w:proofErr w:type="spellStart"/>
      <w:r>
        <w:rPr>
          <w:shd w:val="clear" w:color="auto" w:fill="FFFFFF"/>
        </w:rPr>
        <w:t>Salemink</w:t>
      </w:r>
      <w:proofErr w:type="spellEnd"/>
      <w:r>
        <w:rPr>
          <w:shd w:val="clear" w:color="auto" w:fill="FFFFFF"/>
        </w:rPr>
        <w:t xml:space="preserve">, K., </w:t>
      </w:r>
      <w:proofErr w:type="spellStart"/>
      <w:r>
        <w:rPr>
          <w:shd w:val="clear" w:color="auto" w:fill="FFFFFF"/>
        </w:rPr>
        <w:t>Strijker</w:t>
      </w:r>
      <w:proofErr w:type="spellEnd"/>
      <w:r>
        <w:rPr>
          <w:shd w:val="clear" w:color="auto" w:fill="FFFFFF"/>
        </w:rPr>
        <w:t xml:space="preserve">, D. and Bosworth, G. (2017). The community reclaims </w:t>
      </w:r>
      <w:proofErr w:type="gramStart"/>
      <w:r>
        <w:rPr>
          <w:shd w:val="clear" w:color="auto" w:fill="FFFFFF"/>
        </w:rPr>
        <w:t>control?</w:t>
      </w:r>
      <w:proofErr w:type="gramEnd"/>
      <w:r>
        <w:rPr>
          <w:shd w:val="clear" w:color="auto" w:fill="FFFFFF"/>
        </w:rPr>
        <w:t xml:space="preserve"> Learning experiences from rural broadband initiatives in the Netherlands. </w:t>
      </w:r>
      <w:proofErr w:type="spellStart"/>
      <w:r>
        <w:rPr>
          <w:i/>
          <w:iCs/>
          <w:shd w:val="clear" w:color="auto" w:fill="FFFFFF"/>
        </w:rPr>
        <w:t>Sociologia</w:t>
      </w:r>
      <w:proofErr w:type="spellEnd"/>
      <w:r>
        <w:rPr>
          <w:i/>
          <w:iCs/>
          <w:shd w:val="clear" w:color="auto" w:fill="FFFFFF"/>
        </w:rPr>
        <w:t xml:space="preserve"> </w:t>
      </w:r>
      <w:proofErr w:type="spellStart"/>
      <w:r>
        <w:rPr>
          <w:i/>
          <w:iCs/>
          <w:shd w:val="clear" w:color="auto" w:fill="FFFFFF"/>
        </w:rPr>
        <w:t>Ruralis</w:t>
      </w:r>
      <w:proofErr w:type="spellEnd"/>
      <w:r>
        <w:rPr>
          <w:shd w:val="clear" w:color="auto" w:fill="FFFFFF"/>
        </w:rPr>
        <w:t>, </w:t>
      </w:r>
      <w:r>
        <w:rPr>
          <w:i/>
          <w:iCs/>
          <w:shd w:val="clear" w:color="auto" w:fill="FFFFFF"/>
        </w:rPr>
        <w:t>57</w:t>
      </w:r>
      <w:r>
        <w:rPr>
          <w:shd w:val="clear" w:color="auto" w:fill="FFFFFF"/>
        </w:rPr>
        <w:t>, pp.555-575.</w:t>
      </w:r>
    </w:p>
    <w:p w14:paraId="1EDCA96B" w14:textId="77777777" w:rsidR="00C1378C" w:rsidRDefault="00C1378C" w:rsidP="00467DF4">
      <w:pPr>
        <w:rPr>
          <w:shd w:val="clear" w:color="auto" w:fill="FFFFFF"/>
        </w:rPr>
      </w:pPr>
      <w:proofErr w:type="spellStart"/>
      <w:r>
        <w:rPr>
          <w:shd w:val="clear" w:color="auto" w:fill="FFFFFF"/>
        </w:rPr>
        <w:t>Seemiller</w:t>
      </w:r>
      <w:proofErr w:type="spellEnd"/>
      <w:r>
        <w:rPr>
          <w:shd w:val="clear" w:color="auto" w:fill="FFFFFF"/>
        </w:rPr>
        <w:t>, C. and Grace, M. (2017). Generation Z: Educating and engaging the next generation of students. </w:t>
      </w:r>
      <w:r>
        <w:rPr>
          <w:i/>
          <w:iCs/>
          <w:shd w:val="clear" w:color="auto" w:fill="FFFFFF"/>
        </w:rPr>
        <w:t>About Campus</w:t>
      </w:r>
      <w:r>
        <w:rPr>
          <w:shd w:val="clear" w:color="auto" w:fill="FFFFFF"/>
        </w:rPr>
        <w:t>, </w:t>
      </w:r>
      <w:r>
        <w:rPr>
          <w:i/>
          <w:iCs/>
          <w:shd w:val="clear" w:color="auto" w:fill="FFFFFF"/>
        </w:rPr>
        <w:t>22</w:t>
      </w:r>
      <w:r>
        <w:rPr>
          <w:shd w:val="clear" w:color="auto" w:fill="FFFFFF"/>
        </w:rPr>
        <w:t>(3), pp.21-26.</w:t>
      </w:r>
    </w:p>
    <w:p w14:paraId="125C3308" w14:textId="77777777" w:rsidR="00C1378C" w:rsidRDefault="00C1378C" w:rsidP="00467DF4">
      <w:pPr>
        <w:rPr>
          <w:shd w:val="clear" w:color="auto" w:fill="FFFFFF"/>
        </w:rPr>
      </w:pPr>
      <w:proofErr w:type="spellStart"/>
      <w:r>
        <w:rPr>
          <w:shd w:val="clear" w:color="auto" w:fill="FFFFFF"/>
        </w:rPr>
        <w:t>Simplican</w:t>
      </w:r>
      <w:proofErr w:type="spellEnd"/>
      <w:r>
        <w:rPr>
          <w:shd w:val="clear" w:color="auto" w:fill="FFFFFF"/>
        </w:rPr>
        <w:t xml:space="preserve">, S.C., Leader, G., </w:t>
      </w:r>
      <w:proofErr w:type="spellStart"/>
      <w:r>
        <w:rPr>
          <w:shd w:val="clear" w:color="auto" w:fill="FFFFFF"/>
        </w:rPr>
        <w:t>Kosciulek</w:t>
      </w:r>
      <w:proofErr w:type="spellEnd"/>
      <w:r>
        <w:rPr>
          <w:shd w:val="clear" w:color="auto" w:fill="FFFFFF"/>
        </w:rPr>
        <w:t>, J. and Leahy, M. (2015). Defining social inclusion of people with intellectual and developmental disabilities: An ecological model of social networks and community participation. </w:t>
      </w:r>
      <w:r>
        <w:rPr>
          <w:i/>
          <w:iCs/>
          <w:shd w:val="clear" w:color="auto" w:fill="FFFFFF"/>
        </w:rPr>
        <w:t>Research in developmental disabilities</w:t>
      </w:r>
      <w:r>
        <w:rPr>
          <w:shd w:val="clear" w:color="auto" w:fill="FFFFFF"/>
        </w:rPr>
        <w:t>, </w:t>
      </w:r>
      <w:r>
        <w:rPr>
          <w:i/>
          <w:iCs/>
          <w:shd w:val="clear" w:color="auto" w:fill="FFFFFF"/>
        </w:rPr>
        <w:t>38</w:t>
      </w:r>
      <w:r>
        <w:rPr>
          <w:shd w:val="clear" w:color="auto" w:fill="FFFFFF"/>
        </w:rPr>
        <w:t>, pp.18-29.</w:t>
      </w:r>
    </w:p>
    <w:p w14:paraId="761E867B" w14:textId="77777777" w:rsidR="00C1378C" w:rsidRDefault="00C1378C" w:rsidP="00467DF4">
      <w:pPr>
        <w:rPr>
          <w:shd w:val="clear" w:color="auto" w:fill="FFFFFF"/>
        </w:rPr>
      </w:pPr>
      <w:r>
        <w:rPr>
          <w:shd w:val="clear" w:color="auto" w:fill="FFFFFF"/>
        </w:rPr>
        <w:t xml:space="preserve">Van Der </w:t>
      </w:r>
      <w:proofErr w:type="spellStart"/>
      <w:r>
        <w:rPr>
          <w:shd w:val="clear" w:color="auto" w:fill="FFFFFF"/>
        </w:rPr>
        <w:t>Schoor</w:t>
      </w:r>
      <w:proofErr w:type="spellEnd"/>
      <w:r>
        <w:rPr>
          <w:shd w:val="clear" w:color="auto" w:fill="FFFFFF"/>
        </w:rPr>
        <w:t xml:space="preserve">, T. and </w:t>
      </w:r>
      <w:proofErr w:type="spellStart"/>
      <w:r>
        <w:rPr>
          <w:shd w:val="clear" w:color="auto" w:fill="FFFFFF"/>
        </w:rPr>
        <w:t>Scholtens</w:t>
      </w:r>
      <w:proofErr w:type="spellEnd"/>
      <w:r>
        <w:rPr>
          <w:shd w:val="clear" w:color="auto" w:fill="FFFFFF"/>
        </w:rPr>
        <w:t>, B. (2015). Power to the people: Local community initiatives and the transition to sustainable energy. </w:t>
      </w:r>
      <w:r>
        <w:rPr>
          <w:i/>
          <w:iCs/>
          <w:shd w:val="clear" w:color="auto" w:fill="FFFFFF"/>
        </w:rPr>
        <w:t>Renewable and sustainable energy reviews</w:t>
      </w:r>
      <w:r>
        <w:rPr>
          <w:shd w:val="clear" w:color="auto" w:fill="FFFFFF"/>
        </w:rPr>
        <w:t>, </w:t>
      </w:r>
      <w:r>
        <w:rPr>
          <w:i/>
          <w:iCs/>
          <w:shd w:val="clear" w:color="auto" w:fill="FFFFFF"/>
        </w:rPr>
        <w:t>43</w:t>
      </w:r>
      <w:r>
        <w:rPr>
          <w:shd w:val="clear" w:color="auto" w:fill="FFFFFF"/>
        </w:rPr>
        <w:t>, pp.666-675.</w:t>
      </w:r>
    </w:p>
    <w:p w14:paraId="0C1A0EF4" w14:textId="77777777" w:rsidR="00C1378C" w:rsidRDefault="00C1378C" w:rsidP="00467DF4">
      <w:pPr>
        <w:rPr>
          <w:shd w:val="clear" w:color="auto" w:fill="FFFFFF"/>
        </w:rPr>
      </w:pPr>
      <w:r>
        <w:rPr>
          <w:shd w:val="clear" w:color="auto" w:fill="FFFFFF"/>
        </w:rPr>
        <w:t>World Health Organization, (2020). </w:t>
      </w:r>
      <w:r>
        <w:rPr>
          <w:i/>
          <w:iCs/>
          <w:shd w:val="clear" w:color="auto" w:fill="FFFFFF"/>
        </w:rPr>
        <w:t>Risk communication and community engagement readiness and response to coronavirus disease (COVID-19): interim guidance, 19 March 2020</w:t>
      </w:r>
      <w:r>
        <w:rPr>
          <w:shd w:val="clear" w:color="auto" w:fill="FFFFFF"/>
        </w:rPr>
        <w:t> (No. WHO/2019-nCoV/RCCE/2020.2). World Health Organization.</w:t>
      </w:r>
    </w:p>
    <w:p w14:paraId="07DEB60C" w14:textId="77777777" w:rsidR="00761861" w:rsidRPr="00761861" w:rsidRDefault="00761861" w:rsidP="00761861"/>
    <w:sectPr w:rsidR="00761861" w:rsidRPr="00761861" w:rsidSect="00C1378C">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F16F5D" w14:textId="77777777" w:rsidR="00C530E3" w:rsidRDefault="00C530E3" w:rsidP="00C1378C">
      <w:pPr>
        <w:spacing w:after="0" w:line="240" w:lineRule="auto"/>
      </w:pPr>
      <w:r>
        <w:separator/>
      </w:r>
    </w:p>
  </w:endnote>
  <w:endnote w:type="continuationSeparator" w:id="0">
    <w:p w14:paraId="201D69AA" w14:textId="77777777" w:rsidR="00C530E3" w:rsidRDefault="00C530E3" w:rsidP="00C137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6450"/>
      <w:docPartObj>
        <w:docPartGallery w:val="Page Numbers (Bottom of Page)"/>
        <w:docPartUnique/>
      </w:docPartObj>
    </w:sdtPr>
    <w:sdtEndPr>
      <w:rPr>
        <w:noProof/>
      </w:rPr>
    </w:sdtEndPr>
    <w:sdtContent>
      <w:p w14:paraId="239D4BAA" w14:textId="2FE85B4E" w:rsidR="00C1378C" w:rsidRDefault="00C1378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F5A9D6" w14:textId="77777777" w:rsidR="00C1378C" w:rsidRDefault="00C137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84237F" w14:textId="77777777" w:rsidR="00C530E3" w:rsidRDefault="00C530E3" w:rsidP="00C1378C">
      <w:pPr>
        <w:spacing w:after="0" w:line="240" w:lineRule="auto"/>
      </w:pPr>
      <w:r>
        <w:separator/>
      </w:r>
    </w:p>
  </w:footnote>
  <w:footnote w:type="continuationSeparator" w:id="0">
    <w:p w14:paraId="4F422650" w14:textId="77777777" w:rsidR="00C530E3" w:rsidRDefault="00C530E3" w:rsidP="00C137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04790C"/>
    <w:multiLevelType w:val="hybridMultilevel"/>
    <w:tmpl w:val="240090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9434B1"/>
    <w:multiLevelType w:val="hybridMultilevel"/>
    <w:tmpl w:val="665E8B9E"/>
    <w:lvl w:ilvl="0" w:tplc="08090005">
      <w:start w:val="1"/>
      <w:numFmt w:val="bullet"/>
      <w:lvlText w:val=""/>
      <w:lvlJc w:val="left"/>
      <w:pPr>
        <w:ind w:left="1800" w:hanging="360"/>
      </w:pPr>
      <w:rPr>
        <w:rFonts w:ascii="Wingdings" w:hAnsi="Wingdings"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42730001"/>
    <w:multiLevelType w:val="hybridMultilevel"/>
    <w:tmpl w:val="9C4A67C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CB1EE3"/>
    <w:multiLevelType w:val="hybridMultilevel"/>
    <w:tmpl w:val="FBE2D8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C17604"/>
    <w:multiLevelType w:val="hybridMultilevel"/>
    <w:tmpl w:val="7B2CD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45120043">
    <w:abstractNumId w:val="0"/>
  </w:num>
  <w:num w:numId="2" w16cid:durableId="770273960">
    <w:abstractNumId w:val="4"/>
  </w:num>
  <w:num w:numId="3" w16cid:durableId="2082365479">
    <w:abstractNumId w:val="3"/>
  </w:num>
  <w:num w:numId="4" w16cid:durableId="386611410">
    <w:abstractNumId w:val="1"/>
  </w:num>
  <w:num w:numId="5" w16cid:durableId="3178085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E86"/>
    <w:rsid w:val="000474A5"/>
    <w:rsid w:val="00060463"/>
    <w:rsid w:val="00061E73"/>
    <w:rsid w:val="000D20FC"/>
    <w:rsid w:val="00100271"/>
    <w:rsid w:val="00102654"/>
    <w:rsid w:val="00182A72"/>
    <w:rsid w:val="00186884"/>
    <w:rsid w:val="00207EAC"/>
    <w:rsid w:val="00224849"/>
    <w:rsid w:val="00236464"/>
    <w:rsid w:val="003F07C2"/>
    <w:rsid w:val="00453301"/>
    <w:rsid w:val="00467DF4"/>
    <w:rsid w:val="004C0E86"/>
    <w:rsid w:val="004E6638"/>
    <w:rsid w:val="0056443E"/>
    <w:rsid w:val="00761655"/>
    <w:rsid w:val="00761861"/>
    <w:rsid w:val="0083765E"/>
    <w:rsid w:val="008B12F3"/>
    <w:rsid w:val="008B3BAC"/>
    <w:rsid w:val="009D3157"/>
    <w:rsid w:val="00B21957"/>
    <w:rsid w:val="00B9242F"/>
    <w:rsid w:val="00BA5365"/>
    <w:rsid w:val="00BD773A"/>
    <w:rsid w:val="00C02755"/>
    <w:rsid w:val="00C1378C"/>
    <w:rsid w:val="00C530E3"/>
    <w:rsid w:val="00D84EC6"/>
    <w:rsid w:val="00DF1E5E"/>
    <w:rsid w:val="00E52D66"/>
    <w:rsid w:val="00FC752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990CD"/>
  <w15:chartTrackingRefBased/>
  <w15:docId w15:val="{4394EDB5-3476-4B99-AA63-5761849E8B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378C"/>
    <w:pPr>
      <w:spacing w:line="360" w:lineRule="auto"/>
      <w:jc w:val="both"/>
    </w:pPr>
    <w:rPr>
      <w:rFonts w:ascii="Arial" w:hAnsi="Arial"/>
      <w:sz w:val="24"/>
    </w:rPr>
  </w:style>
  <w:style w:type="paragraph" w:styleId="Heading1">
    <w:name w:val="heading 1"/>
    <w:basedOn w:val="Normal"/>
    <w:next w:val="Normal"/>
    <w:link w:val="Heading1Char"/>
    <w:uiPriority w:val="9"/>
    <w:qFormat/>
    <w:rsid w:val="00C1378C"/>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C1378C"/>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0E86"/>
    <w:pPr>
      <w:ind w:left="720"/>
      <w:contextualSpacing/>
    </w:pPr>
  </w:style>
  <w:style w:type="character" w:customStyle="1" w:styleId="Heading1Char">
    <w:name w:val="Heading 1 Char"/>
    <w:basedOn w:val="DefaultParagraphFont"/>
    <w:link w:val="Heading1"/>
    <w:uiPriority w:val="9"/>
    <w:rsid w:val="00C1378C"/>
    <w:rPr>
      <w:rFonts w:ascii="Arial" w:eastAsiaTheme="majorEastAsia" w:hAnsi="Arial" w:cstheme="majorBidi"/>
      <w:b/>
      <w:color w:val="2F5496" w:themeColor="accent1" w:themeShade="BF"/>
      <w:sz w:val="32"/>
      <w:szCs w:val="32"/>
    </w:rPr>
  </w:style>
  <w:style w:type="character" w:customStyle="1" w:styleId="Heading2Char">
    <w:name w:val="Heading 2 Char"/>
    <w:basedOn w:val="DefaultParagraphFont"/>
    <w:link w:val="Heading2"/>
    <w:uiPriority w:val="9"/>
    <w:rsid w:val="00C1378C"/>
    <w:rPr>
      <w:rFonts w:ascii="Arial" w:eastAsiaTheme="majorEastAsia" w:hAnsi="Arial" w:cstheme="majorBidi"/>
      <w:b/>
      <w:sz w:val="28"/>
      <w:szCs w:val="26"/>
    </w:rPr>
  </w:style>
  <w:style w:type="paragraph" w:styleId="TOCHeading">
    <w:name w:val="TOC Heading"/>
    <w:basedOn w:val="Heading1"/>
    <w:next w:val="Normal"/>
    <w:uiPriority w:val="39"/>
    <w:unhideWhenUsed/>
    <w:qFormat/>
    <w:rsid w:val="00C1378C"/>
    <w:pPr>
      <w:spacing w:line="259" w:lineRule="auto"/>
      <w:jc w:val="left"/>
      <w:outlineLvl w:val="9"/>
    </w:pPr>
    <w:rPr>
      <w:rFonts w:asciiTheme="majorHAnsi" w:hAnsiTheme="majorHAnsi"/>
      <w:b w:val="0"/>
      <w:lang w:val="en-US" w:eastAsia="en-US"/>
    </w:rPr>
  </w:style>
  <w:style w:type="paragraph" w:styleId="TOC1">
    <w:name w:val="toc 1"/>
    <w:basedOn w:val="Normal"/>
    <w:next w:val="Normal"/>
    <w:autoRedefine/>
    <w:uiPriority w:val="39"/>
    <w:unhideWhenUsed/>
    <w:rsid w:val="00C1378C"/>
    <w:pPr>
      <w:spacing w:after="100"/>
    </w:pPr>
  </w:style>
  <w:style w:type="paragraph" w:styleId="TOC2">
    <w:name w:val="toc 2"/>
    <w:basedOn w:val="Normal"/>
    <w:next w:val="Normal"/>
    <w:autoRedefine/>
    <w:uiPriority w:val="39"/>
    <w:unhideWhenUsed/>
    <w:rsid w:val="00C1378C"/>
    <w:pPr>
      <w:spacing w:after="100"/>
      <w:ind w:left="240"/>
    </w:pPr>
  </w:style>
  <w:style w:type="character" w:styleId="Hyperlink">
    <w:name w:val="Hyperlink"/>
    <w:basedOn w:val="DefaultParagraphFont"/>
    <w:uiPriority w:val="99"/>
    <w:unhideWhenUsed/>
    <w:rsid w:val="00C1378C"/>
    <w:rPr>
      <w:color w:val="0563C1" w:themeColor="hyperlink"/>
      <w:u w:val="single"/>
    </w:rPr>
  </w:style>
  <w:style w:type="paragraph" w:styleId="Header">
    <w:name w:val="header"/>
    <w:basedOn w:val="Normal"/>
    <w:link w:val="HeaderChar"/>
    <w:uiPriority w:val="99"/>
    <w:unhideWhenUsed/>
    <w:rsid w:val="00C1378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378C"/>
    <w:rPr>
      <w:rFonts w:ascii="Arial" w:hAnsi="Arial"/>
      <w:sz w:val="24"/>
    </w:rPr>
  </w:style>
  <w:style w:type="paragraph" w:styleId="Footer">
    <w:name w:val="footer"/>
    <w:basedOn w:val="Normal"/>
    <w:link w:val="FooterChar"/>
    <w:uiPriority w:val="99"/>
    <w:unhideWhenUsed/>
    <w:rsid w:val="00C1378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378C"/>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3699750">
      <w:bodyDiv w:val="1"/>
      <w:marLeft w:val="0"/>
      <w:marRight w:val="0"/>
      <w:marTop w:val="0"/>
      <w:marBottom w:val="0"/>
      <w:divBdr>
        <w:top w:val="none" w:sz="0" w:space="0" w:color="auto"/>
        <w:left w:val="none" w:sz="0" w:space="0" w:color="auto"/>
        <w:bottom w:val="none" w:sz="0" w:space="0" w:color="auto"/>
        <w:right w:val="none" w:sz="0" w:space="0" w:color="auto"/>
      </w:divBdr>
    </w:div>
    <w:div w:id="1146556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C2410A-3129-40EC-89E3-285F0B1A3D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2709</Words>
  <Characters>15447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Curtis Taylor</cp:lastModifiedBy>
  <cp:revision>2</cp:revision>
  <dcterms:created xsi:type="dcterms:W3CDTF">2023-03-03T12:45:00Z</dcterms:created>
  <dcterms:modified xsi:type="dcterms:W3CDTF">2023-03-03T12:45:00Z</dcterms:modified>
</cp:coreProperties>
</file>