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7A83235">
      <w:pPr>
        <w:jc w:val="center"/>
        <w:rPr>
          <w:rFonts w:hint="default" w:ascii="Times New Roman" w:hAnsi="Times New Roman" w:cs="Times New Roman"/>
          <w:b/>
          <w:bCs/>
          <w:sz w:val="32"/>
          <w:szCs w:val="32"/>
          <w:lang w:val="en-US" w:eastAsia="zh-CN"/>
        </w:rPr>
      </w:pPr>
      <w:r>
        <w:rPr>
          <w:rFonts w:hint="eastAsia" w:ascii="Times New Roman" w:hAnsi="Times New Roman" w:cs="Times New Roman"/>
          <w:b/>
          <w:bCs/>
          <w:sz w:val="32"/>
          <w:szCs w:val="32"/>
          <w:lang w:val="en-US" w:eastAsia="zh-CN"/>
        </w:rPr>
        <w:t>The Relationship Between Growth Mindset and Math Anxiety in X Junior High School Students: A Case Study from Jiangxi Province, China</w:t>
      </w:r>
      <w:bookmarkStart w:id="2" w:name="_GoBack"/>
      <w:bookmarkEnd w:id="2"/>
    </w:p>
    <w:p w14:paraId="04FA8DC4">
      <w:pPr>
        <w:jc w:val="center"/>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br w:type="page"/>
      </w:r>
    </w:p>
    <w:p w14:paraId="0DBAB2D6">
      <w:pPr>
        <w:rPr>
          <w:rFonts w:hint="eastAsia" w:ascii="Times New Roman" w:hAnsi="Times New Roman" w:cs="Times New Roman"/>
          <w:b/>
          <w:bCs/>
          <w:sz w:val="24"/>
          <w:szCs w:val="24"/>
          <w:lang w:val="en-US" w:eastAsia="zh-CN"/>
        </w:rPr>
      </w:pPr>
    </w:p>
    <w:p w14:paraId="06CDBE7D">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Abstract</w:t>
      </w:r>
    </w:p>
    <w:p w14:paraId="20386B4A">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This study investigates the relationship between growth mindset and mathematics anxiety within China's unique educational context, characterized by its exam-oriented system and Confucian cultural traditions. While Western literature consistently demonstrates a significant negative correlation between these constructs, their interaction in China's high-pressure, collectivist learning environment remains unexplored. The research employed PISA 2022 scales to survey 297 students from X junior high school in Jiangxi Province.</w:t>
      </w:r>
    </w:p>
    <w:p w14:paraId="636ECB5D">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Findings indicate that students exhibited a moderately high level of growth mindset (M=2.70), with particularly strong beliefs in the malleability of linguistic and creative abilities, though fixed mindset tendencies persisted regarding mathematical intelligence. Mathematics anxiety levels were moderate overall (M=2.48), primarily stemming from concerns about course difficulty and examination performance. Statistical analysis revealed a significant but weak negative correlation between growth mindset and mathematics anxiety (ρ=-0.117, p=0.044).</w:t>
      </w:r>
    </w:p>
    <w:p w14:paraId="1C0972F0">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The study's central conclusion suggests that the anxiety-buffering effect of growth mindset appears substantially weaker among Chinese students compared to Western populations. This discrepancy highlights the complex interplay between cultural values and institutional structures: whereas Confucian principles of self-cultivation through effort theoretically support growth mindset beliefs, the intense performance pressure inherent in China's examination system may undermine its practical efficacy in alleviating anxiety. These results challenge the direct transplantation of Western psychological interventions and emphasize the necessity of combining mindset approaches with broader reforms to assessment practices and learning environments in Chinese educational policy.</w:t>
      </w:r>
    </w:p>
    <w:p w14:paraId="75453911">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Keywords: growth mindset; math anxiety; examination-orientation; Chinese Confucian</w:t>
      </w:r>
    </w:p>
    <w:p w14:paraId="1FC6EC84">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br w:type="page"/>
      </w:r>
    </w:p>
    <w:p w14:paraId="16889D42">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pPr>
    </w:p>
    <w:p w14:paraId="3F0BB9C8">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Introduction</w:t>
      </w:r>
    </w:p>
    <w:p w14:paraId="70F8A9D4">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The Pervasive Impact of Math Anxiety</w:t>
      </w:r>
    </w:p>
    <w:p w14:paraId="27A973CF">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Mathematics anxiety remains a significant global educational challenge, with PISA 2022 data revealing that it contributes to an average decline of 34 points in mathematical performance among 15-year-old students worldwide (OECD, 202</w:t>
      </w:r>
      <w:r>
        <w:rPr>
          <w:rFonts w:hint="eastAsia" w:ascii="Times New Roman" w:hAnsi="Times New Roman" w:cs="Times New Roman"/>
          <w:b w:val="0"/>
          <w:bCs w:val="0"/>
          <w:sz w:val="24"/>
          <w:szCs w:val="24"/>
          <w:lang w:val="en-US" w:eastAsia="zh-CN"/>
        </w:rPr>
        <w:t>3</w:t>
      </w:r>
      <w:r>
        <w:rPr>
          <w:rFonts w:hint="default" w:ascii="Times New Roman" w:hAnsi="Times New Roman" w:cs="Times New Roman"/>
          <w:b w:val="0"/>
          <w:bCs w:val="0"/>
          <w:sz w:val="24"/>
          <w:szCs w:val="24"/>
          <w:lang w:val="en-US" w:eastAsia="zh-CN"/>
        </w:rPr>
        <w:t xml:space="preserve">). Beyond immediate academic consequences, this phenomenon has far-reaching implications, including reduced engagement in STEM-related careers (Wang et al., 2023). </w:t>
      </w:r>
      <w:r>
        <w:rPr>
          <w:rFonts w:hint="eastAsia" w:ascii="Times New Roman" w:hAnsi="Times New Roman" w:cs="Times New Roman"/>
          <w:b w:val="0"/>
          <w:bCs w:val="0"/>
          <w:sz w:val="24"/>
          <w:szCs w:val="24"/>
          <w:lang w:val="en-US" w:eastAsia="zh-CN"/>
        </w:rPr>
        <w:t>Math anxiety is a feeling of tension or fear that affects math performance (Ashcraft &amp; Moore, 2009). It works by taking up mental resources and causing 'cognitive paralysis' (Ramirez et al., 2018), which means anxiety blocks problem-solving ability.</w:t>
      </w:r>
      <w:r>
        <w:rPr>
          <w:rFonts w:hint="default" w:ascii="Times New Roman" w:hAnsi="Times New Roman" w:cs="Times New Roman"/>
          <w:b w:val="0"/>
          <w:bCs w:val="0"/>
          <w:sz w:val="24"/>
          <w:szCs w:val="24"/>
          <w:lang w:val="en-US" w:eastAsia="zh-CN"/>
        </w:rPr>
        <w:t xml:space="preserve"> The issue is particularly acute in high-stakes educational systems such as China’s, where excessive examination pressure exacerbates students’ stress responses. In Jiangxi Province, the differentiation of the mathematics subject is relatively high, and there are obvious differences among students at different performance levels</w:t>
      </w:r>
      <w:r>
        <w:rPr>
          <w:rFonts w:hint="eastAsia" w:ascii="Times New Roman" w:hAnsi="Times New Roman" w:cs="Times New Roman"/>
          <w:b w:val="0"/>
          <w:bCs w:val="0"/>
          <w:sz w:val="24"/>
          <w:szCs w:val="24"/>
          <w:lang w:val="en-US" w:eastAsia="zh-CN"/>
        </w:rPr>
        <w:t xml:space="preserve"> (Zhou &amp; Sun, 2016)</w:t>
      </w:r>
      <w:r>
        <w:rPr>
          <w:rFonts w:hint="default" w:ascii="Times New Roman" w:hAnsi="Times New Roman" w:cs="Times New Roman"/>
          <w:b w:val="0"/>
          <w:bCs w:val="0"/>
          <w:sz w:val="24"/>
          <w:szCs w:val="24"/>
          <w:lang w:val="en-US" w:eastAsia="zh-CN"/>
        </w:rPr>
        <w:t>. Some students' mathematics scores have not reached the minimum requirement for admission to regular high schools, which has had a certain impact on their opportunities for further education</w:t>
      </w:r>
      <w:r>
        <w:rPr>
          <w:rFonts w:hint="eastAsia" w:ascii="Times New Roman" w:hAnsi="Times New Roman" w:cs="Times New Roman"/>
          <w:b w:val="0"/>
          <w:bCs w:val="0"/>
          <w:sz w:val="24"/>
          <w:szCs w:val="24"/>
          <w:lang w:val="en-US" w:eastAsia="zh-CN"/>
        </w:rPr>
        <w:t xml:space="preserve"> (Guo et al., 2021)</w:t>
      </w:r>
      <w:r>
        <w:rPr>
          <w:rFonts w:hint="default" w:ascii="Times New Roman" w:hAnsi="Times New Roman" w:cs="Times New Roman"/>
          <w:b w:val="0"/>
          <w:bCs w:val="0"/>
          <w:sz w:val="24"/>
          <w:szCs w:val="24"/>
          <w:lang w:val="en-US" w:eastAsia="zh-CN"/>
        </w:rPr>
        <w:t>. This pervasive anxiety not only undermines academic achievement but also perpetuates a cycle of avoidance, wherein students disengage from mathematics due to fear of failure, further limiting their future opportunities. Given these detrimental effects, identifying effective interventions to mitigate mathematics anxiety is imperative—particularly in educational environments where traditional pedagogical approaches and intense academic competition may inadvertently heighten students’ stress levels. The situation in Jiangxi thus serves as a critical case study for understanding how mathematics anxiety manifests in Confucian-</w:t>
      </w:r>
      <w:r>
        <w:rPr>
          <w:rFonts w:hint="eastAsia" w:ascii="Times New Roman" w:hAnsi="Times New Roman" w:cs="Times New Roman"/>
          <w:b w:val="0"/>
          <w:bCs w:val="0"/>
          <w:sz w:val="24"/>
          <w:szCs w:val="24"/>
          <w:lang w:val="en-US" w:eastAsia="zh-CN"/>
        </w:rPr>
        <w:t>tradition</w:t>
      </w:r>
      <w:r>
        <w:rPr>
          <w:rFonts w:hint="default" w:ascii="Times New Roman" w:hAnsi="Times New Roman" w:cs="Times New Roman"/>
          <w:b w:val="0"/>
          <w:bCs w:val="0"/>
          <w:sz w:val="24"/>
          <w:szCs w:val="24"/>
          <w:lang w:val="en-US" w:eastAsia="zh-CN"/>
        </w:rPr>
        <w:t xml:space="preserve"> cultures, where cultural values emphasising diligence intersect with systemic pressures to excel in standardised assessments.</w:t>
      </w:r>
    </w:p>
    <w:p w14:paraId="2281033C">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Growth Mindset as a Potential Solution</w:t>
      </w:r>
    </w:p>
    <w:p w14:paraId="365FAC83">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G</w:t>
      </w:r>
      <w:r>
        <w:rPr>
          <w:rFonts w:hint="default" w:ascii="Times New Roman" w:hAnsi="Times New Roman" w:cs="Times New Roman"/>
          <w:b w:val="0"/>
          <w:bCs w:val="0"/>
          <w:sz w:val="24"/>
          <w:szCs w:val="24"/>
          <w:lang w:val="en-US" w:eastAsia="zh-CN"/>
        </w:rPr>
        <w:t>rowth mindset</w:t>
      </w:r>
      <w:r>
        <w:rPr>
          <w:rFonts w:hint="eastAsia" w:ascii="Times New Roman" w:hAnsi="Times New Roman" w:cs="Times New Roman"/>
          <w:b w:val="0"/>
          <w:bCs w:val="0"/>
          <w:sz w:val="24"/>
          <w:szCs w:val="24"/>
          <w:lang w:val="en-US" w:eastAsia="zh-CN"/>
        </w:rPr>
        <w:t xml:space="preserve"> means that someone who thinks his or her</w:t>
      </w:r>
      <w:r>
        <w:rPr>
          <w:rFonts w:hint="default" w:ascii="Times New Roman" w:hAnsi="Times New Roman" w:cs="Times New Roman"/>
          <w:b w:val="0"/>
          <w:bCs w:val="0"/>
          <w:sz w:val="24"/>
          <w:szCs w:val="24"/>
          <w:lang w:val="en-US" w:eastAsia="zh-CN"/>
        </w:rPr>
        <w:t xml:space="preserve"> intellectual abilities can be enhanced through effort and strategic learning</w:t>
      </w:r>
      <w:r>
        <w:rPr>
          <w:rFonts w:hint="eastAsia" w:ascii="Times New Roman" w:hAnsi="Times New Roman" w:cs="Times New Roman"/>
          <w:b w:val="0"/>
          <w:bCs w:val="0"/>
          <w:sz w:val="24"/>
          <w:szCs w:val="24"/>
          <w:lang w:val="en-US" w:eastAsia="zh-CN"/>
        </w:rPr>
        <w:t xml:space="preserve"> (Dweck, 2006)</w:t>
      </w:r>
      <w:r>
        <w:rPr>
          <w:rFonts w:hint="default" w:ascii="Times New Roman" w:hAnsi="Times New Roman" w:cs="Times New Roman"/>
          <w:b w:val="0"/>
          <w:bCs w:val="0"/>
          <w:sz w:val="24"/>
          <w:szCs w:val="24"/>
          <w:lang w:val="en-US" w:eastAsia="zh-CN"/>
        </w:rPr>
        <w:t>. This perspective closely aligns with Confucian principles of diligence, especially the idea that persistent effort can overcome innate limitations (Li, 2003).</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Empirical studies across Western contexts substantiate its efficacy in mitigating mathematics anxiety</w:t>
      </w:r>
      <w:r>
        <w:rPr>
          <w:rFonts w:hint="eastAsia" w:ascii="Times New Roman" w:hAnsi="Times New Roman" w:cs="Times New Roman"/>
          <w:b w:val="0"/>
          <w:bCs w:val="0"/>
          <w:sz w:val="24"/>
          <w:szCs w:val="24"/>
          <w:lang w:val="en-US" w:eastAsia="zh-CN"/>
        </w:rPr>
        <w:t xml:space="preserve">. A </w:t>
      </w:r>
      <w:r>
        <w:rPr>
          <w:rFonts w:hint="default" w:ascii="Times New Roman" w:hAnsi="Times New Roman" w:cs="Times New Roman"/>
          <w:b w:val="0"/>
          <w:bCs w:val="0"/>
          <w:sz w:val="24"/>
          <w:szCs w:val="24"/>
          <w:lang w:val="en-US" w:eastAsia="zh-CN"/>
        </w:rPr>
        <w:t xml:space="preserve">intervention study </w:t>
      </w:r>
      <w:r>
        <w:rPr>
          <w:rFonts w:hint="eastAsia" w:ascii="Times New Roman" w:hAnsi="Times New Roman" w:cs="Times New Roman"/>
          <w:b w:val="0"/>
          <w:bCs w:val="0"/>
          <w:sz w:val="24"/>
          <w:szCs w:val="24"/>
          <w:lang w:val="en-US" w:eastAsia="zh-CN"/>
        </w:rPr>
        <w:t xml:space="preserve">in the US </w:t>
      </w:r>
      <w:r>
        <w:rPr>
          <w:rFonts w:hint="default" w:ascii="Times New Roman" w:hAnsi="Times New Roman" w:cs="Times New Roman"/>
          <w:b w:val="0"/>
          <w:bCs w:val="0"/>
          <w:sz w:val="24"/>
          <w:szCs w:val="24"/>
          <w:lang w:val="en-US" w:eastAsia="zh-CN"/>
        </w:rPr>
        <w:t xml:space="preserve">demonstrated a 19% reduction in anxiety symptoms following growth mindset training (Peterman &amp; Ewing, 2019), while </w:t>
      </w:r>
      <w:r>
        <w:rPr>
          <w:rFonts w:hint="eastAsia" w:ascii="Times New Roman" w:hAnsi="Times New Roman" w:cs="Times New Roman"/>
          <w:b w:val="0"/>
          <w:bCs w:val="0"/>
          <w:sz w:val="24"/>
          <w:szCs w:val="24"/>
          <w:lang w:val="en-US" w:eastAsia="zh-CN"/>
        </w:rPr>
        <w:t>a</w:t>
      </w:r>
      <w:r>
        <w:rPr>
          <w:rFonts w:hint="default" w:ascii="Times New Roman" w:hAnsi="Times New Roman" w:cs="Times New Roman"/>
          <w:b w:val="0"/>
          <w:bCs w:val="0"/>
          <w:sz w:val="24"/>
          <w:szCs w:val="24"/>
          <w:lang w:val="en-US" w:eastAsia="zh-CN"/>
        </w:rPr>
        <w:t xml:space="preserve"> longitudinal research</w:t>
      </w:r>
      <w:r>
        <w:rPr>
          <w:rFonts w:hint="eastAsia" w:ascii="Times New Roman" w:hAnsi="Times New Roman" w:cs="Times New Roman"/>
          <w:b w:val="0"/>
          <w:bCs w:val="0"/>
          <w:sz w:val="24"/>
          <w:szCs w:val="24"/>
          <w:lang w:val="en-US" w:eastAsia="zh-CN"/>
        </w:rPr>
        <w:t xml:space="preserve"> in German</w:t>
      </w:r>
      <w:r>
        <w:rPr>
          <w:rFonts w:hint="default" w:ascii="Times New Roman" w:hAnsi="Times New Roman" w:cs="Times New Roman"/>
          <w:b w:val="0"/>
          <w:bCs w:val="0"/>
          <w:sz w:val="24"/>
          <w:szCs w:val="24"/>
          <w:lang w:val="en-US" w:eastAsia="zh-CN"/>
        </w:rPr>
        <w:t xml:space="preserve"> identified a robust negative correlation between </w:t>
      </w:r>
      <w:r>
        <w:rPr>
          <w:rFonts w:hint="eastAsia" w:ascii="Times New Roman" w:hAnsi="Times New Roman" w:cs="Times New Roman"/>
          <w:b w:val="0"/>
          <w:bCs w:val="0"/>
          <w:sz w:val="24"/>
          <w:szCs w:val="24"/>
          <w:lang w:val="en-US" w:eastAsia="zh-CN"/>
        </w:rPr>
        <w:t>growth</w:t>
      </w:r>
      <w:r>
        <w:rPr>
          <w:rFonts w:hint="default" w:ascii="Times New Roman" w:hAnsi="Times New Roman" w:cs="Times New Roman"/>
          <w:b w:val="0"/>
          <w:bCs w:val="0"/>
          <w:sz w:val="24"/>
          <w:szCs w:val="24"/>
          <w:lang w:val="en-US" w:eastAsia="zh-CN"/>
        </w:rPr>
        <w:t xml:space="preserve"> mindset scores and subsequent </w:t>
      </w:r>
      <w:r>
        <w:rPr>
          <w:rFonts w:hint="eastAsia" w:ascii="Times New Roman" w:hAnsi="Times New Roman" w:cs="Times New Roman"/>
          <w:b w:val="0"/>
          <w:bCs w:val="0"/>
          <w:sz w:val="24"/>
          <w:szCs w:val="24"/>
          <w:lang w:val="en-US" w:eastAsia="zh-CN"/>
        </w:rPr>
        <w:t xml:space="preserve">math </w:t>
      </w:r>
      <w:r>
        <w:rPr>
          <w:rFonts w:hint="default" w:ascii="Times New Roman" w:hAnsi="Times New Roman" w:cs="Times New Roman"/>
          <w:b w:val="0"/>
          <w:bCs w:val="0"/>
          <w:sz w:val="24"/>
          <w:szCs w:val="24"/>
          <w:lang w:val="en-US" w:eastAsia="zh-CN"/>
        </w:rPr>
        <w:t>anxiety levels (Müller, 2021). Neurocognitive evidence further suggests that growth mindset interventions diminish amygdala hyperactivity during mathematical tasks, thereby freeing cognitive resources for problem-solving (</w:t>
      </w:r>
      <w:r>
        <w:rPr>
          <w:rFonts w:hint="eastAsia" w:ascii="Times New Roman" w:hAnsi="Times New Roman" w:cs="Times New Roman"/>
          <w:b w:val="0"/>
          <w:bCs w:val="0"/>
          <w:sz w:val="24"/>
          <w:szCs w:val="24"/>
          <w:lang w:val="en-US" w:eastAsia="zh-CN"/>
        </w:rPr>
        <w:t>Fullone, 2024</w:t>
      </w:r>
      <w:r>
        <w:rPr>
          <w:rFonts w:hint="default" w:ascii="Times New Roman" w:hAnsi="Times New Roman" w:cs="Times New Roman"/>
          <w:b w:val="0"/>
          <w:bCs w:val="0"/>
          <w:sz w:val="24"/>
          <w:szCs w:val="24"/>
          <w:lang w:val="en-US" w:eastAsia="zh-CN"/>
        </w:rPr>
        <w:t xml:space="preserve">). However, existing research on this topic has primarily focused on Western contexts, leaving it unclear how growth mindset and math anxiety interact within China’s collectivist, exam-oriented education system. For instance, Jiangxi's emphasis on standardized testing could either amplify </w:t>
      </w:r>
      <w:r>
        <w:rPr>
          <w:rFonts w:hint="eastAsia" w:ascii="Times New Roman" w:hAnsi="Times New Roman" w:cs="Times New Roman"/>
          <w:b w:val="0"/>
          <w:bCs w:val="0"/>
          <w:sz w:val="24"/>
          <w:szCs w:val="24"/>
          <w:lang w:val="en-US" w:eastAsia="zh-CN"/>
        </w:rPr>
        <w:t xml:space="preserve">the </w:t>
      </w:r>
      <w:r>
        <w:rPr>
          <w:rFonts w:hint="default" w:ascii="Times New Roman" w:hAnsi="Times New Roman" w:cs="Times New Roman"/>
          <w:b w:val="0"/>
          <w:bCs w:val="0"/>
          <w:sz w:val="24"/>
          <w:szCs w:val="24"/>
          <w:lang w:val="en-US" w:eastAsia="zh-CN"/>
        </w:rPr>
        <w:t>benefits</w:t>
      </w:r>
      <w:r>
        <w:rPr>
          <w:rFonts w:hint="eastAsia" w:ascii="Times New Roman" w:hAnsi="Times New Roman" w:cs="Times New Roman"/>
          <w:b w:val="0"/>
          <w:bCs w:val="0"/>
          <w:sz w:val="24"/>
          <w:szCs w:val="24"/>
          <w:lang w:val="en-US" w:eastAsia="zh-CN"/>
        </w:rPr>
        <w:t xml:space="preserve"> of growth mindset</w:t>
      </w:r>
      <w:r>
        <w:rPr>
          <w:rFonts w:hint="default" w:ascii="Times New Roman" w:hAnsi="Times New Roman" w:cs="Times New Roman"/>
          <w:b w:val="0"/>
          <w:bCs w:val="0"/>
          <w:sz w:val="24"/>
          <w:szCs w:val="24"/>
          <w:lang w:val="en-US" w:eastAsia="zh-CN"/>
        </w:rPr>
        <w:t xml:space="preserve"> (by reinforcing effort-based attributions) or undermine them (by exacerbating performance pressure). This duality underscores the imperative for localized research—particularly given that no published studies have yet examined</w:t>
      </w:r>
      <w:r>
        <w:rPr>
          <w:rFonts w:hint="eastAsia" w:ascii="Times New Roman" w:hAnsi="Times New Roman" w:cs="Times New Roman"/>
          <w:b w:val="0"/>
          <w:bCs w:val="0"/>
          <w:sz w:val="24"/>
          <w:szCs w:val="24"/>
          <w:lang w:val="en-US" w:eastAsia="zh-CN"/>
        </w:rPr>
        <w:t xml:space="preserve"> the </w:t>
      </w:r>
      <w:r>
        <w:rPr>
          <w:rFonts w:hint="default" w:ascii="Times New Roman" w:hAnsi="Times New Roman" w:cs="Times New Roman"/>
          <w:b w:val="0"/>
          <w:bCs w:val="0"/>
          <w:sz w:val="24"/>
          <w:szCs w:val="24"/>
          <w:lang w:val="en-US" w:eastAsia="zh-CN"/>
        </w:rPr>
        <w:t xml:space="preserve">anxiety-buffering effects </w:t>
      </w:r>
      <w:r>
        <w:rPr>
          <w:rFonts w:hint="eastAsia" w:ascii="Times New Roman" w:hAnsi="Times New Roman" w:cs="Times New Roman"/>
          <w:b w:val="0"/>
          <w:bCs w:val="0"/>
          <w:sz w:val="24"/>
          <w:szCs w:val="24"/>
          <w:lang w:val="en-US" w:eastAsia="zh-CN"/>
        </w:rPr>
        <w:t xml:space="preserve">of growth mindset </w:t>
      </w:r>
      <w:r>
        <w:rPr>
          <w:rFonts w:hint="default" w:ascii="Times New Roman" w:hAnsi="Times New Roman" w:cs="Times New Roman"/>
          <w:b w:val="0"/>
          <w:bCs w:val="0"/>
          <w:sz w:val="24"/>
          <w:szCs w:val="24"/>
          <w:lang w:val="en-US" w:eastAsia="zh-CN"/>
        </w:rPr>
        <w:t>within junior high school system</w:t>
      </w:r>
      <w:r>
        <w:rPr>
          <w:rFonts w:hint="eastAsia" w:ascii="Times New Roman" w:hAnsi="Times New Roman" w:cs="Times New Roman"/>
          <w:b w:val="0"/>
          <w:bCs w:val="0"/>
          <w:sz w:val="24"/>
          <w:szCs w:val="24"/>
          <w:lang w:val="en-US" w:eastAsia="zh-CN"/>
        </w:rPr>
        <w:t xml:space="preserve"> in China</w:t>
      </w:r>
      <w:r>
        <w:rPr>
          <w:rFonts w:hint="default" w:ascii="Times New Roman" w:hAnsi="Times New Roman" w:cs="Times New Roman"/>
          <w:b w:val="0"/>
          <w:bCs w:val="0"/>
          <w:sz w:val="24"/>
          <w:szCs w:val="24"/>
          <w:lang w:val="en-US" w:eastAsia="zh-CN"/>
        </w:rPr>
        <w:t>.</w:t>
      </w:r>
    </w:p>
    <w:p w14:paraId="2D1E1FA7">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The Research Gap in Chinese Context</w:t>
      </w:r>
    </w:p>
    <w:p w14:paraId="27DDAD62">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Current research on the relationship between growth mindset and mathematics anxiety remains predominantly focused on Western educational systems, leaving the Chinese context largely unexplored. This gap is particularly significant given the unique cultural and structural characteristics of education environment</w:t>
      </w:r>
      <w:r>
        <w:rPr>
          <w:rFonts w:hint="eastAsia" w:ascii="Times New Roman" w:hAnsi="Times New Roman" w:cs="Times New Roman"/>
          <w:b w:val="0"/>
          <w:bCs w:val="0"/>
          <w:sz w:val="24"/>
          <w:szCs w:val="24"/>
          <w:lang w:val="en-US" w:eastAsia="zh-CN"/>
        </w:rPr>
        <w:t xml:space="preserve"> in China</w:t>
      </w:r>
      <w:r>
        <w:rPr>
          <w:rFonts w:hint="default" w:ascii="Times New Roman" w:hAnsi="Times New Roman" w:cs="Times New Roman"/>
          <w:b w:val="0"/>
          <w:bCs w:val="0"/>
          <w:sz w:val="24"/>
          <w:szCs w:val="24"/>
          <w:lang w:val="en-US" w:eastAsia="zh-CN"/>
        </w:rPr>
        <w:t>. On one hand, traditional Confucian values emphasising perseverance and self-cultivation through effort appear theoretically compatible with growth mindset principles</w:t>
      </w:r>
      <w:r>
        <w:rPr>
          <w:rFonts w:hint="eastAsia" w:ascii="Times New Roman" w:hAnsi="Times New Roman" w:cs="Times New Roman"/>
          <w:b w:val="0"/>
          <w:bCs w:val="0"/>
          <w:sz w:val="24"/>
          <w:szCs w:val="24"/>
          <w:lang w:val="en-US" w:eastAsia="zh-CN"/>
        </w:rPr>
        <w:t xml:space="preserve"> (Bai et al., 2021)</w:t>
      </w:r>
      <w:r>
        <w:rPr>
          <w:rFonts w:hint="default" w:ascii="Times New Roman" w:hAnsi="Times New Roman" w:cs="Times New Roman"/>
          <w:b w:val="0"/>
          <w:bCs w:val="0"/>
          <w:sz w:val="24"/>
          <w:szCs w:val="24"/>
          <w:lang w:val="en-US" w:eastAsia="zh-CN"/>
        </w:rPr>
        <w:t xml:space="preserve">. On the other hand, the intense pressure of examination-oriented system </w:t>
      </w:r>
      <w:r>
        <w:rPr>
          <w:rFonts w:hint="eastAsia" w:ascii="Times New Roman" w:hAnsi="Times New Roman" w:cs="Times New Roman"/>
          <w:b w:val="0"/>
          <w:bCs w:val="0"/>
          <w:sz w:val="24"/>
          <w:szCs w:val="24"/>
          <w:lang w:val="en-US" w:eastAsia="zh-CN"/>
        </w:rPr>
        <w:t xml:space="preserve">in China </w:t>
      </w:r>
      <w:r>
        <w:rPr>
          <w:rFonts w:hint="default" w:ascii="Times New Roman" w:hAnsi="Times New Roman" w:cs="Times New Roman"/>
          <w:b w:val="0"/>
          <w:bCs w:val="0"/>
          <w:sz w:val="24"/>
          <w:szCs w:val="24"/>
          <w:lang w:val="en-US" w:eastAsia="zh-CN"/>
        </w:rPr>
        <w:t xml:space="preserve">may create barriers to implementing these psychological approaches effectively. </w:t>
      </w:r>
      <w:r>
        <w:rPr>
          <w:rFonts w:hint="eastAsia" w:ascii="Times New Roman" w:hAnsi="Times New Roman" w:cs="Times New Roman"/>
          <w:b w:val="0"/>
          <w:bCs w:val="0"/>
          <w:sz w:val="24"/>
          <w:szCs w:val="24"/>
          <w:lang w:val="en-US" w:eastAsia="zh-CN"/>
        </w:rPr>
        <w:t>A key research question is whether the anxiety-reducing benefits of growth mindset observed in Western studies can similarly manifest within the distinct educational landscape of China, where cultural values emphasising effort coexist with systemic pressures that may counteract mindset interventions.</w:t>
      </w:r>
      <w:r>
        <w:rPr>
          <w:rFonts w:hint="default" w:ascii="Times New Roman" w:hAnsi="Times New Roman" w:cs="Times New Roman"/>
          <w:b w:val="0"/>
          <w:bCs w:val="0"/>
          <w:sz w:val="24"/>
          <w:szCs w:val="24"/>
          <w:lang w:val="en-US" w:eastAsia="zh-CN"/>
        </w:rPr>
        <w:t xml:space="preserve"> To properly contextualise this investigation, </w:t>
      </w:r>
      <w:r>
        <w:rPr>
          <w:rFonts w:hint="eastAsia" w:ascii="Times New Roman" w:hAnsi="Times New Roman" w:cs="Times New Roman"/>
          <w:b w:val="0"/>
          <w:bCs w:val="0"/>
          <w:sz w:val="24"/>
          <w:szCs w:val="24"/>
          <w:lang w:val="en-US" w:eastAsia="zh-CN"/>
        </w:rPr>
        <w:t>it is necessary to</w:t>
      </w:r>
      <w:r>
        <w:rPr>
          <w:rFonts w:hint="default" w:ascii="Times New Roman" w:hAnsi="Times New Roman" w:cs="Times New Roman"/>
          <w:b w:val="0"/>
          <w:bCs w:val="0"/>
          <w:sz w:val="24"/>
          <w:szCs w:val="24"/>
          <w:lang w:val="en-US" w:eastAsia="zh-CN"/>
        </w:rPr>
        <w:t xml:space="preserve"> examine the theoretical foundations of both concepts.</w:t>
      </w:r>
    </w:p>
    <w:p w14:paraId="3CEF5EA0">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Literature Review</w:t>
      </w:r>
    </w:p>
    <w:p w14:paraId="4CDED0DE">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This chapter </w:t>
      </w:r>
      <w:r>
        <w:rPr>
          <w:rFonts w:hint="eastAsia" w:ascii="Times New Roman" w:hAnsi="Times New Roman" w:cs="Times New Roman"/>
          <w:b w:val="0"/>
          <w:bCs w:val="0"/>
          <w:sz w:val="24"/>
          <w:szCs w:val="24"/>
          <w:lang w:val="en-US" w:eastAsia="zh-CN"/>
        </w:rPr>
        <w:t xml:space="preserve">will </w:t>
      </w:r>
      <w:r>
        <w:rPr>
          <w:rFonts w:hint="default" w:ascii="Times New Roman" w:hAnsi="Times New Roman" w:cs="Times New Roman"/>
          <w:b w:val="0"/>
          <w:bCs w:val="0"/>
          <w:sz w:val="24"/>
          <w:szCs w:val="24"/>
          <w:lang w:val="en-US" w:eastAsia="zh-CN"/>
        </w:rPr>
        <w:t>aim to systematically review and evaluate existing literature on</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growth mindset</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and mat</w:t>
      </w:r>
      <w:r>
        <w:rPr>
          <w:rFonts w:hint="eastAsia" w:ascii="Times New Roman" w:hAnsi="Times New Roman" w:cs="Times New Roman"/>
          <w:b w:val="0"/>
          <w:bCs w:val="0"/>
          <w:sz w:val="24"/>
          <w:szCs w:val="24"/>
          <w:lang w:val="en-US" w:eastAsia="zh-CN"/>
        </w:rPr>
        <w:t>h</w:t>
      </w:r>
      <w:r>
        <w:rPr>
          <w:rFonts w:hint="default" w:ascii="Times New Roman" w:hAnsi="Times New Roman" w:cs="Times New Roman"/>
          <w:b w:val="0"/>
          <w:bCs w:val="0"/>
          <w:sz w:val="24"/>
          <w:szCs w:val="24"/>
          <w:lang w:val="en-US" w:eastAsia="zh-CN"/>
        </w:rPr>
        <w:t xml:space="preserve"> anxiety. It </w:t>
      </w:r>
      <w:r>
        <w:rPr>
          <w:rFonts w:hint="eastAsia" w:ascii="Times New Roman" w:hAnsi="Times New Roman" w:cs="Times New Roman"/>
          <w:b w:val="0"/>
          <w:bCs w:val="0"/>
          <w:sz w:val="24"/>
          <w:szCs w:val="24"/>
          <w:lang w:val="en-US" w:eastAsia="zh-CN"/>
        </w:rPr>
        <w:t xml:space="preserve">will </w:t>
      </w:r>
      <w:r>
        <w:rPr>
          <w:rFonts w:hint="default" w:ascii="Times New Roman" w:hAnsi="Times New Roman" w:cs="Times New Roman"/>
          <w:b w:val="0"/>
          <w:bCs w:val="0"/>
          <w:sz w:val="24"/>
          <w:szCs w:val="24"/>
          <w:lang w:val="en-US" w:eastAsia="zh-CN"/>
        </w:rPr>
        <w:t xml:space="preserve">begin by clarifying the definitions and theoretical foundations of </w:t>
      </w:r>
      <w:r>
        <w:rPr>
          <w:rFonts w:hint="eastAsia" w:ascii="Times New Roman" w:hAnsi="Times New Roman" w:cs="Times New Roman"/>
          <w:b w:val="0"/>
          <w:bCs w:val="0"/>
          <w:sz w:val="24"/>
          <w:szCs w:val="24"/>
          <w:lang w:val="en-US" w:eastAsia="zh-CN"/>
        </w:rPr>
        <w:t>these two concepts</w:t>
      </w:r>
      <w:r>
        <w:rPr>
          <w:rFonts w:hint="default" w:ascii="Times New Roman" w:hAnsi="Times New Roman" w:cs="Times New Roman"/>
          <w:b w:val="0"/>
          <w:bCs w:val="0"/>
          <w:sz w:val="24"/>
          <w:szCs w:val="24"/>
          <w:lang w:val="en-US" w:eastAsia="zh-CN"/>
        </w:rPr>
        <w:t xml:space="preserve">. Next, it </w:t>
      </w:r>
      <w:r>
        <w:rPr>
          <w:rFonts w:hint="eastAsia" w:ascii="Times New Roman" w:hAnsi="Times New Roman" w:cs="Times New Roman"/>
          <w:b w:val="0"/>
          <w:bCs w:val="0"/>
          <w:sz w:val="24"/>
          <w:szCs w:val="24"/>
          <w:lang w:val="en-US" w:eastAsia="zh-CN"/>
        </w:rPr>
        <w:t xml:space="preserve">will </w:t>
      </w:r>
      <w:r>
        <w:rPr>
          <w:rFonts w:hint="default" w:ascii="Times New Roman" w:hAnsi="Times New Roman" w:cs="Times New Roman"/>
          <w:b w:val="0"/>
          <w:bCs w:val="0"/>
          <w:sz w:val="24"/>
          <w:szCs w:val="24"/>
          <w:lang w:val="en-US" w:eastAsia="zh-CN"/>
        </w:rPr>
        <w:t xml:space="preserve">explore the causes of math anxiety and its broad impact on students. The chapter then </w:t>
      </w:r>
      <w:r>
        <w:rPr>
          <w:rFonts w:hint="eastAsia" w:ascii="Times New Roman" w:hAnsi="Times New Roman" w:cs="Times New Roman"/>
          <w:b w:val="0"/>
          <w:bCs w:val="0"/>
          <w:sz w:val="24"/>
          <w:szCs w:val="24"/>
          <w:lang w:val="en-US" w:eastAsia="zh-CN"/>
        </w:rPr>
        <w:t xml:space="preserve">will </w:t>
      </w:r>
      <w:r>
        <w:rPr>
          <w:rFonts w:hint="default" w:ascii="Times New Roman" w:hAnsi="Times New Roman" w:cs="Times New Roman"/>
          <w:b w:val="0"/>
          <w:bCs w:val="0"/>
          <w:sz w:val="24"/>
          <w:szCs w:val="24"/>
          <w:lang w:val="en-US" w:eastAsia="zh-CN"/>
        </w:rPr>
        <w:t xml:space="preserve">review growth mindset as a potential intervention, focusing on empirical evidence from Western educational contexts regarding its role in reducing math anxiety. Finally, it </w:t>
      </w:r>
      <w:r>
        <w:rPr>
          <w:rFonts w:hint="eastAsia" w:ascii="Times New Roman" w:hAnsi="Times New Roman" w:cs="Times New Roman"/>
          <w:b w:val="0"/>
          <w:bCs w:val="0"/>
          <w:sz w:val="24"/>
          <w:szCs w:val="24"/>
          <w:lang w:val="en-US" w:eastAsia="zh-CN"/>
        </w:rPr>
        <w:t xml:space="preserve">will </w:t>
      </w:r>
      <w:r>
        <w:rPr>
          <w:rFonts w:hint="default" w:ascii="Times New Roman" w:hAnsi="Times New Roman" w:cs="Times New Roman"/>
          <w:b w:val="0"/>
          <w:bCs w:val="0"/>
          <w:sz w:val="24"/>
          <w:szCs w:val="24"/>
          <w:lang w:val="en-US" w:eastAsia="zh-CN"/>
        </w:rPr>
        <w:t xml:space="preserve">highlight the limitations of existing research, which has largely been conducted in Western individualistic cultures, and </w:t>
      </w:r>
      <w:r>
        <w:rPr>
          <w:rFonts w:hint="eastAsia" w:ascii="Times New Roman" w:hAnsi="Times New Roman" w:cs="Times New Roman"/>
          <w:b w:val="0"/>
          <w:bCs w:val="0"/>
          <w:sz w:val="24"/>
          <w:szCs w:val="24"/>
          <w:lang w:val="en-US" w:eastAsia="zh-CN"/>
        </w:rPr>
        <w:t>stress</w:t>
      </w:r>
      <w:r>
        <w:rPr>
          <w:rFonts w:hint="default" w:ascii="Times New Roman" w:hAnsi="Times New Roman" w:cs="Times New Roman"/>
          <w:b w:val="0"/>
          <w:bCs w:val="0"/>
          <w:sz w:val="24"/>
          <w:szCs w:val="24"/>
          <w:lang w:val="en-US" w:eastAsia="zh-CN"/>
        </w:rPr>
        <w:t xml:space="preserve"> the need for further study within the collectivist, exam-oriented, and Confucian-influenced educational setting of China. The chapter </w:t>
      </w:r>
      <w:r>
        <w:rPr>
          <w:rFonts w:hint="eastAsia" w:ascii="Times New Roman" w:hAnsi="Times New Roman" w:cs="Times New Roman"/>
          <w:b w:val="0"/>
          <w:bCs w:val="0"/>
          <w:sz w:val="24"/>
          <w:szCs w:val="24"/>
          <w:lang w:val="en-US" w:eastAsia="zh-CN"/>
        </w:rPr>
        <w:t xml:space="preserve">will also </w:t>
      </w:r>
      <w:r>
        <w:rPr>
          <w:rFonts w:hint="default" w:ascii="Times New Roman" w:hAnsi="Times New Roman" w:cs="Times New Roman"/>
          <w:b w:val="0"/>
          <w:bCs w:val="0"/>
          <w:sz w:val="24"/>
          <w:szCs w:val="24"/>
          <w:lang w:val="en-US" w:eastAsia="zh-CN"/>
        </w:rPr>
        <w:t>conclude by outlining the research questions guiding this study.</w:t>
      </w:r>
    </w:p>
    <w:p w14:paraId="54FF9A57">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Math Anxiety</w:t>
      </w:r>
    </w:p>
    <w:p w14:paraId="25E146B6">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i/>
          <w:iCs/>
          <w:sz w:val="24"/>
          <w:szCs w:val="24"/>
          <w:lang w:val="en-US" w:eastAsia="zh-CN"/>
        </w:rPr>
      </w:pPr>
      <w:r>
        <w:rPr>
          <w:rFonts w:hint="eastAsia" w:ascii="Times New Roman" w:hAnsi="Times New Roman" w:cs="Times New Roman"/>
          <w:b/>
          <w:bCs/>
          <w:i/>
          <w:iCs/>
          <w:sz w:val="24"/>
          <w:szCs w:val="24"/>
          <w:lang w:val="en-US" w:eastAsia="zh-CN"/>
        </w:rPr>
        <w:t>The Causes of Math Anxiety</w:t>
      </w:r>
    </w:p>
    <w:p w14:paraId="0BCCDBF6">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Math anxiety is a specific, context-bound academic emotional disorder, characterised by intense feelings of tension, fear, and helplessness when an individual is confronted with mathematical tasks or situations. It is often accompanied by</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cognitive interference, leading to significantly impaired performance in mathematics (Ashcraft &amp; Moore, 2009). The </w:t>
      </w:r>
      <w:r>
        <w:rPr>
          <w:rFonts w:hint="eastAsia" w:ascii="Times New Roman" w:hAnsi="Times New Roman" w:cs="Times New Roman"/>
          <w:b w:val="0"/>
          <w:bCs w:val="0"/>
          <w:sz w:val="24"/>
          <w:szCs w:val="24"/>
          <w:lang w:val="en-US" w:eastAsia="zh-CN"/>
        </w:rPr>
        <w:t>causes</w:t>
      </w:r>
      <w:r>
        <w:rPr>
          <w:rFonts w:hint="default" w:ascii="Times New Roman" w:hAnsi="Times New Roman" w:cs="Times New Roman"/>
          <w:b w:val="0"/>
          <w:bCs w:val="0"/>
          <w:sz w:val="24"/>
          <w:szCs w:val="24"/>
          <w:lang w:val="en-US" w:eastAsia="zh-CN"/>
        </w:rPr>
        <w:t xml:space="preserve"> of math anxiety are influenced by multiple interrelated factors. At the personal level, repeated experiences of academic failure, low mathematical self-efficacy, and attributing poor performance to a lack of innate ability serve as significant triggers (</w:t>
      </w:r>
      <w:r>
        <w:rPr>
          <w:rFonts w:hint="eastAsia" w:ascii="Times New Roman" w:hAnsi="Times New Roman" w:cs="Times New Roman"/>
          <w:b w:val="0"/>
          <w:bCs w:val="0"/>
          <w:sz w:val="24"/>
          <w:szCs w:val="24"/>
          <w:lang w:val="en-US" w:eastAsia="zh-CN"/>
        </w:rPr>
        <w:t>Barroso et al., 2021</w:t>
      </w:r>
      <w:r>
        <w:rPr>
          <w:rFonts w:hint="default" w:ascii="Times New Roman" w:hAnsi="Times New Roman" w:cs="Times New Roman"/>
          <w:b w:val="0"/>
          <w:bCs w:val="0"/>
          <w:sz w:val="24"/>
          <w:szCs w:val="24"/>
          <w:lang w:val="en-US" w:eastAsia="zh-CN"/>
        </w:rPr>
        <w:t xml:space="preserve">). On the socio-cultural level, excessively high expectations regarding mathematical achievement from parents and teachers, pervasive societal stereotypes that mathematics requires innate talent, and learning environments that emphasise competition and social comparison rather than comprehension and mastery, further </w:t>
      </w:r>
      <w:r>
        <w:rPr>
          <w:rFonts w:hint="eastAsia" w:ascii="Times New Roman" w:hAnsi="Times New Roman" w:cs="Times New Roman"/>
          <w:b w:val="0"/>
          <w:bCs w:val="0"/>
          <w:sz w:val="24"/>
          <w:szCs w:val="24"/>
          <w:lang w:val="en-US" w:eastAsia="zh-CN"/>
        </w:rPr>
        <w:t>worsen</w:t>
      </w:r>
      <w:r>
        <w:rPr>
          <w:rFonts w:hint="default" w:ascii="Times New Roman" w:hAnsi="Times New Roman" w:cs="Times New Roman"/>
          <w:b w:val="0"/>
          <w:bCs w:val="0"/>
          <w:sz w:val="24"/>
          <w:szCs w:val="24"/>
          <w:lang w:val="en-US" w:eastAsia="zh-CN"/>
        </w:rPr>
        <w:t xml:space="preserve"> students’ negative attitudes towards mathematics (</w:t>
      </w:r>
      <w:r>
        <w:rPr>
          <w:rFonts w:hint="eastAsia" w:ascii="Times New Roman" w:hAnsi="Times New Roman" w:cs="Times New Roman"/>
          <w:b w:val="0"/>
          <w:bCs w:val="0"/>
          <w:sz w:val="24"/>
          <w:szCs w:val="24"/>
          <w:lang w:val="en-US" w:eastAsia="zh-CN"/>
        </w:rPr>
        <w:t>Soni &amp; Kumari, 2017</w:t>
      </w:r>
      <w:r>
        <w:rPr>
          <w:rFonts w:hint="default" w:ascii="Times New Roman" w:hAnsi="Times New Roman" w:cs="Times New Roman"/>
          <w:b w:val="0"/>
          <w:bCs w:val="0"/>
          <w:sz w:val="24"/>
          <w:szCs w:val="24"/>
          <w:lang w:val="en-US" w:eastAsia="zh-CN"/>
        </w:rPr>
        <w:t>). Within examination-oriented education systems—such as those prevalent in East Asian regions including China, Singapore, and South Korea—pedagogical models heavily emphasise high-stakes testing and competitive ranking</w:t>
      </w:r>
      <w:r>
        <w:rPr>
          <w:rFonts w:hint="eastAsia" w:ascii="Times New Roman" w:hAnsi="Times New Roman" w:cs="Times New Roman"/>
          <w:b w:val="0"/>
          <w:bCs w:val="0"/>
          <w:sz w:val="24"/>
          <w:szCs w:val="24"/>
          <w:lang w:val="en-US" w:eastAsia="zh-CN"/>
        </w:rPr>
        <w:t xml:space="preserve"> (Kwok, 2004)</w:t>
      </w:r>
      <w:r>
        <w:rPr>
          <w:rFonts w:hint="default" w:ascii="Times New Roman" w:hAnsi="Times New Roman" w:cs="Times New Roman"/>
          <w:b w:val="0"/>
          <w:bCs w:val="0"/>
          <w:sz w:val="24"/>
          <w:szCs w:val="24"/>
          <w:lang w:val="en-US" w:eastAsia="zh-CN"/>
        </w:rPr>
        <w:t xml:space="preserve">. These structures systematically reinforce students’ fear of making mistakes and over-sensitivity to external evaluation, </w:t>
      </w:r>
      <w:r>
        <w:rPr>
          <w:rFonts w:hint="eastAsia" w:ascii="Times New Roman" w:hAnsi="Times New Roman" w:cs="Times New Roman"/>
          <w:b w:val="0"/>
          <w:bCs w:val="0"/>
          <w:sz w:val="24"/>
          <w:szCs w:val="24"/>
          <w:lang w:val="en-US" w:eastAsia="zh-CN"/>
        </w:rPr>
        <w:t>making</w:t>
      </w:r>
      <w:r>
        <w:rPr>
          <w:rFonts w:hint="default" w:ascii="Times New Roman" w:hAnsi="Times New Roman" w:cs="Times New Roman"/>
          <w:b w:val="0"/>
          <w:bCs w:val="0"/>
          <w:sz w:val="24"/>
          <w:szCs w:val="24"/>
          <w:lang w:val="en-US" w:eastAsia="zh-CN"/>
        </w:rPr>
        <w:t xml:space="preserve"> them adopt avoidance-oriented learning strategies. Consequently, this </w:t>
      </w:r>
      <w:r>
        <w:rPr>
          <w:rFonts w:hint="eastAsia" w:ascii="Times New Roman" w:hAnsi="Times New Roman" w:cs="Times New Roman"/>
          <w:b w:val="0"/>
          <w:bCs w:val="0"/>
          <w:sz w:val="24"/>
          <w:szCs w:val="24"/>
          <w:lang w:val="en-US" w:eastAsia="zh-CN"/>
        </w:rPr>
        <w:t>causes</w:t>
      </w:r>
      <w:r>
        <w:rPr>
          <w:rFonts w:hint="default" w:ascii="Times New Roman" w:hAnsi="Times New Roman" w:cs="Times New Roman"/>
          <w:b w:val="0"/>
          <w:bCs w:val="0"/>
          <w:sz w:val="24"/>
          <w:szCs w:val="24"/>
          <w:lang w:val="en-US" w:eastAsia="zh-CN"/>
        </w:rPr>
        <w:t xml:space="preserve"> a vicious cycle whereby anxiety leads to avoidance, which in turn results in poorer performance and further exacerbates anxiety (OECD, 20</w:t>
      </w:r>
      <w:r>
        <w:rPr>
          <w:rFonts w:hint="eastAsia" w:ascii="Times New Roman" w:hAnsi="Times New Roman" w:cs="Times New Roman"/>
          <w:b w:val="0"/>
          <w:bCs w:val="0"/>
          <w:sz w:val="24"/>
          <w:szCs w:val="24"/>
          <w:lang w:val="en-US" w:eastAsia="zh-CN"/>
        </w:rPr>
        <w:t>23</w:t>
      </w:r>
      <w:r>
        <w:rPr>
          <w:rFonts w:hint="default" w:ascii="Times New Roman" w:hAnsi="Times New Roman" w:cs="Times New Roman"/>
          <w:b w:val="0"/>
          <w:bCs w:val="0"/>
          <w:sz w:val="24"/>
          <w:szCs w:val="24"/>
          <w:lang w:val="en-US" w:eastAsia="zh-CN"/>
        </w:rPr>
        <w:t>; Sevinç &amp; Backus, 20</w:t>
      </w:r>
      <w:r>
        <w:rPr>
          <w:rFonts w:hint="eastAsia" w:ascii="Times New Roman" w:hAnsi="Times New Roman" w:cs="Times New Roman"/>
          <w:b w:val="0"/>
          <w:bCs w:val="0"/>
          <w:sz w:val="24"/>
          <w:szCs w:val="24"/>
          <w:lang w:val="en-US" w:eastAsia="zh-CN"/>
        </w:rPr>
        <w:t>19</w:t>
      </w:r>
      <w:r>
        <w:rPr>
          <w:rFonts w:hint="default" w:ascii="Times New Roman" w:hAnsi="Times New Roman" w:cs="Times New Roman"/>
          <w:b w:val="0"/>
          <w:bCs w:val="0"/>
          <w:sz w:val="24"/>
          <w:szCs w:val="24"/>
          <w:lang w:val="en-US" w:eastAsia="zh-CN"/>
        </w:rPr>
        <w:t xml:space="preserve">). Together, these factors interact to form a complex psychosocial mechanism that </w:t>
      </w:r>
      <w:r>
        <w:rPr>
          <w:rFonts w:hint="eastAsia" w:ascii="Times New Roman" w:hAnsi="Times New Roman" w:cs="Times New Roman"/>
          <w:b w:val="0"/>
          <w:bCs w:val="0"/>
          <w:sz w:val="24"/>
          <w:szCs w:val="24"/>
          <w:lang w:val="en-US" w:eastAsia="zh-CN"/>
        </w:rPr>
        <w:t>leads to</w:t>
      </w:r>
      <w:r>
        <w:rPr>
          <w:rFonts w:hint="default" w:ascii="Times New Roman" w:hAnsi="Times New Roman" w:cs="Times New Roman"/>
          <w:b w:val="0"/>
          <w:bCs w:val="0"/>
          <w:sz w:val="24"/>
          <w:szCs w:val="24"/>
          <w:lang w:val="en-US" w:eastAsia="zh-CN"/>
        </w:rPr>
        <w:t xml:space="preserve"> the emergence and maintenance of mathematics anxiety.</w:t>
      </w:r>
    </w:p>
    <w:p w14:paraId="35C9997F">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i/>
          <w:iCs/>
          <w:sz w:val="24"/>
          <w:szCs w:val="24"/>
          <w:lang w:val="en-US" w:eastAsia="zh-CN"/>
        </w:rPr>
      </w:pPr>
      <w:r>
        <w:rPr>
          <w:rFonts w:hint="eastAsia" w:ascii="Times New Roman" w:hAnsi="Times New Roman" w:cs="Times New Roman"/>
          <w:b/>
          <w:bCs/>
          <w:i/>
          <w:iCs/>
          <w:sz w:val="24"/>
          <w:szCs w:val="24"/>
          <w:lang w:val="en-US" w:eastAsia="zh-CN"/>
        </w:rPr>
        <w:t>The Effects of Math Anxiety</w:t>
      </w:r>
    </w:p>
    <w:p w14:paraId="3F95BC2E">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The detrimental effects of mathematics anxiety are extensive and profound, permeating cognitive, behavioural, psychological, and physiological domains. Cognitively and academically, it consumes substantial working memory resources, leading to mental rigidity and attentional dispersion, thereby directly impairing </w:t>
      </w:r>
      <w:r>
        <w:rPr>
          <w:rFonts w:hint="eastAsia" w:ascii="Times New Roman" w:hAnsi="Times New Roman" w:cs="Times New Roman"/>
          <w:b w:val="0"/>
          <w:bCs w:val="0"/>
          <w:sz w:val="24"/>
          <w:szCs w:val="24"/>
          <w:lang w:val="en-US" w:eastAsia="zh-CN"/>
        </w:rPr>
        <w:t xml:space="preserve">the ability of solving </w:t>
      </w:r>
      <w:r>
        <w:rPr>
          <w:rFonts w:hint="default" w:ascii="Times New Roman" w:hAnsi="Times New Roman" w:cs="Times New Roman"/>
          <w:b w:val="0"/>
          <w:bCs w:val="0"/>
          <w:sz w:val="24"/>
          <w:szCs w:val="24"/>
          <w:lang w:val="en-US" w:eastAsia="zh-CN"/>
        </w:rPr>
        <w:t>mathematical problem</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and logical reasoning efficiency, and </w:t>
      </w:r>
      <w:r>
        <w:rPr>
          <w:rFonts w:hint="eastAsia" w:ascii="Times New Roman" w:hAnsi="Times New Roman" w:cs="Times New Roman"/>
          <w:b w:val="0"/>
          <w:bCs w:val="0"/>
          <w:sz w:val="24"/>
          <w:szCs w:val="24"/>
          <w:lang w:val="en-US" w:eastAsia="zh-CN"/>
        </w:rPr>
        <w:t xml:space="preserve">then </w:t>
      </w:r>
      <w:r>
        <w:rPr>
          <w:rFonts w:hint="default" w:ascii="Times New Roman" w:hAnsi="Times New Roman" w:cs="Times New Roman"/>
          <w:b w:val="0"/>
          <w:bCs w:val="0"/>
          <w:sz w:val="24"/>
          <w:szCs w:val="24"/>
          <w:lang w:val="en-US" w:eastAsia="zh-CN"/>
        </w:rPr>
        <w:t>resulting in significantly diminished academic performance (Maloney, 20</w:t>
      </w:r>
      <w:r>
        <w:rPr>
          <w:rFonts w:hint="eastAsia" w:ascii="Times New Roman" w:hAnsi="Times New Roman" w:cs="Times New Roman"/>
          <w:b w:val="0"/>
          <w:bCs w:val="0"/>
          <w:sz w:val="24"/>
          <w:szCs w:val="24"/>
          <w:lang w:val="en-US" w:eastAsia="zh-CN"/>
        </w:rPr>
        <w:t>16</w:t>
      </w:r>
      <w:r>
        <w:rPr>
          <w:rFonts w:hint="default" w:ascii="Times New Roman" w:hAnsi="Times New Roman" w:cs="Times New Roman"/>
          <w:b w:val="0"/>
          <w:bCs w:val="0"/>
          <w:sz w:val="24"/>
          <w:szCs w:val="24"/>
          <w:lang w:val="en-US" w:eastAsia="zh-CN"/>
        </w:rPr>
        <w:t>; OECD, 202</w:t>
      </w:r>
      <w:r>
        <w:rPr>
          <w:rFonts w:hint="eastAsia" w:ascii="Times New Roman" w:hAnsi="Times New Roman" w:cs="Times New Roman"/>
          <w:b w:val="0"/>
          <w:bCs w:val="0"/>
          <w:sz w:val="24"/>
          <w:szCs w:val="24"/>
          <w:lang w:val="en-US" w:eastAsia="zh-CN"/>
        </w:rPr>
        <w:t>3</w:t>
      </w:r>
      <w:r>
        <w:rPr>
          <w:rFonts w:hint="default" w:ascii="Times New Roman" w:hAnsi="Times New Roman" w:cs="Times New Roman"/>
          <w:b w:val="0"/>
          <w:bCs w:val="0"/>
          <w:sz w:val="24"/>
          <w:szCs w:val="24"/>
          <w:lang w:val="en-US" w:eastAsia="zh-CN"/>
        </w:rPr>
        <w:t xml:space="preserve">). On a psychological and emotional level, persistent mathematics anxiety readily evokes intense </w:t>
      </w:r>
      <w:r>
        <w:rPr>
          <w:rFonts w:hint="eastAsia" w:ascii="Times New Roman" w:hAnsi="Times New Roman" w:cs="Times New Roman"/>
          <w:b w:val="0"/>
          <w:bCs w:val="0"/>
          <w:sz w:val="24"/>
          <w:szCs w:val="24"/>
          <w:lang w:val="en-US" w:eastAsia="zh-CN"/>
        </w:rPr>
        <w:t>students</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frustration, self-doubt, and even learned helplessness, substantially damaging students’ academic self-concept and overall mental well-being (</w:t>
      </w:r>
      <w:r>
        <w:rPr>
          <w:rFonts w:hint="eastAsia" w:ascii="Times New Roman" w:hAnsi="Times New Roman" w:cs="Times New Roman"/>
          <w:b w:val="0"/>
          <w:bCs w:val="0"/>
          <w:sz w:val="24"/>
          <w:szCs w:val="24"/>
          <w:lang w:val="en-US" w:eastAsia="zh-CN"/>
        </w:rPr>
        <w:t>Suhag &amp; Taswar</w:t>
      </w:r>
      <w:r>
        <w:rPr>
          <w:rFonts w:hint="default" w:ascii="Times New Roman" w:hAnsi="Times New Roman" w:cs="Times New Roman"/>
          <w:b w:val="0"/>
          <w:bCs w:val="0"/>
          <w:sz w:val="24"/>
          <w:szCs w:val="24"/>
          <w:lang w:val="en-US" w:eastAsia="zh-CN"/>
        </w:rPr>
        <w:t>, 20</w:t>
      </w:r>
      <w:r>
        <w:rPr>
          <w:rFonts w:hint="eastAsia" w:ascii="Times New Roman" w:hAnsi="Times New Roman" w:cs="Times New Roman"/>
          <w:b w:val="0"/>
          <w:bCs w:val="0"/>
          <w:sz w:val="24"/>
          <w:szCs w:val="24"/>
          <w:lang w:val="en-US" w:eastAsia="zh-CN"/>
        </w:rPr>
        <w:t>25</w:t>
      </w:r>
      <w:r>
        <w:rPr>
          <w:rFonts w:hint="default" w:ascii="Times New Roman" w:hAnsi="Times New Roman" w:cs="Times New Roman"/>
          <w:b w:val="0"/>
          <w:bCs w:val="0"/>
          <w:sz w:val="24"/>
          <w:szCs w:val="24"/>
          <w:lang w:val="en-US" w:eastAsia="zh-CN"/>
        </w:rPr>
        <w:t xml:space="preserve">). This is often accompanied by </w:t>
      </w:r>
      <w:r>
        <w:rPr>
          <w:rFonts w:hint="eastAsia" w:ascii="Times New Roman" w:hAnsi="Times New Roman" w:cs="Times New Roman"/>
          <w:b w:val="0"/>
          <w:bCs w:val="0"/>
          <w:sz w:val="24"/>
          <w:szCs w:val="24"/>
          <w:lang w:val="en-US" w:eastAsia="zh-CN"/>
        </w:rPr>
        <w:t>physical</w:t>
      </w:r>
      <w:r>
        <w:rPr>
          <w:rFonts w:hint="default" w:ascii="Times New Roman" w:hAnsi="Times New Roman" w:cs="Times New Roman"/>
          <w:b w:val="0"/>
          <w:bCs w:val="0"/>
          <w:sz w:val="24"/>
          <w:szCs w:val="24"/>
          <w:lang w:val="en-US" w:eastAsia="zh-CN"/>
        </w:rPr>
        <w:t xml:space="preserve"> responses, including noticeable psychosomatic symptoms such as accelerated heart rate, palmar sweating, and nausea during mathematical examinations or when participating in class (Finlayson, 201</w:t>
      </w:r>
      <w:r>
        <w:rPr>
          <w:rFonts w:hint="eastAsia" w:ascii="Times New Roman" w:hAnsi="Times New Roman" w:cs="Times New Roman"/>
          <w:b w:val="0"/>
          <w:bCs w:val="0"/>
          <w:sz w:val="24"/>
          <w:szCs w:val="24"/>
          <w:lang w:val="en-US" w:eastAsia="zh-CN"/>
        </w:rPr>
        <w:t>4</w:t>
      </w:r>
      <w:r>
        <w:rPr>
          <w:rFonts w:hint="default" w:ascii="Times New Roman" w:hAnsi="Times New Roman" w:cs="Times New Roman"/>
          <w:b w:val="0"/>
          <w:bCs w:val="0"/>
          <w:sz w:val="24"/>
          <w:szCs w:val="24"/>
          <w:lang w:val="en-US" w:eastAsia="zh-CN"/>
        </w:rPr>
        <w:t xml:space="preserve">). These </w:t>
      </w:r>
      <w:r>
        <w:rPr>
          <w:rFonts w:hint="eastAsia" w:ascii="Times New Roman" w:hAnsi="Times New Roman" w:cs="Times New Roman"/>
          <w:b w:val="0"/>
          <w:bCs w:val="0"/>
          <w:sz w:val="24"/>
          <w:szCs w:val="24"/>
          <w:lang w:val="en-US" w:eastAsia="zh-CN"/>
        </w:rPr>
        <w:t>heavy</w:t>
      </w:r>
      <w:r>
        <w:rPr>
          <w:rFonts w:hint="default" w:ascii="Times New Roman" w:hAnsi="Times New Roman" w:cs="Times New Roman"/>
          <w:b w:val="0"/>
          <w:bCs w:val="0"/>
          <w:sz w:val="24"/>
          <w:szCs w:val="24"/>
          <w:lang w:val="en-US" w:eastAsia="zh-CN"/>
        </w:rPr>
        <w:t xml:space="preserve"> experiences reinforce avoidance behaviours—such as evading mathematics homework, declining to enrol in related courses, and readily surrendering in the face of challenges. Ultimately, this condition severely </w:t>
      </w:r>
      <w:r>
        <w:rPr>
          <w:rFonts w:hint="eastAsia" w:ascii="Times New Roman" w:hAnsi="Times New Roman" w:cs="Times New Roman"/>
          <w:b w:val="0"/>
          <w:bCs w:val="0"/>
          <w:sz w:val="24"/>
          <w:szCs w:val="24"/>
          <w:lang w:val="en-US" w:eastAsia="zh-CN"/>
        </w:rPr>
        <w:t>reduces</w:t>
      </w:r>
      <w:r>
        <w:rPr>
          <w:rFonts w:hint="default" w:ascii="Times New Roman" w:hAnsi="Times New Roman" w:cs="Times New Roman"/>
          <w:b w:val="0"/>
          <w:bCs w:val="0"/>
          <w:sz w:val="24"/>
          <w:szCs w:val="24"/>
          <w:lang w:val="en-US" w:eastAsia="zh-CN"/>
        </w:rPr>
        <w:t xml:space="preserve"> intrinsic motivation, framing mathematics learning as an externally imposed threat, and may lead students to </w:t>
      </w:r>
      <w:r>
        <w:rPr>
          <w:rFonts w:hint="eastAsia" w:ascii="Times New Roman" w:hAnsi="Times New Roman" w:cs="Times New Roman"/>
          <w:b w:val="0"/>
          <w:bCs w:val="0"/>
          <w:sz w:val="24"/>
          <w:szCs w:val="24"/>
          <w:lang w:val="en-US" w:eastAsia="zh-CN"/>
        </w:rPr>
        <w:t>difficultly get involved</w:t>
      </w:r>
      <w:r>
        <w:rPr>
          <w:rFonts w:hint="default" w:ascii="Times New Roman" w:hAnsi="Times New Roman" w:cs="Times New Roman"/>
          <w:b w:val="0"/>
          <w:bCs w:val="0"/>
          <w:sz w:val="24"/>
          <w:szCs w:val="24"/>
          <w:lang w:val="en-US" w:eastAsia="zh-CN"/>
        </w:rPr>
        <w:t xml:space="preserve"> in STEM (Science, Technology, Engineering, and Mathematics) fields, incurring long-term negative consequences for individual development and the broader talent landscape (Wang et al., 2023).</w:t>
      </w:r>
    </w:p>
    <w:p w14:paraId="16F4D7AF">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Growth Mindset</w:t>
      </w:r>
    </w:p>
    <w:p w14:paraId="79E49A67">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bCs/>
          <w:i/>
          <w:iCs/>
          <w:sz w:val="24"/>
          <w:szCs w:val="24"/>
          <w:lang w:val="en-US" w:eastAsia="zh-CN"/>
        </w:rPr>
      </w:pPr>
      <w:r>
        <w:rPr>
          <w:rFonts w:hint="eastAsia" w:ascii="Times New Roman" w:hAnsi="Times New Roman" w:cs="Times New Roman"/>
          <w:b/>
          <w:bCs/>
          <w:i/>
          <w:iCs/>
          <w:sz w:val="24"/>
          <w:szCs w:val="24"/>
          <w:lang w:val="en-US" w:eastAsia="zh-CN"/>
        </w:rPr>
        <w:t>Growth Mindset Theory</w:t>
      </w:r>
    </w:p>
    <w:p w14:paraId="4D1C181F">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G</w:t>
      </w:r>
      <w:r>
        <w:rPr>
          <w:rFonts w:hint="default" w:ascii="Times New Roman" w:hAnsi="Times New Roman" w:cs="Times New Roman"/>
          <w:b w:val="0"/>
          <w:bCs w:val="0"/>
          <w:sz w:val="24"/>
          <w:szCs w:val="24"/>
          <w:lang w:val="en-US" w:eastAsia="zh-CN"/>
        </w:rPr>
        <w:t>rowth mindset</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refers to the belief that one’s abilities can be developed through effort, strategic adjustment, and learning. This stands in contrast to a fixed mindset, which regards ability as innate and largely unchangeable</w:t>
      </w:r>
      <w:r>
        <w:rPr>
          <w:rFonts w:hint="eastAsia" w:ascii="Times New Roman" w:hAnsi="Times New Roman" w:cs="Times New Roman"/>
          <w:b w:val="0"/>
          <w:bCs w:val="0"/>
          <w:sz w:val="24"/>
          <w:szCs w:val="24"/>
          <w:lang w:val="en-US" w:eastAsia="zh-CN"/>
        </w:rPr>
        <w:t xml:space="preserve"> (Dweck, 2006)</w:t>
      </w:r>
      <w:r>
        <w:rPr>
          <w:rFonts w:hint="default" w:ascii="Times New Roman" w:hAnsi="Times New Roman" w:cs="Times New Roman"/>
          <w:b w:val="0"/>
          <w:bCs w:val="0"/>
          <w:sz w:val="24"/>
          <w:szCs w:val="24"/>
          <w:lang w:val="en-US" w:eastAsia="zh-CN"/>
        </w:rPr>
        <w:t>. Within mathematics learning, growth mindset encourages students to perceive challenges as opportunities for development and to attribute setbacks to insufficient effort rather than inherent incapability</w:t>
      </w:r>
      <w:r>
        <w:rPr>
          <w:rFonts w:hint="eastAsia" w:ascii="Times New Roman" w:hAnsi="Times New Roman" w:cs="Times New Roman"/>
          <w:b w:val="0"/>
          <w:bCs w:val="0"/>
          <w:sz w:val="24"/>
          <w:szCs w:val="24"/>
          <w:lang w:val="en-US" w:eastAsia="zh-CN"/>
        </w:rPr>
        <w:t xml:space="preserve"> (Samuel &amp; Warner, 2021).</w:t>
      </w:r>
      <w:r>
        <w:rPr>
          <w:rFonts w:hint="default" w:ascii="Times New Roman" w:hAnsi="Times New Roman" w:cs="Times New Roman"/>
          <w:b w:val="0"/>
          <w:bCs w:val="0"/>
          <w:sz w:val="24"/>
          <w:szCs w:val="24"/>
          <w:lang w:val="en-US" w:eastAsia="zh-CN"/>
        </w:rPr>
        <w:t xml:space="preserve"> As a result, individuals are more likely to persist with tasks, employ deeper learning strategies, and actively seek feedback. Empirical studies indicate that students who adopt growth mindset not only achieve better outcomes in mathematics but also exhibit lower levels of anxiety when encountering difficulties, alongside significantly stronger learning motivation and self-regulatory capacity (Dweck, 2006; </w:t>
      </w:r>
      <w:r>
        <w:rPr>
          <w:rFonts w:hint="eastAsia" w:ascii="Times New Roman" w:hAnsi="Times New Roman" w:cs="Times New Roman"/>
          <w:b w:val="0"/>
          <w:bCs w:val="0"/>
          <w:sz w:val="24"/>
          <w:szCs w:val="24"/>
          <w:lang w:val="en-US" w:eastAsia="zh-CN"/>
        </w:rPr>
        <w:t>Clark, 2021</w:t>
      </w:r>
      <w:r>
        <w:rPr>
          <w:rFonts w:hint="default" w:ascii="Times New Roman" w:hAnsi="Times New Roman" w:cs="Times New Roman"/>
          <w:b w:val="0"/>
          <w:bCs w:val="0"/>
          <w:sz w:val="24"/>
          <w:szCs w:val="24"/>
          <w:lang w:val="en-US" w:eastAsia="zh-CN"/>
        </w:rPr>
        <w:t>).</w:t>
      </w:r>
    </w:p>
    <w:p w14:paraId="3A116203">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i/>
          <w:iCs/>
          <w:sz w:val="24"/>
          <w:szCs w:val="24"/>
          <w:lang w:val="en-US" w:eastAsia="zh-CN"/>
        </w:rPr>
      </w:pPr>
      <w:r>
        <w:rPr>
          <w:rFonts w:hint="eastAsia" w:ascii="Times New Roman" w:hAnsi="Times New Roman" w:cs="Times New Roman"/>
          <w:b/>
          <w:bCs/>
          <w:i/>
          <w:iCs/>
          <w:sz w:val="24"/>
          <w:szCs w:val="24"/>
          <w:lang w:val="en-US" w:eastAsia="zh-CN"/>
        </w:rPr>
        <w:t>G</w:t>
      </w:r>
      <w:r>
        <w:rPr>
          <w:rFonts w:hint="default" w:ascii="Times New Roman" w:hAnsi="Times New Roman" w:cs="Times New Roman"/>
          <w:b/>
          <w:bCs/>
          <w:i/>
          <w:iCs/>
          <w:sz w:val="24"/>
          <w:szCs w:val="24"/>
          <w:lang w:val="en-US" w:eastAsia="zh-CN"/>
        </w:rPr>
        <w:t xml:space="preserve">rowth </w:t>
      </w:r>
      <w:r>
        <w:rPr>
          <w:rFonts w:hint="eastAsia" w:ascii="Times New Roman" w:hAnsi="Times New Roman" w:cs="Times New Roman"/>
          <w:b/>
          <w:bCs/>
          <w:i/>
          <w:iCs/>
          <w:sz w:val="24"/>
          <w:szCs w:val="24"/>
          <w:lang w:val="en-US" w:eastAsia="zh-CN"/>
        </w:rPr>
        <w:t>M</w:t>
      </w:r>
      <w:r>
        <w:rPr>
          <w:rFonts w:hint="default" w:ascii="Times New Roman" w:hAnsi="Times New Roman" w:cs="Times New Roman"/>
          <w:b/>
          <w:bCs/>
          <w:i/>
          <w:iCs/>
          <w:sz w:val="24"/>
          <w:szCs w:val="24"/>
          <w:lang w:val="en-US" w:eastAsia="zh-CN"/>
        </w:rPr>
        <w:t xml:space="preserve">indset </w:t>
      </w:r>
      <w:r>
        <w:rPr>
          <w:rFonts w:hint="eastAsia" w:ascii="Times New Roman" w:hAnsi="Times New Roman" w:cs="Times New Roman"/>
          <w:b/>
          <w:bCs/>
          <w:i/>
          <w:iCs/>
          <w:sz w:val="24"/>
          <w:szCs w:val="24"/>
          <w:lang w:val="en-US" w:eastAsia="zh-CN"/>
        </w:rPr>
        <w:t>A</w:t>
      </w:r>
      <w:r>
        <w:rPr>
          <w:rFonts w:hint="default" w:ascii="Times New Roman" w:hAnsi="Times New Roman" w:cs="Times New Roman"/>
          <w:b/>
          <w:bCs/>
          <w:i/>
          <w:iCs/>
          <w:sz w:val="24"/>
          <w:szCs w:val="24"/>
          <w:lang w:val="en-US" w:eastAsia="zh-CN"/>
        </w:rPr>
        <w:t>lleviate</w:t>
      </w:r>
      <w:r>
        <w:rPr>
          <w:rFonts w:hint="eastAsia" w:ascii="Times New Roman" w:hAnsi="Times New Roman" w:cs="Times New Roman"/>
          <w:b/>
          <w:bCs/>
          <w:i/>
          <w:iCs/>
          <w:sz w:val="24"/>
          <w:szCs w:val="24"/>
          <w:lang w:val="en-US" w:eastAsia="zh-CN"/>
        </w:rPr>
        <w:t>s</w:t>
      </w:r>
      <w:r>
        <w:rPr>
          <w:rFonts w:hint="default" w:ascii="Times New Roman" w:hAnsi="Times New Roman" w:cs="Times New Roman"/>
          <w:b/>
          <w:bCs/>
          <w:i/>
          <w:iCs/>
          <w:sz w:val="24"/>
          <w:szCs w:val="24"/>
          <w:lang w:val="en-US" w:eastAsia="zh-CN"/>
        </w:rPr>
        <w:t xml:space="preserve"> </w:t>
      </w:r>
      <w:r>
        <w:rPr>
          <w:rFonts w:hint="eastAsia" w:ascii="Times New Roman" w:hAnsi="Times New Roman" w:cs="Times New Roman"/>
          <w:b/>
          <w:bCs/>
          <w:i/>
          <w:iCs/>
          <w:sz w:val="24"/>
          <w:szCs w:val="24"/>
          <w:lang w:val="en-US" w:eastAsia="zh-CN"/>
        </w:rPr>
        <w:t>M</w:t>
      </w:r>
      <w:r>
        <w:rPr>
          <w:rFonts w:hint="default" w:ascii="Times New Roman" w:hAnsi="Times New Roman" w:cs="Times New Roman"/>
          <w:b/>
          <w:bCs/>
          <w:i/>
          <w:iCs/>
          <w:sz w:val="24"/>
          <w:szCs w:val="24"/>
          <w:lang w:val="en-US" w:eastAsia="zh-CN"/>
        </w:rPr>
        <w:t xml:space="preserve">ath </w:t>
      </w:r>
      <w:r>
        <w:rPr>
          <w:rFonts w:hint="eastAsia" w:ascii="Times New Roman" w:hAnsi="Times New Roman" w:cs="Times New Roman"/>
          <w:b/>
          <w:bCs/>
          <w:i/>
          <w:iCs/>
          <w:sz w:val="24"/>
          <w:szCs w:val="24"/>
          <w:lang w:val="en-US" w:eastAsia="zh-CN"/>
        </w:rPr>
        <w:t>A</w:t>
      </w:r>
      <w:r>
        <w:rPr>
          <w:rFonts w:hint="default" w:ascii="Times New Roman" w:hAnsi="Times New Roman" w:cs="Times New Roman"/>
          <w:b/>
          <w:bCs/>
          <w:i/>
          <w:iCs/>
          <w:sz w:val="24"/>
          <w:szCs w:val="24"/>
          <w:lang w:val="en-US" w:eastAsia="zh-CN"/>
        </w:rPr>
        <w:t>nxiety</w:t>
      </w:r>
      <w:r>
        <w:rPr>
          <w:rFonts w:hint="eastAsia" w:ascii="Times New Roman" w:hAnsi="Times New Roman" w:cs="Times New Roman"/>
          <w:b/>
          <w:bCs/>
          <w:i/>
          <w:iCs/>
          <w:sz w:val="24"/>
          <w:szCs w:val="24"/>
          <w:lang w:val="en-US" w:eastAsia="zh-CN"/>
        </w:rPr>
        <w:t xml:space="preserve"> in Western Countries</w:t>
      </w:r>
    </w:p>
    <w:p w14:paraId="4A7C60BF">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Substantial empirical evidence from Western educational contexts consistently indicates that growth mindset exerts a significant mitigating effect on mathematics anxiety, with studies consistently reporting a </w:t>
      </w:r>
      <w:r>
        <w:rPr>
          <w:rFonts w:hint="eastAsia" w:ascii="Times New Roman" w:hAnsi="Times New Roman" w:cs="Times New Roman"/>
          <w:b w:val="0"/>
          <w:bCs w:val="0"/>
          <w:sz w:val="24"/>
          <w:szCs w:val="24"/>
          <w:lang w:val="en-US" w:eastAsia="zh-CN"/>
        </w:rPr>
        <w:t>negative</w:t>
      </w:r>
      <w:r>
        <w:rPr>
          <w:rFonts w:hint="default" w:ascii="Times New Roman" w:hAnsi="Times New Roman" w:cs="Times New Roman"/>
          <w:b w:val="0"/>
          <w:bCs w:val="0"/>
          <w:sz w:val="24"/>
          <w:szCs w:val="24"/>
          <w:lang w:val="en-US" w:eastAsia="zh-CN"/>
        </w:rPr>
        <w:t xml:space="preserve"> relationship between these constructs. For instance, an intervention study conducted by Peterman and Ewing (2019) demonstrated that secondary school students in the United States who underwent growth mindset training exhibited a statistically significant 19% reduction in mathematics anxiety symptoms. Further supporting this correlation, longitudinal research by Orbach</w:t>
      </w:r>
      <w:r>
        <w:rPr>
          <w:rFonts w:hint="eastAsia" w:ascii="Times New Roman" w:hAnsi="Times New Roman" w:cs="Times New Roman"/>
          <w:b w:val="0"/>
          <w:bCs w:val="0"/>
          <w:sz w:val="24"/>
          <w:szCs w:val="24"/>
          <w:lang w:val="en-US" w:eastAsia="zh-CN"/>
        </w:rPr>
        <w:t xml:space="preserve"> and</w:t>
      </w:r>
      <w:r>
        <w:rPr>
          <w:rFonts w:hint="default" w:ascii="Times New Roman" w:hAnsi="Times New Roman" w:cs="Times New Roman"/>
          <w:b w:val="0"/>
          <w:bCs w:val="0"/>
          <w:sz w:val="24"/>
          <w:szCs w:val="24"/>
          <w:lang w:val="en-US" w:eastAsia="zh-CN"/>
        </w:rPr>
        <w:t xml:space="preserve"> Fritz</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(202</w:t>
      </w:r>
      <w:r>
        <w:rPr>
          <w:rFonts w:hint="eastAsia" w:ascii="Times New Roman" w:hAnsi="Times New Roman" w:cs="Times New Roman"/>
          <w:b w:val="0"/>
          <w:bCs w:val="0"/>
          <w:sz w:val="24"/>
          <w:szCs w:val="24"/>
          <w:lang w:val="en-US" w:eastAsia="zh-CN"/>
        </w:rPr>
        <w:t>2</w:t>
      </w:r>
      <w:r>
        <w:rPr>
          <w:rFonts w:hint="default" w:ascii="Times New Roman" w:hAnsi="Times New Roman" w:cs="Times New Roman"/>
          <w:b w:val="0"/>
          <w:bCs w:val="0"/>
          <w:sz w:val="24"/>
          <w:szCs w:val="24"/>
          <w:lang w:val="en-US" w:eastAsia="zh-CN"/>
        </w:rPr>
        <w:t>) conducted within the German educational system established that growth mindset scores served as a robust negative predictor of mathematics anxiety levels measured one year later, indicating durable protective effects. The underlying cognitive mechanism appears to operate through attributional restructuring, whereby academic setbacks are reframed as opportunities for development rather than reflections of fixed ability deficits. This reattribution reduces perceived threat during mathematical engagement and consequently attenuates anxiety responses at both physiological and cognitive levels (Ibrahim et al., 202</w:t>
      </w:r>
      <w:r>
        <w:rPr>
          <w:rFonts w:hint="eastAsia" w:ascii="Times New Roman" w:hAnsi="Times New Roman" w:cs="Times New Roman"/>
          <w:b w:val="0"/>
          <w:bCs w:val="0"/>
          <w:sz w:val="24"/>
          <w:szCs w:val="24"/>
          <w:lang w:val="en-US" w:eastAsia="zh-CN"/>
        </w:rPr>
        <w:t>5)</w:t>
      </w:r>
      <w:r>
        <w:rPr>
          <w:rFonts w:hint="default" w:ascii="Times New Roman" w:hAnsi="Times New Roman" w:cs="Times New Roman"/>
          <w:b w:val="0"/>
          <w:bCs w:val="0"/>
          <w:sz w:val="24"/>
          <w:szCs w:val="24"/>
          <w:lang w:val="en-US" w:eastAsia="zh-CN"/>
        </w:rPr>
        <w:t>. These collective findings substantiate that growth mindset not only correlates inversely with mathematics anxiety but also demonstrates measurable efficacy as an interventional strategy for its reduction.</w:t>
      </w:r>
    </w:p>
    <w:p w14:paraId="7670C6B5">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Specificity and Complexity in the Chinese Context</w:t>
      </w:r>
    </w:p>
    <w:p w14:paraId="75075076">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bCs/>
          <w:i/>
          <w:iCs/>
          <w:sz w:val="24"/>
          <w:szCs w:val="24"/>
          <w:u w:val="none"/>
          <w:lang w:val="en-US" w:eastAsia="zh-CN"/>
        </w:rPr>
      </w:pPr>
      <w:r>
        <w:rPr>
          <w:rFonts w:hint="default" w:ascii="Times New Roman" w:hAnsi="Times New Roman" w:cs="Times New Roman"/>
          <w:b/>
          <w:bCs/>
          <w:i/>
          <w:iCs/>
          <w:sz w:val="24"/>
          <w:szCs w:val="24"/>
          <w:u w:val="none"/>
          <w:lang w:val="en-US" w:eastAsia="zh-CN"/>
        </w:rPr>
        <w:t xml:space="preserve">Cultural </w:t>
      </w:r>
      <w:r>
        <w:rPr>
          <w:rFonts w:hint="eastAsia" w:ascii="Times New Roman" w:hAnsi="Times New Roman" w:cs="Times New Roman"/>
          <w:b/>
          <w:bCs/>
          <w:i/>
          <w:iCs/>
          <w:sz w:val="24"/>
          <w:szCs w:val="24"/>
          <w:u w:val="none"/>
          <w:lang w:val="en-US" w:eastAsia="zh-CN"/>
        </w:rPr>
        <w:t>B</w:t>
      </w:r>
      <w:r>
        <w:rPr>
          <w:rFonts w:hint="default" w:ascii="Times New Roman" w:hAnsi="Times New Roman" w:cs="Times New Roman"/>
          <w:b/>
          <w:bCs/>
          <w:i/>
          <w:iCs/>
          <w:sz w:val="24"/>
          <w:szCs w:val="24"/>
          <w:u w:val="none"/>
          <w:lang w:val="en-US" w:eastAsia="zh-CN"/>
        </w:rPr>
        <w:t xml:space="preserve">ackground </w:t>
      </w:r>
      <w:r>
        <w:rPr>
          <w:rFonts w:hint="eastAsia" w:ascii="Times New Roman" w:hAnsi="Times New Roman" w:cs="Times New Roman"/>
          <w:b/>
          <w:bCs/>
          <w:i/>
          <w:iCs/>
          <w:sz w:val="24"/>
          <w:szCs w:val="24"/>
          <w:u w:val="none"/>
          <w:lang w:val="en-US" w:eastAsia="zh-CN"/>
        </w:rPr>
        <w:t>D</w:t>
      </w:r>
      <w:r>
        <w:rPr>
          <w:rFonts w:hint="default" w:ascii="Times New Roman" w:hAnsi="Times New Roman" w:cs="Times New Roman"/>
          <w:b/>
          <w:bCs/>
          <w:i/>
          <w:iCs/>
          <w:sz w:val="24"/>
          <w:szCs w:val="24"/>
          <w:u w:val="none"/>
          <w:lang w:val="en-US" w:eastAsia="zh-CN"/>
        </w:rPr>
        <w:t>ifferences</w:t>
      </w:r>
    </w:p>
    <w:p w14:paraId="0CEF3561">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Current empirical research on the relationship between growth mindset and math anxiety is predominantly situated within Western individualistic cultural contexts (Dweck, 2006; </w:t>
      </w:r>
      <w:r>
        <w:rPr>
          <w:rFonts w:hint="eastAsia" w:ascii="Times New Roman" w:hAnsi="Times New Roman" w:cs="Times New Roman"/>
          <w:b w:val="0"/>
          <w:bCs w:val="0"/>
          <w:sz w:val="24"/>
          <w:szCs w:val="24"/>
          <w:lang w:val="en-US" w:eastAsia="zh-CN"/>
        </w:rPr>
        <w:t>Dong &amp; Kang, 2022</w:t>
      </w:r>
      <w:r>
        <w:rPr>
          <w:rFonts w:hint="default" w:ascii="Times New Roman" w:hAnsi="Times New Roman" w:cs="Times New Roman"/>
          <w:b w:val="0"/>
          <w:bCs w:val="0"/>
          <w:sz w:val="24"/>
          <w:szCs w:val="24"/>
          <w:lang w:val="en-US" w:eastAsia="zh-CN"/>
        </w:rPr>
        <w:t>), and the generalisability of its findings to collectivist societies such as China remains uncertain. Chinese society, profoundly influenced by Confucian values, emphasises social harmony, collective goals, and external evaluation (Li, 20</w:t>
      </w:r>
      <w:r>
        <w:rPr>
          <w:rFonts w:hint="eastAsia" w:ascii="Times New Roman" w:hAnsi="Times New Roman" w:cs="Times New Roman"/>
          <w:b w:val="0"/>
          <w:bCs w:val="0"/>
          <w:sz w:val="24"/>
          <w:szCs w:val="24"/>
          <w:lang w:val="en-US" w:eastAsia="zh-CN"/>
        </w:rPr>
        <w:t>13</w:t>
      </w:r>
      <w:r>
        <w:rPr>
          <w:rFonts w:hint="default" w:ascii="Times New Roman" w:hAnsi="Times New Roman" w:cs="Times New Roman"/>
          <w:b w:val="0"/>
          <w:bCs w:val="0"/>
          <w:sz w:val="24"/>
          <w:szCs w:val="24"/>
          <w:lang w:val="en-US" w:eastAsia="zh-CN"/>
        </w:rPr>
        <w:t xml:space="preserve">), a cultural orientation that may substantially alter how growth mindset operates. For instance, although Confucian principles such as diligence </w:t>
      </w:r>
      <w:r>
        <w:rPr>
          <w:rFonts w:hint="eastAsia" w:ascii="Times New Roman" w:hAnsi="Times New Roman" w:cs="Times New Roman"/>
          <w:b w:val="0"/>
          <w:bCs w:val="0"/>
          <w:sz w:val="24"/>
          <w:szCs w:val="24"/>
          <w:lang w:val="en-US" w:eastAsia="zh-CN"/>
        </w:rPr>
        <w:t xml:space="preserve">can </w:t>
      </w:r>
      <w:r>
        <w:rPr>
          <w:rFonts w:hint="default" w:ascii="Times New Roman" w:hAnsi="Times New Roman" w:cs="Times New Roman"/>
          <w:b w:val="0"/>
          <w:bCs w:val="0"/>
          <w:sz w:val="24"/>
          <w:szCs w:val="24"/>
          <w:lang w:val="en-US" w:eastAsia="zh-CN"/>
        </w:rPr>
        <w:t>compensates for inadequacy</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resonate conceptually with growth mindset, China’s highly competitive education system—with its strong emphasis on performance comparison—may simultaneously intensify public shame associated with academic failure, potentially undermining the anxiety-buffering effects of growth mindset (</w:t>
      </w:r>
      <w:r>
        <w:rPr>
          <w:rFonts w:hint="eastAsia" w:ascii="Times New Roman" w:hAnsi="Times New Roman" w:cs="Times New Roman"/>
          <w:b w:val="0"/>
          <w:bCs w:val="0"/>
          <w:sz w:val="24"/>
          <w:szCs w:val="24"/>
          <w:lang w:val="en-US" w:eastAsia="zh-CN"/>
        </w:rPr>
        <w:t>Zhang et al., 2019</w:t>
      </w:r>
      <w:r>
        <w:rPr>
          <w:rFonts w:hint="default" w:ascii="Times New Roman" w:hAnsi="Times New Roman" w:cs="Times New Roman"/>
          <w:b w:val="0"/>
          <w:bCs w:val="0"/>
          <w:sz w:val="24"/>
          <w:szCs w:val="24"/>
          <w:lang w:val="en-US" w:eastAsia="zh-CN"/>
        </w:rPr>
        <w:t>). Consequently, the relationship between growth mindset and math anxiety within Chinese educational settings may demonstrate a more complex and possibly contradictory pattern than that observed in Western contexts, underscoring the urgent need for localised empirical investigation.</w:t>
      </w:r>
    </w:p>
    <w:p w14:paraId="14E0D49D">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i/>
          <w:iCs/>
          <w:sz w:val="24"/>
          <w:szCs w:val="24"/>
          <w:lang w:val="en-US" w:eastAsia="zh-CN"/>
        </w:rPr>
      </w:pPr>
      <w:r>
        <w:rPr>
          <w:rFonts w:hint="eastAsia" w:ascii="Times New Roman" w:hAnsi="Times New Roman" w:cs="Times New Roman"/>
          <w:b/>
          <w:bCs/>
          <w:i/>
          <w:iCs/>
          <w:sz w:val="24"/>
          <w:szCs w:val="24"/>
          <w:lang w:val="en-US" w:eastAsia="zh-CN"/>
        </w:rPr>
        <w:t>High-pressure Education System in China</w:t>
      </w:r>
    </w:p>
    <w:p w14:paraId="1783275C">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Chin</w:t>
      </w:r>
      <w:r>
        <w:rPr>
          <w:rFonts w:hint="eastAsia" w:ascii="Times New Roman" w:hAnsi="Times New Roman" w:cs="Times New Roman"/>
          <w:b w:val="0"/>
          <w:bCs w:val="0"/>
          <w:sz w:val="24"/>
          <w:szCs w:val="24"/>
          <w:lang w:val="en-US" w:eastAsia="zh-CN"/>
        </w:rPr>
        <w:t>ese</w:t>
      </w:r>
      <w:r>
        <w:rPr>
          <w:rFonts w:hint="default" w:ascii="Times New Roman" w:hAnsi="Times New Roman" w:cs="Times New Roman"/>
          <w:b w:val="0"/>
          <w:bCs w:val="0"/>
          <w:sz w:val="24"/>
          <w:szCs w:val="24"/>
          <w:lang w:val="en-US" w:eastAsia="zh-CN"/>
        </w:rPr>
        <w:t xml:space="preserve"> high-</w:t>
      </w:r>
      <w:r>
        <w:rPr>
          <w:rFonts w:hint="eastAsia" w:ascii="Times New Roman" w:hAnsi="Times New Roman" w:cs="Times New Roman"/>
          <w:b w:val="0"/>
          <w:bCs w:val="0"/>
          <w:sz w:val="24"/>
          <w:szCs w:val="24"/>
          <w:lang w:val="en-US" w:eastAsia="zh-CN"/>
        </w:rPr>
        <w:t>pressure</w:t>
      </w:r>
      <w:r>
        <w:rPr>
          <w:rFonts w:hint="default" w:ascii="Times New Roman" w:hAnsi="Times New Roman" w:cs="Times New Roman"/>
          <w:b w:val="0"/>
          <w:bCs w:val="0"/>
          <w:sz w:val="24"/>
          <w:szCs w:val="24"/>
          <w:lang w:val="en-US" w:eastAsia="zh-CN"/>
        </w:rPr>
        <w:t xml:space="preserve"> examination-oriented education system is widely recognised for its intensity, exerting systemic pressures that yield complex effects on students’ psychological development</w:t>
      </w:r>
      <w:r>
        <w:rPr>
          <w:rFonts w:hint="eastAsia" w:ascii="Times New Roman" w:hAnsi="Times New Roman" w:cs="Times New Roman"/>
          <w:b w:val="0"/>
          <w:bCs w:val="0"/>
          <w:sz w:val="24"/>
          <w:szCs w:val="24"/>
          <w:lang w:val="en-US" w:eastAsia="zh-CN"/>
        </w:rPr>
        <w:t xml:space="preserve"> (Lu, 2022)</w:t>
      </w:r>
      <w:r>
        <w:rPr>
          <w:rFonts w:hint="default" w:ascii="Times New Roman" w:hAnsi="Times New Roman" w:cs="Times New Roman"/>
          <w:b w:val="0"/>
          <w:bCs w:val="0"/>
          <w:sz w:val="24"/>
          <w:szCs w:val="24"/>
          <w:lang w:val="en-US" w:eastAsia="zh-CN"/>
        </w:rPr>
        <w:t xml:space="preserve">. A case in point is Jiangxi Province, where junior secondary students face exceptional pressure in the high school entrance examination, with </w:t>
      </w:r>
      <w:r>
        <w:rPr>
          <w:rFonts w:hint="eastAsia" w:ascii="Times New Roman" w:hAnsi="Times New Roman" w:cs="Times New Roman"/>
          <w:b w:val="0"/>
          <w:bCs w:val="0"/>
          <w:sz w:val="24"/>
          <w:szCs w:val="24"/>
          <w:lang w:val="en-US" w:eastAsia="zh-CN"/>
        </w:rPr>
        <w:t>many</w:t>
      </w:r>
      <w:r>
        <w:rPr>
          <w:rFonts w:hint="default" w:ascii="Times New Roman" w:hAnsi="Times New Roman" w:cs="Times New Roman"/>
          <w:b w:val="0"/>
          <w:bCs w:val="0"/>
          <w:sz w:val="24"/>
          <w:szCs w:val="24"/>
          <w:lang w:val="en-US" w:eastAsia="zh-CN"/>
        </w:rPr>
        <w:t xml:space="preserve"> students failing to achieve a passing grade in mathematics (</w:t>
      </w:r>
      <w:r>
        <w:rPr>
          <w:rFonts w:hint="eastAsia" w:ascii="Times New Roman" w:hAnsi="Times New Roman" w:cs="Times New Roman"/>
          <w:b w:val="0"/>
          <w:bCs w:val="0"/>
          <w:sz w:val="24"/>
          <w:szCs w:val="24"/>
          <w:lang w:val="en-US" w:eastAsia="zh-CN"/>
        </w:rPr>
        <w:t>Zhou &amp; Sun, 2016</w:t>
      </w:r>
      <w:r>
        <w:rPr>
          <w:rFonts w:hint="default"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lang w:val="en-US" w:eastAsia="zh-CN"/>
        </w:rPr>
        <w:t>On one hand, t</w:t>
      </w:r>
      <w:r>
        <w:rPr>
          <w:rFonts w:hint="default" w:ascii="Times New Roman" w:hAnsi="Times New Roman" w:cs="Times New Roman"/>
          <w:b w:val="0"/>
          <w:bCs w:val="0"/>
          <w:sz w:val="24"/>
          <w:szCs w:val="24"/>
          <w:lang w:val="en-US" w:eastAsia="zh-CN"/>
        </w:rPr>
        <w:t>his high-pressure environment may reinforce the belief that effort leads to reward, superficially aligning with growth mindset principles and enhancing students’ perception of the value of effort (</w:t>
      </w:r>
      <w:r>
        <w:rPr>
          <w:rFonts w:hint="eastAsia" w:ascii="Times New Roman" w:hAnsi="Times New Roman" w:cs="Times New Roman"/>
          <w:b w:val="0"/>
          <w:bCs w:val="0"/>
          <w:sz w:val="24"/>
          <w:szCs w:val="24"/>
          <w:lang w:val="en-US" w:eastAsia="zh-CN"/>
        </w:rPr>
        <w:t>Hallett &amp; Hoffman, 2014</w:t>
      </w:r>
      <w:r>
        <w:rPr>
          <w:rFonts w:hint="default" w:ascii="Times New Roman" w:hAnsi="Times New Roman" w:cs="Times New Roman"/>
          <w:b w:val="0"/>
          <w:bCs w:val="0"/>
          <w:sz w:val="24"/>
          <w:szCs w:val="24"/>
          <w:lang w:val="en-US" w:eastAsia="zh-CN"/>
        </w:rPr>
        <w:t>); on the other hand, an extreme emphasis on performance outcomes is likely to foster fear of failure, making it difficult for students to attribute setbacks to controllable factors. Instead, it may strengthen an entity theory of ability, thereby undermining the anxiety-buffering effect of growth mindset (Ghaleb</w:t>
      </w:r>
      <w:r>
        <w:rPr>
          <w:rFonts w:hint="eastAsia" w:ascii="Times New Roman" w:hAnsi="Times New Roman" w:cs="Times New Roman"/>
          <w:b w:val="0"/>
          <w:bCs w:val="0"/>
          <w:sz w:val="24"/>
          <w:szCs w:val="24"/>
          <w:lang w:val="en-US" w:eastAsia="zh-CN"/>
        </w:rPr>
        <w:t>, 2024</w:t>
      </w:r>
      <w:r>
        <w:rPr>
          <w:rFonts w:hint="default" w:ascii="Times New Roman" w:hAnsi="Times New Roman" w:cs="Times New Roman"/>
          <w:b w:val="0"/>
          <w:bCs w:val="0"/>
          <w:sz w:val="24"/>
          <w:szCs w:val="24"/>
          <w:lang w:val="en-US" w:eastAsia="zh-CN"/>
        </w:rPr>
        <w:t>). Hence, the interaction between systemic pressure and growth mindset within the Chinese educational context requires investigation.</w:t>
      </w:r>
    </w:p>
    <w:p w14:paraId="30A773CD">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This Study and Research Questions</w:t>
      </w:r>
    </w:p>
    <w:p w14:paraId="0821D225">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Existing literature indicates that the negative correlation between growth mindset and math anxiety has been primarily established within Western individualistic cultural contexts, while this relationship remains insufficiently empirically examined within the collective, high-pressure educational environment characteristic and Confucian background of China. </w:t>
      </w:r>
    </w:p>
    <w:p w14:paraId="3892D9AB">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In response to this research gap, the present study selects X junior high school in Jiangxi Province as the research setting and applies the scales for growth mindset and math anxiety from the authoritative PISA 2022 database, with the aim of investigating the following three research questions: </w:t>
      </w:r>
    </w:p>
    <w:p w14:paraId="24647617">
      <w:pPr>
        <w:keepNext w:val="0"/>
        <w:keepLines w:val="0"/>
        <w:pageBreakBefore w:val="0"/>
        <w:widowControl w:val="0"/>
        <w:numPr>
          <w:ilvl w:val="0"/>
          <w:numId w:val="1"/>
        </w:numPr>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To what extent do X junior high school students in Jiangxi Province, China, exhibit growth mindset, as measured by growth mindset scale in PISA 2022 database? </w:t>
      </w:r>
    </w:p>
    <w:p w14:paraId="570D6E73">
      <w:pPr>
        <w:keepNext w:val="0"/>
        <w:keepLines w:val="0"/>
        <w:pageBreakBefore w:val="0"/>
        <w:widowControl w:val="0"/>
        <w:numPr>
          <w:ilvl w:val="0"/>
          <w:numId w:val="1"/>
        </w:numPr>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To what extent do X junior high school students in Jiangxi Province, China, exhibit math anxiety, as measured by math anxiety scale in PISA 2022 database? </w:t>
      </w:r>
    </w:p>
    <w:p w14:paraId="6C68D412">
      <w:pPr>
        <w:keepNext w:val="0"/>
        <w:keepLines w:val="0"/>
        <w:pageBreakBefore w:val="0"/>
        <w:widowControl w:val="0"/>
        <w:numPr>
          <w:ilvl w:val="0"/>
          <w:numId w:val="1"/>
        </w:numPr>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What is the correlation between growth mindset and math anxiety among X junior high school students in Jiangxi Province, China?</w:t>
      </w:r>
    </w:p>
    <w:p w14:paraId="0DA418AE">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Research Design</w:t>
      </w:r>
    </w:p>
    <w:p w14:paraId="57244B43">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This chapter </w:t>
      </w:r>
      <w:r>
        <w:rPr>
          <w:rFonts w:hint="eastAsia" w:ascii="Times New Roman" w:hAnsi="Times New Roman" w:cs="Times New Roman"/>
          <w:b w:val="0"/>
          <w:bCs w:val="0"/>
          <w:sz w:val="24"/>
          <w:szCs w:val="24"/>
          <w:lang w:val="en-US" w:eastAsia="zh-CN"/>
        </w:rPr>
        <w:t>will show</w:t>
      </w:r>
      <w:r>
        <w:rPr>
          <w:rFonts w:hint="default" w:ascii="Times New Roman" w:hAnsi="Times New Roman" w:cs="Times New Roman"/>
          <w:b w:val="0"/>
          <w:bCs w:val="0"/>
          <w:sz w:val="24"/>
          <w:szCs w:val="24"/>
          <w:lang w:val="en-US" w:eastAsia="zh-CN"/>
        </w:rPr>
        <w:t xml:space="preserve"> the philosophical and theoretical </w:t>
      </w:r>
      <w:r>
        <w:rPr>
          <w:rFonts w:hint="eastAsia" w:ascii="Times New Roman" w:hAnsi="Times New Roman" w:cs="Times New Roman"/>
          <w:b w:val="0"/>
          <w:bCs w:val="0"/>
          <w:sz w:val="24"/>
          <w:szCs w:val="24"/>
          <w:lang w:val="en-US" w:eastAsia="zh-CN"/>
        </w:rPr>
        <w:t>foundation</w:t>
      </w:r>
      <w:r>
        <w:rPr>
          <w:rFonts w:hint="default" w:ascii="Times New Roman" w:hAnsi="Times New Roman" w:cs="Times New Roman"/>
          <w:b w:val="0"/>
          <w:bCs w:val="0"/>
          <w:sz w:val="24"/>
          <w:szCs w:val="24"/>
          <w:lang w:val="en-US" w:eastAsia="zh-CN"/>
        </w:rPr>
        <w:t xml:space="preserve"> of the research design chosen to investigate the correlation between growth mindset and mathematics anxiety among </w:t>
      </w:r>
      <w:r>
        <w:rPr>
          <w:rFonts w:hint="eastAsia" w:ascii="Times New Roman" w:hAnsi="Times New Roman" w:cs="Times New Roman"/>
          <w:b w:val="0"/>
          <w:bCs w:val="0"/>
          <w:sz w:val="24"/>
          <w:szCs w:val="24"/>
          <w:lang w:val="en-US" w:eastAsia="zh-CN"/>
        </w:rPr>
        <w:t xml:space="preserve">X </w:t>
      </w:r>
      <w:r>
        <w:rPr>
          <w:rFonts w:hint="default" w:ascii="Times New Roman" w:hAnsi="Times New Roman" w:cs="Times New Roman"/>
          <w:b w:val="0"/>
          <w:bCs w:val="0"/>
          <w:sz w:val="24"/>
          <w:szCs w:val="24"/>
          <w:lang w:val="en-US" w:eastAsia="zh-CN"/>
        </w:rPr>
        <w:t xml:space="preserve">junior high school students in Jiangxi Province, China. </w:t>
      </w:r>
    </w:p>
    <w:p w14:paraId="10833D65">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Figure 1</w:t>
      </w:r>
    </w:p>
    <w:p w14:paraId="122628FD">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val="0"/>
          <w:bCs w:val="0"/>
          <w:i/>
          <w:iCs/>
          <w:sz w:val="24"/>
          <w:szCs w:val="24"/>
          <w:lang w:val="en-US" w:eastAsia="zh-CN"/>
        </w:rPr>
      </w:pPr>
      <w:bookmarkStart w:id="0" w:name="OLE_LINK1"/>
      <w:r>
        <w:rPr>
          <w:rFonts w:hint="default" w:ascii="Times New Roman" w:hAnsi="Times New Roman" w:cs="Times New Roman"/>
          <w:b w:val="0"/>
          <w:bCs w:val="0"/>
          <w:i/>
          <w:iCs/>
          <w:sz w:val="24"/>
          <w:szCs w:val="24"/>
          <w:lang w:val="en-US" w:eastAsia="zh-CN"/>
        </w:rPr>
        <w:t xml:space="preserve">Saunders' Research Onion </w:t>
      </w:r>
      <w:r>
        <w:rPr>
          <w:rFonts w:hint="eastAsia" w:ascii="Times New Roman" w:hAnsi="Times New Roman" w:cs="Times New Roman"/>
          <w:b w:val="0"/>
          <w:bCs w:val="0"/>
          <w:i/>
          <w:iCs/>
          <w:sz w:val="24"/>
          <w:szCs w:val="24"/>
          <w:lang w:val="en-US" w:eastAsia="zh-CN"/>
        </w:rPr>
        <w:t>M</w:t>
      </w:r>
      <w:r>
        <w:rPr>
          <w:rFonts w:hint="default" w:ascii="Times New Roman" w:hAnsi="Times New Roman" w:cs="Times New Roman"/>
          <w:b w:val="0"/>
          <w:bCs w:val="0"/>
          <w:i/>
          <w:iCs/>
          <w:sz w:val="24"/>
          <w:szCs w:val="24"/>
          <w:lang w:val="en-US" w:eastAsia="zh-CN"/>
        </w:rPr>
        <w:t>odel</w:t>
      </w:r>
    </w:p>
    <w:bookmarkEnd w:id="0"/>
    <w:p w14:paraId="3575730C">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val="0"/>
          <w:bCs w:val="0"/>
          <w:i/>
          <w:iCs/>
          <w:sz w:val="24"/>
          <w:szCs w:val="24"/>
          <w:lang w:val="en-US" w:eastAsia="zh-CN"/>
        </w:rPr>
      </w:pPr>
      <w:r>
        <w:rPr>
          <w:rFonts w:hint="default" w:ascii="Times New Roman" w:hAnsi="Times New Roman" w:cs="Times New Roman"/>
          <w:b w:val="0"/>
          <w:bCs w:val="0"/>
          <w:i/>
          <w:iCs/>
          <w:sz w:val="24"/>
          <w:szCs w:val="24"/>
          <w:lang w:val="en-US" w:eastAsia="zh-CN"/>
        </w:rPr>
        <w:drawing>
          <wp:inline distT="0" distB="0" distL="114300" distR="114300">
            <wp:extent cx="5272405" cy="3728085"/>
            <wp:effectExtent l="0" t="0" r="635" b="5715"/>
            <wp:docPr id="5" name="图片 5" descr="The-Research-Onion-of-Mark-Saunders-Saunders-et-al-2019-further-develop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The-Research-Onion-of-Mark-Saunders-Saunders-et-al-2019-further-developed"/>
                    <pic:cNvPicPr>
                      <a:picLocks noChangeAspect="1"/>
                    </pic:cNvPicPr>
                  </pic:nvPicPr>
                  <pic:blipFill>
                    <a:blip r:embed="rId4"/>
                    <a:stretch>
                      <a:fillRect/>
                    </a:stretch>
                  </pic:blipFill>
                  <pic:spPr>
                    <a:xfrm>
                      <a:off x="0" y="0"/>
                      <a:ext cx="5272405" cy="3728085"/>
                    </a:xfrm>
                    <a:prstGeom prst="rect">
                      <a:avLst/>
                    </a:prstGeom>
                  </pic:spPr>
                </pic:pic>
              </a:graphicData>
            </a:graphic>
          </wp:inline>
        </w:drawing>
      </w:r>
    </w:p>
    <w:p w14:paraId="0E5804B0">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The design is structured according to </w:t>
      </w:r>
      <w:r>
        <w:rPr>
          <w:rFonts w:hint="eastAsia" w:ascii="Times New Roman" w:hAnsi="Times New Roman" w:cs="Times New Roman"/>
          <w:b w:val="0"/>
          <w:bCs w:val="0"/>
          <w:sz w:val="24"/>
          <w:szCs w:val="24"/>
          <w:lang w:val="en-US" w:eastAsia="zh-CN"/>
        </w:rPr>
        <w:t xml:space="preserve">Figure 1, </w:t>
      </w:r>
      <w:r>
        <w:rPr>
          <w:rFonts w:hint="default" w:ascii="Times New Roman" w:hAnsi="Times New Roman" w:cs="Times New Roman"/>
          <w:b w:val="0"/>
          <w:bCs w:val="0"/>
          <w:sz w:val="24"/>
          <w:szCs w:val="24"/>
          <w:lang w:val="en-US" w:eastAsia="zh-CN"/>
        </w:rPr>
        <w:t>Saunders' Research Onion model (Saunders et al., 20</w:t>
      </w:r>
      <w:r>
        <w:rPr>
          <w:rFonts w:hint="eastAsia" w:ascii="Times New Roman" w:hAnsi="Times New Roman" w:cs="Times New Roman"/>
          <w:b w:val="0"/>
          <w:bCs w:val="0"/>
          <w:sz w:val="24"/>
          <w:szCs w:val="24"/>
          <w:lang w:val="en-US" w:eastAsia="zh-CN"/>
        </w:rPr>
        <w:t>07</w:t>
      </w:r>
      <w:r>
        <w:rPr>
          <w:rFonts w:hint="default" w:ascii="Times New Roman" w:hAnsi="Times New Roman" w:cs="Times New Roman"/>
          <w:b w:val="0"/>
          <w:bCs w:val="0"/>
          <w:sz w:val="24"/>
          <w:szCs w:val="24"/>
          <w:lang w:val="en-US" w:eastAsia="zh-CN"/>
        </w:rPr>
        <w:t>), which provides a coherent framework for justifying methodological choices, moving from the abstract (philosophical stance) to the concrete (data collection and analysis). This chapter will detail the layers of the onion pertaining to research philosophy, research approach, researcher positionality, and the theoretical framework, there</w:t>
      </w:r>
      <w:r>
        <w:rPr>
          <w:rFonts w:hint="eastAsia" w:ascii="Times New Roman" w:hAnsi="Times New Roman" w:cs="Times New Roman"/>
          <w:b w:val="0"/>
          <w:bCs w:val="0"/>
          <w:sz w:val="24"/>
          <w:szCs w:val="24"/>
          <w:lang w:val="en-US" w:eastAsia="zh-CN"/>
        </w:rPr>
        <w:t>fore</w:t>
      </w:r>
      <w:r>
        <w:rPr>
          <w:rFonts w:hint="default" w:ascii="Times New Roman" w:hAnsi="Times New Roman" w:cs="Times New Roman"/>
          <w:b w:val="0"/>
          <w:bCs w:val="0"/>
          <w:sz w:val="24"/>
          <w:szCs w:val="24"/>
          <w:lang w:val="en-US" w:eastAsia="zh-CN"/>
        </w:rPr>
        <w:t xml:space="preserve"> establishing a foundation for the subsequent description of methodolog</w:t>
      </w:r>
      <w:r>
        <w:rPr>
          <w:rFonts w:hint="eastAsia" w:ascii="Times New Roman" w:hAnsi="Times New Roman" w:cs="Times New Roman"/>
          <w:b w:val="0"/>
          <w:bCs w:val="0"/>
          <w:sz w:val="24"/>
          <w:szCs w:val="24"/>
          <w:lang w:val="en-US" w:eastAsia="zh-CN"/>
        </w:rPr>
        <w:t>y</w:t>
      </w:r>
      <w:r>
        <w:rPr>
          <w:rFonts w:hint="default" w:ascii="Times New Roman" w:hAnsi="Times New Roman" w:cs="Times New Roman"/>
          <w:b w:val="0"/>
          <w:bCs w:val="0"/>
          <w:sz w:val="24"/>
          <w:szCs w:val="24"/>
          <w:lang w:val="en-US" w:eastAsia="zh-CN"/>
        </w:rPr>
        <w:t xml:space="preserve"> in </w:t>
      </w:r>
      <w:r>
        <w:rPr>
          <w:rFonts w:hint="eastAsia" w:ascii="Times New Roman" w:hAnsi="Times New Roman" w:cs="Times New Roman"/>
          <w:b w:val="0"/>
          <w:bCs w:val="0"/>
          <w:sz w:val="24"/>
          <w:szCs w:val="24"/>
          <w:lang w:val="en-US" w:eastAsia="zh-CN"/>
        </w:rPr>
        <w:t>the next chapter</w:t>
      </w:r>
      <w:r>
        <w:rPr>
          <w:rFonts w:hint="default" w:ascii="Times New Roman" w:hAnsi="Times New Roman" w:cs="Times New Roman"/>
          <w:b w:val="0"/>
          <w:bCs w:val="0"/>
          <w:sz w:val="24"/>
          <w:szCs w:val="24"/>
          <w:lang w:val="en-US" w:eastAsia="zh-CN"/>
        </w:rPr>
        <w:t>.</w:t>
      </w:r>
    </w:p>
    <w:p w14:paraId="1D4C0417">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Research Philosophy: Positivism</w:t>
      </w:r>
    </w:p>
    <w:p w14:paraId="3B99A189">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outermost layer of the research onion concerns the research philosophy. This study is firmly grounded in a positivist paradigm.</w:t>
      </w:r>
    </w:p>
    <w:p w14:paraId="4D01D91D">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Positivism asserts that genuine knowledge is exclusively derived from empirical observation and logical or mathematical proof (</w:t>
      </w:r>
      <w:r>
        <w:rPr>
          <w:rFonts w:hint="eastAsia" w:ascii="Times New Roman" w:hAnsi="Times New Roman" w:cs="Times New Roman"/>
          <w:b w:val="0"/>
          <w:bCs w:val="0"/>
          <w:sz w:val="24"/>
          <w:szCs w:val="24"/>
          <w:lang w:val="en-US" w:eastAsia="zh-CN"/>
        </w:rPr>
        <w:t>Pham</w:t>
      </w:r>
      <w:r>
        <w:rPr>
          <w:rFonts w:hint="default" w:ascii="Times New Roman" w:hAnsi="Times New Roman" w:cs="Times New Roman"/>
          <w:b w:val="0"/>
          <w:bCs w:val="0"/>
          <w:sz w:val="24"/>
          <w:szCs w:val="24"/>
          <w:lang w:val="en-US" w:eastAsia="zh-CN"/>
        </w:rPr>
        <w:t>, 2018). It operates on the principle that reality is stable, external, and independent of the researcher, and that it can be observed and described objectively through scientific methods. This philosophy prioritizes objectivity, measurement, and the discovery of causal laws and relationships</w:t>
      </w:r>
      <w:r>
        <w:rPr>
          <w:rFonts w:hint="eastAsia" w:ascii="Times New Roman" w:hAnsi="Times New Roman" w:cs="Times New Roman"/>
          <w:b w:val="0"/>
          <w:bCs w:val="0"/>
          <w:sz w:val="24"/>
          <w:szCs w:val="24"/>
          <w:lang w:val="en-US" w:eastAsia="zh-CN"/>
        </w:rPr>
        <w:t xml:space="preserve"> (Clark, 1998)</w:t>
      </w:r>
      <w:r>
        <w:rPr>
          <w:rFonts w:hint="default" w:ascii="Times New Roman" w:hAnsi="Times New Roman" w:cs="Times New Roman"/>
          <w:b w:val="0"/>
          <w:bCs w:val="0"/>
          <w:sz w:val="24"/>
          <w:szCs w:val="24"/>
          <w:lang w:val="en-US" w:eastAsia="zh-CN"/>
        </w:rPr>
        <w:t>.</w:t>
      </w:r>
    </w:p>
    <w:p w14:paraId="1E64191E">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adoption of an empirical philosophy in this research is justified, and the basis for this is mainly reflected in the following three aspects. Firstly, the core variables of this study</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growth mindset and math anxiety are defined at the operational level as objectively measurable entities. Based on the standardized scales provided by the PISA 2022 database, these psychological constructs are concreti</w:t>
      </w:r>
      <w:r>
        <w:rPr>
          <w:rFonts w:hint="eastAsia" w:ascii="Times New Roman" w:hAnsi="Times New Roman" w:cs="Times New Roman"/>
          <w:b w:val="0"/>
          <w:bCs w:val="0"/>
          <w:sz w:val="24"/>
          <w:szCs w:val="24"/>
          <w:lang w:val="en-US" w:eastAsia="zh-CN"/>
        </w:rPr>
        <w:t>s</w:t>
      </w:r>
      <w:r>
        <w:rPr>
          <w:rFonts w:hint="default" w:ascii="Times New Roman" w:hAnsi="Times New Roman" w:cs="Times New Roman"/>
          <w:b w:val="0"/>
          <w:bCs w:val="0"/>
          <w:sz w:val="24"/>
          <w:szCs w:val="24"/>
          <w:lang w:val="en-US" w:eastAsia="zh-CN"/>
        </w:rPr>
        <w:t>ed through quantification tools that have undergone reliability and validity tests, transforming the originally abstract concepts into numerical data that can be analyzed through statistical methods. This conforms to the requirements of empiricism for operationali</w:t>
      </w:r>
      <w:r>
        <w:rPr>
          <w:rFonts w:hint="eastAsia" w:ascii="Times New Roman" w:hAnsi="Times New Roman" w:cs="Times New Roman"/>
          <w:b w:val="0"/>
          <w:bCs w:val="0"/>
          <w:sz w:val="24"/>
          <w:szCs w:val="24"/>
          <w:lang w:val="en-US" w:eastAsia="zh-CN"/>
        </w:rPr>
        <w:t>s</w:t>
      </w:r>
      <w:r>
        <w:rPr>
          <w:rFonts w:hint="default" w:ascii="Times New Roman" w:hAnsi="Times New Roman" w:cs="Times New Roman"/>
          <w:b w:val="0"/>
          <w:bCs w:val="0"/>
          <w:sz w:val="24"/>
          <w:szCs w:val="24"/>
          <w:lang w:val="en-US" w:eastAsia="zh-CN"/>
        </w:rPr>
        <w:t>ation and objective measurement of variables.</w:t>
      </w:r>
    </w:p>
    <w:p w14:paraId="49E4F5FD">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Secondly, the methodological design of this research is entirely based on the quantitative analysis approach. The numerical data collected through structured questionnaires will be systematically processed with the SPSS statistical software, and descriptive statistics, correlation analysis and other statistical techniques will be employed to reveal the intrinsic connections and pattern characteristics among variables</w:t>
      </w:r>
      <w:r>
        <w:rPr>
          <w:rFonts w:hint="eastAsia" w:ascii="Times New Roman" w:hAnsi="Times New Roman" w:cs="Times New Roman"/>
          <w:b w:val="0"/>
          <w:bCs w:val="0"/>
          <w:sz w:val="24"/>
          <w:szCs w:val="24"/>
          <w:lang w:val="en-US" w:eastAsia="zh-CN"/>
        </w:rPr>
        <w:t xml:space="preserve"> (Rowley, 2014)</w:t>
      </w:r>
      <w:r>
        <w:rPr>
          <w:rFonts w:hint="default" w:ascii="Times New Roman" w:hAnsi="Times New Roman" w:cs="Times New Roman"/>
          <w:b w:val="0"/>
          <w:bCs w:val="0"/>
          <w:sz w:val="24"/>
          <w:szCs w:val="24"/>
          <w:lang w:val="en-US" w:eastAsia="zh-CN"/>
        </w:rPr>
        <w:t>. This research approach, which is based on numerical analysis and statistical testing, can effectively ensure the objectivity of the research process and the verifiability of the results</w:t>
      </w:r>
      <w:r>
        <w:rPr>
          <w:rFonts w:hint="eastAsia" w:ascii="Times New Roman" w:hAnsi="Times New Roman" w:cs="Times New Roman"/>
          <w:b w:val="0"/>
          <w:bCs w:val="0"/>
          <w:sz w:val="24"/>
          <w:szCs w:val="24"/>
          <w:lang w:val="en-US" w:eastAsia="zh-CN"/>
        </w:rPr>
        <w:t xml:space="preserve"> (Watson, 2015)</w:t>
      </w:r>
      <w:r>
        <w:rPr>
          <w:rFonts w:hint="default" w:ascii="Times New Roman" w:hAnsi="Times New Roman" w:cs="Times New Roman"/>
          <w:b w:val="0"/>
          <w:bCs w:val="0"/>
          <w:sz w:val="24"/>
          <w:szCs w:val="24"/>
          <w:lang w:val="en-US" w:eastAsia="zh-CN"/>
        </w:rPr>
        <w:t>.</w:t>
      </w:r>
    </w:p>
    <w:p w14:paraId="57EB869F">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Finally, this study aims to obtain conclusions with universal significance. By examining the relationship between growth mindset and math anxiety in the Chinese educational context, the research seeks to generate objective knowledge that is not influenced by the researcher's value judgments. This is not only to provide cross-cultural evidence for existing theoretical frameworks, but also to offer a reference basis that can be generali</w:t>
      </w:r>
      <w:r>
        <w:rPr>
          <w:rFonts w:hint="eastAsia" w:ascii="Times New Roman" w:hAnsi="Times New Roman" w:cs="Times New Roman"/>
          <w:b w:val="0"/>
          <w:bCs w:val="0"/>
          <w:sz w:val="24"/>
          <w:szCs w:val="24"/>
          <w:lang w:val="en-US" w:eastAsia="zh-CN"/>
        </w:rPr>
        <w:t>s</w:t>
      </w:r>
      <w:r>
        <w:rPr>
          <w:rFonts w:hint="default" w:ascii="Times New Roman" w:hAnsi="Times New Roman" w:cs="Times New Roman"/>
          <w:b w:val="0"/>
          <w:bCs w:val="0"/>
          <w:sz w:val="24"/>
          <w:szCs w:val="24"/>
          <w:lang w:val="en-US" w:eastAsia="zh-CN"/>
        </w:rPr>
        <w:t xml:space="preserve">ed for subsequent research. By </w:t>
      </w:r>
      <w:r>
        <w:rPr>
          <w:rFonts w:hint="eastAsia" w:ascii="Times New Roman" w:hAnsi="Times New Roman" w:cs="Times New Roman"/>
          <w:b w:val="0"/>
          <w:bCs w:val="0"/>
          <w:sz w:val="24"/>
          <w:szCs w:val="24"/>
          <w:lang w:val="en-US" w:eastAsia="zh-CN"/>
        </w:rPr>
        <w:t>adopting</w:t>
      </w:r>
      <w:r>
        <w:rPr>
          <w:rFonts w:hint="default" w:ascii="Times New Roman" w:hAnsi="Times New Roman" w:cs="Times New Roman"/>
          <w:b w:val="0"/>
          <w:bCs w:val="0"/>
          <w:sz w:val="24"/>
          <w:szCs w:val="24"/>
          <w:lang w:val="en-US" w:eastAsia="zh-CN"/>
        </w:rPr>
        <w:t xml:space="preserve"> the positivist research paradigm, this study strives to maintain the same standards of methodological rigor and conclusion reliability as international frontier research</w:t>
      </w:r>
      <w:r>
        <w:rPr>
          <w:rFonts w:hint="eastAsia" w:ascii="Times New Roman" w:hAnsi="Times New Roman" w:cs="Times New Roman"/>
          <w:b w:val="0"/>
          <w:bCs w:val="0"/>
          <w:sz w:val="24"/>
          <w:szCs w:val="24"/>
          <w:lang w:val="en-US" w:eastAsia="zh-CN"/>
        </w:rPr>
        <w:t xml:space="preserve"> (Park et al., 2020)</w:t>
      </w:r>
      <w:r>
        <w:rPr>
          <w:rFonts w:hint="default" w:ascii="Times New Roman" w:hAnsi="Times New Roman" w:cs="Times New Roman"/>
          <w:b w:val="0"/>
          <w:bCs w:val="0"/>
          <w:sz w:val="24"/>
          <w:szCs w:val="24"/>
          <w:lang w:val="en-US" w:eastAsia="zh-CN"/>
        </w:rPr>
        <w:t>.</w:t>
      </w:r>
    </w:p>
    <w:p w14:paraId="578610F1">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Therefore, based on the above analysis, this study adopts the positivist research paradigm, aiming to objectively explore the intrinsic relationship between growth mindset and math anxiety through observable and quantifiable empirical data.</w:t>
      </w:r>
    </w:p>
    <w:p w14:paraId="29FC9610">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Research Approach: Deductive</w:t>
      </w:r>
    </w:p>
    <w:p w14:paraId="2853423E">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Based on the positivist philosophical stance, this research naturally adopt</w:t>
      </w:r>
      <w:r>
        <w:rPr>
          <w:rFonts w:hint="eastAsia" w:ascii="Times New Roman" w:hAnsi="Times New Roman" w:cs="Times New Roman"/>
          <w:b w:val="0"/>
          <w:bCs w:val="0"/>
          <w:sz w:val="24"/>
          <w:szCs w:val="24"/>
          <w:lang w:val="en-US" w:eastAsia="zh-CN"/>
        </w:rPr>
        <w:t>s</w:t>
      </w:r>
      <w:r>
        <w:rPr>
          <w:rFonts w:hint="default" w:ascii="Times New Roman" w:hAnsi="Times New Roman" w:cs="Times New Roman"/>
          <w:b w:val="0"/>
          <w:bCs w:val="0"/>
          <w:sz w:val="24"/>
          <w:szCs w:val="24"/>
          <w:lang w:val="en-US" w:eastAsia="zh-CN"/>
        </w:rPr>
        <w:t xml:space="preserve"> a</w:t>
      </w:r>
      <w:r>
        <w:rPr>
          <w:rFonts w:hint="eastAsia" w:ascii="Times New Roman" w:hAnsi="Times New Roman" w:cs="Times New Roman"/>
          <w:b w:val="0"/>
          <w:bCs w:val="0"/>
          <w:sz w:val="24"/>
          <w:szCs w:val="24"/>
          <w:lang w:val="en-US" w:eastAsia="zh-CN"/>
        </w:rPr>
        <w:t xml:space="preserve"> de</w:t>
      </w:r>
      <w:r>
        <w:rPr>
          <w:rFonts w:hint="default" w:ascii="Times New Roman" w:hAnsi="Times New Roman" w:cs="Times New Roman"/>
          <w:b w:val="0"/>
          <w:bCs w:val="0"/>
          <w:sz w:val="24"/>
          <w:szCs w:val="24"/>
          <w:lang w:val="en-US" w:eastAsia="zh-CN"/>
        </w:rPr>
        <w:t xml:space="preserve">ductive research approach. The </w:t>
      </w:r>
      <w:r>
        <w:rPr>
          <w:rFonts w:hint="eastAsia" w:ascii="Times New Roman" w:hAnsi="Times New Roman" w:cs="Times New Roman"/>
          <w:b w:val="0"/>
          <w:bCs w:val="0"/>
          <w:sz w:val="24"/>
          <w:szCs w:val="24"/>
          <w:lang w:val="en-US" w:eastAsia="zh-CN"/>
        </w:rPr>
        <w:t>de</w:t>
      </w:r>
      <w:r>
        <w:rPr>
          <w:rFonts w:hint="default" w:ascii="Times New Roman" w:hAnsi="Times New Roman" w:cs="Times New Roman"/>
          <w:b w:val="0"/>
          <w:bCs w:val="0"/>
          <w:sz w:val="24"/>
          <w:szCs w:val="24"/>
          <w:lang w:val="en-US" w:eastAsia="zh-CN"/>
        </w:rPr>
        <w:t xml:space="preserve">ductive method is a research strategy that builds upon existing theories and tests the derived hypotheses or propositions through empirical observation (Johnson-Laird, </w:t>
      </w:r>
      <w:r>
        <w:rPr>
          <w:rFonts w:hint="eastAsia" w:ascii="Times New Roman" w:hAnsi="Times New Roman" w:cs="Times New Roman"/>
          <w:b w:val="0"/>
          <w:bCs w:val="0"/>
          <w:sz w:val="24"/>
          <w:szCs w:val="24"/>
          <w:lang w:val="en-US" w:eastAsia="zh-CN"/>
        </w:rPr>
        <w:t>1999</w:t>
      </w:r>
      <w:r>
        <w:rPr>
          <w:rFonts w:hint="default" w:ascii="Times New Roman" w:hAnsi="Times New Roman" w:cs="Times New Roman"/>
          <w:b w:val="0"/>
          <w:bCs w:val="0"/>
          <w:sz w:val="24"/>
          <w:szCs w:val="24"/>
          <w:lang w:val="en-US" w:eastAsia="zh-CN"/>
        </w:rPr>
        <w:t>). This research method emphasizes a linear reasoning model from universal principles to specific phenomena (</w:t>
      </w:r>
      <w:r>
        <w:rPr>
          <w:rFonts w:hint="eastAsia" w:ascii="Times New Roman" w:hAnsi="Times New Roman" w:cs="Times New Roman"/>
          <w:b w:val="0"/>
          <w:bCs w:val="0"/>
          <w:sz w:val="24"/>
          <w:szCs w:val="24"/>
          <w:lang w:val="en-US" w:eastAsia="zh-CN"/>
        </w:rPr>
        <w:t>Goel</w:t>
      </w:r>
      <w:r>
        <w:rPr>
          <w:rFonts w:hint="default" w:ascii="Times New Roman" w:hAnsi="Times New Roman" w:cs="Times New Roman"/>
          <w:b w:val="0"/>
          <w:bCs w:val="0"/>
          <w:sz w:val="24"/>
          <w:szCs w:val="24"/>
          <w:lang w:val="en-US" w:eastAsia="zh-CN"/>
        </w:rPr>
        <w:t>, 20</w:t>
      </w:r>
      <w:r>
        <w:rPr>
          <w:rFonts w:hint="eastAsia" w:ascii="Times New Roman" w:hAnsi="Times New Roman" w:cs="Times New Roman"/>
          <w:b w:val="0"/>
          <w:bCs w:val="0"/>
          <w:sz w:val="24"/>
          <w:szCs w:val="24"/>
          <w:lang w:val="en-US" w:eastAsia="zh-CN"/>
        </w:rPr>
        <w:t>07</w:t>
      </w:r>
      <w:r>
        <w:rPr>
          <w:rFonts w:hint="default" w:ascii="Times New Roman" w:hAnsi="Times New Roman" w:cs="Times New Roman"/>
          <w:b w:val="0"/>
          <w:bCs w:val="0"/>
          <w:sz w:val="24"/>
          <w:szCs w:val="24"/>
          <w:lang w:val="en-US" w:eastAsia="zh-CN"/>
        </w:rPr>
        <w:t>), and its development process demonstrates a clear logical progression, beginning with the establishment of a theoretical framework, followed by the derivation of testable hypotheses, then proceeding to systematic data collection for verification, and ultimately leading to the confirmation or revision of the original theory based on empirical results (Goswami, 20</w:t>
      </w:r>
      <w:r>
        <w:rPr>
          <w:rFonts w:hint="eastAsia" w:ascii="Times New Roman" w:hAnsi="Times New Roman" w:cs="Times New Roman"/>
          <w:b w:val="0"/>
          <w:bCs w:val="0"/>
          <w:sz w:val="24"/>
          <w:szCs w:val="24"/>
          <w:lang w:val="en-US" w:eastAsia="zh-CN"/>
        </w:rPr>
        <w:t>10</w:t>
      </w:r>
      <w:r>
        <w:rPr>
          <w:rFonts w:hint="default" w:ascii="Times New Roman" w:hAnsi="Times New Roman" w:cs="Times New Roman"/>
          <w:b w:val="0"/>
          <w:bCs w:val="0"/>
          <w:sz w:val="24"/>
          <w:szCs w:val="24"/>
          <w:lang w:val="en-US" w:eastAsia="zh-CN"/>
        </w:rPr>
        <w:t>).</w:t>
      </w:r>
    </w:p>
    <w:p w14:paraId="5FE93C29">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This study strictly adher</w:t>
      </w:r>
      <w:r>
        <w:rPr>
          <w:rFonts w:hint="eastAsia" w:ascii="Times New Roman" w:hAnsi="Times New Roman" w:cs="Times New Roman"/>
          <w:b w:val="0"/>
          <w:bCs w:val="0"/>
          <w:sz w:val="24"/>
          <w:szCs w:val="24"/>
          <w:lang w:val="en-US" w:eastAsia="zh-CN"/>
        </w:rPr>
        <w:t>es</w:t>
      </w:r>
      <w:r>
        <w:rPr>
          <w:rFonts w:hint="default" w:ascii="Times New Roman" w:hAnsi="Times New Roman" w:cs="Times New Roman"/>
          <w:b w:val="0"/>
          <w:bCs w:val="0"/>
          <w:sz w:val="24"/>
          <w:szCs w:val="24"/>
          <w:lang w:val="en-US" w:eastAsia="zh-CN"/>
        </w:rPr>
        <w:t xml:space="preserve"> to this </w:t>
      </w:r>
      <w:r>
        <w:rPr>
          <w:rFonts w:hint="eastAsia" w:ascii="Times New Roman" w:hAnsi="Times New Roman" w:cs="Times New Roman"/>
          <w:b w:val="0"/>
          <w:bCs w:val="0"/>
          <w:sz w:val="24"/>
          <w:szCs w:val="24"/>
          <w:lang w:val="en-US" w:eastAsia="zh-CN"/>
        </w:rPr>
        <w:t>deductive</w:t>
      </w:r>
      <w:r>
        <w:rPr>
          <w:rFonts w:hint="default" w:ascii="Times New Roman" w:hAnsi="Times New Roman" w:cs="Times New Roman"/>
          <w:b w:val="0"/>
          <w:bCs w:val="0"/>
          <w:sz w:val="24"/>
          <w:szCs w:val="24"/>
          <w:lang w:val="en-US" w:eastAsia="zh-CN"/>
        </w:rPr>
        <w:t xml:space="preserve"> approach, using the </w:t>
      </w:r>
      <w:r>
        <w:rPr>
          <w:rFonts w:hint="eastAsia" w:ascii="Times New Roman" w:hAnsi="Times New Roman" w:cs="Times New Roman"/>
          <w:b w:val="0"/>
          <w:bCs w:val="0"/>
          <w:sz w:val="24"/>
          <w:szCs w:val="24"/>
          <w:lang w:val="en-US" w:eastAsia="zh-CN"/>
        </w:rPr>
        <w:t>M</w:t>
      </w:r>
      <w:r>
        <w:rPr>
          <w:rFonts w:hint="default" w:ascii="Times New Roman" w:hAnsi="Times New Roman" w:cs="Times New Roman"/>
          <w:b w:val="0"/>
          <w:bCs w:val="0"/>
          <w:sz w:val="24"/>
          <w:szCs w:val="24"/>
          <w:lang w:val="en-US" w:eastAsia="zh-CN"/>
        </w:rPr>
        <w:t xml:space="preserve">indset </w:t>
      </w:r>
      <w:r>
        <w:rPr>
          <w:rFonts w:hint="eastAsia" w:ascii="Times New Roman" w:hAnsi="Times New Roman" w:cs="Times New Roman"/>
          <w:b w:val="0"/>
          <w:bCs w:val="0"/>
          <w:sz w:val="24"/>
          <w:szCs w:val="24"/>
          <w:lang w:val="en-US" w:eastAsia="zh-CN"/>
        </w:rPr>
        <w:t>T</w:t>
      </w:r>
      <w:r>
        <w:rPr>
          <w:rFonts w:hint="default" w:ascii="Times New Roman" w:hAnsi="Times New Roman" w:cs="Times New Roman"/>
          <w:b w:val="0"/>
          <w:bCs w:val="0"/>
          <w:sz w:val="24"/>
          <w:szCs w:val="24"/>
          <w:lang w:val="en-US" w:eastAsia="zh-CN"/>
        </w:rPr>
        <w:t>heory proposed by Dweck (2006) as the core framework. This theory reveals the intrinsic connection between an individual’s belief in the plasticity of intelligence and their academic behaviors and emotional responses</w:t>
      </w:r>
      <w:r>
        <w:rPr>
          <w:rFonts w:hint="eastAsia" w:ascii="Times New Roman" w:hAnsi="Times New Roman" w:cs="Times New Roman"/>
          <w:b w:val="0"/>
          <w:bCs w:val="0"/>
          <w:sz w:val="24"/>
          <w:szCs w:val="24"/>
          <w:lang w:val="en-US" w:eastAsia="zh-CN"/>
        </w:rPr>
        <w:t>. A</w:t>
      </w:r>
      <w:r>
        <w:rPr>
          <w:rFonts w:hint="default" w:ascii="Times New Roman" w:hAnsi="Times New Roman" w:cs="Times New Roman"/>
          <w:b w:val="0"/>
          <w:bCs w:val="0"/>
          <w:sz w:val="24"/>
          <w:szCs w:val="24"/>
          <w:lang w:val="en-US" w:eastAsia="zh-CN"/>
        </w:rPr>
        <w:t>t the same time, it introduce</w:t>
      </w:r>
      <w:r>
        <w:rPr>
          <w:rFonts w:hint="eastAsia" w:ascii="Times New Roman" w:hAnsi="Times New Roman" w:cs="Times New Roman"/>
          <w:b w:val="0"/>
          <w:bCs w:val="0"/>
          <w:sz w:val="24"/>
          <w:szCs w:val="24"/>
          <w:lang w:val="en-US" w:eastAsia="zh-CN"/>
        </w:rPr>
        <w:t>s</w:t>
      </w:r>
      <w:r>
        <w:rPr>
          <w:rFonts w:hint="default" w:ascii="Times New Roman" w:hAnsi="Times New Roman" w:cs="Times New Roman"/>
          <w:b w:val="0"/>
          <w:bCs w:val="0"/>
          <w:sz w:val="24"/>
          <w:szCs w:val="24"/>
          <w:lang w:val="en-US" w:eastAsia="zh-CN"/>
        </w:rPr>
        <w:t xml:space="preserve"> the </w:t>
      </w:r>
      <w:r>
        <w:rPr>
          <w:rFonts w:hint="eastAsia" w:ascii="Times New Roman" w:hAnsi="Times New Roman" w:cs="Times New Roman"/>
          <w:b w:val="0"/>
          <w:bCs w:val="0"/>
          <w:sz w:val="24"/>
          <w:szCs w:val="24"/>
          <w:lang w:val="en-US" w:eastAsia="zh-CN"/>
        </w:rPr>
        <w:t>C</w:t>
      </w:r>
      <w:r>
        <w:rPr>
          <w:rFonts w:hint="default" w:ascii="Times New Roman" w:hAnsi="Times New Roman" w:cs="Times New Roman"/>
          <w:b w:val="0"/>
          <w:bCs w:val="0"/>
          <w:sz w:val="24"/>
          <w:szCs w:val="24"/>
          <w:lang w:val="en-US" w:eastAsia="zh-CN"/>
        </w:rPr>
        <w:t>ontrol-</w:t>
      </w:r>
      <w:r>
        <w:rPr>
          <w:rFonts w:hint="eastAsia" w:ascii="Times New Roman" w:hAnsi="Times New Roman" w:cs="Times New Roman"/>
          <w:b w:val="0"/>
          <w:bCs w:val="0"/>
          <w:sz w:val="24"/>
          <w:szCs w:val="24"/>
          <w:lang w:val="en-US" w:eastAsia="zh-CN"/>
        </w:rPr>
        <w:t>V</w:t>
      </w:r>
      <w:r>
        <w:rPr>
          <w:rFonts w:hint="default" w:ascii="Times New Roman" w:hAnsi="Times New Roman" w:cs="Times New Roman"/>
          <w:b w:val="0"/>
          <w:bCs w:val="0"/>
          <w:sz w:val="24"/>
          <w:szCs w:val="24"/>
          <w:lang w:val="en-US" w:eastAsia="zh-CN"/>
        </w:rPr>
        <w:t xml:space="preserve">alue </w:t>
      </w:r>
      <w:r>
        <w:rPr>
          <w:rFonts w:hint="eastAsia" w:ascii="Times New Roman" w:hAnsi="Times New Roman" w:cs="Times New Roman"/>
          <w:b w:val="0"/>
          <w:bCs w:val="0"/>
          <w:sz w:val="24"/>
          <w:szCs w:val="24"/>
          <w:lang w:val="en-US" w:eastAsia="zh-CN"/>
        </w:rPr>
        <w:t>T</w:t>
      </w:r>
      <w:r>
        <w:rPr>
          <w:rFonts w:hint="default" w:ascii="Times New Roman" w:hAnsi="Times New Roman" w:cs="Times New Roman"/>
          <w:b w:val="0"/>
          <w:bCs w:val="0"/>
          <w:sz w:val="24"/>
          <w:szCs w:val="24"/>
          <w:lang w:val="en-US" w:eastAsia="zh-CN"/>
        </w:rPr>
        <w:t xml:space="preserve">heory (Pekrun, 2006), explaining the specific impact of anxiety on academic performance from the dynamic regulation mechanism of achievement emotions. Based on this theoretical framework and in combination with existing empirical research results from the </w:t>
      </w:r>
      <w:r>
        <w:rPr>
          <w:rFonts w:hint="eastAsia" w:ascii="Times New Roman" w:hAnsi="Times New Roman" w:cs="Times New Roman"/>
          <w:b w:val="0"/>
          <w:bCs w:val="0"/>
          <w:sz w:val="24"/>
          <w:szCs w:val="24"/>
          <w:lang w:val="en-US" w:eastAsia="zh-CN"/>
        </w:rPr>
        <w:t>w</w:t>
      </w:r>
      <w:r>
        <w:rPr>
          <w:rFonts w:hint="default" w:ascii="Times New Roman" w:hAnsi="Times New Roman" w:cs="Times New Roman"/>
          <w:b w:val="0"/>
          <w:bCs w:val="0"/>
          <w:sz w:val="24"/>
          <w:szCs w:val="24"/>
          <w:lang w:val="en-US" w:eastAsia="zh-CN"/>
        </w:rPr>
        <w:t>est</w:t>
      </w:r>
      <w:r>
        <w:rPr>
          <w:rFonts w:hint="eastAsia" w:ascii="Times New Roman" w:hAnsi="Times New Roman" w:cs="Times New Roman"/>
          <w:b w:val="0"/>
          <w:bCs w:val="0"/>
          <w:sz w:val="24"/>
          <w:szCs w:val="24"/>
          <w:lang w:val="en-US" w:eastAsia="zh-CN"/>
        </w:rPr>
        <w:t>ern countries</w:t>
      </w:r>
      <w:r>
        <w:rPr>
          <w:rFonts w:hint="default" w:ascii="Times New Roman" w:hAnsi="Times New Roman" w:cs="Times New Roman"/>
          <w:b w:val="0"/>
          <w:bCs w:val="0"/>
          <w:sz w:val="24"/>
          <w:szCs w:val="24"/>
          <w:lang w:val="en-US" w:eastAsia="zh-CN"/>
        </w:rPr>
        <w:t xml:space="preserve"> (Peterman &amp; Ewing, 2019), this study deriv</w:t>
      </w:r>
      <w:r>
        <w:rPr>
          <w:rFonts w:hint="eastAsia" w:ascii="Times New Roman" w:hAnsi="Times New Roman" w:cs="Times New Roman"/>
          <w:b w:val="0"/>
          <w:bCs w:val="0"/>
          <w:sz w:val="24"/>
          <w:szCs w:val="24"/>
          <w:lang w:val="en-US" w:eastAsia="zh-CN"/>
        </w:rPr>
        <w:t>es</w:t>
      </w:r>
      <w:r>
        <w:rPr>
          <w:rFonts w:hint="default" w:ascii="Times New Roman" w:hAnsi="Times New Roman" w:cs="Times New Roman"/>
          <w:b w:val="0"/>
          <w:bCs w:val="0"/>
          <w:sz w:val="24"/>
          <w:szCs w:val="24"/>
          <w:lang w:val="en-US" w:eastAsia="zh-CN"/>
        </w:rPr>
        <w:t xml:space="preserve"> operational hypotheses, arguing that there is a significant negative correlation between growth mindset and math anxiety levels among Chinese </w:t>
      </w:r>
      <w:r>
        <w:rPr>
          <w:rFonts w:hint="eastAsia" w:ascii="Times New Roman" w:hAnsi="Times New Roman" w:cs="Times New Roman"/>
          <w:b w:val="0"/>
          <w:bCs w:val="0"/>
          <w:sz w:val="24"/>
          <w:szCs w:val="24"/>
          <w:lang w:val="en-US" w:eastAsia="zh-CN"/>
        </w:rPr>
        <w:t xml:space="preserve">X </w:t>
      </w:r>
      <w:r>
        <w:rPr>
          <w:rFonts w:hint="default" w:ascii="Times New Roman" w:hAnsi="Times New Roman" w:cs="Times New Roman"/>
          <w:b w:val="0"/>
          <w:bCs w:val="0"/>
          <w:sz w:val="24"/>
          <w:szCs w:val="24"/>
          <w:lang w:val="en-US" w:eastAsia="zh-CN"/>
        </w:rPr>
        <w:t>junior high school students.</w:t>
      </w:r>
    </w:p>
    <w:p w14:paraId="2841B19C">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To verify this hypothesis, the research design employ</w:t>
      </w:r>
      <w:r>
        <w:rPr>
          <w:rFonts w:hint="eastAsia" w:ascii="Times New Roman" w:hAnsi="Times New Roman" w:cs="Times New Roman"/>
          <w:b w:val="0"/>
          <w:bCs w:val="0"/>
          <w:sz w:val="24"/>
          <w:szCs w:val="24"/>
          <w:lang w:val="en-US" w:eastAsia="zh-CN"/>
        </w:rPr>
        <w:t>s</w:t>
      </w:r>
      <w:r>
        <w:rPr>
          <w:rFonts w:hint="default" w:ascii="Times New Roman" w:hAnsi="Times New Roman" w:cs="Times New Roman"/>
          <w:b w:val="0"/>
          <w:bCs w:val="0"/>
          <w:sz w:val="24"/>
          <w:szCs w:val="24"/>
          <w:lang w:val="en-US" w:eastAsia="zh-CN"/>
        </w:rPr>
        <w:t xml:space="preserve"> standardi</w:t>
      </w:r>
      <w:r>
        <w:rPr>
          <w:rFonts w:hint="eastAsia" w:ascii="Times New Roman" w:hAnsi="Times New Roman" w:cs="Times New Roman"/>
          <w:b w:val="0"/>
          <w:bCs w:val="0"/>
          <w:sz w:val="24"/>
          <w:szCs w:val="24"/>
          <w:lang w:val="en-US" w:eastAsia="zh-CN"/>
        </w:rPr>
        <w:t>s</w:t>
      </w:r>
      <w:r>
        <w:rPr>
          <w:rFonts w:hint="default" w:ascii="Times New Roman" w:hAnsi="Times New Roman" w:cs="Times New Roman"/>
          <w:b w:val="0"/>
          <w:bCs w:val="0"/>
          <w:sz w:val="24"/>
          <w:szCs w:val="24"/>
          <w:lang w:val="en-US" w:eastAsia="zh-CN"/>
        </w:rPr>
        <w:t>ed scales to collect quantitative data, and conduct</w:t>
      </w:r>
      <w:r>
        <w:rPr>
          <w:rFonts w:hint="eastAsia" w:ascii="Times New Roman" w:hAnsi="Times New Roman" w:cs="Times New Roman"/>
          <w:b w:val="0"/>
          <w:bCs w:val="0"/>
          <w:sz w:val="24"/>
          <w:szCs w:val="24"/>
          <w:lang w:val="en-US" w:eastAsia="zh-CN"/>
        </w:rPr>
        <w:t>s</w:t>
      </w:r>
      <w:r>
        <w:rPr>
          <w:rFonts w:hint="default" w:ascii="Times New Roman" w:hAnsi="Times New Roman" w:cs="Times New Roman"/>
          <w:b w:val="0"/>
          <w:bCs w:val="0"/>
          <w:sz w:val="24"/>
          <w:szCs w:val="24"/>
          <w:lang w:val="en-US" w:eastAsia="zh-CN"/>
        </w:rPr>
        <w:t xml:space="preserve"> statistical analysis to test the relationships between variables. The research results will not only validate the applicability of the theory in the Chinese cultural context, but also potentially provide empirical evidence from a cross-cultural perspective for the improvement of the existing theory. Thus, the deductive research method establishes a rigorous logical bridge between positivist philosophy and quantitative research methods, ensuring that this study not only verifies the known relationships but also offers new cultural annotations for the development of the theory.</w:t>
      </w:r>
    </w:p>
    <w:p w14:paraId="0127B940">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bCs/>
          <w:sz w:val="24"/>
          <w:szCs w:val="24"/>
          <w:lang w:val="en-US" w:eastAsia="zh-CN"/>
        </w:rPr>
        <w:t>Researcher Positionality and Reflexivity</w:t>
      </w:r>
    </w:p>
    <w:p w14:paraId="4D57AD4E">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In the framework of positivist research, </w:t>
      </w:r>
      <w:r>
        <w:rPr>
          <w:rFonts w:hint="eastAsia" w:ascii="Times New Roman" w:hAnsi="Times New Roman" w:cs="Times New Roman"/>
          <w:b w:val="0"/>
          <w:bCs w:val="0"/>
          <w:sz w:val="24"/>
          <w:szCs w:val="24"/>
          <w:lang w:val="en-US" w:eastAsia="zh-CN"/>
        </w:rPr>
        <w:t xml:space="preserve">the </w:t>
      </w:r>
      <w:r>
        <w:rPr>
          <w:rFonts w:hint="default" w:ascii="Times New Roman" w:hAnsi="Times New Roman" w:cs="Times New Roman"/>
          <w:b w:val="0"/>
          <w:bCs w:val="0"/>
          <w:sz w:val="24"/>
          <w:szCs w:val="24"/>
          <w:lang w:val="en-US" w:eastAsia="zh-CN"/>
        </w:rPr>
        <w:t>researcher strive</w:t>
      </w:r>
      <w:r>
        <w:rPr>
          <w:rFonts w:hint="eastAsia" w:ascii="Times New Roman" w:hAnsi="Times New Roman" w:cs="Times New Roman"/>
          <w:b w:val="0"/>
          <w:bCs w:val="0"/>
          <w:sz w:val="24"/>
          <w:szCs w:val="24"/>
          <w:lang w:val="en-US" w:eastAsia="zh-CN"/>
        </w:rPr>
        <w:t>s</w:t>
      </w:r>
      <w:r>
        <w:rPr>
          <w:rFonts w:hint="default" w:ascii="Times New Roman" w:hAnsi="Times New Roman" w:cs="Times New Roman"/>
          <w:b w:val="0"/>
          <w:bCs w:val="0"/>
          <w:sz w:val="24"/>
          <w:szCs w:val="24"/>
          <w:lang w:val="en-US" w:eastAsia="zh-CN"/>
        </w:rPr>
        <w:t xml:space="preserve"> to maintain objectivity and minimi</w:t>
      </w:r>
      <w:r>
        <w:rPr>
          <w:rFonts w:hint="eastAsia" w:ascii="Times New Roman" w:hAnsi="Times New Roman" w:cs="Times New Roman"/>
          <w:b w:val="0"/>
          <w:bCs w:val="0"/>
          <w:sz w:val="24"/>
          <w:szCs w:val="24"/>
          <w:lang w:val="en-US" w:eastAsia="zh-CN"/>
        </w:rPr>
        <w:t>s</w:t>
      </w:r>
      <w:r>
        <w:rPr>
          <w:rFonts w:hint="default" w:ascii="Times New Roman" w:hAnsi="Times New Roman" w:cs="Times New Roman"/>
          <w:b w:val="0"/>
          <w:bCs w:val="0"/>
          <w:sz w:val="24"/>
          <w:szCs w:val="24"/>
          <w:lang w:val="en-US" w:eastAsia="zh-CN"/>
        </w:rPr>
        <w:t>e</w:t>
      </w:r>
      <w:r>
        <w:rPr>
          <w:rFonts w:hint="eastAsia" w:ascii="Times New Roman" w:hAnsi="Times New Roman" w:cs="Times New Roman"/>
          <w:b w:val="0"/>
          <w:bCs w:val="0"/>
          <w:sz w:val="24"/>
          <w:szCs w:val="24"/>
          <w:lang w:val="en-US" w:eastAsia="zh-CN"/>
        </w:rPr>
        <w:t>s</w:t>
      </w:r>
      <w:r>
        <w:rPr>
          <w:rFonts w:hint="default" w:ascii="Times New Roman" w:hAnsi="Times New Roman" w:cs="Times New Roman"/>
          <w:b w:val="0"/>
          <w:bCs w:val="0"/>
          <w:sz w:val="24"/>
          <w:szCs w:val="24"/>
          <w:lang w:val="en-US" w:eastAsia="zh-CN"/>
        </w:rPr>
        <w:t xml:space="preserve"> the influence of their own perspectives on the data. However, maintaining critical reflection on their own positions remains an important aspect for ensuring the rigor of the research. The identities of the researchers in this study have a dual nature. Firstly, as </w:t>
      </w:r>
      <w:r>
        <w:rPr>
          <w:rFonts w:hint="eastAsia" w:ascii="Times New Roman" w:hAnsi="Times New Roman" w:cs="Times New Roman"/>
          <w:b w:val="0"/>
          <w:bCs w:val="0"/>
          <w:sz w:val="24"/>
          <w:szCs w:val="24"/>
          <w:lang w:val="en-US" w:eastAsia="zh-CN"/>
        </w:rPr>
        <w:t xml:space="preserve">the </w:t>
      </w:r>
      <w:r>
        <w:rPr>
          <w:rFonts w:hint="default" w:ascii="Times New Roman" w:hAnsi="Times New Roman" w:cs="Times New Roman"/>
          <w:b w:val="0"/>
          <w:bCs w:val="0"/>
          <w:sz w:val="24"/>
          <w:szCs w:val="24"/>
          <w:lang w:val="en-US" w:eastAsia="zh-CN"/>
        </w:rPr>
        <w:t>researcher adhering to the principle of positivism, throughout the data collection and analysis stages, I maintain</w:t>
      </w:r>
      <w:r>
        <w:rPr>
          <w:rFonts w:hint="eastAsia" w:ascii="Times New Roman" w:hAnsi="Times New Roman" w:cs="Times New Roman"/>
          <w:b w:val="0"/>
          <w:bCs w:val="0"/>
          <w:sz w:val="24"/>
          <w:szCs w:val="24"/>
          <w:lang w:val="en-US" w:eastAsia="zh-CN"/>
        </w:rPr>
        <w:t>s</w:t>
      </w:r>
      <w:r>
        <w:rPr>
          <w:rFonts w:hint="default" w:ascii="Times New Roman" w:hAnsi="Times New Roman" w:cs="Times New Roman"/>
          <w:b w:val="0"/>
          <w:bCs w:val="0"/>
          <w:sz w:val="24"/>
          <w:szCs w:val="24"/>
          <w:lang w:val="en-US" w:eastAsia="zh-CN"/>
        </w:rPr>
        <w:t xml:space="preserve"> a neutral stance. My responsibility </w:t>
      </w:r>
      <w:r>
        <w:rPr>
          <w:rFonts w:hint="eastAsia" w:ascii="Times New Roman" w:hAnsi="Times New Roman" w:cs="Times New Roman"/>
          <w:b w:val="0"/>
          <w:bCs w:val="0"/>
          <w:sz w:val="24"/>
          <w:szCs w:val="24"/>
          <w:lang w:val="en-US" w:eastAsia="zh-CN"/>
        </w:rPr>
        <w:t>i</w:t>
      </w:r>
      <w:r>
        <w:rPr>
          <w:rFonts w:hint="default" w:ascii="Times New Roman" w:hAnsi="Times New Roman" w:cs="Times New Roman"/>
          <w:b w:val="0"/>
          <w:bCs w:val="0"/>
          <w:sz w:val="24"/>
          <w:szCs w:val="24"/>
          <w:lang w:val="en-US" w:eastAsia="zh-CN"/>
        </w:rPr>
        <w:t>s to administer standardi</w:t>
      </w:r>
      <w:r>
        <w:rPr>
          <w:rFonts w:hint="eastAsia" w:ascii="Times New Roman" w:hAnsi="Times New Roman" w:cs="Times New Roman"/>
          <w:b w:val="0"/>
          <w:bCs w:val="0"/>
          <w:sz w:val="24"/>
          <w:szCs w:val="24"/>
          <w:lang w:val="en-US" w:eastAsia="zh-CN"/>
        </w:rPr>
        <w:t>s</w:t>
      </w:r>
      <w:r>
        <w:rPr>
          <w:rFonts w:hint="default" w:ascii="Times New Roman" w:hAnsi="Times New Roman" w:cs="Times New Roman"/>
          <w:b w:val="0"/>
          <w:bCs w:val="0"/>
          <w:sz w:val="24"/>
          <w:szCs w:val="24"/>
          <w:lang w:val="en-US" w:eastAsia="zh-CN"/>
        </w:rPr>
        <w:t>ed research tools and, when interpreting the data, to avoid being influenced by personal subjective tendencies as much as possible.</w:t>
      </w:r>
      <w:r>
        <w:rPr>
          <w:rFonts w:hint="eastAsia" w:ascii="Times New Roman" w:hAnsi="Times New Roman" w:cs="Times New Roman"/>
          <w:b w:val="0"/>
          <w:bCs w:val="0"/>
          <w:sz w:val="24"/>
          <w:szCs w:val="24"/>
          <w:lang w:val="en-US" w:eastAsia="zh-CN"/>
        </w:rPr>
        <w:t xml:space="preserve"> On the other hand, I must also admit my status as an alumna of the X junior high school. This insider identity has provided significant convenience for the implementation of the research. It not only facilitates smooth communication with the management of the school but also possibly enhances the trust of students and parents in this research.</w:t>
      </w:r>
    </w:p>
    <w:p w14:paraId="04D9DC0C">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To mitigate the potential biases that this identity might bring about and to adhere to the principle of positivism, this study adopted the following strategies. </w:t>
      </w:r>
    </w:p>
    <w:p w14:paraId="0D1DEFC6">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Firstly, deviations are controlled through standardized operational procedures. The data collection process is strictly uniform, and all participants receive the same instructions and fill out the mature scales that have been verified for reliability and validity (PISA 2022 database scales), thereby minimizing the direct interference of researchers with the responses of the subjects. </w:t>
      </w:r>
    </w:p>
    <w:p w14:paraId="7DB1D7F3">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Secondly, data was collected while adhering to the principle of anonymity. Strict compliance with the anonymity requirement ensured that the responses of the participants would not be influenced by their personal relationship with the researchers, nor would there be any deviation due to the respondents’ desire to provide socially approving answers to the alumn</w:t>
      </w:r>
      <w:r>
        <w:rPr>
          <w:rFonts w:hint="eastAsia" w:ascii="Times New Roman" w:hAnsi="Times New Roman" w:cs="Times New Roman"/>
          <w:b w:val="0"/>
          <w:bCs w:val="0"/>
          <w:sz w:val="24"/>
          <w:szCs w:val="24"/>
          <w:lang w:val="en-US" w:eastAsia="zh-CN"/>
        </w:rPr>
        <w:t>a</w:t>
      </w:r>
      <w:r>
        <w:rPr>
          <w:rFonts w:hint="default" w:ascii="Times New Roman" w:hAnsi="Times New Roman" w:cs="Times New Roman"/>
          <w:b w:val="0"/>
          <w:bCs w:val="0"/>
          <w:sz w:val="24"/>
          <w:szCs w:val="24"/>
          <w:lang w:val="en-US" w:eastAsia="zh-CN"/>
        </w:rPr>
        <w:t xml:space="preserve">. </w:t>
      </w:r>
    </w:p>
    <w:p w14:paraId="4446DEE1">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Thirdly, quantitative software is employed for data analysis. By using SPSS statistical software to process the data, it ensures that the process from data to results is objective and procedural, eliminating the possibility of subjective interpretation at the computational level. </w:t>
      </w:r>
    </w:p>
    <w:p w14:paraId="011F93D9">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Therefore, although the alumn</w:t>
      </w:r>
      <w:r>
        <w:rPr>
          <w:rFonts w:hint="eastAsia" w:ascii="Times New Roman" w:hAnsi="Times New Roman" w:cs="Times New Roman"/>
          <w:b w:val="0"/>
          <w:bCs w:val="0"/>
          <w:sz w:val="24"/>
          <w:szCs w:val="24"/>
          <w:lang w:val="en-US" w:eastAsia="zh-CN"/>
        </w:rPr>
        <w:t>a</w:t>
      </w:r>
      <w:r>
        <w:rPr>
          <w:rFonts w:hint="default" w:ascii="Times New Roman" w:hAnsi="Times New Roman" w:cs="Times New Roman"/>
          <w:b w:val="0"/>
          <w:bCs w:val="0"/>
          <w:sz w:val="24"/>
          <w:szCs w:val="24"/>
          <w:lang w:val="en-US" w:eastAsia="zh-CN"/>
        </w:rPr>
        <w:t xml:space="preserve"> status provide</w:t>
      </w:r>
      <w:r>
        <w:rPr>
          <w:rFonts w:hint="eastAsia" w:ascii="Times New Roman" w:hAnsi="Times New Roman" w:cs="Times New Roman"/>
          <w:b w:val="0"/>
          <w:bCs w:val="0"/>
          <w:sz w:val="24"/>
          <w:szCs w:val="24"/>
          <w:lang w:val="en-US" w:eastAsia="zh-CN"/>
        </w:rPr>
        <w:t>s</w:t>
      </w:r>
      <w:r>
        <w:rPr>
          <w:rFonts w:hint="default" w:ascii="Times New Roman" w:hAnsi="Times New Roman" w:cs="Times New Roman"/>
          <w:b w:val="0"/>
          <w:bCs w:val="0"/>
          <w:sz w:val="24"/>
          <w:szCs w:val="24"/>
          <w:lang w:val="en-US" w:eastAsia="zh-CN"/>
        </w:rPr>
        <w:t xml:space="preserve"> the necessary practical conditions for the research, the entire research design </w:t>
      </w:r>
      <w:r>
        <w:rPr>
          <w:rFonts w:hint="eastAsia" w:ascii="Times New Roman" w:hAnsi="Times New Roman" w:cs="Times New Roman"/>
          <w:b w:val="0"/>
          <w:bCs w:val="0"/>
          <w:sz w:val="24"/>
          <w:szCs w:val="24"/>
          <w:lang w:val="en-US" w:eastAsia="zh-CN"/>
        </w:rPr>
        <w:t>i</w:t>
      </w:r>
      <w:r>
        <w:rPr>
          <w:rFonts w:hint="default" w:ascii="Times New Roman" w:hAnsi="Times New Roman" w:cs="Times New Roman"/>
          <w:b w:val="0"/>
          <w:bCs w:val="0"/>
          <w:sz w:val="24"/>
          <w:szCs w:val="24"/>
          <w:lang w:val="en-US" w:eastAsia="zh-CN"/>
        </w:rPr>
        <w:t>s meticulously conceived to ensure that the data collected and analyzed could objectively reflect the true situation of the participants, rather than being influenced by the researchers’ personal assumptions or the specific connections with the school.</w:t>
      </w:r>
    </w:p>
    <w:p w14:paraId="62EFE650">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Theoretical Framework</w:t>
      </w:r>
    </w:p>
    <w:p w14:paraId="00294068">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i/>
          <w:iCs/>
          <w:sz w:val="24"/>
          <w:szCs w:val="24"/>
          <w:lang w:val="en-US" w:eastAsia="zh-CN"/>
        </w:rPr>
      </w:pPr>
      <w:r>
        <w:rPr>
          <w:rFonts w:hint="eastAsia" w:ascii="Times New Roman" w:hAnsi="Times New Roman" w:cs="Times New Roman"/>
          <w:b/>
          <w:bCs/>
          <w:i/>
          <w:iCs/>
          <w:sz w:val="24"/>
          <w:szCs w:val="24"/>
          <w:lang w:val="en-US" w:eastAsia="zh-CN"/>
        </w:rPr>
        <w:t>Dweck</w:t>
      </w:r>
      <w:r>
        <w:rPr>
          <w:rFonts w:hint="default" w:ascii="Times New Roman" w:hAnsi="Times New Roman" w:cs="Times New Roman"/>
          <w:b/>
          <w:bCs/>
          <w:i/>
          <w:iCs/>
          <w:sz w:val="24"/>
          <w:szCs w:val="24"/>
          <w:lang w:val="en-US" w:eastAsia="zh-CN"/>
        </w:rPr>
        <w:t>’</w:t>
      </w:r>
      <w:r>
        <w:rPr>
          <w:rFonts w:hint="eastAsia" w:ascii="Times New Roman" w:hAnsi="Times New Roman" w:cs="Times New Roman"/>
          <w:b/>
          <w:bCs/>
          <w:i/>
          <w:iCs/>
          <w:sz w:val="24"/>
          <w:szCs w:val="24"/>
          <w:lang w:val="en-US" w:eastAsia="zh-CN"/>
        </w:rPr>
        <w:t>s Mindset Theory</w:t>
      </w:r>
    </w:p>
    <w:p w14:paraId="4C89D112">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The main theoretical basis is derived from Carol Dweck's (2006) mindset theory. This theory posits that individuals hold two core beliefs regarding the nature of intelligence and ability: the fixed mindset (believing that ability is innate and unchangeable) and the growth mindset (believing that ability can be developed through concentration and effort)</w:t>
      </w:r>
      <w:r>
        <w:rPr>
          <w:rFonts w:hint="eastAsia" w:ascii="Times New Roman" w:hAnsi="Times New Roman" w:cs="Times New Roman"/>
          <w:b w:val="0"/>
          <w:bCs w:val="0"/>
          <w:i w:val="0"/>
          <w:iCs w:val="0"/>
          <w:sz w:val="24"/>
          <w:szCs w:val="24"/>
          <w:lang w:val="en-US" w:eastAsia="zh-CN"/>
        </w:rPr>
        <w:t xml:space="preserve"> (Dweck, 2006)</w:t>
      </w:r>
      <w:r>
        <w:rPr>
          <w:rFonts w:hint="default" w:ascii="Times New Roman" w:hAnsi="Times New Roman" w:cs="Times New Roman"/>
          <w:b w:val="0"/>
          <w:bCs w:val="0"/>
          <w:i w:val="0"/>
          <w:iCs w:val="0"/>
          <w:sz w:val="24"/>
          <w:szCs w:val="24"/>
          <w:lang w:val="en-US" w:eastAsia="zh-CN"/>
        </w:rPr>
        <w:t>. This theoretical framework directly provides an operational definition for the independent variable of the growth mindset. The theory predicts that students with a growth mindset exhibit greater resilience, higher persistence, and are less likely to view difficulties as a permanent proof of their own lack of ability when facing challenges</w:t>
      </w:r>
      <w:r>
        <w:rPr>
          <w:rFonts w:hint="eastAsia" w:ascii="Times New Roman" w:hAnsi="Times New Roman" w:cs="Times New Roman"/>
          <w:b w:val="0"/>
          <w:bCs w:val="0"/>
          <w:i w:val="0"/>
          <w:iCs w:val="0"/>
          <w:sz w:val="24"/>
          <w:szCs w:val="24"/>
          <w:lang w:val="en-US" w:eastAsia="zh-CN"/>
        </w:rPr>
        <w:t xml:space="preserve"> (Yeager &amp; Dweck, 2020)</w:t>
      </w:r>
      <w:r>
        <w:rPr>
          <w:rFonts w:hint="default" w:ascii="Times New Roman" w:hAnsi="Times New Roman" w:cs="Times New Roman"/>
          <w:b w:val="0"/>
          <w:bCs w:val="0"/>
          <w:i w:val="0"/>
          <w:iCs w:val="0"/>
          <w:sz w:val="24"/>
          <w:szCs w:val="24"/>
          <w:lang w:val="en-US" w:eastAsia="zh-CN"/>
        </w:rPr>
        <w:t>. This provides a theoretical basis for the hypothesis that the growth mindset may serve as a protective factor against math anxiety.</w:t>
      </w:r>
    </w:p>
    <w:p w14:paraId="23CA4849">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i/>
          <w:iCs/>
          <w:sz w:val="24"/>
          <w:szCs w:val="24"/>
          <w:lang w:val="en-US" w:eastAsia="zh-CN"/>
        </w:rPr>
      </w:pPr>
      <w:r>
        <w:rPr>
          <w:rFonts w:hint="eastAsia" w:ascii="Times New Roman" w:hAnsi="Times New Roman" w:cs="Times New Roman"/>
          <w:b/>
          <w:bCs/>
          <w:i/>
          <w:iCs/>
          <w:sz w:val="24"/>
          <w:szCs w:val="24"/>
          <w:lang w:val="en-US" w:eastAsia="zh-CN"/>
        </w:rPr>
        <w:t>Control-Value Theory</w:t>
      </w:r>
    </w:p>
    <w:p w14:paraId="0B9E3EDA">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To deeply understand the mechanism of the interaction between mindset and academic emotions, this study adopts the control-value theory proposed by Pekrun (2006) as the core theoretical framework (Pekrun, 2006). This theory systematically elaborates on the formation mechanism of emotions in achievement situations, and particularly focuses on how an individual's sense of task control and value assessment jointly influence emotional experiences (</w:t>
      </w:r>
      <w:r>
        <w:rPr>
          <w:rFonts w:hint="eastAsia" w:ascii="Times New Roman" w:hAnsi="Times New Roman" w:cs="Times New Roman"/>
          <w:b w:val="0"/>
          <w:bCs w:val="0"/>
          <w:i w:val="0"/>
          <w:iCs w:val="0"/>
          <w:sz w:val="24"/>
          <w:szCs w:val="24"/>
          <w:lang w:val="en-US" w:eastAsia="zh-CN"/>
        </w:rPr>
        <w:t>Pekrun &amp; Perry, 2014</w:t>
      </w:r>
      <w:r>
        <w:rPr>
          <w:rFonts w:hint="default" w:ascii="Times New Roman" w:hAnsi="Times New Roman" w:cs="Times New Roman"/>
          <w:b w:val="0"/>
          <w:bCs w:val="0"/>
          <w:i w:val="0"/>
          <w:iCs w:val="0"/>
          <w:sz w:val="24"/>
          <w:szCs w:val="24"/>
          <w:lang w:val="en-US" w:eastAsia="zh-CN"/>
        </w:rPr>
        <w:t>).</w:t>
      </w:r>
    </w:p>
    <w:p w14:paraId="0A807ABF">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The Control-Value Theory posits that academic anxiety (such as math anxiety) arises from an individual's perceived control over their ability to complete a task (perceived control) and their perceived value of the task outcome (perceived value) (Pekrun, 2006). Specifically, when students believe they lack the ability to master mathematical knowledge (low perceived control) and attach great importance to their math grades (high perceived value), they are more likely to experience math anxiety (Pekrun &amp; Perry, 2014). This anxiety will further affect students' cognitive engagement, the use of learning strategies, and their ultimate academic performance (Pekrun</w:t>
      </w:r>
      <w:r>
        <w:rPr>
          <w:rFonts w:hint="eastAsia" w:ascii="Times New Roman" w:hAnsi="Times New Roman" w:cs="Times New Roman"/>
          <w:b w:val="0"/>
          <w:bCs w:val="0"/>
          <w:i w:val="0"/>
          <w:iCs w:val="0"/>
          <w:sz w:val="24"/>
          <w:szCs w:val="24"/>
          <w:lang w:val="en-US" w:eastAsia="zh-CN"/>
        </w:rPr>
        <w:t xml:space="preserve"> &amp; Stephens</w:t>
      </w:r>
      <w:r>
        <w:rPr>
          <w:rFonts w:hint="default" w:ascii="Times New Roman" w:hAnsi="Times New Roman" w:cs="Times New Roman"/>
          <w:b w:val="0"/>
          <w:bCs w:val="0"/>
          <w:i w:val="0"/>
          <w:iCs w:val="0"/>
          <w:sz w:val="24"/>
          <w:szCs w:val="24"/>
          <w:lang w:val="en-US" w:eastAsia="zh-CN"/>
        </w:rPr>
        <w:t>, 200</w:t>
      </w:r>
      <w:r>
        <w:rPr>
          <w:rFonts w:hint="eastAsia" w:ascii="Times New Roman" w:hAnsi="Times New Roman" w:cs="Times New Roman"/>
          <w:b w:val="0"/>
          <w:bCs w:val="0"/>
          <w:i w:val="0"/>
          <w:iCs w:val="0"/>
          <w:sz w:val="24"/>
          <w:szCs w:val="24"/>
          <w:lang w:val="en-US" w:eastAsia="zh-CN"/>
        </w:rPr>
        <w:t>9</w:t>
      </w:r>
      <w:r>
        <w:rPr>
          <w:rFonts w:hint="default" w:ascii="Times New Roman" w:hAnsi="Times New Roman" w:cs="Times New Roman"/>
          <w:b w:val="0"/>
          <w:bCs w:val="0"/>
          <w:i w:val="0"/>
          <w:iCs w:val="0"/>
          <w:sz w:val="24"/>
          <w:szCs w:val="24"/>
          <w:lang w:val="en-US" w:eastAsia="zh-CN"/>
        </w:rPr>
        <w:t>).</w:t>
      </w:r>
    </w:p>
    <w:p w14:paraId="77C38961">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Within this theoretical framework, growth mindset can exert its effect by enhancing an individual's sense of control (Dweck, 2006; Pekrun, 2006). Students with growth mindset believe that their mathematical abilities can be improved through effort, and thus they have a stronger sense of control over mathematical tasks. Even if these students also value their mathematics learning, that is, have a high sense of value, the stronger sense of control can effectively mitigate the occurrence of anxiety (Pekrun et al., 20</w:t>
      </w:r>
      <w:r>
        <w:rPr>
          <w:rFonts w:hint="eastAsia" w:ascii="Times New Roman" w:hAnsi="Times New Roman" w:cs="Times New Roman"/>
          <w:b w:val="0"/>
          <w:bCs w:val="0"/>
          <w:i w:val="0"/>
          <w:iCs w:val="0"/>
          <w:sz w:val="24"/>
          <w:szCs w:val="24"/>
          <w:lang w:val="en-US" w:eastAsia="zh-CN"/>
        </w:rPr>
        <w:t>0</w:t>
      </w:r>
      <w:r>
        <w:rPr>
          <w:rFonts w:hint="default" w:ascii="Times New Roman" w:hAnsi="Times New Roman" w:cs="Times New Roman"/>
          <w:b w:val="0"/>
          <w:bCs w:val="0"/>
          <w:i w:val="0"/>
          <w:iCs w:val="0"/>
          <w:sz w:val="24"/>
          <w:szCs w:val="24"/>
          <w:lang w:val="en-US" w:eastAsia="zh-CN"/>
        </w:rPr>
        <w:t>7). On the other hand, growth mindset may also prompt</w:t>
      </w:r>
      <w:r>
        <w:rPr>
          <w:rFonts w:hint="eastAsia" w:ascii="Times New Roman" w:hAnsi="Times New Roman" w:cs="Times New Roman"/>
          <w:b w:val="0"/>
          <w:bCs w:val="0"/>
          <w:i w:val="0"/>
          <w:iCs w:val="0"/>
          <w:sz w:val="24"/>
          <w:szCs w:val="24"/>
          <w:lang w:val="en-US" w:eastAsia="zh-CN"/>
        </w:rPr>
        <w:t>s</w:t>
      </w:r>
      <w:r>
        <w:rPr>
          <w:rFonts w:hint="default" w:ascii="Times New Roman" w:hAnsi="Times New Roman" w:cs="Times New Roman"/>
          <w:b w:val="0"/>
          <w:bCs w:val="0"/>
          <w:i w:val="0"/>
          <w:iCs w:val="0"/>
          <w:sz w:val="24"/>
          <w:szCs w:val="24"/>
          <w:lang w:val="en-US" w:eastAsia="zh-CN"/>
        </w:rPr>
        <w:t xml:space="preserve"> students to form a more positive and intrinsic understanding of the value of mathematics learning, such as regarding it as a means to cultivate thinking abilities, thereby reducing the possibility of anxiety at the cognitive evaluation level (Yeager et al., 2019).</w:t>
      </w:r>
    </w:p>
    <w:p w14:paraId="68CA001B">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Therefore, the </w:t>
      </w:r>
      <w:r>
        <w:rPr>
          <w:rFonts w:hint="eastAsia" w:ascii="Times New Roman" w:hAnsi="Times New Roman" w:cs="Times New Roman"/>
          <w:b w:val="0"/>
          <w:bCs w:val="0"/>
          <w:i w:val="0"/>
          <w:iCs w:val="0"/>
          <w:sz w:val="24"/>
          <w:szCs w:val="24"/>
          <w:lang w:val="en-US" w:eastAsia="zh-CN"/>
        </w:rPr>
        <w:t>C</w:t>
      </w:r>
      <w:r>
        <w:rPr>
          <w:rFonts w:hint="default" w:ascii="Times New Roman" w:hAnsi="Times New Roman" w:cs="Times New Roman"/>
          <w:b w:val="0"/>
          <w:bCs w:val="0"/>
          <w:i w:val="0"/>
          <w:iCs w:val="0"/>
          <w:sz w:val="24"/>
          <w:szCs w:val="24"/>
          <w:lang w:val="en-US" w:eastAsia="zh-CN"/>
        </w:rPr>
        <w:t>ontrol-</w:t>
      </w:r>
      <w:r>
        <w:rPr>
          <w:rFonts w:hint="eastAsia" w:ascii="Times New Roman" w:hAnsi="Times New Roman" w:cs="Times New Roman"/>
          <w:b w:val="0"/>
          <w:bCs w:val="0"/>
          <w:i w:val="0"/>
          <w:iCs w:val="0"/>
          <w:sz w:val="24"/>
          <w:szCs w:val="24"/>
          <w:lang w:val="en-US" w:eastAsia="zh-CN"/>
        </w:rPr>
        <w:t>V</w:t>
      </w:r>
      <w:r>
        <w:rPr>
          <w:rFonts w:hint="default" w:ascii="Times New Roman" w:hAnsi="Times New Roman" w:cs="Times New Roman"/>
          <w:b w:val="0"/>
          <w:bCs w:val="0"/>
          <w:i w:val="0"/>
          <w:iCs w:val="0"/>
          <w:sz w:val="24"/>
          <w:szCs w:val="24"/>
          <w:lang w:val="en-US" w:eastAsia="zh-CN"/>
        </w:rPr>
        <w:t xml:space="preserve">alue </w:t>
      </w:r>
      <w:r>
        <w:rPr>
          <w:rFonts w:hint="eastAsia" w:ascii="Times New Roman" w:hAnsi="Times New Roman" w:cs="Times New Roman"/>
          <w:b w:val="0"/>
          <w:bCs w:val="0"/>
          <w:i w:val="0"/>
          <w:iCs w:val="0"/>
          <w:sz w:val="24"/>
          <w:szCs w:val="24"/>
          <w:lang w:val="en-US" w:eastAsia="zh-CN"/>
        </w:rPr>
        <w:t>T</w:t>
      </w:r>
      <w:r>
        <w:rPr>
          <w:rFonts w:hint="default" w:ascii="Times New Roman" w:hAnsi="Times New Roman" w:cs="Times New Roman"/>
          <w:b w:val="0"/>
          <w:bCs w:val="0"/>
          <w:i w:val="0"/>
          <w:iCs w:val="0"/>
          <w:sz w:val="24"/>
          <w:szCs w:val="24"/>
          <w:lang w:val="en-US" w:eastAsia="zh-CN"/>
        </w:rPr>
        <w:t>heory not only provides a mechanistic explanation for the negative relationship between the growth mindset and math anxiety, but also places this study within a more comprehensive and dynamic framework of achievement emotion theory (</w:t>
      </w:r>
      <w:r>
        <w:rPr>
          <w:rFonts w:hint="eastAsia" w:ascii="Times New Roman" w:hAnsi="Times New Roman" w:cs="Times New Roman"/>
          <w:b w:val="0"/>
          <w:bCs w:val="0"/>
          <w:i w:val="0"/>
          <w:iCs w:val="0"/>
          <w:sz w:val="24"/>
          <w:szCs w:val="24"/>
          <w:lang w:val="en-US" w:eastAsia="zh-CN"/>
        </w:rPr>
        <w:t>Bai &amp; Wang, 2023</w:t>
      </w:r>
      <w:r>
        <w:rPr>
          <w:rFonts w:hint="default" w:ascii="Times New Roman" w:hAnsi="Times New Roman" w:cs="Times New Roman"/>
          <w:b w:val="0"/>
          <w:bCs w:val="0"/>
          <w:i w:val="0"/>
          <w:iCs w:val="0"/>
          <w:sz w:val="24"/>
          <w:szCs w:val="24"/>
          <w:lang w:val="en-US" w:eastAsia="zh-CN"/>
        </w:rPr>
        <w:t>), highlighting the core role of cognitive evaluation in the generation of emotions and overcoming the limitations of single cognitive theories that pay insufficient attention to situational and evaluative factors.</w:t>
      </w:r>
    </w:p>
    <w:p w14:paraId="1AE10438">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b/>
          <w:bCs/>
          <w:i w:val="0"/>
          <w:iCs w:val="0"/>
          <w:sz w:val="24"/>
          <w:szCs w:val="24"/>
          <w:lang w:val="en-US" w:eastAsia="zh-CN"/>
        </w:rPr>
      </w:pPr>
      <w:r>
        <w:rPr>
          <w:rFonts w:hint="eastAsia" w:ascii="Times New Roman" w:hAnsi="Times New Roman" w:cs="Times New Roman"/>
          <w:b/>
          <w:bCs/>
          <w:i w:val="0"/>
          <w:iCs w:val="0"/>
          <w:sz w:val="24"/>
          <w:szCs w:val="24"/>
          <w:lang w:val="en-US" w:eastAsia="zh-CN"/>
        </w:rPr>
        <w:t>Methodology</w:t>
      </w:r>
    </w:p>
    <w:p w14:paraId="56B2BAD6">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This chapter </w:t>
      </w:r>
      <w:r>
        <w:rPr>
          <w:rFonts w:hint="eastAsia" w:ascii="Times New Roman" w:hAnsi="Times New Roman" w:cs="Times New Roman"/>
          <w:b w:val="0"/>
          <w:bCs w:val="0"/>
          <w:i w:val="0"/>
          <w:iCs w:val="0"/>
          <w:sz w:val="24"/>
          <w:szCs w:val="24"/>
          <w:lang w:val="en-US" w:eastAsia="zh-CN"/>
        </w:rPr>
        <w:t xml:space="preserve">will </w:t>
      </w:r>
      <w:r>
        <w:rPr>
          <w:rFonts w:hint="default" w:ascii="Times New Roman" w:hAnsi="Times New Roman" w:cs="Times New Roman"/>
          <w:b w:val="0"/>
          <w:bCs w:val="0"/>
          <w:i w:val="0"/>
          <w:iCs w:val="0"/>
          <w:sz w:val="24"/>
          <w:szCs w:val="24"/>
          <w:lang w:val="en-US" w:eastAsia="zh-CN"/>
        </w:rPr>
        <w:t xml:space="preserve">aim to elaborate in detail on the specific implementation process of this research, including the selection of research site and participants, the reliability and validity of research tools, the specific procedures for data collection, and the adopted data analysis strategies, to ensure the </w:t>
      </w:r>
      <w:r>
        <w:rPr>
          <w:rFonts w:hint="eastAsia" w:ascii="Times New Roman" w:hAnsi="Times New Roman" w:cs="Times New Roman"/>
          <w:b w:val="0"/>
          <w:bCs w:val="0"/>
          <w:i w:val="0"/>
          <w:iCs w:val="0"/>
          <w:sz w:val="24"/>
          <w:szCs w:val="24"/>
          <w:lang w:val="en-US" w:eastAsia="zh-CN"/>
        </w:rPr>
        <w:t>rigor</w:t>
      </w:r>
      <w:r>
        <w:rPr>
          <w:rFonts w:hint="default" w:ascii="Times New Roman" w:hAnsi="Times New Roman" w:cs="Times New Roman"/>
          <w:b w:val="0"/>
          <w:bCs w:val="0"/>
          <w:i w:val="0"/>
          <w:iCs w:val="0"/>
          <w:sz w:val="24"/>
          <w:szCs w:val="24"/>
          <w:lang w:val="en-US" w:eastAsia="zh-CN"/>
        </w:rPr>
        <w:t xml:space="preserve"> and transparency of the research.</w:t>
      </w:r>
    </w:p>
    <w:p w14:paraId="694B4CAF">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bCs/>
          <w:i w:val="0"/>
          <w:iCs w:val="0"/>
          <w:sz w:val="24"/>
          <w:szCs w:val="24"/>
          <w:lang w:val="en-US" w:eastAsia="zh-CN"/>
        </w:rPr>
      </w:pPr>
      <w:r>
        <w:rPr>
          <w:rFonts w:hint="default" w:ascii="Times New Roman" w:hAnsi="Times New Roman" w:cs="Times New Roman"/>
          <w:b/>
          <w:bCs/>
          <w:i w:val="0"/>
          <w:iCs w:val="0"/>
          <w:sz w:val="24"/>
          <w:szCs w:val="24"/>
          <w:lang w:val="en-US" w:eastAsia="zh-CN"/>
        </w:rPr>
        <w:t>Research Context and Participants</w:t>
      </w:r>
    </w:p>
    <w:p w14:paraId="3EF31DAE">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This research </w:t>
      </w:r>
      <w:r>
        <w:rPr>
          <w:rFonts w:hint="eastAsia" w:ascii="Times New Roman" w:hAnsi="Times New Roman" w:cs="Times New Roman"/>
          <w:b w:val="0"/>
          <w:bCs w:val="0"/>
          <w:i w:val="0"/>
          <w:iCs w:val="0"/>
          <w:sz w:val="24"/>
          <w:szCs w:val="24"/>
          <w:lang w:val="en-US" w:eastAsia="zh-CN"/>
        </w:rPr>
        <w:t>wa</w:t>
      </w:r>
      <w:r>
        <w:rPr>
          <w:rFonts w:hint="default" w:ascii="Times New Roman" w:hAnsi="Times New Roman" w:cs="Times New Roman"/>
          <w:b w:val="0"/>
          <w:bCs w:val="0"/>
          <w:i w:val="0"/>
          <w:iCs w:val="0"/>
          <w:sz w:val="24"/>
          <w:szCs w:val="24"/>
          <w:lang w:val="en-US" w:eastAsia="zh-CN"/>
        </w:rPr>
        <w:t xml:space="preserve">s conducted in a typical public junior high school </w:t>
      </w:r>
      <w:r>
        <w:rPr>
          <w:rFonts w:hint="eastAsia" w:ascii="Times New Roman" w:hAnsi="Times New Roman" w:cs="Times New Roman"/>
          <w:b w:val="0"/>
          <w:bCs w:val="0"/>
          <w:i w:val="0"/>
          <w:iCs w:val="0"/>
          <w:sz w:val="24"/>
          <w:szCs w:val="24"/>
          <w:lang w:val="en-US" w:eastAsia="zh-CN"/>
        </w:rPr>
        <w:t xml:space="preserve">(X junior high school) </w:t>
      </w:r>
      <w:r>
        <w:rPr>
          <w:rFonts w:hint="default" w:ascii="Times New Roman" w:hAnsi="Times New Roman" w:cs="Times New Roman"/>
          <w:b w:val="0"/>
          <w:bCs w:val="0"/>
          <w:i w:val="0"/>
          <w:iCs w:val="0"/>
          <w:sz w:val="24"/>
          <w:szCs w:val="24"/>
          <w:lang w:val="en-US" w:eastAsia="zh-CN"/>
        </w:rPr>
        <w:t xml:space="preserve">in Jiangxi Province, China. The </w:t>
      </w:r>
      <w:r>
        <w:rPr>
          <w:rFonts w:hint="eastAsia" w:ascii="Times New Roman" w:hAnsi="Times New Roman" w:cs="Times New Roman"/>
          <w:b w:val="0"/>
          <w:bCs w:val="0"/>
          <w:i w:val="0"/>
          <w:iCs w:val="0"/>
          <w:sz w:val="24"/>
          <w:szCs w:val="24"/>
          <w:lang w:val="en-US" w:eastAsia="zh-CN"/>
        </w:rPr>
        <w:t>t</w:t>
      </w:r>
      <w:r>
        <w:rPr>
          <w:rFonts w:hint="default" w:ascii="Times New Roman" w:hAnsi="Times New Roman" w:cs="Times New Roman"/>
          <w:b w:val="0"/>
          <w:bCs w:val="0"/>
          <w:i w:val="0"/>
          <w:iCs w:val="0"/>
          <w:sz w:val="24"/>
          <w:szCs w:val="24"/>
          <w:lang w:val="en-US" w:eastAsia="zh-CN"/>
        </w:rPr>
        <w:t xml:space="preserve">eaching quality and student background </w:t>
      </w:r>
      <w:r>
        <w:rPr>
          <w:rFonts w:hint="eastAsia" w:ascii="Times New Roman" w:hAnsi="Times New Roman" w:cs="Times New Roman"/>
          <w:b w:val="0"/>
          <w:bCs w:val="0"/>
          <w:i w:val="0"/>
          <w:iCs w:val="0"/>
          <w:sz w:val="24"/>
          <w:szCs w:val="24"/>
          <w:lang w:val="en-US" w:eastAsia="zh-CN"/>
        </w:rPr>
        <w:t>of this school were</w:t>
      </w:r>
      <w:r>
        <w:rPr>
          <w:rFonts w:hint="default" w:ascii="Times New Roman" w:hAnsi="Times New Roman" w:cs="Times New Roman"/>
          <w:b w:val="0"/>
          <w:bCs w:val="0"/>
          <w:i w:val="0"/>
          <w:iCs w:val="0"/>
          <w:sz w:val="24"/>
          <w:szCs w:val="24"/>
          <w:lang w:val="en-US" w:eastAsia="zh-CN"/>
        </w:rPr>
        <w:t xml:space="preserve"> at the medium level in the province. The students there mainly face</w:t>
      </w:r>
      <w:r>
        <w:rPr>
          <w:rFonts w:hint="eastAsia" w:ascii="Times New Roman" w:hAnsi="Times New Roman" w:cs="Times New Roman"/>
          <w:b w:val="0"/>
          <w:bCs w:val="0"/>
          <w:i w:val="0"/>
          <w:iCs w:val="0"/>
          <w:sz w:val="24"/>
          <w:szCs w:val="24"/>
          <w:lang w:val="en-US" w:eastAsia="zh-CN"/>
        </w:rPr>
        <w:t>d</w:t>
      </w:r>
      <w:r>
        <w:rPr>
          <w:rFonts w:hint="default" w:ascii="Times New Roman" w:hAnsi="Times New Roman" w:cs="Times New Roman"/>
          <w:b w:val="0"/>
          <w:bCs w:val="0"/>
          <w:i w:val="0"/>
          <w:iCs w:val="0"/>
          <w:sz w:val="24"/>
          <w:szCs w:val="24"/>
          <w:lang w:val="en-US" w:eastAsia="zh-CN"/>
        </w:rPr>
        <w:t xml:space="preserve"> the pressure of the senior high school entrance examination, making it a highly representative research site.</w:t>
      </w:r>
    </w:p>
    <w:p w14:paraId="6BCA4C84">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This study employed the </w:t>
      </w:r>
      <w:r>
        <w:rPr>
          <w:rFonts w:hint="eastAsia" w:ascii="Times New Roman" w:hAnsi="Times New Roman" w:cs="Times New Roman"/>
          <w:b w:val="0"/>
          <w:bCs w:val="0"/>
          <w:i w:val="0"/>
          <w:iCs w:val="0"/>
          <w:sz w:val="24"/>
          <w:szCs w:val="24"/>
          <w:lang w:val="en-US" w:eastAsia="zh-CN"/>
        </w:rPr>
        <w:t>t</w:t>
      </w:r>
      <w:r>
        <w:rPr>
          <w:rFonts w:hint="default" w:ascii="Times New Roman" w:hAnsi="Times New Roman" w:cs="Times New Roman"/>
          <w:b w:val="0"/>
          <w:bCs w:val="0"/>
          <w:i w:val="0"/>
          <w:iCs w:val="0"/>
          <w:sz w:val="24"/>
          <w:szCs w:val="24"/>
          <w:lang w:val="en-US" w:eastAsia="zh-CN"/>
        </w:rPr>
        <w:t xml:space="preserve">otal </w:t>
      </w:r>
      <w:r>
        <w:rPr>
          <w:rFonts w:hint="eastAsia" w:ascii="Times New Roman" w:hAnsi="Times New Roman" w:cs="Times New Roman"/>
          <w:b w:val="0"/>
          <w:bCs w:val="0"/>
          <w:i w:val="0"/>
          <w:iCs w:val="0"/>
          <w:sz w:val="24"/>
          <w:szCs w:val="24"/>
          <w:lang w:val="en-US" w:eastAsia="zh-CN"/>
        </w:rPr>
        <w:t>p</w:t>
      </w:r>
      <w:r>
        <w:rPr>
          <w:rFonts w:hint="default" w:ascii="Times New Roman" w:hAnsi="Times New Roman" w:cs="Times New Roman"/>
          <w:b w:val="0"/>
          <w:bCs w:val="0"/>
          <w:i w:val="0"/>
          <w:iCs w:val="0"/>
          <w:sz w:val="24"/>
          <w:szCs w:val="24"/>
          <w:lang w:val="en-US" w:eastAsia="zh-CN"/>
        </w:rPr>
        <w:t xml:space="preserve">opulation </w:t>
      </w:r>
      <w:r>
        <w:rPr>
          <w:rFonts w:hint="eastAsia" w:ascii="Times New Roman" w:hAnsi="Times New Roman" w:cs="Times New Roman"/>
          <w:b w:val="0"/>
          <w:bCs w:val="0"/>
          <w:i w:val="0"/>
          <w:iCs w:val="0"/>
          <w:sz w:val="24"/>
          <w:szCs w:val="24"/>
          <w:lang w:val="en-US" w:eastAsia="zh-CN"/>
        </w:rPr>
        <w:t>s</w:t>
      </w:r>
      <w:r>
        <w:rPr>
          <w:rFonts w:hint="default" w:ascii="Times New Roman" w:hAnsi="Times New Roman" w:cs="Times New Roman"/>
          <w:b w:val="0"/>
          <w:bCs w:val="0"/>
          <w:i w:val="0"/>
          <w:iCs w:val="0"/>
          <w:sz w:val="24"/>
          <w:szCs w:val="24"/>
          <w:lang w:val="en-US" w:eastAsia="zh-CN"/>
        </w:rPr>
        <w:t>ampling method, selecting all the students currently enrolled in this junior high school as the research subjects. There were a total of 310 students in the junior high school department (108 in Grade 7, 103 in Grade 8, and 99 in Grade 9), all of whom were invited to participate in this study. This method aimed to obtain a complete data profile of the junior high school students in this school, avoid sampling bias, and provide a comprehensive basis for the interpretation of the research conclusions in the specific context of this school (Saunders et al., 2019). The age range of the participants was between 12 and 1</w:t>
      </w:r>
      <w:r>
        <w:rPr>
          <w:rFonts w:hint="eastAsia" w:ascii="Times New Roman" w:hAnsi="Times New Roman" w:cs="Times New Roman"/>
          <w:b w:val="0"/>
          <w:bCs w:val="0"/>
          <w:i w:val="0"/>
          <w:iCs w:val="0"/>
          <w:sz w:val="24"/>
          <w:szCs w:val="24"/>
          <w:lang w:val="en-US" w:eastAsia="zh-CN"/>
        </w:rPr>
        <w:t>5</w:t>
      </w:r>
      <w:r>
        <w:rPr>
          <w:rFonts w:hint="default" w:ascii="Times New Roman" w:hAnsi="Times New Roman" w:cs="Times New Roman"/>
          <w:b w:val="0"/>
          <w:bCs w:val="0"/>
          <w:i w:val="0"/>
          <w:iCs w:val="0"/>
          <w:sz w:val="24"/>
          <w:szCs w:val="24"/>
          <w:lang w:val="en-US" w:eastAsia="zh-CN"/>
        </w:rPr>
        <w:t xml:space="preserve"> years old. A total of 310 questionnaires were distributed, and after excluding the incomplete or obviously regular invalid questionnaires, 297 valid questionnaires were finally recovered, with an effective recovery rate of 95.8%. The sample included 154 boys (51.9%) and 143 girls (48.1%). All participants were voluntary, and informed consent from the students and their parents was obtained before data collection.</w:t>
      </w:r>
    </w:p>
    <w:p w14:paraId="60D9A5C2">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i w:val="0"/>
          <w:iCs w:val="0"/>
          <w:sz w:val="24"/>
          <w:szCs w:val="24"/>
          <w:lang w:val="en-US" w:eastAsia="zh-CN"/>
        </w:rPr>
      </w:pPr>
      <w:r>
        <w:rPr>
          <w:rFonts w:hint="eastAsia" w:ascii="Times New Roman" w:hAnsi="Times New Roman" w:cs="Times New Roman"/>
          <w:b/>
          <w:bCs/>
          <w:i w:val="0"/>
          <w:iCs w:val="0"/>
          <w:sz w:val="24"/>
          <w:szCs w:val="24"/>
          <w:lang w:val="en-US" w:eastAsia="zh-CN"/>
        </w:rPr>
        <w:t>Research Tools and Measure</w:t>
      </w:r>
    </w:p>
    <w:p w14:paraId="74FA1435">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This study employed the questionnaire survey method. The growth mindset and mathematics anxiety scales used in this study were both selected from the PISA 2022 assessment framework of the Organization for Economic Cooperation and Development (OECD). PISA (Programme for International Student Assessment) is an international student ability assessment program aimed at measuring the literacy levels of 15-year-old students in the three major fields of reading, mathematics, and science, and collecting extensive contextual data to analyze the educational policies and practices that affect students' performance (OECD, 2023). This test is held every three years, and its scale development strictly follows psychometric standards and has been validated in representative samples from over 80 countries and economies worldwide, with extremely high reliability and validity.</w:t>
      </w:r>
    </w:p>
    <w:p w14:paraId="7C08FAE2">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It is worth noting that the target group of PISA 2022 was 15-year-old middle school students, while the subjects of this study were all students from grades one to three in Chinese junior high schools, with ages ranging from 12 to 15 years old, and their average age was highly consistent with the 15-year-old group focused on by PISA. Therefore, directly using the PISA scale not only ensures the international comparability and authority of the measurement tool, but also ensures that its language expression, cognitive requirements, and psychological dimensions have good appropriateness for the age and development stage of the subjects of this study.</w:t>
      </w:r>
    </w:p>
    <w:p w14:paraId="2EEF1149">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i/>
          <w:iCs/>
          <w:sz w:val="24"/>
          <w:szCs w:val="24"/>
          <w:lang w:val="en-US" w:eastAsia="zh-CN"/>
        </w:rPr>
      </w:pPr>
      <w:r>
        <w:rPr>
          <w:rFonts w:hint="eastAsia" w:ascii="Times New Roman" w:hAnsi="Times New Roman" w:cs="Times New Roman"/>
          <w:b/>
          <w:bCs/>
          <w:i/>
          <w:iCs/>
          <w:sz w:val="24"/>
          <w:szCs w:val="24"/>
          <w:lang w:val="en-US" w:eastAsia="zh-CN"/>
        </w:rPr>
        <w:t>Growth Mindset Scale</w:t>
      </w:r>
    </w:p>
    <w:p w14:paraId="10DCEF77">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The growth mindset scale consists of 4 items, which are used to measure students' core beliefs regarding the plasticity of abilities. The items of this scale concern beliefs about the plasticity of personal traits, such as the belief that one's intelligence level is difficult to change, the belief that some people cannot learn mathematics no matter how hard they try, the belief that the learning ability of certain individuals has inherent limitations that cannot be overcome even with maximum concentration, and the belief that an individual's creativity level is generally fixed. The scale is scored using a Likert four-point scale</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 xml:space="preserve">1 </w:t>
      </w:r>
      <w:r>
        <w:rPr>
          <w:rFonts w:hint="eastAsia" w:ascii="Times New Roman" w:hAnsi="Times New Roman" w:cs="Times New Roman"/>
          <w:b w:val="0"/>
          <w:bCs w:val="0"/>
          <w:i w:val="0"/>
          <w:iCs w:val="0"/>
          <w:sz w:val="24"/>
          <w:szCs w:val="24"/>
          <w:lang w:val="en-US" w:eastAsia="zh-CN"/>
        </w:rPr>
        <w:t>=</w:t>
      </w:r>
      <w:r>
        <w:rPr>
          <w:rFonts w:hint="default" w:ascii="Times New Roman" w:hAnsi="Times New Roman" w:cs="Times New Roman"/>
          <w:b w:val="0"/>
          <w:bCs w:val="0"/>
          <w:i w:val="0"/>
          <w:iCs w:val="0"/>
          <w:sz w:val="24"/>
          <w:szCs w:val="24"/>
          <w:lang w:val="en-US" w:eastAsia="zh-CN"/>
        </w:rPr>
        <w:t xml:space="preserve"> </w:t>
      </w:r>
      <w:r>
        <w:rPr>
          <w:rFonts w:hint="eastAsia" w:ascii="Times New Roman" w:hAnsi="Times New Roman" w:cs="Times New Roman"/>
          <w:b w:val="0"/>
          <w:bCs w:val="0"/>
          <w:i w:val="0"/>
          <w:iCs w:val="0"/>
          <w:sz w:val="24"/>
          <w:szCs w:val="24"/>
          <w:lang w:val="en-US" w:eastAsia="zh-CN"/>
        </w:rPr>
        <w:t>strongly</w:t>
      </w:r>
      <w:r>
        <w:rPr>
          <w:rFonts w:hint="default" w:ascii="Times New Roman" w:hAnsi="Times New Roman" w:cs="Times New Roman"/>
          <w:b w:val="0"/>
          <w:bCs w:val="0"/>
          <w:i w:val="0"/>
          <w:iCs w:val="0"/>
          <w:sz w:val="24"/>
          <w:szCs w:val="24"/>
          <w:lang w:val="en-US" w:eastAsia="zh-CN"/>
        </w:rPr>
        <w:t xml:space="preserve"> agree, 2 </w:t>
      </w:r>
      <w:r>
        <w:rPr>
          <w:rFonts w:hint="eastAsia" w:ascii="Times New Roman" w:hAnsi="Times New Roman" w:cs="Times New Roman"/>
          <w:b w:val="0"/>
          <w:bCs w:val="0"/>
          <w:i w:val="0"/>
          <w:iCs w:val="0"/>
          <w:sz w:val="24"/>
          <w:szCs w:val="24"/>
          <w:lang w:val="en-US" w:eastAsia="zh-CN"/>
        </w:rPr>
        <w:t>=</w:t>
      </w:r>
      <w:r>
        <w:rPr>
          <w:rFonts w:hint="default" w:ascii="Times New Roman" w:hAnsi="Times New Roman" w:cs="Times New Roman"/>
          <w:b w:val="0"/>
          <w:bCs w:val="0"/>
          <w:i w:val="0"/>
          <w:iCs w:val="0"/>
          <w:sz w:val="24"/>
          <w:szCs w:val="24"/>
          <w:lang w:val="en-US" w:eastAsia="zh-CN"/>
        </w:rPr>
        <w:t xml:space="preserve"> agree, 3 </w:t>
      </w:r>
      <w:r>
        <w:rPr>
          <w:rFonts w:hint="eastAsia" w:ascii="Times New Roman" w:hAnsi="Times New Roman" w:cs="Times New Roman"/>
          <w:b w:val="0"/>
          <w:bCs w:val="0"/>
          <w:i w:val="0"/>
          <w:iCs w:val="0"/>
          <w:sz w:val="24"/>
          <w:szCs w:val="24"/>
          <w:lang w:val="en-US" w:eastAsia="zh-CN"/>
        </w:rPr>
        <w:t>=</w:t>
      </w:r>
      <w:r>
        <w:rPr>
          <w:rFonts w:hint="default" w:ascii="Times New Roman" w:hAnsi="Times New Roman" w:cs="Times New Roman"/>
          <w:b w:val="0"/>
          <w:bCs w:val="0"/>
          <w:i w:val="0"/>
          <w:iCs w:val="0"/>
          <w:sz w:val="24"/>
          <w:szCs w:val="24"/>
          <w:lang w:val="en-US" w:eastAsia="zh-CN"/>
        </w:rPr>
        <w:t xml:space="preserve"> disagree, and 4 </w:t>
      </w:r>
      <w:r>
        <w:rPr>
          <w:rFonts w:hint="eastAsia" w:ascii="Times New Roman" w:hAnsi="Times New Roman" w:cs="Times New Roman"/>
          <w:b w:val="0"/>
          <w:bCs w:val="0"/>
          <w:i w:val="0"/>
          <w:iCs w:val="0"/>
          <w:sz w:val="24"/>
          <w:szCs w:val="24"/>
          <w:lang w:val="en-US" w:eastAsia="zh-CN"/>
        </w:rPr>
        <w:t>=</w:t>
      </w:r>
      <w:r>
        <w:rPr>
          <w:rFonts w:hint="default" w:ascii="Times New Roman" w:hAnsi="Times New Roman" w:cs="Times New Roman"/>
          <w:b w:val="0"/>
          <w:bCs w:val="0"/>
          <w:i w:val="0"/>
          <w:iCs w:val="0"/>
          <w:sz w:val="24"/>
          <w:szCs w:val="24"/>
          <w:lang w:val="en-US" w:eastAsia="zh-CN"/>
        </w:rPr>
        <w:t xml:space="preserve"> </w:t>
      </w:r>
      <w:r>
        <w:rPr>
          <w:rFonts w:hint="eastAsia" w:ascii="Times New Roman" w:hAnsi="Times New Roman" w:cs="Times New Roman"/>
          <w:b w:val="0"/>
          <w:bCs w:val="0"/>
          <w:i w:val="0"/>
          <w:iCs w:val="0"/>
          <w:sz w:val="24"/>
          <w:szCs w:val="24"/>
          <w:lang w:val="en-US" w:eastAsia="zh-CN"/>
        </w:rPr>
        <w:t>strongly</w:t>
      </w:r>
      <w:r>
        <w:rPr>
          <w:rFonts w:hint="default" w:ascii="Times New Roman" w:hAnsi="Times New Roman" w:cs="Times New Roman"/>
          <w:b w:val="0"/>
          <w:bCs w:val="0"/>
          <w:i w:val="0"/>
          <w:iCs w:val="0"/>
          <w:sz w:val="24"/>
          <w:szCs w:val="24"/>
          <w:lang w:val="en-US" w:eastAsia="zh-CN"/>
        </w:rPr>
        <w:t xml:space="preserve"> disagree</w:t>
      </w:r>
      <w:r>
        <w:rPr>
          <w:rFonts w:hint="eastAsia" w:ascii="Times New Roman" w:hAnsi="Times New Roman" w:cs="Times New Roman"/>
          <w:b w:val="0"/>
          <w:bCs w:val="0"/>
          <w:i w:val="0"/>
          <w:iCs w:val="0"/>
          <w:sz w:val="24"/>
          <w:szCs w:val="24"/>
          <w:lang w:val="en-US" w:eastAsia="zh-CN"/>
        </w:rPr>
        <w:t>)</w:t>
      </w:r>
      <w:r>
        <w:rPr>
          <w:rFonts w:hint="default" w:ascii="Times New Roman" w:hAnsi="Times New Roman" w:cs="Times New Roman"/>
          <w:b w:val="0"/>
          <w:bCs w:val="0"/>
          <w:i w:val="0"/>
          <w:iCs w:val="0"/>
          <w:sz w:val="24"/>
          <w:szCs w:val="24"/>
          <w:lang w:val="en-US" w:eastAsia="zh-CN"/>
        </w:rPr>
        <w:t xml:space="preserve">. For detailed information about the questionnaire items and their exact expressions, please refer to the </w:t>
      </w:r>
      <w:r>
        <w:rPr>
          <w:rFonts w:hint="eastAsia" w:ascii="Times New Roman" w:hAnsi="Times New Roman" w:cs="Times New Roman"/>
          <w:b w:val="0"/>
          <w:bCs w:val="0"/>
          <w:i w:val="0"/>
          <w:iCs w:val="0"/>
          <w:sz w:val="24"/>
          <w:szCs w:val="24"/>
          <w:lang w:val="en-US" w:eastAsia="zh-CN"/>
        </w:rPr>
        <w:t>Q</w:t>
      </w:r>
      <w:r>
        <w:rPr>
          <w:rFonts w:hint="default" w:ascii="Times New Roman" w:hAnsi="Times New Roman" w:cs="Times New Roman"/>
          <w:b w:val="0"/>
          <w:bCs w:val="0"/>
          <w:i w:val="0"/>
          <w:iCs w:val="0"/>
          <w:sz w:val="24"/>
          <w:szCs w:val="24"/>
          <w:lang w:val="en-US" w:eastAsia="zh-CN"/>
        </w:rPr>
        <w:t>uestionnaire section in the</w:t>
      </w:r>
      <w:r>
        <w:rPr>
          <w:rFonts w:hint="eastAsia" w:ascii="Times New Roman" w:hAnsi="Times New Roman" w:cs="Times New Roman"/>
          <w:b w:val="0"/>
          <w:bCs w:val="0"/>
          <w:i w:val="0"/>
          <w:iCs w:val="0"/>
          <w:sz w:val="24"/>
          <w:szCs w:val="24"/>
          <w:lang w:val="en-US" w:eastAsia="zh-CN"/>
        </w:rPr>
        <w:t xml:space="preserve"> Ap</w:t>
      </w:r>
      <w:r>
        <w:rPr>
          <w:rFonts w:hint="default" w:ascii="Times New Roman" w:hAnsi="Times New Roman" w:cs="Times New Roman"/>
          <w:b w:val="0"/>
          <w:bCs w:val="0"/>
          <w:i w:val="0"/>
          <w:iCs w:val="0"/>
          <w:sz w:val="24"/>
          <w:szCs w:val="24"/>
          <w:lang w:val="en-US" w:eastAsia="zh-CN"/>
        </w:rPr>
        <w:t xml:space="preserve">pendix. </w:t>
      </w:r>
    </w:p>
    <w:p w14:paraId="46E9EC6F">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All items are reverse-scored, meaning the higher the score, the more the students disagree with the fixed ability perspective. The average score of the four items represents the overall level of growth mindset, and the higher the score, the stronger the tendency towards growth mindset.</w:t>
      </w:r>
    </w:p>
    <w:p w14:paraId="4E3DFAD5">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i/>
          <w:iCs/>
          <w:sz w:val="24"/>
          <w:szCs w:val="24"/>
          <w:lang w:val="en-US" w:eastAsia="zh-CN"/>
        </w:rPr>
      </w:pPr>
      <w:r>
        <w:rPr>
          <w:rFonts w:hint="eastAsia" w:ascii="Times New Roman" w:hAnsi="Times New Roman" w:cs="Times New Roman"/>
          <w:b/>
          <w:bCs/>
          <w:i/>
          <w:iCs/>
          <w:sz w:val="24"/>
          <w:szCs w:val="24"/>
          <w:lang w:val="en-US" w:eastAsia="zh-CN"/>
        </w:rPr>
        <w:t>Math Anxiety Scale</w:t>
      </w:r>
    </w:p>
    <w:p w14:paraId="5A905E12">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The mathematics anxiety scale consists of 6 items designed to measure the frequency of students</w:t>
      </w:r>
      <w:r>
        <w:rPr>
          <w:rFonts w:hint="default" w:ascii="Times New Roman" w:hAnsi="Times New Roman" w:cs="Times New Roman"/>
          <w:b w:val="0"/>
          <w:bCs w:val="0"/>
          <w:i w:val="0"/>
          <w:iCs w:val="0"/>
          <w:sz w:val="24"/>
          <w:szCs w:val="24"/>
          <w:lang w:val="en-US" w:eastAsia="zh-CN"/>
        </w:rPr>
        <w:t>’</w:t>
      </w:r>
      <w:r>
        <w:rPr>
          <w:rFonts w:hint="eastAsia" w:ascii="Times New Roman" w:hAnsi="Times New Roman" w:cs="Times New Roman"/>
          <w:b w:val="0"/>
          <w:bCs w:val="0"/>
          <w:i w:val="0"/>
          <w:iCs w:val="0"/>
          <w:sz w:val="24"/>
          <w:szCs w:val="24"/>
          <w:lang w:val="en-US" w:eastAsia="zh-CN"/>
        </w:rPr>
        <w:t xml:space="preserve"> experiences of anxiety, tension, and worry in mathematics learning contexts. The items capture emotional responses such as concern that mathematics classes will be difficult, feeling highly tense when completing mathematics homework, becoming very nervous when solving mathematics problems, experiencing helplessness during problem-solving, worrying about receiving poor grades in mathematics, and feeling anxious about failing mathematics. Responses were collected using a four-point Likert scale (1 = strongly disagree, 2 = disagree, 3 = agree, 4 = strongly agree). The average score of the six items represents the overall level of mathematics anxiety, with higher scores indicating more severe mathematics anxiety. </w:t>
      </w:r>
    </w:p>
    <w:p w14:paraId="22C1038D">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i w:val="0"/>
          <w:iCs w:val="0"/>
          <w:sz w:val="24"/>
          <w:szCs w:val="24"/>
          <w:lang w:val="en-US" w:eastAsia="zh-CN"/>
        </w:rPr>
      </w:pPr>
      <w:r>
        <w:rPr>
          <w:rFonts w:hint="eastAsia" w:ascii="Times New Roman" w:hAnsi="Times New Roman" w:cs="Times New Roman"/>
          <w:b/>
          <w:bCs/>
          <w:i w:val="0"/>
          <w:iCs w:val="0"/>
          <w:sz w:val="24"/>
          <w:szCs w:val="24"/>
          <w:lang w:val="en-US" w:eastAsia="zh-CN"/>
        </w:rPr>
        <w:t>Data Collection Procedure</w:t>
      </w:r>
    </w:p>
    <w:p w14:paraId="5783968A">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The data collection was conducted online during the summer of 2025 (from August 1st to 14th). The entire process strictly adheres to ethical standards and places great emphasis on increasing student participation rates. The entire process is divided into following five stages.</w:t>
      </w:r>
    </w:p>
    <w:p w14:paraId="20377990">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i/>
          <w:iCs/>
          <w:sz w:val="24"/>
          <w:szCs w:val="24"/>
          <w:lang w:val="en-US" w:eastAsia="zh-CN"/>
        </w:rPr>
      </w:pPr>
      <w:r>
        <w:rPr>
          <w:rFonts w:hint="eastAsia" w:ascii="Times New Roman" w:hAnsi="Times New Roman" w:cs="Times New Roman"/>
          <w:b/>
          <w:bCs/>
          <w:i/>
          <w:iCs/>
          <w:sz w:val="24"/>
          <w:szCs w:val="24"/>
          <w:lang w:val="en-US" w:eastAsia="zh-CN"/>
        </w:rPr>
        <w:t>Preliminary Communication and Ethical Review</w:t>
      </w:r>
    </w:p>
    <w:p w14:paraId="3F268EB0">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First, from June 15th to 30th, I held multiple communications with the school and the academic affairs office to clarify the research objectives, procedures, and data usage norms. Eventually, I obtained the formal approval from the school. From July 1st to 15th, I completed the translation and back-translation of the PISA scale, ensuring that the questions were expressed in a way that was consistent with the cognitive and language habits of Chinese junior high school students. I also simultaneously drafted the Chinese and English versions of the informed consent form. From July 16th to 20th, I submitted it to the academic ethics committee of the college for review to ensure that the questionnaire content did not contain leading or sensitive questions, and to minimize the psychological burden on the students. Eventually, I obtained ethical approval.</w:t>
      </w:r>
    </w:p>
    <w:p w14:paraId="374675F6">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i/>
          <w:iCs/>
          <w:sz w:val="24"/>
          <w:szCs w:val="24"/>
          <w:lang w:val="en-US" w:eastAsia="zh-CN"/>
        </w:rPr>
      </w:pPr>
      <w:r>
        <w:rPr>
          <w:rFonts w:hint="eastAsia" w:ascii="Times New Roman" w:hAnsi="Times New Roman" w:cs="Times New Roman"/>
          <w:b/>
          <w:bCs/>
          <w:i/>
          <w:iCs/>
          <w:sz w:val="24"/>
          <w:szCs w:val="24"/>
          <w:lang w:val="en-US" w:eastAsia="zh-CN"/>
        </w:rPr>
        <w:t>Informed Consent and Voluntary Participation Mechanism</w:t>
      </w:r>
    </w:p>
    <w:p w14:paraId="7E17569B">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The electronic version of the informed consent form was distributed to all students from grade 7 to grade 9 and their parents through the official school channels (including class WeChat groups, WeChat official accounts and the campus online learning platform). The consent form clearly stated the research purpose, privacy protection measures, data anonymisation processing methods and voluntary withdrawal mechanism. Students and parents were required to sign and return it together. Only those students who received the signed version of the consent form were selected as research subjects. The detail of informed consent please see the Informed Consent part of the Appendix.</w:t>
      </w:r>
    </w:p>
    <w:p w14:paraId="55F81FED">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i/>
          <w:iCs/>
          <w:sz w:val="24"/>
          <w:szCs w:val="24"/>
          <w:lang w:val="en-US" w:eastAsia="zh-CN"/>
        </w:rPr>
      </w:pPr>
      <w:r>
        <w:rPr>
          <w:rFonts w:hint="eastAsia" w:ascii="Times New Roman" w:hAnsi="Times New Roman" w:cs="Times New Roman"/>
          <w:b/>
          <w:bCs/>
          <w:i/>
          <w:iCs/>
          <w:sz w:val="24"/>
          <w:szCs w:val="24"/>
          <w:lang w:val="en-US" w:eastAsia="zh-CN"/>
        </w:rPr>
        <w:t>Propaganda and Mobilization Strategies</w:t>
      </w:r>
    </w:p>
    <w:p w14:paraId="447182CF">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To enhance students' participation willingness, a promotional material was designed. It is a thematic electronic poster, which emphasizes students' true feelings and can help make the mathematics classroom more friendly. It highlights the social value of students' participation in promoting the improvement of mathematics education, and explains that the research is only for scientific purposes and does not affect academic evaluations, in order to enhance the sense of participation and enthusiasm. The content of the relevant posters can be found in the Poster section of Appendix.</w:t>
      </w:r>
    </w:p>
    <w:p w14:paraId="67E3E12B">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i/>
          <w:iCs/>
          <w:sz w:val="24"/>
          <w:szCs w:val="24"/>
          <w:lang w:val="en-US" w:eastAsia="zh-CN"/>
        </w:rPr>
      </w:pPr>
      <w:r>
        <w:rPr>
          <w:rFonts w:hint="eastAsia" w:ascii="Times New Roman" w:hAnsi="Times New Roman" w:cs="Times New Roman"/>
          <w:b/>
          <w:bCs/>
          <w:i/>
          <w:iCs/>
          <w:sz w:val="24"/>
          <w:szCs w:val="24"/>
          <w:lang w:val="en-US" w:eastAsia="zh-CN"/>
        </w:rPr>
        <w:t>Online Questionnaire Administration</w:t>
      </w:r>
    </w:p>
    <w:p w14:paraId="620CBC4B">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On August 1, 2025, through the Wenjuanxing professional platform of the questionnaire, a questionnaire link was sent to the students who had agreed to participate. The questionnaire was closed on August 14 and the results were collected. The homepage of the questionnaire once again presented the research introduction, the commitment to anonymity, and the filling instructions, emphasizing that there are no right or wrong answers and that truth is paramount. The system sets each question as mandatory to answer, but allows skipping. The total time spent is approximately 15 minutes. The platform monitors the response progress in real time and automatically locks it after submission to prevent duplicate responses.</w:t>
      </w:r>
    </w:p>
    <w:p w14:paraId="0ABC4721">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i/>
          <w:iCs/>
          <w:sz w:val="24"/>
          <w:szCs w:val="24"/>
          <w:lang w:val="en-US" w:eastAsia="zh-CN"/>
        </w:rPr>
      </w:pPr>
      <w:r>
        <w:rPr>
          <w:rFonts w:hint="eastAsia" w:ascii="Times New Roman" w:hAnsi="Times New Roman" w:cs="Times New Roman"/>
          <w:b/>
          <w:bCs/>
          <w:i/>
          <w:iCs/>
          <w:sz w:val="24"/>
          <w:szCs w:val="24"/>
          <w:lang w:val="en-US" w:eastAsia="zh-CN"/>
        </w:rPr>
        <w:t>Data Recovery and Initial Organization</w:t>
      </w:r>
    </w:p>
    <w:p w14:paraId="0A2A2B32">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Starting from August 15th, the original data was automatically exported. Firstly, logical checks and missing value screenings was conducted. Invalid questionnaires with more than 20% missing data and those with obvious patterns in answers (such as linear responses) were eliminated. For the partially missing data, a series of mean interpolation methods were used for processing. The valid data was imported into SPSS 26.0 in an anonymous encoding format, and preliminary descriptive statistics and reliability verification were carried out to prepare for the subsequent analysis.</w:t>
      </w:r>
    </w:p>
    <w:p w14:paraId="4F71B769">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i w:val="0"/>
          <w:iCs w:val="0"/>
          <w:sz w:val="24"/>
          <w:szCs w:val="24"/>
          <w:lang w:val="en-US" w:eastAsia="zh-CN"/>
        </w:rPr>
      </w:pPr>
      <w:r>
        <w:rPr>
          <w:rFonts w:hint="eastAsia" w:ascii="Times New Roman" w:hAnsi="Times New Roman" w:cs="Times New Roman"/>
          <w:b/>
          <w:bCs/>
          <w:i w:val="0"/>
          <w:iCs w:val="0"/>
          <w:sz w:val="24"/>
          <w:szCs w:val="24"/>
          <w:lang w:val="en-US" w:eastAsia="zh-CN"/>
        </w:rPr>
        <w:t>Data Analysis Strategy</w:t>
      </w:r>
    </w:p>
    <w:p w14:paraId="7C46CA8A">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All data analyses were conducted using SPSS 26.0, strictly following the general norms of psychological measurement and social research. </w:t>
      </w:r>
    </w:p>
    <w:p w14:paraId="4CBEB57A">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First, the data were cleaned and subjected to descriptive statistics. The average value, standard deviation, skewness, and kurtosis were calculated to comprehensively describe the central tendency and distribution pattern of the sample in terms of growth mindset and math anxiety (Nick, 2007). </w:t>
      </w:r>
    </w:p>
    <w:p w14:paraId="4AD21B5B">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 xml:space="preserve">Subsequently, reliability tests were conducted, using Cronbach's </w:t>
      </w:r>
      <w:r>
        <w:rPr>
          <w:rFonts w:hint="default" w:ascii="Times New Roman" w:hAnsi="Times New Roman" w:cs="Times New Roman"/>
          <w:b w:val="0"/>
          <w:bCs w:val="0"/>
          <w:i w:val="0"/>
          <w:iCs w:val="0"/>
          <w:sz w:val="24"/>
          <w:szCs w:val="24"/>
          <w:lang w:val="en-US" w:eastAsia="zh-CN"/>
        </w:rPr>
        <w:t>α</w:t>
      </w:r>
      <w:r>
        <w:rPr>
          <w:rFonts w:hint="eastAsia" w:ascii="Times New Roman" w:hAnsi="Times New Roman" w:cs="Times New Roman"/>
          <w:b w:val="0"/>
          <w:bCs w:val="0"/>
          <w:i w:val="0"/>
          <w:iCs w:val="0"/>
          <w:sz w:val="24"/>
          <w:szCs w:val="24"/>
          <w:lang w:val="en-US" w:eastAsia="zh-CN"/>
        </w:rPr>
        <w:t xml:space="preserve"> coefficient to evaluate the internal consistency of the scale. Generally, an </w:t>
      </w:r>
      <w:r>
        <w:rPr>
          <w:rFonts w:hint="default" w:ascii="Times New Roman" w:hAnsi="Times New Roman" w:cs="Times New Roman"/>
          <w:b w:val="0"/>
          <w:bCs w:val="0"/>
          <w:i w:val="0"/>
          <w:iCs w:val="0"/>
          <w:sz w:val="24"/>
          <w:szCs w:val="24"/>
          <w:lang w:val="en-US" w:eastAsia="zh-CN"/>
        </w:rPr>
        <w:t>α</w:t>
      </w:r>
      <w:r>
        <w:rPr>
          <w:rFonts w:hint="eastAsia" w:ascii="Times New Roman" w:hAnsi="Times New Roman" w:cs="Times New Roman"/>
          <w:b w:val="0"/>
          <w:bCs w:val="0"/>
          <w:i w:val="0"/>
          <w:iCs w:val="0"/>
          <w:sz w:val="24"/>
          <w:szCs w:val="24"/>
          <w:lang w:val="en-US" w:eastAsia="zh-CN"/>
        </w:rPr>
        <w:t xml:space="preserve"> value greater than 0.7 indicates acceptable reliability, a value above 0.8 is considered good, and a value exceeding 0.9 indicates excellent reliability (Nunnally &amp; Bernstein, 1994). </w:t>
      </w:r>
    </w:p>
    <w:p w14:paraId="714EAFC5">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In terms of validity, the data were tested for suitability for factor analysis through KMO test and Bartlett's sphericity test (KMO &gt; 0.6 and Bartlett's test p &lt; 0.05 are basic requirements) (Kaiser, 1974), and the structure validity of the scale was verified through principal component analysis combined with maximum variance rotation.</w:t>
      </w:r>
    </w:p>
    <w:p w14:paraId="7B678B17">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To verify whether the variables meet the prerequisite conditions for parametric tests, a normality test will be conducted first on the total score of the growth mindset and math anxiety scale. If the Shapiro-Wilk test result indicates that the data follow a normal distribution (p &gt; 0.05), then Pearson product-moment correlation analysis will be used to analyze the relationship between the two; if the data significantly deviate from a normal distribution (p &lt; 0.05), then Spearman's rank correlation, a non-parametric method, will be selected for analysis (Winter et al., 2016). The core principle of choosing the correlation analysis method is to adapt to the actual distribution characteristics of the data, ensuring the accuracy and robustness of the statistical inference (Damasceno, 2020).</w:t>
      </w:r>
    </w:p>
    <w:p w14:paraId="52109815">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i w:val="0"/>
          <w:iCs w:val="0"/>
          <w:sz w:val="24"/>
          <w:szCs w:val="24"/>
          <w:lang w:val="en-US" w:eastAsia="zh-CN"/>
        </w:rPr>
      </w:pPr>
      <w:r>
        <w:rPr>
          <w:rFonts w:hint="eastAsia" w:ascii="Times New Roman" w:hAnsi="Times New Roman" w:cs="Times New Roman"/>
          <w:b/>
          <w:bCs/>
          <w:i w:val="0"/>
          <w:iCs w:val="0"/>
          <w:sz w:val="24"/>
          <w:szCs w:val="24"/>
          <w:lang w:val="en-US" w:eastAsia="zh-CN"/>
        </w:rPr>
        <w:t>Ethical Considerations</w:t>
      </w:r>
    </w:p>
    <w:p w14:paraId="3FCF3037">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This research strictly adheres to academic ethical norms, ensuring that the research process respects and protects the rights and interests of all participants. Firstly, this research implements the principle of voluntary participation, clearly informing all participants (students and their parents) that they have the right to withdraw at any stage of the research without any form of negative impact. Secondly, the requirements for informed consent are strictly followed. Before data collection, a detailed consent form explaining the research purpose, process, and potential risks is distributed through formal channels to students and parents. Only consent forms signed by both students and parents are collected to ensure participation based on full knowledge and autonomous choice. The specific content of the informed consent form can be found in the Informed Consent part of the Appendix. Thirdly, anonymous and confidentiality are strictly guaranteed. The questionnaire design does not collect any information that can identify the individual (such as name, student number, class). The obtained data is only used for the purpose of this research and is stored in an encrypted form in a secure environment, and unauthorized access or disclosure to third parties is strictly prohibited. Finally, the principle of non-harmfulness is followed. The questionnaire content has undergone multiple rounds of ethical review to avoid any expressions that may cause psychological discomfort or stress. The entire research process is based on minimizing the psychological and physiological risks to participants as the basic principle, striving to achieve the unity of research value and ethical responsibility.</w:t>
      </w:r>
    </w:p>
    <w:p w14:paraId="117FF75E">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b/>
          <w:bCs/>
          <w:i w:val="0"/>
          <w:iCs w:val="0"/>
          <w:sz w:val="24"/>
          <w:szCs w:val="24"/>
          <w:lang w:val="en-US" w:eastAsia="zh-CN"/>
        </w:rPr>
      </w:pPr>
      <w:r>
        <w:rPr>
          <w:rFonts w:hint="eastAsia" w:ascii="Times New Roman" w:hAnsi="Times New Roman" w:cs="Times New Roman"/>
          <w:b/>
          <w:bCs/>
          <w:i w:val="0"/>
          <w:iCs w:val="0"/>
          <w:sz w:val="24"/>
          <w:szCs w:val="24"/>
          <w:lang w:val="en-US" w:eastAsia="zh-CN"/>
        </w:rPr>
        <w:t>Data Analysis</w:t>
      </w:r>
    </w:p>
    <w:p w14:paraId="2185FB02">
      <w:pPr>
        <w:keepNext w:val="0"/>
        <w:keepLines w:val="0"/>
        <w:pageBreakBefore w:val="0"/>
        <w:widowControl w:val="0"/>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This chapter</w:t>
      </w:r>
      <w:r>
        <w:rPr>
          <w:rFonts w:hint="eastAsia" w:ascii="Times New Roman" w:hAnsi="Times New Roman" w:cs="Times New Roman"/>
          <w:b w:val="0"/>
          <w:bCs w:val="0"/>
          <w:i w:val="0"/>
          <w:iCs w:val="0"/>
          <w:sz w:val="24"/>
          <w:szCs w:val="24"/>
          <w:lang w:val="en-US" w:eastAsia="zh-CN"/>
        </w:rPr>
        <w:t xml:space="preserve"> will</w:t>
      </w:r>
      <w:r>
        <w:rPr>
          <w:rFonts w:hint="default" w:ascii="Times New Roman" w:hAnsi="Times New Roman" w:cs="Times New Roman"/>
          <w:b w:val="0"/>
          <w:bCs w:val="0"/>
          <w:i w:val="0"/>
          <w:iCs w:val="0"/>
          <w:sz w:val="24"/>
          <w:szCs w:val="24"/>
          <w:lang w:val="en-US" w:eastAsia="zh-CN"/>
        </w:rPr>
        <w:t xml:space="preserve"> aim to systematically present and analyze the quantitative data on growth mindset and math anxiety collected from X </w:t>
      </w:r>
      <w:r>
        <w:rPr>
          <w:rFonts w:hint="eastAsia" w:ascii="Times New Roman" w:hAnsi="Times New Roman" w:cs="Times New Roman"/>
          <w:b w:val="0"/>
          <w:bCs w:val="0"/>
          <w:i w:val="0"/>
          <w:iCs w:val="0"/>
          <w:sz w:val="24"/>
          <w:szCs w:val="24"/>
          <w:lang w:val="en-US" w:eastAsia="zh-CN"/>
        </w:rPr>
        <w:t xml:space="preserve">junior high school </w:t>
      </w:r>
      <w:r>
        <w:rPr>
          <w:rFonts w:hint="default" w:ascii="Times New Roman" w:hAnsi="Times New Roman" w:cs="Times New Roman"/>
          <w:b w:val="0"/>
          <w:bCs w:val="0"/>
          <w:i w:val="0"/>
          <w:iCs w:val="0"/>
          <w:sz w:val="24"/>
          <w:szCs w:val="24"/>
          <w:lang w:val="en-US" w:eastAsia="zh-CN"/>
        </w:rPr>
        <w:t xml:space="preserve">in Jiangxi Province. The analysis process is mainly divided into three stages. Firstly, descriptive statistics are used to present the central tendency and distribution characteristics of the two variables. Secondly, the reliability and validity of the scale are tested to ensure the quality of psychological measurement. Finally, inferential statistical methods are employed to explore the relationship between growth mindset and math anxiety. The data analysis strictly follows the pre-defined statistical procedures, including descriptive statistics, validity and reliability tests, normality tests, and Spearman rank correlation analysis. All analyses </w:t>
      </w:r>
      <w:r>
        <w:rPr>
          <w:rFonts w:hint="eastAsia" w:ascii="Times New Roman" w:hAnsi="Times New Roman" w:cs="Times New Roman"/>
          <w:b w:val="0"/>
          <w:bCs w:val="0"/>
          <w:i w:val="0"/>
          <w:iCs w:val="0"/>
          <w:sz w:val="24"/>
          <w:szCs w:val="24"/>
          <w:lang w:val="en-US" w:eastAsia="zh-CN"/>
        </w:rPr>
        <w:t>are</w:t>
      </w:r>
      <w:r>
        <w:rPr>
          <w:rFonts w:hint="default" w:ascii="Times New Roman" w:hAnsi="Times New Roman" w:cs="Times New Roman"/>
          <w:b w:val="0"/>
          <w:bCs w:val="0"/>
          <w:i w:val="0"/>
          <w:iCs w:val="0"/>
          <w:sz w:val="24"/>
          <w:szCs w:val="24"/>
          <w:lang w:val="en-US" w:eastAsia="zh-CN"/>
        </w:rPr>
        <w:t xml:space="preserve"> completed using SPSS 26.0, in order to answer the three research questions raised in this study:</w:t>
      </w:r>
    </w:p>
    <w:p w14:paraId="411FD6F4">
      <w:pPr>
        <w:keepNext w:val="0"/>
        <w:keepLines w:val="0"/>
        <w:pageBreakBefore w:val="0"/>
        <w:widowControl w:val="0"/>
        <w:numPr>
          <w:ilvl w:val="0"/>
          <w:numId w:val="2"/>
        </w:numPr>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To what extent do X junior high school students in Jiangxi Province, China, exhibit growth mindset, as measured by growth mindset scale in PISA 2022 database?</w:t>
      </w:r>
    </w:p>
    <w:p w14:paraId="5BA92931">
      <w:pPr>
        <w:keepNext w:val="0"/>
        <w:keepLines w:val="0"/>
        <w:pageBreakBefore w:val="0"/>
        <w:widowControl w:val="0"/>
        <w:numPr>
          <w:ilvl w:val="0"/>
          <w:numId w:val="2"/>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sz w:val="24"/>
          <w:szCs w:val="24"/>
          <w:lang w:val="en-US" w:eastAsia="zh-CN"/>
        </w:rPr>
        <w:t xml:space="preserve">To what extent do X junior high school students in Jiangxi Province, China, exhibit math anxiety, as measured by math anxiety scale in PISA 2022 database? </w:t>
      </w:r>
    </w:p>
    <w:p w14:paraId="5A105826">
      <w:pPr>
        <w:keepNext w:val="0"/>
        <w:keepLines w:val="0"/>
        <w:pageBreakBefore w:val="0"/>
        <w:widowControl w:val="0"/>
        <w:numPr>
          <w:ilvl w:val="0"/>
          <w:numId w:val="2"/>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sz w:val="24"/>
          <w:szCs w:val="24"/>
          <w:lang w:val="en-US" w:eastAsia="zh-CN"/>
        </w:rPr>
        <w:t>What is the correlation between growth mindset and math anxiety among X junior high school students in Jiangxi Province, China?</w:t>
      </w:r>
    </w:p>
    <w:p w14:paraId="4DD15FC6">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i w:val="0"/>
          <w:iCs w:val="0"/>
          <w:sz w:val="24"/>
          <w:szCs w:val="24"/>
          <w:lang w:val="en-US" w:eastAsia="zh-CN"/>
        </w:rPr>
      </w:pPr>
      <w:r>
        <w:rPr>
          <w:rFonts w:hint="eastAsia" w:ascii="Times New Roman" w:hAnsi="Times New Roman" w:cs="Times New Roman"/>
          <w:b/>
          <w:bCs/>
          <w:i w:val="0"/>
          <w:iCs w:val="0"/>
          <w:sz w:val="24"/>
          <w:szCs w:val="24"/>
          <w:lang w:val="en-US" w:eastAsia="zh-CN"/>
        </w:rPr>
        <w:t>Reliability of Scales</w:t>
      </w:r>
    </w:p>
    <w:p w14:paraId="45E70909">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b/>
          <w:bCs/>
          <w:sz w:val="24"/>
          <w:szCs w:val="24"/>
          <w:vertAlign w:val="baseline"/>
          <w:lang w:val="en-US" w:eastAsia="zh-CN"/>
        </w:rPr>
      </w:pPr>
      <w:r>
        <w:rPr>
          <w:rFonts w:hint="eastAsia" w:ascii="Times New Roman" w:hAnsi="Times New Roman" w:cs="Times New Roman"/>
          <w:b/>
          <w:bCs/>
          <w:sz w:val="24"/>
          <w:szCs w:val="24"/>
          <w:vertAlign w:val="baseline"/>
          <w:lang w:val="en-US" w:eastAsia="zh-CN"/>
        </w:rPr>
        <w:t>Table 1</w:t>
      </w:r>
    </w:p>
    <w:p w14:paraId="15CCE95B">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i/>
          <w:iCs/>
          <w:sz w:val="24"/>
          <w:szCs w:val="24"/>
          <w:vertAlign w:val="baseline"/>
          <w:lang w:val="en-US" w:eastAsia="zh-CN"/>
        </w:rPr>
      </w:pPr>
      <w:r>
        <w:rPr>
          <w:rFonts w:hint="default" w:ascii="Times New Roman" w:hAnsi="Times New Roman" w:cs="Times New Roman"/>
          <w:i/>
          <w:iCs/>
          <w:sz w:val="24"/>
          <w:szCs w:val="24"/>
          <w:vertAlign w:val="baseline"/>
          <w:lang w:val="en-US" w:eastAsia="zh-CN"/>
        </w:rPr>
        <w:t>Internal Consistency Reliability and Number of Items for Growth Mindset and Math Anxiety Scales</w:t>
      </w: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14:paraId="146175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Borders>
              <w:left w:val="nil"/>
              <w:right w:val="nil"/>
            </w:tcBorders>
          </w:tcPr>
          <w:p w14:paraId="7B5126C1">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Scale</w:t>
            </w:r>
          </w:p>
        </w:tc>
        <w:tc>
          <w:tcPr>
            <w:tcW w:w="2841" w:type="dxa"/>
            <w:tcBorders>
              <w:left w:val="nil"/>
              <w:right w:val="nil"/>
            </w:tcBorders>
          </w:tcPr>
          <w:p w14:paraId="581A088A">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Cronbach</w:t>
            </w:r>
            <w:r>
              <w:rPr>
                <w:rFonts w:hint="default" w:ascii="Times New Roman" w:hAnsi="Times New Roman" w:cs="Times New Roman"/>
                <w:sz w:val="24"/>
                <w:szCs w:val="24"/>
                <w:vertAlign w:val="baseline"/>
                <w:lang w:val="en-US" w:eastAsia="zh-CN"/>
              </w:rPr>
              <w:t>’</w:t>
            </w:r>
            <w:r>
              <w:rPr>
                <w:rFonts w:hint="eastAsia" w:ascii="Times New Roman" w:hAnsi="Times New Roman" w:cs="Times New Roman"/>
                <w:sz w:val="24"/>
                <w:szCs w:val="24"/>
                <w:vertAlign w:val="baseline"/>
                <w:lang w:val="en-US" w:eastAsia="zh-CN"/>
              </w:rPr>
              <w:t>s Alpha</w:t>
            </w:r>
          </w:p>
        </w:tc>
        <w:tc>
          <w:tcPr>
            <w:tcW w:w="2841" w:type="dxa"/>
            <w:tcBorders>
              <w:left w:val="nil"/>
              <w:right w:val="nil"/>
            </w:tcBorders>
          </w:tcPr>
          <w:p w14:paraId="268FD823">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N of Items</w:t>
            </w:r>
          </w:p>
        </w:tc>
      </w:tr>
      <w:tr w14:paraId="3E14B9A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Borders>
              <w:left w:val="nil"/>
              <w:bottom w:val="nil"/>
              <w:right w:val="nil"/>
            </w:tcBorders>
          </w:tcPr>
          <w:p w14:paraId="2E431435">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Growth Mindset</w:t>
            </w:r>
          </w:p>
        </w:tc>
        <w:tc>
          <w:tcPr>
            <w:tcW w:w="2841" w:type="dxa"/>
            <w:tcBorders>
              <w:left w:val="nil"/>
              <w:bottom w:val="nil"/>
              <w:right w:val="nil"/>
            </w:tcBorders>
          </w:tcPr>
          <w:p w14:paraId="234212AF">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0.917</w:t>
            </w:r>
          </w:p>
        </w:tc>
        <w:tc>
          <w:tcPr>
            <w:tcW w:w="2841" w:type="dxa"/>
            <w:tcBorders>
              <w:left w:val="nil"/>
              <w:bottom w:val="nil"/>
              <w:right w:val="nil"/>
            </w:tcBorders>
          </w:tcPr>
          <w:p w14:paraId="6512FC8A">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4</w:t>
            </w:r>
          </w:p>
        </w:tc>
      </w:tr>
      <w:tr w14:paraId="0F0285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Borders>
              <w:top w:val="nil"/>
              <w:left w:val="nil"/>
              <w:right w:val="nil"/>
            </w:tcBorders>
          </w:tcPr>
          <w:p w14:paraId="3C3ED873">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Math Anxiety</w:t>
            </w:r>
          </w:p>
        </w:tc>
        <w:tc>
          <w:tcPr>
            <w:tcW w:w="2841" w:type="dxa"/>
            <w:tcBorders>
              <w:top w:val="nil"/>
              <w:left w:val="nil"/>
              <w:right w:val="nil"/>
            </w:tcBorders>
          </w:tcPr>
          <w:p w14:paraId="625FB491">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0.948</w:t>
            </w:r>
          </w:p>
        </w:tc>
        <w:tc>
          <w:tcPr>
            <w:tcW w:w="2841" w:type="dxa"/>
            <w:tcBorders>
              <w:top w:val="nil"/>
              <w:left w:val="nil"/>
              <w:right w:val="nil"/>
            </w:tcBorders>
          </w:tcPr>
          <w:p w14:paraId="3A9971A1">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6</w:t>
            </w:r>
          </w:p>
        </w:tc>
      </w:tr>
    </w:tbl>
    <w:p w14:paraId="381E2BB7">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firstLineChars="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In this study, the internal consistency reliability (Cronbach's α) of the scale</w:t>
      </w:r>
      <w:r>
        <w:rPr>
          <w:rFonts w:hint="eastAsia" w:ascii="Times New Roman" w:hAnsi="Times New Roman" w:cs="Times New Roman"/>
          <w:b w:val="0"/>
          <w:bCs w:val="0"/>
          <w:i w:val="0"/>
          <w:iCs w:val="0"/>
          <w:sz w:val="24"/>
          <w:szCs w:val="24"/>
          <w:lang w:val="en-US" w:eastAsia="zh-CN"/>
        </w:rPr>
        <w:t>s</w:t>
      </w:r>
      <w:r>
        <w:rPr>
          <w:rFonts w:hint="default" w:ascii="Times New Roman" w:hAnsi="Times New Roman" w:cs="Times New Roman"/>
          <w:b w:val="0"/>
          <w:bCs w:val="0"/>
          <w:i w:val="0"/>
          <w:iCs w:val="0"/>
          <w:sz w:val="24"/>
          <w:szCs w:val="24"/>
          <w:lang w:val="en-US" w:eastAsia="zh-CN"/>
        </w:rPr>
        <w:t xml:space="preserve"> w</w:t>
      </w:r>
      <w:r>
        <w:rPr>
          <w:rFonts w:hint="eastAsia" w:ascii="Times New Roman" w:hAnsi="Times New Roman" w:cs="Times New Roman"/>
          <w:b w:val="0"/>
          <w:bCs w:val="0"/>
          <w:i w:val="0"/>
          <w:iCs w:val="0"/>
          <w:sz w:val="24"/>
          <w:szCs w:val="24"/>
          <w:lang w:val="en-US" w:eastAsia="zh-CN"/>
        </w:rPr>
        <w:t>ere</w:t>
      </w:r>
      <w:r>
        <w:rPr>
          <w:rFonts w:hint="default" w:ascii="Times New Roman" w:hAnsi="Times New Roman" w:cs="Times New Roman"/>
          <w:b w:val="0"/>
          <w:bCs w:val="0"/>
          <w:i w:val="0"/>
          <w:iCs w:val="0"/>
          <w:sz w:val="24"/>
          <w:szCs w:val="24"/>
          <w:lang w:val="en-US" w:eastAsia="zh-CN"/>
        </w:rPr>
        <w:t xml:space="preserve"> </w:t>
      </w:r>
      <w:r>
        <w:rPr>
          <w:rFonts w:hint="eastAsia" w:ascii="Times New Roman" w:hAnsi="Times New Roman" w:cs="Times New Roman"/>
          <w:b w:val="0"/>
          <w:bCs w:val="0"/>
          <w:i w:val="0"/>
          <w:iCs w:val="0"/>
          <w:sz w:val="24"/>
          <w:szCs w:val="24"/>
          <w:lang w:val="en-US" w:eastAsia="zh-CN"/>
        </w:rPr>
        <w:t xml:space="preserve">0.917 and </w:t>
      </w:r>
      <w:r>
        <w:rPr>
          <w:rFonts w:hint="default" w:ascii="Times New Roman" w:hAnsi="Times New Roman" w:cs="Times New Roman"/>
          <w:b w:val="0"/>
          <w:bCs w:val="0"/>
          <w:i w:val="0"/>
          <w:iCs w:val="0"/>
          <w:sz w:val="24"/>
          <w:szCs w:val="24"/>
          <w:lang w:val="en-US" w:eastAsia="zh-CN"/>
        </w:rPr>
        <w:t>0.948</w:t>
      </w:r>
      <w:r>
        <w:rPr>
          <w:rFonts w:hint="eastAsia" w:ascii="Times New Roman" w:hAnsi="Times New Roman" w:cs="Times New Roman"/>
          <w:b w:val="0"/>
          <w:bCs w:val="0"/>
          <w:i w:val="0"/>
          <w:iCs w:val="0"/>
          <w:sz w:val="24"/>
          <w:szCs w:val="24"/>
          <w:lang w:val="en-US" w:eastAsia="zh-CN"/>
        </w:rPr>
        <w:t xml:space="preserve"> </w:t>
      </w:r>
      <w:r>
        <w:rPr>
          <w:rFonts w:hint="default" w:ascii="Times New Roman" w:hAnsi="Times New Roman" w:cs="Times New Roman"/>
          <w:b w:val="0"/>
          <w:bCs w:val="0"/>
          <w:i w:val="0"/>
          <w:iCs w:val="0"/>
          <w:sz w:val="24"/>
          <w:szCs w:val="24"/>
          <w:lang w:val="en-US" w:eastAsia="zh-CN"/>
        </w:rPr>
        <w:t>(see Table 1), indicating excellent reliability. Reliability is used to measure the stability, consistency, and reliability of the measurement results of the scale, that is, whether the scale can produce consistent results in different situations (Cronbach, 1951). In social science research, the Cronbach's α coefficient is one of the most commonly used reliability indicators, with a value range of 0 to 1. Generally speaking, an α coefficient higher than 0.70 is considered an acceptable level of reliability, a value higher than 0.80 indicates good reliability, and a value higher than 0.90 indicates excellent reliability (Nunnally &amp; Bernstein, 1994). In this study, the α coefficients of both scales were far above the threshold of 0.90, indicating that they have a high degree of consistency among different items and the measurement results are reliable and stable.</w:t>
      </w:r>
    </w:p>
    <w:p w14:paraId="6E4DBBB2">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i w:val="0"/>
          <w:iCs w:val="0"/>
          <w:sz w:val="24"/>
          <w:szCs w:val="24"/>
          <w:lang w:val="en-US" w:eastAsia="zh-CN"/>
        </w:rPr>
      </w:pPr>
      <w:r>
        <w:rPr>
          <w:rFonts w:hint="eastAsia" w:ascii="Times New Roman" w:hAnsi="Times New Roman" w:cs="Times New Roman"/>
          <w:b/>
          <w:bCs/>
          <w:i w:val="0"/>
          <w:iCs w:val="0"/>
          <w:sz w:val="24"/>
          <w:szCs w:val="24"/>
          <w:lang w:val="en-US" w:eastAsia="zh-CN"/>
        </w:rPr>
        <w:t>Validity of Scales</w:t>
      </w:r>
    </w:p>
    <w:p w14:paraId="7B811781">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To test the construct validity of the scale in the sample of this study, an exploratory factor analysis (EFA) was conducted. First, the Kaiser-Meyer-Olkin (KMO) measure and the Bartlett's sphericity test were used to assess whether the data were suitable for factor analysis. According to the prevailing academic standards (Kaiser, 1974), a KMO value greater than 0.6 and a Bartlett's sphericity test reaching a significant level (p &lt; .05) are the basic prerequisites for conducting factor analysis.</w:t>
      </w:r>
    </w:p>
    <w:p w14:paraId="3C8180F2">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Table 2</w:t>
      </w:r>
    </w:p>
    <w:p w14:paraId="2B1AD46A">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i/>
          <w:iCs/>
          <w:sz w:val="24"/>
          <w:szCs w:val="24"/>
          <w:lang w:val="en-US" w:eastAsia="zh-CN"/>
        </w:rPr>
      </w:pPr>
      <w:r>
        <w:rPr>
          <w:rFonts w:hint="default" w:ascii="Times New Roman" w:hAnsi="Times New Roman" w:cs="Times New Roman"/>
          <w:i/>
          <w:iCs/>
          <w:sz w:val="24"/>
          <w:szCs w:val="24"/>
          <w:lang w:val="en-US" w:eastAsia="zh-CN"/>
        </w:rPr>
        <w:t>Results of KMO and Bartlett's Test of Sphericity</w:t>
      </w: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14:paraId="13503C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2" w:type="dxa"/>
            <w:gridSpan w:val="3"/>
            <w:tcBorders>
              <w:left w:val="nil"/>
              <w:right w:val="nil"/>
            </w:tcBorders>
          </w:tcPr>
          <w:p w14:paraId="56C36B49">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b/>
                <w:bCs/>
                <w:sz w:val="24"/>
                <w:szCs w:val="24"/>
                <w:vertAlign w:val="baseline"/>
                <w:lang w:val="en-US" w:eastAsia="zh-CN"/>
              </w:rPr>
              <w:t>KMO and Bartlett</w:t>
            </w:r>
            <w:r>
              <w:rPr>
                <w:rFonts w:hint="default" w:ascii="Times New Roman" w:hAnsi="Times New Roman" w:cs="Times New Roman"/>
                <w:b/>
                <w:bCs/>
                <w:sz w:val="24"/>
                <w:szCs w:val="24"/>
                <w:vertAlign w:val="baseline"/>
                <w:lang w:val="en-US" w:eastAsia="zh-CN"/>
              </w:rPr>
              <w:t>’</w:t>
            </w:r>
            <w:r>
              <w:rPr>
                <w:rFonts w:hint="eastAsia" w:ascii="Times New Roman" w:hAnsi="Times New Roman" w:cs="Times New Roman"/>
                <w:b/>
                <w:bCs/>
                <w:sz w:val="24"/>
                <w:szCs w:val="24"/>
                <w:vertAlign w:val="baseline"/>
                <w:lang w:val="en-US" w:eastAsia="zh-CN"/>
              </w:rPr>
              <w:t>s Test</w:t>
            </w:r>
          </w:p>
        </w:tc>
      </w:tr>
      <w:tr w14:paraId="2C7D4B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81" w:type="dxa"/>
            <w:gridSpan w:val="2"/>
            <w:tcBorders>
              <w:left w:val="nil"/>
              <w:bottom w:val="nil"/>
              <w:right w:val="nil"/>
            </w:tcBorders>
          </w:tcPr>
          <w:p w14:paraId="10DB2D44">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Kaiser-Meyer-Olkin Measure of Sampling Adequacy</w:t>
            </w:r>
          </w:p>
        </w:tc>
        <w:tc>
          <w:tcPr>
            <w:tcW w:w="2841" w:type="dxa"/>
            <w:tcBorders>
              <w:left w:val="nil"/>
              <w:bottom w:val="nil"/>
              <w:right w:val="nil"/>
            </w:tcBorders>
          </w:tcPr>
          <w:p w14:paraId="2142957D">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0.707</w:t>
            </w:r>
          </w:p>
        </w:tc>
      </w:tr>
      <w:tr w14:paraId="1164FB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Merge w:val="restart"/>
            <w:tcBorders>
              <w:top w:val="nil"/>
              <w:left w:val="nil"/>
              <w:bottom w:val="nil"/>
              <w:right w:val="nil"/>
            </w:tcBorders>
          </w:tcPr>
          <w:p w14:paraId="20A6753E">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Bartlett</w:t>
            </w:r>
            <w:r>
              <w:rPr>
                <w:rFonts w:hint="default" w:ascii="Times New Roman" w:hAnsi="Times New Roman" w:cs="Times New Roman"/>
                <w:sz w:val="24"/>
                <w:szCs w:val="24"/>
                <w:vertAlign w:val="baseline"/>
                <w:lang w:val="en-US" w:eastAsia="zh-CN"/>
              </w:rPr>
              <w:t>’</w:t>
            </w:r>
            <w:r>
              <w:rPr>
                <w:rFonts w:hint="eastAsia" w:ascii="Times New Roman" w:hAnsi="Times New Roman" w:cs="Times New Roman"/>
                <w:sz w:val="24"/>
                <w:szCs w:val="24"/>
                <w:vertAlign w:val="baseline"/>
                <w:lang w:val="en-US" w:eastAsia="zh-CN"/>
              </w:rPr>
              <w:t>s Test of Sphericity</w:t>
            </w:r>
          </w:p>
        </w:tc>
        <w:tc>
          <w:tcPr>
            <w:tcW w:w="2841" w:type="dxa"/>
            <w:tcBorders>
              <w:top w:val="nil"/>
              <w:left w:val="nil"/>
              <w:bottom w:val="nil"/>
              <w:right w:val="nil"/>
            </w:tcBorders>
          </w:tcPr>
          <w:p w14:paraId="642E12F1">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Approx. Chi-Square</w:t>
            </w:r>
          </w:p>
        </w:tc>
        <w:tc>
          <w:tcPr>
            <w:tcW w:w="2841" w:type="dxa"/>
            <w:tcBorders>
              <w:top w:val="nil"/>
              <w:left w:val="nil"/>
              <w:bottom w:val="nil"/>
              <w:right w:val="nil"/>
            </w:tcBorders>
          </w:tcPr>
          <w:p w14:paraId="5CBF5A9B">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5665.434</w:t>
            </w:r>
          </w:p>
        </w:tc>
      </w:tr>
      <w:tr w14:paraId="233F5B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Merge w:val="continue"/>
            <w:tcBorders>
              <w:top w:val="nil"/>
              <w:left w:val="nil"/>
              <w:bottom w:val="nil"/>
              <w:right w:val="nil"/>
            </w:tcBorders>
          </w:tcPr>
          <w:p w14:paraId="2CFDDB24">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vertAlign w:val="baseline"/>
              </w:rPr>
            </w:pPr>
          </w:p>
        </w:tc>
        <w:tc>
          <w:tcPr>
            <w:tcW w:w="2841" w:type="dxa"/>
            <w:tcBorders>
              <w:top w:val="nil"/>
              <w:left w:val="nil"/>
              <w:bottom w:val="nil"/>
              <w:right w:val="nil"/>
            </w:tcBorders>
          </w:tcPr>
          <w:p w14:paraId="48C7E2C1">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df</w:t>
            </w:r>
          </w:p>
        </w:tc>
        <w:tc>
          <w:tcPr>
            <w:tcW w:w="2841" w:type="dxa"/>
            <w:tcBorders>
              <w:top w:val="nil"/>
              <w:left w:val="nil"/>
              <w:bottom w:val="nil"/>
              <w:right w:val="nil"/>
            </w:tcBorders>
          </w:tcPr>
          <w:p w14:paraId="6347586F">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45</w:t>
            </w:r>
          </w:p>
        </w:tc>
      </w:tr>
      <w:tr w14:paraId="0851B0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vMerge w:val="continue"/>
            <w:tcBorders>
              <w:top w:val="nil"/>
              <w:left w:val="nil"/>
              <w:bottom w:val="single" w:color="auto" w:sz="4" w:space="0"/>
              <w:right w:val="nil"/>
            </w:tcBorders>
          </w:tcPr>
          <w:p w14:paraId="43AFA246">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vertAlign w:val="baseline"/>
              </w:rPr>
            </w:pPr>
          </w:p>
        </w:tc>
        <w:tc>
          <w:tcPr>
            <w:tcW w:w="2841" w:type="dxa"/>
            <w:tcBorders>
              <w:top w:val="nil"/>
              <w:left w:val="nil"/>
              <w:bottom w:val="single" w:color="auto" w:sz="4" w:space="0"/>
              <w:right w:val="nil"/>
            </w:tcBorders>
          </w:tcPr>
          <w:p w14:paraId="6E9CACFB">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Sig.</w:t>
            </w:r>
          </w:p>
        </w:tc>
        <w:tc>
          <w:tcPr>
            <w:tcW w:w="2841" w:type="dxa"/>
            <w:tcBorders>
              <w:top w:val="nil"/>
              <w:left w:val="nil"/>
              <w:bottom w:val="single" w:color="auto" w:sz="4" w:space="0"/>
              <w:right w:val="nil"/>
            </w:tcBorders>
          </w:tcPr>
          <w:p w14:paraId="084962FD">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0.000</w:t>
            </w:r>
          </w:p>
        </w:tc>
      </w:tr>
    </w:tbl>
    <w:p w14:paraId="17E0E3FE">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The analysis results of this study (see Table 2) showed that the KMO value was 0.707, which was higher than the acceptable standard of 0.60; the χ² value of Bartlett's sphericity test was 5665.434 (df = 45, p &lt; .001), reaching an extremely significant level. These two indicators jointly indicated that there was sufficient common variance among the variables, and the data were suitable for factor analysis.</w:t>
      </w:r>
    </w:p>
    <w:p w14:paraId="4AE41EC8">
      <w:pPr>
        <w:keepNext w:val="0"/>
        <w:keepLines w:val="0"/>
        <w:pageBreakBefore w:val="0"/>
        <w:widowControl w:val="0"/>
        <w:kinsoku/>
        <w:wordWrap/>
        <w:overflowPunct/>
        <w:topLinePunct w:val="0"/>
        <w:autoSpaceDE/>
        <w:autoSpaceDN/>
        <w:bidi w:val="0"/>
        <w:adjustRightInd/>
        <w:snapToGrid/>
        <w:spacing w:beforeLines="0" w:afterLines="0" w:line="480" w:lineRule="auto"/>
        <w:textAlignment w:val="auto"/>
        <w:rPr>
          <w:rFonts w:hint="eastAsia" w:ascii="Times New Roman" w:hAnsi="Times New Roman" w:cs="Times New Roman"/>
          <w:b/>
          <w:bCs/>
          <w:color w:val="000000" w:themeColor="text1"/>
          <w:sz w:val="24"/>
          <w:szCs w:val="24"/>
          <w:lang w:val="en-US" w:eastAsia="zh-CN"/>
          <w14:textFill>
            <w14:solidFill>
              <w14:schemeClr w14:val="tx1"/>
            </w14:solidFill>
          </w14:textFill>
        </w:rPr>
      </w:pPr>
      <w:r>
        <w:rPr>
          <w:rFonts w:hint="eastAsia" w:ascii="Times New Roman" w:hAnsi="Times New Roman" w:cs="Times New Roman"/>
          <w:b/>
          <w:bCs/>
          <w:color w:val="000000" w:themeColor="text1"/>
          <w:sz w:val="24"/>
          <w:szCs w:val="24"/>
          <w:lang w:val="en-US" w:eastAsia="zh-CN"/>
          <w14:textFill>
            <w14:solidFill>
              <w14:schemeClr w14:val="tx1"/>
            </w14:solidFill>
          </w14:textFill>
        </w:rPr>
        <w:t>Table 3</w:t>
      </w:r>
    </w:p>
    <w:p w14:paraId="21563939">
      <w:pPr>
        <w:keepNext w:val="0"/>
        <w:keepLines w:val="0"/>
        <w:pageBreakBefore w:val="0"/>
        <w:widowControl w:val="0"/>
        <w:kinsoku/>
        <w:wordWrap/>
        <w:overflowPunct/>
        <w:topLinePunct w:val="0"/>
        <w:autoSpaceDE/>
        <w:autoSpaceDN/>
        <w:bidi w:val="0"/>
        <w:adjustRightInd/>
        <w:snapToGrid/>
        <w:spacing w:beforeLines="0" w:afterLines="0" w:line="480" w:lineRule="auto"/>
        <w:textAlignment w:val="auto"/>
        <w:rPr>
          <w:rFonts w:hint="default" w:ascii="Times New Roman" w:hAnsi="Times New Roman" w:cs="Times New Roman"/>
          <w:i/>
          <w:iCs/>
          <w:color w:val="000000" w:themeColor="text1"/>
          <w:sz w:val="24"/>
          <w:szCs w:val="24"/>
          <w:lang w:val="en-US" w:eastAsia="zh-CN"/>
          <w14:textFill>
            <w14:solidFill>
              <w14:schemeClr w14:val="tx1"/>
            </w14:solidFill>
          </w14:textFill>
        </w:rPr>
      </w:pPr>
      <w:r>
        <w:rPr>
          <w:rFonts w:hint="default" w:ascii="Times New Roman" w:hAnsi="Times New Roman" w:cs="Times New Roman"/>
          <w:i/>
          <w:iCs/>
          <w:color w:val="000000" w:themeColor="text1"/>
          <w:sz w:val="24"/>
          <w:szCs w:val="24"/>
          <w:lang w:val="en-US" w:eastAsia="zh-CN"/>
          <w14:textFill>
            <w14:solidFill>
              <w14:schemeClr w14:val="tx1"/>
            </w14:solidFill>
          </w14:textFill>
        </w:rPr>
        <w:t>Total Variance Explained from Principal Component Analysis</w:t>
      </w:r>
    </w:p>
    <w:tbl>
      <w:tblPr>
        <w:tblStyle w:val="3"/>
        <w:tblW w:w="8422"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1302"/>
        <w:gridCol w:w="826"/>
        <w:gridCol w:w="1061"/>
        <w:gridCol w:w="1279"/>
        <w:gridCol w:w="1249"/>
        <w:gridCol w:w="1151"/>
        <w:gridCol w:w="1554"/>
      </w:tblGrid>
      <w:tr w14:paraId="18398834">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8422" w:type="dxa"/>
            <w:gridSpan w:val="7"/>
            <w:tcBorders>
              <w:top w:val="single" w:color="auto" w:sz="4" w:space="0"/>
              <w:left w:val="nil"/>
              <w:bottom w:val="single" w:color="auto" w:sz="4" w:space="0"/>
              <w:right w:val="nil"/>
            </w:tcBorders>
            <w:shd w:val="clear" w:color="auto" w:fill="FFFFFF"/>
            <w:noWrap w:val="0"/>
            <w:vAlign w:val="center"/>
          </w:tcPr>
          <w:p w14:paraId="41B9D26C">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b/>
                <w:color w:val="000000" w:themeColor="text1"/>
                <w:sz w:val="24"/>
                <w:szCs w:val="24"/>
                <w14:textFill>
                  <w14:solidFill>
                    <w14:schemeClr w14:val="tx1"/>
                  </w14:solidFill>
                </w14:textFill>
              </w:rPr>
              <w:t>Total Variance Explained</w:t>
            </w:r>
          </w:p>
        </w:tc>
      </w:tr>
      <w:tr w14:paraId="5D114FFA">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302" w:type="dxa"/>
            <w:vMerge w:val="restart"/>
            <w:tcBorders>
              <w:top w:val="single" w:color="auto" w:sz="4" w:space="0"/>
              <w:left w:val="nil"/>
              <w:bottom w:val="nil"/>
              <w:right w:val="nil"/>
            </w:tcBorders>
            <w:shd w:val="clear" w:color="auto" w:fill="FFFFFF"/>
            <w:noWrap w:val="0"/>
            <w:vAlign w:val="bottom"/>
          </w:tcPr>
          <w:p w14:paraId="505ED8ED">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Component</w:t>
            </w:r>
          </w:p>
        </w:tc>
        <w:tc>
          <w:tcPr>
            <w:tcW w:w="3166" w:type="dxa"/>
            <w:gridSpan w:val="3"/>
            <w:tcBorders>
              <w:top w:val="single" w:color="auto" w:sz="4" w:space="0"/>
              <w:left w:val="nil"/>
              <w:bottom w:val="nil"/>
              <w:right w:val="nil"/>
            </w:tcBorders>
            <w:shd w:val="clear" w:color="auto" w:fill="FFFFFF"/>
            <w:noWrap w:val="0"/>
            <w:vAlign w:val="bottom"/>
          </w:tcPr>
          <w:p w14:paraId="63584B63">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Initial Eigenvalues</w:t>
            </w:r>
          </w:p>
        </w:tc>
        <w:tc>
          <w:tcPr>
            <w:tcW w:w="3954" w:type="dxa"/>
            <w:gridSpan w:val="3"/>
            <w:tcBorders>
              <w:top w:val="single" w:color="auto" w:sz="4" w:space="0"/>
              <w:left w:val="nil"/>
              <w:bottom w:val="nil"/>
              <w:right w:val="nil"/>
            </w:tcBorders>
            <w:shd w:val="clear" w:color="auto" w:fill="FFFFFF"/>
            <w:noWrap w:val="0"/>
            <w:vAlign w:val="bottom"/>
          </w:tcPr>
          <w:p w14:paraId="63F89873">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Rotation Sums of Squared Loadings</w:t>
            </w:r>
          </w:p>
        </w:tc>
      </w:tr>
      <w:tr w14:paraId="2E714385">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1042" w:hRule="atLeast"/>
        </w:trPr>
        <w:tc>
          <w:tcPr>
            <w:tcW w:w="1302" w:type="dxa"/>
            <w:vMerge w:val="continue"/>
            <w:tcBorders>
              <w:top w:val="nil"/>
              <w:left w:val="nil"/>
              <w:bottom w:val="nil"/>
              <w:right w:val="nil"/>
            </w:tcBorders>
            <w:shd w:val="clear" w:color="auto" w:fill="FFFFFF"/>
            <w:noWrap w:val="0"/>
            <w:vAlign w:val="bottom"/>
          </w:tcPr>
          <w:p w14:paraId="58ECE923">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826" w:type="dxa"/>
            <w:tcBorders>
              <w:top w:val="nil"/>
              <w:left w:val="nil"/>
              <w:bottom w:val="nil"/>
              <w:right w:val="nil"/>
            </w:tcBorders>
            <w:shd w:val="clear" w:color="auto" w:fill="FFFFFF"/>
            <w:noWrap w:val="0"/>
            <w:vAlign w:val="bottom"/>
          </w:tcPr>
          <w:p w14:paraId="186A7F1C">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Total</w:t>
            </w:r>
          </w:p>
        </w:tc>
        <w:tc>
          <w:tcPr>
            <w:tcW w:w="1061" w:type="dxa"/>
            <w:tcBorders>
              <w:top w:val="nil"/>
              <w:left w:val="nil"/>
              <w:bottom w:val="nil"/>
              <w:right w:val="nil"/>
            </w:tcBorders>
            <w:shd w:val="clear" w:color="auto" w:fill="FFFFFF"/>
            <w:noWrap w:val="0"/>
            <w:vAlign w:val="bottom"/>
          </w:tcPr>
          <w:p w14:paraId="5D5C9E8F">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 of Variance</w:t>
            </w:r>
          </w:p>
        </w:tc>
        <w:tc>
          <w:tcPr>
            <w:tcW w:w="1279" w:type="dxa"/>
            <w:tcBorders>
              <w:top w:val="nil"/>
              <w:left w:val="nil"/>
              <w:bottom w:val="nil"/>
              <w:right w:val="nil"/>
            </w:tcBorders>
            <w:shd w:val="clear" w:color="auto" w:fill="FFFFFF"/>
            <w:noWrap w:val="0"/>
            <w:vAlign w:val="bottom"/>
          </w:tcPr>
          <w:p w14:paraId="093C94D9">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Cumulative %</w:t>
            </w:r>
          </w:p>
        </w:tc>
        <w:tc>
          <w:tcPr>
            <w:tcW w:w="1249" w:type="dxa"/>
            <w:tcBorders>
              <w:top w:val="nil"/>
              <w:left w:val="nil"/>
              <w:bottom w:val="nil"/>
              <w:right w:val="nil"/>
            </w:tcBorders>
            <w:shd w:val="clear" w:color="auto" w:fill="FFFFFF"/>
            <w:noWrap w:val="0"/>
            <w:vAlign w:val="bottom"/>
          </w:tcPr>
          <w:p w14:paraId="606C3781">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Total</w:t>
            </w:r>
          </w:p>
        </w:tc>
        <w:tc>
          <w:tcPr>
            <w:tcW w:w="1151" w:type="dxa"/>
            <w:tcBorders>
              <w:top w:val="nil"/>
              <w:left w:val="nil"/>
              <w:bottom w:val="nil"/>
              <w:right w:val="nil"/>
            </w:tcBorders>
            <w:shd w:val="clear" w:color="auto" w:fill="FFFFFF"/>
            <w:noWrap w:val="0"/>
            <w:vAlign w:val="bottom"/>
          </w:tcPr>
          <w:p w14:paraId="516F7C1E">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 of Variance</w:t>
            </w:r>
          </w:p>
        </w:tc>
        <w:tc>
          <w:tcPr>
            <w:tcW w:w="1554" w:type="dxa"/>
            <w:tcBorders>
              <w:top w:val="nil"/>
              <w:left w:val="nil"/>
              <w:bottom w:val="nil"/>
              <w:right w:val="nil"/>
            </w:tcBorders>
            <w:shd w:val="clear" w:color="auto" w:fill="FFFFFF"/>
            <w:noWrap w:val="0"/>
            <w:vAlign w:val="bottom"/>
          </w:tcPr>
          <w:p w14:paraId="07914EFE">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Cumulative %</w:t>
            </w:r>
          </w:p>
        </w:tc>
      </w:tr>
      <w:tr w14:paraId="2ED4061F">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302" w:type="dxa"/>
            <w:tcBorders>
              <w:top w:val="nil"/>
              <w:left w:val="nil"/>
              <w:bottom w:val="nil"/>
              <w:right w:val="nil"/>
            </w:tcBorders>
            <w:shd w:val="clear" w:color="auto" w:fill="FFFFFF" w:themeFill="background1"/>
            <w:noWrap w:val="0"/>
            <w:vAlign w:val="top"/>
          </w:tcPr>
          <w:p w14:paraId="2E703523">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shd w:val="clear" w:color="auto" w:fill="auto"/>
                <w14:textFill>
                  <w14:solidFill>
                    <w14:schemeClr w14:val="tx1"/>
                  </w14:solidFill>
                </w14:textFill>
              </w:rPr>
            </w:pPr>
            <w:r>
              <w:rPr>
                <w:rFonts w:hint="default" w:ascii="Times New Roman" w:hAnsi="Times New Roman" w:cs="Times New Roman"/>
                <w:color w:val="000000" w:themeColor="text1"/>
                <w:sz w:val="24"/>
                <w:szCs w:val="24"/>
                <w:shd w:val="clear" w:color="auto" w:fill="auto"/>
                <w14:textFill>
                  <w14:solidFill>
                    <w14:schemeClr w14:val="tx1"/>
                  </w14:solidFill>
                </w14:textFill>
              </w:rPr>
              <w:t>1</w:t>
            </w:r>
          </w:p>
        </w:tc>
        <w:tc>
          <w:tcPr>
            <w:tcW w:w="826" w:type="dxa"/>
            <w:tcBorders>
              <w:top w:val="nil"/>
              <w:left w:val="nil"/>
              <w:bottom w:val="nil"/>
              <w:right w:val="nil"/>
            </w:tcBorders>
            <w:shd w:val="clear" w:color="auto" w:fill="FFFFFF"/>
            <w:noWrap w:val="0"/>
            <w:vAlign w:val="top"/>
          </w:tcPr>
          <w:p w14:paraId="5387AD54">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4.926</w:t>
            </w:r>
          </w:p>
        </w:tc>
        <w:tc>
          <w:tcPr>
            <w:tcW w:w="1061" w:type="dxa"/>
            <w:tcBorders>
              <w:top w:val="nil"/>
              <w:left w:val="nil"/>
              <w:bottom w:val="nil"/>
              <w:right w:val="nil"/>
            </w:tcBorders>
            <w:shd w:val="clear" w:color="auto" w:fill="FFFFFF"/>
            <w:noWrap w:val="0"/>
            <w:vAlign w:val="top"/>
          </w:tcPr>
          <w:p w14:paraId="5C9D5AC7">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49.260</w:t>
            </w:r>
          </w:p>
        </w:tc>
        <w:tc>
          <w:tcPr>
            <w:tcW w:w="1279" w:type="dxa"/>
            <w:tcBorders>
              <w:top w:val="nil"/>
              <w:left w:val="nil"/>
              <w:bottom w:val="nil"/>
              <w:right w:val="nil"/>
            </w:tcBorders>
            <w:shd w:val="clear" w:color="auto" w:fill="FFFFFF"/>
            <w:noWrap w:val="0"/>
            <w:vAlign w:val="top"/>
          </w:tcPr>
          <w:p w14:paraId="68E0A940">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49.260</w:t>
            </w:r>
          </w:p>
        </w:tc>
        <w:tc>
          <w:tcPr>
            <w:tcW w:w="1249" w:type="dxa"/>
            <w:tcBorders>
              <w:top w:val="nil"/>
              <w:left w:val="nil"/>
              <w:bottom w:val="nil"/>
              <w:right w:val="nil"/>
            </w:tcBorders>
            <w:shd w:val="clear" w:color="auto" w:fill="FFFFFF"/>
            <w:noWrap w:val="0"/>
            <w:vAlign w:val="top"/>
          </w:tcPr>
          <w:p w14:paraId="651B3C51">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4.791</w:t>
            </w:r>
          </w:p>
        </w:tc>
        <w:tc>
          <w:tcPr>
            <w:tcW w:w="1151" w:type="dxa"/>
            <w:tcBorders>
              <w:top w:val="nil"/>
              <w:left w:val="nil"/>
              <w:bottom w:val="nil"/>
              <w:right w:val="nil"/>
            </w:tcBorders>
            <w:shd w:val="clear" w:color="auto" w:fill="FFFFFF"/>
            <w:noWrap w:val="0"/>
            <w:vAlign w:val="top"/>
          </w:tcPr>
          <w:p w14:paraId="07776336">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47.914</w:t>
            </w:r>
          </w:p>
        </w:tc>
        <w:tc>
          <w:tcPr>
            <w:tcW w:w="1554" w:type="dxa"/>
            <w:tcBorders>
              <w:top w:val="nil"/>
              <w:left w:val="nil"/>
              <w:bottom w:val="nil"/>
              <w:right w:val="nil"/>
            </w:tcBorders>
            <w:shd w:val="clear" w:color="auto" w:fill="FFFFFF"/>
            <w:noWrap w:val="0"/>
            <w:vAlign w:val="top"/>
          </w:tcPr>
          <w:p w14:paraId="5C82D879">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47.914</w:t>
            </w:r>
          </w:p>
        </w:tc>
      </w:tr>
      <w:tr w14:paraId="5656B98E">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302" w:type="dxa"/>
            <w:tcBorders>
              <w:top w:val="nil"/>
              <w:left w:val="nil"/>
              <w:bottom w:val="nil"/>
              <w:right w:val="nil"/>
            </w:tcBorders>
            <w:shd w:val="clear" w:color="auto" w:fill="FFFFFF" w:themeFill="background1"/>
            <w:noWrap w:val="0"/>
            <w:vAlign w:val="top"/>
          </w:tcPr>
          <w:p w14:paraId="4BB0B285">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shd w:val="clear" w:color="auto" w:fill="auto"/>
                <w14:textFill>
                  <w14:solidFill>
                    <w14:schemeClr w14:val="tx1"/>
                  </w14:solidFill>
                </w14:textFill>
              </w:rPr>
            </w:pPr>
            <w:r>
              <w:rPr>
                <w:rFonts w:hint="default" w:ascii="Times New Roman" w:hAnsi="Times New Roman" w:cs="Times New Roman"/>
                <w:color w:val="000000" w:themeColor="text1"/>
                <w:sz w:val="24"/>
                <w:szCs w:val="24"/>
                <w:shd w:val="clear" w:color="auto" w:fill="auto"/>
                <w14:textFill>
                  <w14:solidFill>
                    <w14:schemeClr w14:val="tx1"/>
                  </w14:solidFill>
                </w14:textFill>
              </w:rPr>
              <w:t>2</w:t>
            </w:r>
          </w:p>
        </w:tc>
        <w:tc>
          <w:tcPr>
            <w:tcW w:w="826" w:type="dxa"/>
            <w:tcBorders>
              <w:top w:val="nil"/>
              <w:left w:val="nil"/>
              <w:bottom w:val="nil"/>
              <w:right w:val="nil"/>
            </w:tcBorders>
            <w:shd w:val="clear" w:color="auto" w:fill="FFFFFF"/>
            <w:noWrap w:val="0"/>
            <w:vAlign w:val="top"/>
          </w:tcPr>
          <w:p w14:paraId="7E5395F3">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3.082</w:t>
            </w:r>
          </w:p>
        </w:tc>
        <w:tc>
          <w:tcPr>
            <w:tcW w:w="1061" w:type="dxa"/>
            <w:tcBorders>
              <w:top w:val="nil"/>
              <w:left w:val="nil"/>
              <w:bottom w:val="nil"/>
              <w:right w:val="nil"/>
            </w:tcBorders>
            <w:shd w:val="clear" w:color="auto" w:fill="FFFFFF"/>
            <w:noWrap w:val="0"/>
            <w:vAlign w:val="top"/>
          </w:tcPr>
          <w:p w14:paraId="0D3448C7">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30.822</w:t>
            </w:r>
          </w:p>
        </w:tc>
        <w:tc>
          <w:tcPr>
            <w:tcW w:w="1279" w:type="dxa"/>
            <w:tcBorders>
              <w:top w:val="nil"/>
              <w:left w:val="nil"/>
              <w:bottom w:val="nil"/>
              <w:right w:val="nil"/>
            </w:tcBorders>
            <w:shd w:val="clear" w:color="auto" w:fill="FFFFFF"/>
            <w:noWrap w:val="0"/>
            <w:vAlign w:val="top"/>
          </w:tcPr>
          <w:p w14:paraId="3E1E60BA">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80.081</w:t>
            </w:r>
          </w:p>
        </w:tc>
        <w:tc>
          <w:tcPr>
            <w:tcW w:w="1249" w:type="dxa"/>
            <w:tcBorders>
              <w:top w:val="nil"/>
              <w:left w:val="nil"/>
              <w:bottom w:val="nil"/>
              <w:right w:val="nil"/>
            </w:tcBorders>
            <w:shd w:val="clear" w:color="auto" w:fill="FFFFFF"/>
            <w:noWrap w:val="0"/>
            <w:vAlign w:val="top"/>
          </w:tcPr>
          <w:p w14:paraId="21F2809E">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3.217</w:t>
            </w:r>
          </w:p>
        </w:tc>
        <w:tc>
          <w:tcPr>
            <w:tcW w:w="1151" w:type="dxa"/>
            <w:tcBorders>
              <w:top w:val="nil"/>
              <w:left w:val="nil"/>
              <w:bottom w:val="nil"/>
              <w:right w:val="nil"/>
            </w:tcBorders>
            <w:shd w:val="clear" w:color="auto" w:fill="FFFFFF"/>
            <w:noWrap w:val="0"/>
            <w:vAlign w:val="top"/>
          </w:tcPr>
          <w:p w14:paraId="5C2A3703">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32.167</w:t>
            </w:r>
          </w:p>
        </w:tc>
        <w:tc>
          <w:tcPr>
            <w:tcW w:w="1554" w:type="dxa"/>
            <w:tcBorders>
              <w:top w:val="nil"/>
              <w:left w:val="nil"/>
              <w:bottom w:val="nil"/>
              <w:right w:val="nil"/>
            </w:tcBorders>
            <w:shd w:val="clear" w:color="auto" w:fill="FFFFFF"/>
            <w:noWrap w:val="0"/>
            <w:vAlign w:val="top"/>
          </w:tcPr>
          <w:p w14:paraId="2F14E40C">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80.081</w:t>
            </w:r>
          </w:p>
        </w:tc>
      </w:tr>
      <w:tr w14:paraId="7CAC498F">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302" w:type="dxa"/>
            <w:tcBorders>
              <w:top w:val="nil"/>
              <w:left w:val="nil"/>
              <w:bottom w:val="nil"/>
              <w:right w:val="nil"/>
            </w:tcBorders>
            <w:shd w:val="clear" w:color="auto" w:fill="FFFFFF" w:themeFill="background1"/>
            <w:noWrap w:val="0"/>
            <w:vAlign w:val="top"/>
          </w:tcPr>
          <w:p w14:paraId="03FF0070">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shd w:val="clear" w:color="auto" w:fill="auto"/>
                <w14:textFill>
                  <w14:solidFill>
                    <w14:schemeClr w14:val="tx1"/>
                  </w14:solidFill>
                </w14:textFill>
              </w:rPr>
            </w:pPr>
            <w:r>
              <w:rPr>
                <w:rFonts w:hint="default" w:ascii="Times New Roman" w:hAnsi="Times New Roman" w:cs="Times New Roman"/>
                <w:color w:val="000000" w:themeColor="text1"/>
                <w:sz w:val="24"/>
                <w:szCs w:val="24"/>
                <w:shd w:val="clear" w:color="auto" w:fill="auto"/>
                <w14:textFill>
                  <w14:solidFill>
                    <w14:schemeClr w14:val="tx1"/>
                  </w14:solidFill>
                </w14:textFill>
              </w:rPr>
              <w:t>3</w:t>
            </w:r>
          </w:p>
        </w:tc>
        <w:tc>
          <w:tcPr>
            <w:tcW w:w="826" w:type="dxa"/>
            <w:tcBorders>
              <w:top w:val="nil"/>
              <w:left w:val="nil"/>
              <w:bottom w:val="nil"/>
              <w:right w:val="nil"/>
            </w:tcBorders>
            <w:shd w:val="clear" w:color="auto" w:fill="FFFFFF"/>
            <w:noWrap w:val="0"/>
            <w:vAlign w:val="top"/>
          </w:tcPr>
          <w:p w14:paraId="07A428E6">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.875</w:t>
            </w:r>
          </w:p>
        </w:tc>
        <w:tc>
          <w:tcPr>
            <w:tcW w:w="1061" w:type="dxa"/>
            <w:tcBorders>
              <w:top w:val="nil"/>
              <w:left w:val="nil"/>
              <w:bottom w:val="nil"/>
              <w:right w:val="nil"/>
            </w:tcBorders>
            <w:shd w:val="clear" w:color="auto" w:fill="FFFFFF"/>
            <w:noWrap w:val="0"/>
            <w:vAlign w:val="top"/>
          </w:tcPr>
          <w:p w14:paraId="0C256062">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8.752</w:t>
            </w:r>
          </w:p>
        </w:tc>
        <w:tc>
          <w:tcPr>
            <w:tcW w:w="1279" w:type="dxa"/>
            <w:tcBorders>
              <w:top w:val="nil"/>
              <w:left w:val="nil"/>
              <w:bottom w:val="nil"/>
              <w:right w:val="nil"/>
            </w:tcBorders>
            <w:shd w:val="clear" w:color="auto" w:fill="FFFFFF"/>
            <w:noWrap w:val="0"/>
            <w:vAlign w:val="top"/>
          </w:tcPr>
          <w:p w14:paraId="77840DB3">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88.834</w:t>
            </w:r>
          </w:p>
        </w:tc>
        <w:tc>
          <w:tcPr>
            <w:tcW w:w="1249" w:type="dxa"/>
            <w:tcBorders>
              <w:top w:val="nil"/>
              <w:left w:val="nil"/>
              <w:bottom w:val="nil"/>
              <w:right w:val="nil"/>
            </w:tcBorders>
            <w:shd w:val="clear" w:color="auto" w:fill="FFFFFF"/>
            <w:noWrap w:val="0"/>
            <w:vAlign w:val="center"/>
          </w:tcPr>
          <w:p w14:paraId="6871F0E6">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1151" w:type="dxa"/>
            <w:tcBorders>
              <w:top w:val="nil"/>
              <w:left w:val="nil"/>
              <w:bottom w:val="nil"/>
              <w:right w:val="nil"/>
            </w:tcBorders>
            <w:shd w:val="clear" w:color="auto" w:fill="FFFFFF"/>
            <w:noWrap w:val="0"/>
            <w:vAlign w:val="center"/>
          </w:tcPr>
          <w:p w14:paraId="4B5C1776">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1554" w:type="dxa"/>
            <w:tcBorders>
              <w:top w:val="nil"/>
              <w:left w:val="nil"/>
              <w:bottom w:val="nil"/>
              <w:right w:val="nil"/>
            </w:tcBorders>
            <w:shd w:val="clear" w:color="auto" w:fill="FFFFFF"/>
            <w:noWrap w:val="0"/>
            <w:vAlign w:val="center"/>
          </w:tcPr>
          <w:p w14:paraId="26135489">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r>
      <w:tr w14:paraId="73B5C26B">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302" w:type="dxa"/>
            <w:tcBorders>
              <w:top w:val="nil"/>
              <w:left w:val="nil"/>
              <w:bottom w:val="nil"/>
              <w:right w:val="nil"/>
            </w:tcBorders>
            <w:shd w:val="clear" w:color="auto" w:fill="FFFFFF" w:themeFill="background1"/>
            <w:noWrap w:val="0"/>
            <w:vAlign w:val="top"/>
          </w:tcPr>
          <w:p w14:paraId="1897CFC2">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shd w:val="clear" w:color="auto" w:fill="auto"/>
                <w14:textFill>
                  <w14:solidFill>
                    <w14:schemeClr w14:val="tx1"/>
                  </w14:solidFill>
                </w14:textFill>
              </w:rPr>
            </w:pPr>
            <w:r>
              <w:rPr>
                <w:rFonts w:hint="default" w:ascii="Times New Roman" w:hAnsi="Times New Roman" w:cs="Times New Roman"/>
                <w:color w:val="000000" w:themeColor="text1"/>
                <w:sz w:val="24"/>
                <w:szCs w:val="24"/>
                <w:shd w:val="clear" w:color="auto" w:fill="auto"/>
                <w14:textFill>
                  <w14:solidFill>
                    <w14:schemeClr w14:val="tx1"/>
                  </w14:solidFill>
                </w14:textFill>
              </w:rPr>
              <w:t>4</w:t>
            </w:r>
          </w:p>
        </w:tc>
        <w:tc>
          <w:tcPr>
            <w:tcW w:w="826" w:type="dxa"/>
            <w:tcBorders>
              <w:top w:val="nil"/>
              <w:left w:val="nil"/>
              <w:bottom w:val="nil"/>
              <w:right w:val="nil"/>
            </w:tcBorders>
            <w:shd w:val="clear" w:color="auto" w:fill="FFFFFF"/>
            <w:noWrap w:val="0"/>
            <w:vAlign w:val="top"/>
          </w:tcPr>
          <w:p w14:paraId="092E2E75">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.660</w:t>
            </w:r>
          </w:p>
        </w:tc>
        <w:tc>
          <w:tcPr>
            <w:tcW w:w="1061" w:type="dxa"/>
            <w:tcBorders>
              <w:top w:val="nil"/>
              <w:left w:val="nil"/>
              <w:bottom w:val="nil"/>
              <w:right w:val="nil"/>
            </w:tcBorders>
            <w:shd w:val="clear" w:color="auto" w:fill="FFFFFF"/>
            <w:noWrap w:val="0"/>
            <w:vAlign w:val="top"/>
          </w:tcPr>
          <w:p w14:paraId="0B9328A8">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6.603</w:t>
            </w:r>
          </w:p>
        </w:tc>
        <w:tc>
          <w:tcPr>
            <w:tcW w:w="1279" w:type="dxa"/>
            <w:tcBorders>
              <w:top w:val="nil"/>
              <w:left w:val="nil"/>
              <w:bottom w:val="nil"/>
              <w:right w:val="nil"/>
            </w:tcBorders>
            <w:shd w:val="clear" w:color="auto" w:fill="FFFFFF"/>
            <w:noWrap w:val="0"/>
            <w:vAlign w:val="top"/>
          </w:tcPr>
          <w:p w14:paraId="3006F343">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95.437</w:t>
            </w:r>
          </w:p>
        </w:tc>
        <w:tc>
          <w:tcPr>
            <w:tcW w:w="1249" w:type="dxa"/>
            <w:tcBorders>
              <w:top w:val="nil"/>
              <w:left w:val="nil"/>
              <w:bottom w:val="nil"/>
              <w:right w:val="nil"/>
            </w:tcBorders>
            <w:shd w:val="clear" w:color="auto" w:fill="FFFFFF"/>
            <w:noWrap w:val="0"/>
            <w:vAlign w:val="center"/>
          </w:tcPr>
          <w:p w14:paraId="56683B03">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1151" w:type="dxa"/>
            <w:tcBorders>
              <w:top w:val="nil"/>
              <w:left w:val="nil"/>
              <w:bottom w:val="nil"/>
              <w:right w:val="nil"/>
            </w:tcBorders>
            <w:shd w:val="clear" w:color="auto" w:fill="FFFFFF"/>
            <w:noWrap w:val="0"/>
            <w:vAlign w:val="center"/>
          </w:tcPr>
          <w:p w14:paraId="1709FF19">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1554" w:type="dxa"/>
            <w:tcBorders>
              <w:top w:val="nil"/>
              <w:left w:val="nil"/>
              <w:bottom w:val="nil"/>
              <w:right w:val="nil"/>
            </w:tcBorders>
            <w:shd w:val="clear" w:color="auto" w:fill="FFFFFF"/>
            <w:noWrap w:val="0"/>
            <w:vAlign w:val="center"/>
          </w:tcPr>
          <w:p w14:paraId="5122DF15">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r>
      <w:tr w14:paraId="4C05B083">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302" w:type="dxa"/>
            <w:tcBorders>
              <w:top w:val="nil"/>
              <w:left w:val="nil"/>
              <w:bottom w:val="nil"/>
              <w:right w:val="nil"/>
            </w:tcBorders>
            <w:shd w:val="clear" w:color="auto" w:fill="FFFFFF" w:themeFill="background1"/>
            <w:noWrap w:val="0"/>
            <w:vAlign w:val="top"/>
          </w:tcPr>
          <w:p w14:paraId="56E850EE">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shd w:val="clear" w:color="auto" w:fill="auto"/>
                <w14:textFill>
                  <w14:solidFill>
                    <w14:schemeClr w14:val="tx1"/>
                  </w14:solidFill>
                </w14:textFill>
              </w:rPr>
            </w:pPr>
            <w:r>
              <w:rPr>
                <w:rFonts w:hint="default" w:ascii="Times New Roman" w:hAnsi="Times New Roman" w:cs="Times New Roman"/>
                <w:color w:val="000000" w:themeColor="text1"/>
                <w:sz w:val="24"/>
                <w:szCs w:val="24"/>
                <w:shd w:val="clear" w:color="auto" w:fill="auto"/>
                <w14:textFill>
                  <w14:solidFill>
                    <w14:schemeClr w14:val="tx1"/>
                  </w14:solidFill>
                </w14:textFill>
              </w:rPr>
              <w:t>5</w:t>
            </w:r>
          </w:p>
        </w:tc>
        <w:tc>
          <w:tcPr>
            <w:tcW w:w="826" w:type="dxa"/>
            <w:tcBorders>
              <w:top w:val="nil"/>
              <w:left w:val="nil"/>
              <w:bottom w:val="nil"/>
              <w:right w:val="nil"/>
            </w:tcBorders>
            <w:shd w:val="clear" w:color="auto" w:fill="FFFFFF"/>
            <w:noWrap w:val="0"/>
            <w:vAlign w:val="top"/>
          </w:tcPr>
          <w:p w14:paraId="3BBBC821">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.288</w:t>
            </w:r>
          </w:p>
        </w:tc>
        <w:tc>
          <w:tcPr>
            <w:tcW w:w="1061" w:type="dxa"/>
            <w:tcBorders>
              <w:top w:val="nil"/>
              <w:left w:val="nil"/>
              <w:bottom w:val="nil"/>
              <w:right w:val="nil"/>
            </w:tcBorders>
            <w:shd w:val="clear" w:color="auto" w:fill="FFFFFF"/>
            <w:noWrap w:val="0"/>
            <w:vAlign w:val="top"/>
          </w:tcPr>
          <w:p w14:paraId="2A9978BD">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2.876</w:t>
            </w:r>
          </w:p>
        </w:tc>
        <w:tc>
          <w:tcPr>
            <w:tcW w:w="1279" w:type="dxa"/>
            <w:tcBorders>
              <w:top w:val="nil"/>
              <w:left w:val="nil"/>
              <w:bottom w:val="nil"/>
              <w:right w:val="nil"/>
            </w:tcBorders>
            <w:shd w:val="clear" w:color="auto" w:fill="FFFFFF"/>
            <w:noWrap w:val="0"/>
            <w:vAlign w:val="top"/>
          </w:tcPr>
          <w:p w14:paraId="7FFE2382">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98.313</w:t>
            </w:r>
          </w:p>
        </w:tc>
        <w:tc>
          <w:tcPr>
            <w:tcW w:w="1249" w:type="dxa"/>
            <w:tcBorders>
              <w:top w:val="nil"/>
              <w:left w:val="nil"/>
              <w:bottom w:val="nil"/>
              <w:right w:val="nil"/>
            </w:tcBorders>
            <w:shd w:val="clear" w:color="auto" w:fill="FFFFFF"/>
            <w:noWrap w:val="0"/>
            <w:vAlign w:val="center"/>
          </w:tcPr>
          <w:p w14:paraId="388C8260">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1151" w:type="dxa"/>
            <w:tcBorders>
              <w:top w:val="nil"/>
              <w:left w:val="nil"/>
              <w:bottom w:val="nil"/>
              <w:right w:val="nil"/>
            </w:tcBorders>
            <w:shd w:val="clear" w:color="auto" w:fill="FFFFFF"/>
            <w:noWrap w:val="0"/>
            <w:vAlign w:val="center"/>
          </w:tcPr>
          <w:p w14:paraId="0CB07A24">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1554" w:type="dxa"/>
            <w:tcBorders>
              <w:top w:val="nil"/>
              <w:left w:val="nil"/>
              <w:bottom w:val="nil"/>
              <w:right w:val="nil"/>
            </w:tcBorders>
            <w:shd w:val="clear" w:color="auto" w:fill="FFFFFF"/>
            <w:noWrap w:val="0"/>
            <w:vAlign w:val="center"/>
          </w:tcPr>
          <w:p w14:paraId="02F23DAB">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r>
      <w:tr w14:paraId="03C94357">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302" w:type="dxa"/>
            <w:tcBorders>
              <w:top w:val="nil"/>
              <w:left w:val="nil"/>
              <w:bottom w:val="nil"/>
              <w:right w:val="nil"/>
            </w:tcBorders>
            <w:shd w:val="clear" w:color="auto" w:fill="FFFFFF" w:themeFill="background1"/>
            <w:noWrap w:val="0"/>
            <w:vAlign w:val="top"/>
          </w:tcPr>
          <w:p w14:paraId="3A462B8E">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shd w:val="clear" w:color="auto" w:fill="auto"/>
                <w14:textFill>
                  <w14:solidFill>
                    <w14:schemeClr w14:val="tx1"/>
                  </w14:solidFill>
                </w14:textFill>
              </w:rPr>
            </w:pPr>
            <w:r>
              <w:rPr>
                <w:rFonts w:hint="default" w:ascii="Times New Roman" w:hAnsi="Times New Roman" w:cs="Times New Roman"/>
                <w:color w:val="000000" w:themeColor="text1"/>
                <w:sz w:val="24"/>
                <w:szCs w:val="24"/>
                <w:shd w:val="clear" w:color="auto" w:fill="auto"/>
                <w14:textFill>
                  <w14:solidFill>
                    <w14:schemeClr w14:val="tx1"/>
                  </w14:solidFill>
                </w14:textFill>
              </w:rPr>
              <w:t>6</w:t>
            </w:r>
          </w:p>
        </w:tc>
        <w:tc>
          <w:tcPr>
            <w:tcW w:w="826" w:type="dxa"/>
            <w:tcBorders>
              <w:top w:val="nil"/>
              <w:left w:val="nil"/>
              <w:bottom w:val="nil"/>
              <w:right w:val="nil"/>
            </w:tcBorders>
            <w:shd w:val="clear" w:color="auto" w:fill="FFFFFF"/>
            <w:noWrap w:val="0"/>
            <w:vAlign w:val="top"/>
          </w:tcPr>
          <w:p w14:paraId="569F2F6E">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.091</w:t>
            </w:r>
          </w:p>
        </w:tc>
        <w:tc>
          <w:tcPr>
            <w:tcW w:w="1061" w:type="dxa"/>
            <w:tcBorders>
              <w:top w:val="nil"/>
              <w:left w:val="nil"/>
              <w:bottom w:val="nil"/>
              <w:right w:val="nil"/>
            </w:tcBorders>
            <w:shd w:val="clear" w:color="auto" w:fill="FFFFFF"/>
            <w:noWrap w:val="0"/>
            <w:vAlign w:val="top"/>
          </w:tcPr>
          <w:p w14:paraId="3EAEB168">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.908</w:t>
            </w:r>
          </w:p>
        </w:tc>
        <w:tc>
          <w:tcPr>
            <w:tcW w:w="1279" w:type="dxa"/>
            <w:tcBorders>
              <w:top w:val="nil"/>
              <w:left w:val="nil"/>
              <w:bottom w:val="nil"/>
              <w:right w:val="nil"/>
            </w:tcBorders>
            <w:shd w:val="clear" w:color="auto" w:fill="FFFFFF"/>
            <w:noWrap w:val="0"/>
            <w:vAlign w:val="top"/>
          </w:tcPr>
          <w:p w14:paraId="25063FD4">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99.221</w:t>
            </w:r>
          </w:p>
        </w:tc>
        <w:tc>
          <w:tcPr>
            <w:tcW w:w="1249" w:type="dxa"/>
            <w:tcBorders>
              <w:top w:val="nil"/>
              <w:left w:val="nil"/>
              <w:bottom w:val="nil"/>
              <w:right w:val="nil"/>
            </w:tcBorders>
            <w:shd w:val="clear" w:color="auto" w:fill="FFFFFF"/>
            <w:noWrap w:val="0"/>
            <w:vAlign w:val="center"/>
          </w:tcPr>
          <w:p w14:paraId="0131FD1B">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1151" w:type="dxa"/>
            <w:tcBorders>
              <w:top w:val="nil"/>
              <w:left w:val="nil"/>
              <w:bottom w:val="nil"/>
              <w:right w:val="nil"/>
            </w:tcBorders>
            <w:shd w:val="clear" w:color="auto" w:fill="FFFFFF"/>
            <w:noWrap w:val="0"/>
            <w:vAlign w:val="center"/>
          </w:tcPr>
          <w:p w14:paraId="1ECEA260">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1554" w:type="dxa"/>
            <w:tcBorders>
              <w:top w:val="nil"/>
              <w:left w:val="nil"/>
              <w:bottom w:val="nil"/>
              <w:right w:val="nil"/>
            </w:tcBorders>
            <w:shd w:val="clear" w:color="auto" w:fill="FFFFFF"/>
            <w:noWrap w:val="0"/>
            <w:vAlign w:val="center"/>
          </w:tcPr>
          <w:p w14:paraId="219D2745">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r>
      <w:tr w14:paraId="7FC9B6E5">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302" w:type="dxa"/>
            <w:tcBorders>
              <w:top w:val="nil"/>
              <w:left w:val="nil"/>
              <w:bottom w:val="nil"/>
              <w:right w:val="nil"/>
            </w:tcBorders>
            <w:shd w:val="clear" w:color="auto" w:fill="FFFFFF" w:themeFill="background1"/>
            <w:noWrap w:val="0"/>
            <w:vAlign w:val="top"/>
          </w:tcPr>
          <w:p w14:paraId="1B4BE81B">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shd w:val="clear" w:color="auto" w:fill="auto"/>
                <w14:textFill>
                  <w14:solidFill>
                    <w14:schemeClr w14:val="tx1"/>
                  </w14:solidFill>
                </w14:textFill>
              </w:rPr>
            </w:pPr>
            <w:r>
              <w:rPr>
                <w:rFonts w:hint="default" w:ascii="Times New Roman" w:hAnsi="Times New Roman" w:cs="Times New Roman"/>
                <w:color w:val="000000" w:themeColor="text1"/>
                <w:sz w:val="24"/>
                <w:szCs w:val="24"/>
                <w:shd w:val="clear" w:color="auto" w:fill="auto"/>
                <w14:textFill>
                  <w14:solidFill>
                    <w14:schemeClr w14:val="tx1"/>
                  </w14:solidFill>
                </w14:textFill>
              </w:rPr>
              <w:t>7</w:t>
            </w:r>
          </w:p>
        </w:tc>
        <w:tc>
          <w:tcPr>
            <w:tcW w:w="826" w:type="dxa"/>
            <w:tcBorders>
              <w:top w:val="nil"/>
              <w:left w:val="nil"/>
              <w:bottom w:val="nil"/>
              <w:right w:val="nil"/>
            </w:tcBorders>
            <w:shd w:val="clear" w:color="auto" w:fill="FFFFFF"/>
            <w:noWrap w:val="0"/>
            <w:vAlign w:val="top"/>
          </w:tcPr>
          <w:p w14:paraId="48170DC5">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.038</w:t>
            </w:r>
          </w:p>
        </w:tc>
        <w:tc>
          <w:tcPr>
            <w:tcW w:w="1061" w:type="dxa"/>
            <w:tcBorders>
              <w:top w:val="nil"/>
              <w:left w:val="nil"/>
              <w:bottom w:val="nil"/>
              <w:right w:val="nil"/>
            </w:tcBorders>
            <w:shd w:val="clear" w:color="auto" w:fill="FFFFFF"/>
            <w:noWrap w:val="0"/>
            <w:vAlign w:val="top"/>
          </w:tcPr>
          <w:p w14:paraId="2F6C8160">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.380</w:t>
            </w:r>
          </w:p>
        </w:tc>
        <w:tc>
          <w:tcPr>
            <w:tcW w:w="1279" w:type="dxa"/>
            <w:tcBorders>
              <w:top w:val="nil"/>
              <w:left w:val="nil"/>
              <w:bottom w:val="nil"/>
              <w:right w:val="nil"/>
            </w:tcBorders>
            <w:shd w:val="clear" w:color="auto" w:fill="FFFFFF"/>
            <w:noWrap w:val="0"/>
            <w:vAlign w:val="top"/>
          </w:tcPr>
          <w:p w14:paraId="2DA7D51D">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99.601</w:t>
            </w:r>
          </w:p>
        </w:tc>
        <w:tc>
          <w:tcPr>
            <w:tcW w:w="1249" w:type="dxa"/>
            <w:tcBorders>
              <w:top w:val="nil"/>
              <w:left w:val="nil"/>
              <w:bottom w:val="nil"/>
              <w:right w:val="nil"/>
            </w:tcBorders>
            <w:shd w:val="clear" w:color="auto" w:fill="FFFFFF"/>
            <w:noWrap w:val="0"/>
            <w:vAlign w:val="center"/>
          </w:tcPr>
          <w:p w14:paraId="1BB63CFD">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1151" w:type="dxa"/>
            <w:tcBorders>
              <w:top w:val="nil"/>
              <w:left w:val="nil"/>
              <w:bottom w:val="nil"/>
              <w:right w:val="nil"/>
            </w:tcBorders>
            <w:shd w:val="clear" w:color="auto" w:fill="FFFFFF"/>
            <w:noWrap w:val="0"/>
            <w:vAlign w:val="center"/>
          </w:tcPr>
          <w:p w14:paraId="63F673AD">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1554" w:type="dxa"/>
            <w:tcBorders>
              <w:top w:val="nil"/>
              <w:left w:val="nil"/>
              <w:bottom w:val="nil"/>
              <w:right w:val="nil"/>
            </w:tcBorders>
            <w:shd w:val="clear" w:color="auto" w:fill="FFFFFF"/>
            <w:noWrap w:val="0"/>
            <w:vAlign w:val="center"/>
          </w:tcPr>
          <w:p w14:paraId="77807A83">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r>
      <w:tr w14:paraId="303587DD">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302" w:type="dxa"/>
            <w:tcBorders>
              <w:top w:val="nil"/>
              <w:left w:val="nil"/>
              <w:bottom w:val="nil"/>
              <w:right w:val="nil"/>
            </w:tcBorders>
            <w:shd w:val="clear" w:color="auto" w:fill="FFFFFF" w:themeFill="background1"/>
            <w:noWrap w:val="0"/>
            <w:vAlign w:val="top"/>
          </w:tcPr>
          <w:p w14:paraId="586D88EC">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shd w:val="clear" w:color="auto" w:fill="auto"/>
                <w14:textFill>
                  <w14:solidFill>
                    <w14:schemeClr w14:val="tx1"/>
                  </w14:solidFill>
                </w14:textFill>
              </w:rPr>
            </w:pPr>
            <w:r>
              <w:rPr>
                <w:rFonts w:hint="default" w:ascii="Times New Roman" w:hAnsi="Times New Roman" w:cs="Times New Roman"/>
                <w:color w:val="000000" w:themeColor="text1"/>
                <w:sz w:val="24"/>
                <w:szCs w:val="24"/>
                <w:shd w:val="clear" w:color="auto" w:fill="auto"/>
                <w14:textFill>
                  <w14:solidFill>
                    <w14:schemeClr w14:val="tx1"/>
                  </w14:solidFill>
                </w14:textFill>
              </w:rPr>
              <w:t>8</w:t>
            </w:r>
          </w:p>
        </w:tc>
        <w:tc>
          <w:tcPr>
            <w:tcW w:w="826" w:type="dxa"/>
            <w:tcBorders>
              <w:top w:val="nil"/>
              <w:left w:val="nil"/>
              <w:bottom w:val="nil"/>
              <w:right w:val="nil"/>
            </w:tcBorders>
            <w:shd w:val="clear" w:color="auto" w:fill="FFFFFF"/>
            <w:noWrap w:val="0"/>
            <w:vAlign w:val="top"/>
          </w:tcPr>
          <w:p w14:paraId="169DB246">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.024</w:t>
            </w:r>
          </w:p>
        </w:tc>
        <w:tc>
          <w:tcPr>
            <w:tcW w:w="1061" w:type="dxa"/>
            <w:tcBorders>
              <w:top w:val="nil"/>
              <w:left w:val="nil"/>
              <w:bottom w:val="nil"/>
              <w:right w:val="nil"/>
            </w:tcBorders>
            <w:shd w:val="clear" w:color="auto" w:fill="FFFFFF"/>
            <w:noWrap w:val="0"/>
            <w:vAlign w:val="top"/>
          </w:tcPr>
          <w:p w14:paraId="0364DF4A">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.239</w:t>
            </w:r>
          </w:p>
        </w:tc>
        <w:tc>
          <w:tcPr>
            <w:tcW w:w="1279" w:type="dxa"/>
            <w:tcBorders>
              <w:top w:val="nil"/>
              <w:left w:val="nil"/>
              <w:bottom w:val="nil"/>
              <w:right w:val="nil"/>
            </w:tcBorders>
            <w:shd w:val="clear" w:color="auto" w:fill="FFFFFF"/>
            <w:noWrap w:val="0"/>
            <w:vAlign w:val="top"/>
          </w:tcPr>
          <w:p w14:paraId="40AA6498">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99.840</w:t>
            </w:r>
          </w:p>
        </w:tc>
        <w:tc>
          <w:tcPr>
            <w:tcW w:w="1249" w:type="dxa"/>
            <w:tcBorders>
              <w:top w:val="nil"/>
              <w:left w:val="nil"/>
              <w:bottom w:val="nil"/>
              <w:right w:val="nil"/>
            </w:tcBorders>
            <w:shd w:val="clear" w:color="auto" w:fill="FFFFFF"/>
            <w:noWrap w:val="0"/>
            <w:vAlign w:val="center"/>
          </w:tcPr>
          <w:p w14:paraId="3CDAF35B">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1151" w:type="dxa"/>
            <w:tcBorders>
              <w:top w:val="nil"/>
              <w:left w:val="nil"/>
              <w:bottom w:val="nil"/>
              <w:right w:val="nil"/>
            </w:tcBorders>
            <w:shd w:val="clear" w:color="auto" w:fill="FFFFFF"/>
            <w:noWrap w:val="0"/>
            <w:vAlign w:val="center"/>
          </w:tcPr>
          <w:p w14:paraId="3678E1E5">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1554" w:type="dxa"/>
            <w:tcBorders>
              <w:top w:val="nil"/>
              <w:left w:val="nil"/>
              <w:bottom w:val="nil"/>
              <w:right w:val="nil"/>
            </w:tcBorders>
            <w:shd w:val="clear" w:color="auto" w:fill="FFFFFF"/>
            <w:noWrap w:val="0"/>
            <w:vAlign w:val="center"/>
          </w:tcPr>
          <w:p w14:paraId="0E4803A5">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r>
      <w:tr w14:paraId="1F22B7C9">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302" w:type="dxa"/>
            <w:tcBorders>
              <w:top w:val="nil"/>
              <w:left w:val="nil"/>
              <w:bottom w:val="nil"/>
              <w:right w:val="nil"/>
            </w:tcBorders>
            <w:shd w:val="clear" w:color="auto" w:fill="FFFFFF" w:themeFill="background1"/>
            <w:noWrap w:val="0"/>
            <w:vAlign w:val="top"/>
          </w:tcPr>
          <w:p w14:paraId="7C1066BD">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shd w:val="clear" w:color="auto" w:fill="auto"/>
                <w14:textFill>
                  <w14:solidFill>
                    <w14:schemeClr w14:val="tx1"/>
                  </w14:solidFill>
                </w14:textFill>
              </w:rPr>
            </w:pPr>
            <w:r>
              <w:rPr>
                <w:rFonts w:hint="default" w:ascii="Times New Roman" w:hAnsi="Times New Roman" w:cs="Times New Roman"/>
                <w:color w:val="000000" w:themeColor="text1"/>
                <w:sz w:val="24"/>
                <w:szCs w:val="24"/>
                <w:shd w:val="clear" w:color="auto" w:fill="auto"/>
                <w14:textFill>
                  <w14:solidFill>
                    <w14:schemeClr w14:val="tx1"/>
                  </w14:solidFill>
                </w14:textFill>
              </w:rPr>
              <w:t>9</w:t>
            </w:r>
          </w:p>
        </w:tc>
        <w:tc>
          <w:tcPr>
            <w:tcW w:w="826" w:type="dxa"/>
            <w:tcBorders>
              <w:top w:val="nil"/>
              <w:left w:val="nil"/>
              <w:bottom w:val="nil"/>
              <w:right w:val="nil"/>
            </w:tcBorders>
            <w:shd w:val="clear" w:color="auto" w:fill="FFFFFF"/>
            <w:noWrap w:val="0"/>
            <w:vAlign w:val="top"/>
          </w:tcPr>
          <w:p w14:paraId="28781432">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.015</w:t>
            </w:r>
          </w:p>
        </w:tc>
        <w:tc>
          <w:tcPr>
            <w:tcW w:w="1061" w:type="dxa"/>
            <w:tcBorders>
              <w:top w:val="nil"/>
              <w:left w:val="nil"/>
              <w:bottom w:val="nil"/>
              <w:right w:val="nil"/>
            </w:tcBorders>
            <w:shd w:val="clear" w:color="auto" w:fill="FFFFFF"/>
            <w:noWrap w:val="0"/>
            <w:vAlign w:val="top"/>
          </w:tcPr>
          <w:p w14:paraId="2E9B9311">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.148</w:t>
            </w:r>
          </w:p>
        </w:tc>
        <w:tc>
          <w:tcPr>
            <w:tcW w:w="1279" w:type="dxa"/>
            <w:tcBorders>
              <w:top w:val="nil"/>
              <w:left w:val="nil"/>
              <w:bottom w:val="nil"/>
              <w:right w:val="nil"/>
            </w:tcBorders>
            <w:shd w:val="clear" w:color="auto" w:fill="FFFFFF"/>
            <w:noWrap w:val="0"/>
            <w:vAlign w:val="top"/>
          </w:tcPr>
          <w:p w14:paraId="192D83DA">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99.988</w:t>
            </w:r>
          </w:p>
        </w:tc>
        <w:tc>
          <w:tcPr>
            <w:tcW w:w="1249" w:type="dxa"/>
            <w:tcBorders>
              <w:top w:val="nil"/>
              <w:left w:val="nil"/>
              <w:bottom w:val="nil"/>
              <w:right w:val="nil"/>
            </w:tcBorders>
            <w:shd w:val="clear" w:color="auto" w:fill="FFFFFF"/>
            <w:noWrap w:val="0"/>
            <w:vAlign w:val="center"/>
          </w:tcPr>
          <w:p w14:paraId="1E9E5B50">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1151" w:type="dxa"/>
            <w:tcBorders>
              <w:top w:val="nil"/>
              <w:left w:val="nil"/>
              <w:bottom w:val="nil"/>
              <w:right w:val="nil"/>
            </w:tcBorders>
            <w:shd w:val="clear" w:color="auto" w:fill="FFFFFF"/>
            <w:noWrap w:val="0"/>
            <w:vAlign w:val="center"/>
          </w:tcPr>
          <w:p w14:paraId="2F9545A0">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1554" w:type="dxa"/>
            <w:tcBorders>
              <w:top w:val="nil"/>
              <w:left w:val="nil"/>
              <w:bottom w:val="nil"/>
              <w:right w:val="nil"/>
            </w:tcBorders>
            <w:shd w:val="clear" w:color="auto" w:fill="FFFFFF"/>
            <w:noWrap w:val="0"/>
            <w:vAlign w:val="center"/>
          </w:tcPr>
          <w:p w14:paraId="555794C0">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r>
      <w:tr w14:paraId="5EC6600B">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302" w:type="dxa"/>
            <w:tcBorders>
              <w:top w:val="nil"/>
              <w:left w:val="nil"/>
              <w:bottom w:val="single" w:color="152935" w:sz="8" w:space="0"/>
              <w:right w:val="nil"/>
              <w:tl2br w:val="nil"/>
              <w:tr2bl w:val="nil"/>
            </w:tcBorders>
            <w:shd w:val="clear" w:color="auto" w:fill="FFFFFF" w:themeFill="background1"/>
            <w:noWrap w:val="0"/>
            <w:vAlign w:val="top"/>
          </w:tcPr>
          <w:p w14:paraId="49AA097F">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shd w:val="clear" w:color="auto" w:fill="auto"/>
                <w14:textFill>
                  <w14:solidFill>
                    <w14:schemeClr w14:val="tx1"/>
                  </w14:solidFill>
                </w14:textFill>
              </w:rPr>
            </w:pPr>
            <w:r>
              <w:rPr>
                <w:rFonts w:hint="default" w:ascii="Times New Roman" w:hAnsi="Times New Roman" w:cs="Times New Roman"/>
                <w:color w:val="000000" w:themeColor="text1"/>
                <w:sz w:val="24"/>
                <w:szCs w:val="24"/>
                <w:shd w:val="clear" w:color="auto" w:fill="auto"/>
                <w14:textFill>
                  <w14:solidFill>
                    <w14:schemeClr w14:val="tx1"/>
                  </w14:solidFill>
                </w14:textFill>
              </w:rPr>
              <w:t>10</w:t>
            </w:r>
          </w:p>
        </w:tc>
        <w:tc>
          <w:tcPr>
            <w:tcW w:w="826" w:type="dxa"/>
            <w:tcBorders>
              <w:top w:val="nil"/>
              <w:left w:val="nil"/>
              <w:bottom w:val="single" w:color="152935" w:sz="8" w:space="0"/>
              <w:right w:val="single" w:color="E0E0E0" w:sz="8" w:space="0"/>
              <w:tl2br w:val="nil"/>
              <w:tr2bl w:val="nil"/>
            </w:tcBorders>
            <w:shd w:val="clear" w:color="auto" w:fill="FFFFFF"/>
            <w:noWrap w:val="0"/>
            <w:vAlign w:val="top"/>
          </w:tcPr>
          <w:p w14:paraId="31FBBE81">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.001</w:t>
            </w:r>
          </w:p>
        </w:tc>
        <w:tc>
          <w:tcPr>
            <w:tcW w:w="1061" w:type="dxa"/>
            <w:tcBorders>
              <w:top w:val="nil"/>
              <w:left w:val="single" w:color="E0E0E0" w:sz="8" w:space="0"/>
              <w:bottom w:val="single" w:color="152935" w:sz="8" w:space="0"/>
              <w:right w:val="single" w:color="E0E0E0" w:sz="8" w:space="0"/>
              <w:tl2br w:val="nil"/>
              <w:tr2bl w:val="nil"/>
            </w:tcBorders>
            <w:shd w:val="clear" w:color="auto" w:fill="FFFFFF"/>
            <w:noWrap w:val="0"/>
            <w:vAlign w:val="top"/>
          </w:tcPr>
          <w:p w14:paraId="0BC358ED">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.012</w:t>
            </w:r>
          </w:p>
        </w:tc>
        <w:tc>
          <w:tcPr>
            <w:tcW w:w="1279" w:type="dxa"/>
            <w:tcBorders>
              <w:top w:val="nil"/>
              <w:left w:val="single" w:color="E0E0E0" w:sz="8" w:space="0"/>
              <w:bottom w:val="single" w:color="152935" w:sz="8" w:space="0"/>
              <w:right w:val="nil"/>
              <w:tl2br w:val="nil"/>
              <w:tr2bl w:val="nil"/>
            </w:tcBorders>
            <w:shd w:val="clear" w:color="auto" w:fill="FFFFFF"/>
            <w:noWrap w:val="0"/>
            <w:vAlign w:val="top"/>
          </w:tcPr>
          <w:p w14:paraId="6D6E4D0C">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100.000</w:t>
            </w:r>
          </w:p>
        </w:tc>
        <w:tc>
          <w:tcPr>
            <w:tcW w:w="1249" w:type="dxa"/>
            <w:tcBorders>
              <w:top w:val="nil"/>
              <w:left w:val="single" w:color="E0E0E0" w:sz="8" w:space="0"/>
              <w:bottom w:val="single" w:color="152935" w:sz="8" w:space="0"/>
              <w:right w:val="single" w:color="E0E0E0" w:sz="8" w:space="0"/>
              <w:tl2br w:val="nil"/>
              <w:tr2bl w:val="nil"/>
            </w:tcBorders>
            <w:shd w:val="clear" w:color="auto" w:fill="FFFFFF"/>
            <w:noWrap w:val="0"/>
            <w:vAlign w:val="center"/>
          </w:tcPr>
          <w:p w14:paraId="56824F6D">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1151" w:type="dxa"/>
            <w:tcBorders>
              <w:top w:val="nil"/>
              <w:left w:val="single" w:color="E0E0E0" w:sz="8" w:space="0"/>
              <w:bottom w:val="single" w:color="152935" w:sz="8" w:space="0"/>
              <w:right w:val="single" w:color="E0E0E0" w:sz="8" w:space="0"/>
              <w:tl2br w:val="nil"/>
              <w:tr2bl w:val="nil"/>
            </w:tcBorders>
            <w:shd w:val="clear" w:color="auto" w:fill="FFFFFF"/>
            <w:noWrap w:val="0"/>
            <w:vAlign w:val="center"/>
          </w:tcPr>
          <w:p w14:paraId="1B687808">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1554" w:type="dxa"/>
            <w:tcBorders>
              <w:top w:val="nil"/>
              <w:left w:val="single" w:color="E0E0E0" w:sz="8" w:space="0"/>
              <w:bottom w:val="single" w:color="152935" w:sz="8" w:space="0"/>
              <w:right w:val="nil"/>
              <w:tl2br w:val="nil"/>
              <w:tr2bl w:val="nil"/>
            </w:tcBorders>
            <w:shd w:val="clear" w:color="auto" w:fill="FFFFFF"/>
            <w:noWrap w:val="0"/>
            <w:vAlign w:val="center"/>
          </w:tcPr>
          <w:p w14:paraId="08640A1A">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r>
    </w:tbl>
    <w:p w14:paraId="0EC3BF13">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Subsequently, principal component analysis (PCA) combined with varimax rotation was employed to extract common factors and clarify their structure. According to the Kaiser criterion (where eigenvalues are greater than 1), two common factors were extracted (see Table 3), with a cumulative variance explanation rate of 80.08%, which is much higher than the 60% recommended by Greenacre et al. (20</w:t>
      </w:r>
      <w:r>
        <w:rPr>
          <w:rFonts w:hint="eastAsia" w:ascii="Times New Roman" w:hAnsi="Times New Roman" w:cs="Times New Roman"/>
          <w:b w:val="0"/>
          <w:bCs w:val="0"/>
          <w:i w:val="0"/>
          <w:iCs w:val="0"/>
          <w:sz w:val="24"/>
          <w:szCs w:val="24"/>
          <w:lang w:val="en-US" w:eastAsia="zh-CN"/>
        </w:rPr>
        <w:t>22</w:t>
      </w:r>
      <w:r>
        <w:rPr>
          <w:rFonts w:hint="default" w:ascii="Times New Roman" w:hAnsi="Times New Roman" w:cs="Times New Roman"/>
          <w:b w:val="0"/>
          <w:bCs w:val="0"/>
          <w:i w:val="0"/>
          <w:iCs w:val="0"/>
          <w:sz w:val="24"/>
          <w:szCs w:val="24"/>
          <w:lang w:val="en-US" w:eastAsia="zh-CN"/>
        </w:rPr>
        <w:t>), indicating that the two extracted factors can well summarize most of the information of the original scale.</w:t>
      </w:r>
    </w:p>
    <w:p w14:paraId="74E85D36">
      <w:pPr>
        <w:keepNext w:val="0"/>
        <w:keepLines w:val="0"/>
        <w:pageBreakBefore w:val="0"/>
        <w:widowControl w:val="0"/>
        <w:kinsoku/>
        <w:wordWrap/>
        <w:overflowPunct/>
        <w:topLinePunct w:val="0"/>
        <w:autoSpaceDE/>
        <w:autoSpaceDN/>
        <w:bidi w:val="0"/>
        <w:adjustRightInd/>
        <w:snapToGrid/>
        <w:spacing w:beforeLines="0" w:afterLines="0" w:line="48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Table 4</w:t>
      </w:r>
    </w:p>
    <w:p w14:paraId="56FB598C">
      <w:pPr>
        <w:keepNext w:val="0"/>
        <w:keepLines w:val="0"/>
        <w:pageBreakBefore w:val="0"/>
        <w:widowControl w:val="0"/>
        <w:kinsoku/>
        <w:wordWrap/>
        <w:overflowPunct/>
        <w:topLinePunct w:val="0"/>
        <w:autoSpaceDE/>
        <w:autoSpaceDN/>
        <w:bidi w:val="0"/>
        <w:adjustRightInd/>
        <w:snapToGrid/>
        <w:spacing w:beforeLines="0" w:afterLines="0" w:line="480" w:lineRule="auto"/>
        <w:textAlignment w:val="auto"/>
        <w:rPr>
          <w:rFonts w:hint="default" w:ascii="Times New Roman" w:hAnsi="Times New Roman" w:cs="Times New Roman"/>
          <w:i/>
          <w:iCs/>
          <w:sz w:val="24"/>
          <w:szCs w:val="24"/>
          <w:lang w:val="en-US" w:eastAsia="zh-CN"/>
        </w:rPr>
      </w:pPr>
      <w:r>
        <w:rPr>
          <w:rFonts w:hint="default" w:ascii="Times New Roman" w:hAnsi="Times New Roman" w:cs="Times New Roman"/>
          <w:i/>
          <w:iCs/>
          <w:sz w:val="24"/>
          <w:szCs w:val="24"/>
          <w:lang w:val="en-US" w:eastAsia="zh-CN"/>
        </w:rPr>
        <w:t>Rotated Component Matrix from Principal Component Analysis</w:t>
      </w:r>
    </w:p>
    <w:tbl>
      <w:tblPr>
        <w:tblStyle w:val="3"/>
        <w:tblW w:w="6445"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737"/>
        <w:gridCol w:w="2749"/>
        <w:gridCol w:w="2959"/>
      </w:tblGrid>
      <w:tr w14:paraId="04C23550">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6445" w:type="dxa"/>
            <w:gridSpan w:val="3"/>
            <w:tcBorders>
              <w:top w:val="single" w:color="auto" w:sz="4" w:space="0"/>
              <w:left w:val="nil"/>
              <w:bottom w:val="single" w:color="auto" w:sz="4" w:space="0"/>
              <w:right w:val="nil"/>
            </w:tcBorders>
            <w:shd w:val="clear" w:color="auto" w:fill="FFFFFF"/>
            <w:noWrap w:val="0"/>
            <w:vAlign w:val="center"/>
          </w:tcPr>
          <w:p w14:paraId="1980515C">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b/>
                <w:color w:val="000000" w:themeColor="text1"/>
                <w:sz w:val="24"/>
                <w:szCs w:val="24"/>
                <w14:textFill>
                  <w14:solidFill>
                    <w14:schemeClr w14:val="tx1"/>
                  </w14:solidFill>
                </w14:textFill>
              </w:rPr>
              <w:t>Rotated Component Matrix</w:t>
            </w:r>
            <w:r>
              <w:rPr>
                <w:rFonts w:hint="default" w:ascii="Times New Roman" w:hAnsi="Times New Roman" w:cs="Times New Roman"/>
                <w:b/>
                <w:color w:val="000000" w:themeColor="text1"/>
                <w:sz w:val="24"/>
                <w:szCs w:val="24"/>
                <w:vertAlign w:val="superscript"/>
                <w14:textFill>
                  <w14:solidFill>
                    <w14:schemeClr w14:val="tx1"/>
                  </w14:solidFill>
                </w14:textFill>
              </w:rPr>
              <w:t>a</w:t>
            </w:r>
          </w:p>
        </w:tc>
      </w:tr>
      <w:tr w14:paraId="629B39A1">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vMerge w:val="restart"/>
            <w:tcBorders>
              <w:top w:val="single" w:color="auto" w:sz="4" w:space="0"/>
              <w:left w:val="nil"/>
              <w:bottom w:val="single" w:color="auto" w:sz="4" w:space="0"/>
              <w:right w:val="nil"/>
              <w:tl2br w:val="nil"/>
              <w:tr2bl w:val="nil"/>
            </w:tcBorders>
            <w:shd w:val="clear" w:color="auto" w:fill="FFFFFF"/>
            <w:noWrap w:val="0"/>
            <w:vAlign w:val="bottom"/>
          </w:tcPr>
          <w:p w14:paraId="69C2575A">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5708" w:type="dxa"/>
            <w:gridSpan w:val="2"/>
            <w:tcBorders>
              <w:top w:val="single" w:color="auto" w:sz="4" w:space="0"/>
              <w:left w:val="nil"/>
              <w:bottom w:val="nil"/>
              <w:right w:val="nil"/>
              <w:tl2br w:val="nil"/>
              <w:tr2bl w:val="nil"/>
            </w:tcBorders>
            <w:shd w:val="clear" w:color="auto" w:fill="FFFFFF"/>
            <w:noWrap w:val="0"/>
            <w:vAlign w:val="bottom"/>
          </w:tcPr>
          <w:p w14:paraId="035F6234">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Component</w:t>
            </w:r>
          </w:p>
        </w:tc>
      </w:tr>
      <w:tr w14:paraId="7865987A">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vMerge w:val="continue"/>
            <w:tcBorders>
              <w:top w:val="single" w:color="auto" w:sz="4" w:space="0"/>
              <w:left w:val="nil"/>
              <w:bottom w:val="nil"/>
              <w:right w:val="nil"/>
              <w:tl2br w:val="nil"/>
              <w:tr2bl w:val="nil"/>
            </w:tcBorders>
            <w:shd w:val="clear" w:color="auto" w:fill="FFFFFF"/>
            <w:noWrap w:val="0"/>
            <w:vAlign w:val="bottom"/>
          </w:tcPr>
          <w:p w14:paraId="01939603">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2749" w:type="dxa"/>
            <w:tcBorders>
              <w:top w:val="nil"/>
              <w:left w:val="nil"/>
              <w:bottom w:val="nil"/>
              <w:right w:val="nil"/>
            </w:tcBorders>
            <w:shd w:val="clear" w:color="auto" w:fill="FFFFFF"/>
            <w:noWrap w:val="0"/>
            <w:vAlign w:val="bottom"/>
          </w:tcPr>
          <w:p w14:paraId="5B631461">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1</w:t>
            </w:r>
          </w:p>
        </w:tc>
        <w:tc>
          <w:tcPr>
            <w:tcW w:w="2959" w:type="dxa"/>
            <w:tcBorders>
              <w:top w:val="nil"/>
              <w:left w:val="nil"/>
              <w:bottom w:val="nil"/>
              <w:right w:val="nil"/>
            </w:tcBorders>
            <w:shd w:val="clear" w:color="auto" w:fill="FFFFFF"/>
            <w:noWrap w:val="0"/>
            <w:vAlign w:val="bottom"/>
          </w:tcPr>
          <w:p w14:paraId="5878C816">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2</w:t>
            </w:r>
          </w:p>
        </w:tc>
      </w:tr>
      <w:tr w14:paraId="5BBC29CA">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tcBorders>
              <w:top w:val="nil"/>
              <w:left w:val="nil"/>
              <w:bottom w:val="nil"/>
              <w:right w:val="nil"/>
            </w:tcBorders>
            <w:shd w:val="clear" w:color="auto" w:fill="FFFFFF" w:themeFill="background1"/>
            <w:noWrap w:val="0"/>
            <w:vAlign w:val="top"/>
          </w:tcPr>
          <w:p w14:paraId="7501BBB7">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1</w:t>
            </w:r>
          </w:p>
        </w:tc>
        <w:tc>
          <w:tcPr>
            <w:tcW w:w="2749" w:type="dxa"/>
            <w:tcBorders>
              <w:top w:val="nil"/>
              <w:left w:val="nil"/>
              <w:bottom w:val="nil"/>
              <w:right w:val="single" w:color="E0E0E0" w:sz="8" w:space="0"/>
              <w:tl2br w:val="nil"/>
              <w:tr2bl w:val="nil"/>
            </w:tcBorders>
            <w:shd w:val="clear" w:color="auto" w:fill="FFFFFF"/>
            <w:noWrap w:val="0"/>
            <w:vAlign w:val="top"/>
          </w:tcPr>
          <w:p w14:paraId="12607CB8">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2959" w:type="dxa"/>
            <w:tcBorders>
              <w:top w:val="nil"/>
              <w:left w:val="single" w:color="E0E0E0" w:sz="8" w:space="0"/>
              <w:bottom w:val="nil"/>
              <w:right w:val="nil"/>
              <w:tl2br w:val="nil"/>
              <w:tr2bl w:val="nil"/>
            </w:tcBorders>
            <w:shd w:val="clear" w:color="auto" w:fill="FFFFFF"/>
            <w:noWrap w:val="0"/>
            <w:vAlign w:val="top"/>
          </w:tcPr>
          <w:p w14:paraId="6F81708D">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.890</w:t>
            </w:r>
          </w:p>
        </w:tc>
      </w:tr>
      <w:tr w14:paraId="53F6BAAD">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tcBorders>
              <w:top w:val="nil"/>
              <w:left w:val="nil"/>
              <w:bottom w:val="nil"/>
              <w:right w:val="nil"/>
            </w:tcBorders>
            <w:shd w:val="clear" w:color="auto" w:fill="FFFFFF" w:themeFill="background1"/>
            <w:noWrap w:val="0"/>
            <w:vAlign w:val="top"/>
          </w:tcPr>
          <w:p w14:paraId="390048DC">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2</w:t>
            </w:r>
          </w:p>
        </w:tc>
        <w:tc>
          <w:tcPr>
            <w:tcW w:w="2749" w:type="dxa"/>
            <w:tcBorders>
              <w:top w:val="nil"/>
              <w:left w:val="nil"/>
              <w:bottom w:val="nil"/>
              <w:right w:val="nil"/>
            </w:tcBorders>
            <w:shd w:val="clear" w:color="auto" w:fill="FFFFFF"/>
            <w:noWrap w:val="0"/>
            <w:vAlign w:val="top"/>
          </w:tcPr>
          <w:p w14:paraId="7283D4AD">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2959" w:type="dxa"/>
            <w:tcBorders>
              <w:top w:val="nil"/>
              <w:left w:val="nil"/>
              <w:bottom w:val="nil"/>
              <w:right w:val="nil"/>
            </w:tcBorders>
            <w:shd w:val="clear" w:color="auto" w:fill="FFFFFF"/>
            <w:noWrap w:val="0"/>
            <w:vAlign w:val="top"/>
          </w:tcPr>
          <w:p w14:paraId="7B336E83">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.906</w:t>
            </w:r>
          </w:p>
        </w:tc>
      </w:tr>
      <w:tr w14:paraId="5044CB93">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tcBorders>
              <w:top w:val="nil"/>
              <w:left w:val="nil"/>
              <w:bottom w:val="nil"/>
              <w:right w:val="nil"/>
            </w:tcBorders>
            <w:shd w:val="clear" w:color="auto" w:fill="FFFFFF" w:themeFill="background1"/>
            <w:noWrap w:val="0"/>
            <w:vAlign w:val="top"/>
          </w:tcPr>
          <w:p w14:paraId="434B518B">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3</w:t>
            </w:r>
          </w:p>
        </w:tc>
        <w:tc>
          <w:tcPr>
            <w:tcW w:w="2749" w:type="dxa"/>
            <w:tcBorders>
              <w:top w:val="nil"/>
              <w:left w:val="nil"/>
              <w:bottom w:val="nil"/>
              <w:right w:val="nil"/>
            </w:tcBorders>
            <w:shd w:val="clear" w:color="auto" w:fill="FFFFFF"/>
            <w:noWrap w:val="0"/>
            <w:vAlign w:val="top"/>
          </w:tcPr>
          <w:p w14:paraId="1BA642C0">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2959" w:type="dxa"/>
            <w:tcBorders>
              <w:top w:val="nil"/>
              <w:left w:val="nil"/>
              <w:bottom w:val="nil"/>
              <w:right w:val="nil"/>
            </w:tcBorders>
            <w:shd w:val="clear" w:color="auto" w:fill="FFFFFF"/>
            <w:noWrap w:val="0"/>
            <w:vAlign w:val="top"/>
          </w:tcPr>
          <w:p w14:paraId="59D414E1">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.867</w:t>
            </w:r>
          </w:p>
        </w:tc>
      </w:tr>
      <w:tr w14:paraId="4FA1D896">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tcBorders>
              <w:top w:val="nil"/>
              <w:left w:val="nil"/>
              <w:bottom w:val="nil"/>
              <w:right w:val="nil"/>
            </w:tcBorders>
            <w:shd w:val="clear" w:color="auto" w:fill="FFFFFF" w:themeFill="background1"/>
            <w:noWrap w:val="0"/>
            <w:vAlign w:val="top"/>
          </w:tcPr>
          <w:p w14:paraId="2A30796E">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4</w:t>
            </w:r>
          </w:p>
        </w:tc>
        <w:tc>
          <w:tcPr>
            <w:tcW w:w="2749" w:type="dxa"/>
            <w:tcBorders>
              <w:top w:val="nil"/>
              <w:left w:val="nil"/>
              <w:bottom w:val="nil"/>
              <w:right w:val="nil"/>
            </w:tcBorders>
            <w:shd w:val="clear" w:color="auto" w:fill="FFFFFF"/>
            <w:noWrap w:val="0"/>
            <w:vAlign w:val="top"/>
          </w:tcPr>
          <w:p w14:paraId="7AC1F927">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2959" w:type="dxa"/>
            <w:tcBorders>
              <w:top w:val="nil"/>
              <w:left w:val="nil"/>
              <w:bottom w:val="nil"/>
              <w:right w:val="nil"/>
            </w:tcBorders>
            <w:shd w:val="clear" w:color="auto" w:fill="FFFFFF"/>
            <w:noWrap w:val="0"/>
            <w:vAlign w:val="top"/>
          </w:tcPr>
          <w:p w14:paraId="53D6537F">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.912</w:t>
            </w:r>
          </w:p>
        </w:tc>
      </w:tr>
      <w:tr w14:paraId="0599EE23">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tcBorders>
              <w:top w:val="nil"/>
              <w:left w:val="nil"/>
              <w:bottom w:val="nil"/>
              <w:right w:val="nil"/>
            </w:tcBorders>
            <w:shd w:val="clear" w:color="auto" w:fill="FFFFFF" w:themeFill="background1"/>
            <w:noWrap w:val="0"/>
            <w:vAlign w:val="top"/>
          </w:tcPr>
          <w:p w14:paraId="1AC7E846">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eastAsia" w:ascii="Times New Roman" w:hAnsi="Times New Roman" w:cs="Times New Roman" w:eastAsiaTheme="minorEastAsia"/>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5</w:t>
            </w:r>
          </w:p>
        </w:tc>
        <w:tc>
          <w:tcPr>
            <w:tcW w:w="2749" w:type="dxa"/>
            <w:tcBorders>
              <w:top w:val="nil"/>
              <w:left w:val="nil"/>
              <w:bottom w:val="nil"/>
              <w:right w:val="nil"/>
            </w:tcBorders>
            <w:shd w:val="clear" w:color="auto" w:fill="FFFFFF"/>
            <w:noWrap w:val="0"/>
            <w:vAlign w:val="top"/>
          </w:tcPr>
          <w:p w14:paraId="19D015BF">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.953</w:t>
            </w:r>
          </w:p>
        </w:tc>
        <w:tc>
          <w:tcPr>
            <w:tcW w:w="2959" w:type="dxa"/>
            <w:tcBorders>
              <w:top w:val="nil"/>
              <w:left w:val="nil"/>
              <w:bottom w:val="nil"/>
              <w:right w:val="nil"/>
            </w:tcBorders>
            <w:shd w:val="clear" w:color="auto" w:fill="FFFFFF"/>
            <w:noWrap w:val="0"/>
            <w:vAlign w:val="top"/>
          </w:tcPr>
          <w:p w14:paraId="6104AA8F">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r>
      <w:tr w14:paraId="022E09C2">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tcBorders>
              <w:top w:val="nil"/>
              <w:left w:val="nil"/>
              <w:bottom w:val="nil"/>
              <w:right w:val="nil"/>
            </w:tcBorders>
            <w:shd w:val="clear" w:color="auto" w:fill="FFFFFF" w:themeFill="background1"/>
            <w:noWrap w:val="0"/>
            <w:vAlign w:val="top"/>
          </w:tcPr>
          <w:p w14:paraId="3356A6C6">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eastAsiaTheme="minorEastAsia"/>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6</w:t>
            </w:r>
          </w:p>
        </w:tc>
        <w:tc>
          <w:tcPr>
            <w:tcW w:w="2749" w:type="dxa"/>
            <w:tcBorders>
              <w:top w:val="nil"/>
              <w:left w:val="nil"/>
              <w:bottom w:val="nil"/>
              <w:right w:val="nil"/>
            </w:tcBorders>
            <w:shd w:val="clear" w:color="auto" w:fill="FFFFFF"/>
            <w:noWrap w:val="0"/>
            <w:vAlign w:val="top"/>
          </w:tcPr>
          <w:p w14:paraId="2E9A378F">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.860</w:t>
            </w:r>
          </w:p>
        </w:tc>
        <w:tc>
          <w:tcPr>
            <w:tcW w:w="2959" w:type="dxa"/>
            <w:tcBorders>
              <w:top w:val="nil"/>
              <w:left w:val="nil"/>
              <w:bottom w:val="nil"/>
              <w:right w:val="nil"/>
            </w:tcBorders>
            <w:shd w:val="clear" w:color="auto" w:fill="FFFFFF"/>
            <w:noWrap w:val="0"/>
            <w:vAlign w:val="top"/>
          </w:tcPr>
          <w:p w14:paraId="4502C67A">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r>
      <w:tr w14:paraId="51B55606">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tcBorders>
              <w:top w:val="nil"/>
              <w:left w:val="nil"/>
              <w:bottom w:val="nil"/>
              <w:right w:val="nil"/>
            </w:tcBorders>
            <w:shd w:val="clear" w:color="auto" w:fill="FFFFFF" w:themeFill="background1"/>
            <w:noWrap w:val="0"/>
            <w:vAlign w:val="top"/>
          </w:tcPr>
          <w:p w14:paraId="7FC2B351">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eastAsia" w:ascii="Times New Roman" w:hAnsi="Times New Roman" w:cs="Times New Roman" w:eastAsiaTheme="minorEastAsia"/>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7</w:t>
            </w:r>
          </w:p>
        </w:tc>
        <w:tc>
          <w:tcPr>
            <w:tcW w:w="2749" w:type="dxa"/>
            <w:tcBorders>
              <w:top w:val="nil"/>
              <w:left w:val="nil"/>
              <w:bottom w:val="nil"/>
              <w:right w:val="nil"/>
            </w:tcBorders>
            <w:shd w:val="clear" w:color="auto" w:fill="FFFFFF"/>
            <w:noWrap w:val="0"/>
            <w:vAlign w:val="top"/>
          </w:tcPr>
          <w:p w14:paraId="3847F4F5">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.863</w:t>
            </w:r>
          </w:p>
        </w:tc>
        <w:tc>
          <w:tcPr>
            <w:tcW w:w="2959" w:type="dxa"/>
            <w:tcBorders>
              <w:top w:val="nil"/>
              <w:left w:val="nil"/>
              <w:bottom w:val="nil"/>
              <w:right w:val="nil"/>
            </w:tcBorders>
            <w:shd w:val="clear" w:color="auto" w:fill="FFFFFF"/>
            <w:noWrap w:val="0"/>
            <w:vAlign w:val="top"/>
          </w:tcPr>
          <w:p w14:paraId="6A726C9D">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r>
      <w:tr w14:paraId="5A362F73">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tcBorders>
              <w:top w:val="nil"/>
              <w:left w:val="nil"/>
              <w:bottom w:val="nil"/>
              <w:right w:val="nil"/>
            </w:tcBorders>
            <w:shd w:val="clear" w:color="auto" w:fill="FFFFFF" w:themeFill="background1"/>
            <w:noWrap w:val="0"/>
            <w:vAlign w:val="top"/>
          </w:tcPr>
          <w:p w14:paraId="424CE028">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eastAsia" w:ascii="Times New Roman" w:hAnsi="Times New Roman" w:cs="Times New Roman" w:eastAsiaTheme="minorEastAsia"/>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8</w:t>
            </w:r>
          </w:p>
        </w:tc>
        <w:tc>
          <w:tcPr>
            <w:tcW w:w="2749" w:type="dxa"/>
            <w:tcBorders>
              <w:top w:val="nil"/>
              <w:left w:val="nil"/>
              <w:bottom w:val="nil"/>
              <w:right w:val="nil"/>
            </w:tcBorders>
            <w:shd w:val="clear" w:color="auto" w:fill="FFFFFF"/>
            <w:noWrap w:val="0"/>
            <w:vAlign w:val="top"/>
          </w:tcPr>
          <w:p w14:paraId="50AB3642">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.933</w:t>
            </w:r>
          </w:p>
        </w:tc>
        <w:tc>
          <w:tcPr>
            <w:tcW w:w="2959" w:type="dxa"/>
            <w:tcBorders>
              <w:top w:val="nil"/>
              <w:left w:val="nil"/>
              <w:bottom w:val="nil"/>
              <w:right w:val="nil"/>
            </w:tcBorders>
            <w:shd w:val="clear" w:color="auto" w:fill="FFFFFF"/>
            <w:noWrap w:val="0"/>
            <w:vAlign w:val="top"/>
          </w:tcPr>
          <w:p w14:paraId="18C0C079">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r>
      <w:tr w14:paraId="3D601053">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tcBorders>
              <w:top w:val="nil"/>
              <w:left w:val="nil"/>
              <w:bottom w:val="nil"/>
              <w:right w:val="nil"/>
            </w:tcBorders>
            <w:shd w:val="clear" w:color="auto" w:fill="FFFFFF" w:themeFill="background1"/>
            <w:noWrap w:val="0"/>
            <w:vAlign w:val="top"/>
          </w:tcPr>
          <w:p w14:paraId="6D376EA5">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eastAsia" w:ascii="Times New Roman" w:hAnsi="Times New Roman" w:cs="Times New Roman" w:eastAsiaTheme="minorEastAsia"/>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9</w:t>
            </w:r>
          </w:p>
        </w:tc>
        <w:tc>
          <w:tcPr>
            <w:tcW w:w="2749" w:type="dxa"/>
            <w:tcBorders>
              <w:top w:val="nil"/>
              <w:left w:val="nil"/>
              <w:bottom w:val="nil"/>
              <w:right w:val="nil"/>
            </w:tcBorders>
            <w:shd w:val="clear" w:color="auto" w:fill="FFFFFF"/>
            <w:noWrap w:val="0"/>
            <w:vAlign w:val="top"/>
          </w:tcPr>
          <w:p w14:paraId="30BC82C4">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.860</w:t>
            </w:r>
          </w:p>
        </w:tc>
        <w:tc>
          <w:tcPr>
            <w:tcW w:w="2959" w:type="dxa"/>
            <w:tcBorders>
              <w:top w:val="nil"/>
              <w:left w:val="nil"/>
              <w:bottom w:val="nil"/>
              <w:right w:val="nil"/>
            </w:tcBorders>
            <w:shd w:val="clear" w:color="auto" w:fill="FFFFFF"/>
            <w:noWrap w:val="0"/>
            <w:vAlign w:val="top"/>
          </w:tcPr>
          <w:p w14:paraId="3408F58D">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r>
      <w:tr w14:paraId="36DAF129">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tcBorders>
              <w:top w:val="nil"/>
              <w:left w:val="nil"/>
              <w:bottom w:val="single" w:color="152935" w:sz="8" w:space="0"/>
              <w:right w:val="nil"/>
              <w:tl2br w:val="nil"/>
              <w:tr2bl w:val="nil"/>
            </w:tcBorders>
            <w:shd w:val="clear" w:color="auto" w:fill="FFFFFF" w:themeFill="background1"/>
            <w:noWrap w:val="0"/>
            <w:vAlign w:val="top"/>
          </w:tcPr>
          <w:p w14:paraId="5201621C">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eastAsiaTheme="minorEastAsia"/>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10</w:t>
            </w:r>
          </w:p>
        </w:tc>
        <w:tc>
          <w:tcPr>
            <w:tcW w:w="2749" w:type="dxa"/>
            <w:tcBorders>
              <w:top w:val="nil"/>
              <w:left w:val="nil"/>
              <w:bottom w:val="single" w:color="152935" w:sz="8" w:space="0"/>
              <w:right w:val="single" w:color="E0E0E0" w:sz="8" w:space="0"/>
              <w:tl2br w:val="nil"/>
              <w:tr2bl w:val="nil"/>
            </w:tcBorders>
            <w:shd w:val="clear" w:color="auto" w:fill="FFFFFF"/>
            <w:noWrap w:val="0"/>
            <w:vAlign w:val="top"/>
          </w:tcPr>
          <w:p w14:paraId="53D01330">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.881</w:t>
            </w:r>
          </w:p>
        </w:tc>
        <w:tc>
          <w:tcPr>
            <w:tcW w:w="2959" w:type="dxa"/>
            <w:tcBorders>
              <w:top w:val="nil"/>
              <w:left w:val="single" w:color="E0E0E0" w:sz="8" w:space="0"/>
              <w:bottom w:val="single" w:color="152935" w:sz="8" w:space="0"/>
              <w:right w:val="nil"/>
              <w:tl2br w:val="nil"/>
              <w:tr2bl w:val="nil"/>
            </w:tcBorders>
            <w:shd w:val="clear" w:color="auto" w:fill="FFFFFF"/>
            <w:noWrap w:val="0"/>
            <w:vAlign w:val="top"/>
          </w:tcPr>
          <w:p w14:paraId="52D22A22">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r>
    </w:tbl>
    <w:p w14:paraId="47272113">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The results of the </w:t>
      </w:r>
      <w:bookmarkStart w:id="1" w:name="OLE_LINK2"/>
      <w:r>
        <w:rPr>
          <w:rFonts w:hint="default" w:ascii="Times New Roman" w:hAnsi="Times New Roman" w:cs="Times New Roman"/>
          <w:b w:val="0"/>
          <w:bCs w:val="0"/>
          <w:i w:val="0"/>
          <w:iCs w:val="0"/>
          <w:sz w:val="24"/>
          <w:szCs w:val="24"/>
          <w:lang w:val="en-US" w:eastAsia="zh-CN"/>
        </w:rPr>
        <w:t>Rotated Component Matrix</w:t>
      </w:r>
      <w:bookmarkEnd w:id="1"/>
      <w:r>
        <w:rPr>
          <w:rFonts w:hint="default" w:ascii="Times New Roman" w:hAnsi="Times New Roman" w:cs="Times New Roman"/>
          <w:b w:val="0"/>
          <w:bCs w:val="0"/>
          <w:i w:val="0"/>
          <w:iCs w:val="0"/>
          <w:sz w:val="24"/>
          <w:szCs w:val="24"/>
          <w:lang w:val="en-US" w:eastAsia="zh-CN"/>
        </w:rPr>
        <w:t xml:space="preserve"> are clearly presented (see Table 4). All 10 measurement items show very high factor loadings (Factor Loadings) on their corresponding theoretical factors, ranging from 0.860 to 0.953. According to </w:t>
      </w:r>
      <w:r>
        <w:rPr>
          <w:rFonts w:hint="eastAsia" w:ascii="Times New Roman" w:hAnsi="Times New Roman" w:cs="Times New Roman"/>
          <w:b w:val="0"/>
          <w:bCs w:val="0"/>
          <w:i w:val="0"/>
          <w:iCs w:val="0"/>
          <w:sz w:val="24"/>
          <w:szCs w:val="24"/>
          <w:lang w:val="en-US" w:eastAsia="zh-CN"/>
        </w:rPr>
        <w:t>Abdi</w:t>
      </w:r>
      <w:r>
        <w:rPr>
          <w:rFonts w:hint="default" w:ascii="Times New Roman" w:hAnsi="Times New Roman" w:cs="Times New Roman"/>
          <w:b w:val="0"/>
          <w:bCs w:val="0"/>
          <w:i w:val="0"/>
          <w:iCs w:val="0"/>
          <w:sz w:val="24"/>
          <w:szCs w:val="24"/>
          <w:lang w:val="en-US" w:eastAsia="zh-CN"/>
        </w:rPr>
        <w:t xml:space="preserve"> (20</w:t>
      </w:r>
      <w:r>
        <w:rPr>
          <w:rFonts w:hint="eastAsia" w:ascii="Times New Roman" w:hAnsi="Times New Roman" w:cs="Times New Roman"/>
          <w:b w:val="0"/>
          <w:bCs w:val="0"/>
          <w:i w:val="0"/>
          <w:iCs w:val="0"/>
          <w:sz w:val="24"/>
          <w:szCs w:val="24"/>
          <w:lang w:val="en-US" w:eastAsia="zh-CN"/>
        </w:rPr>
        <w:t>03</w:t>
      </w:r>
      <w:r>
        <w:rPr>
          <w:rFonts w:hint="default" w:ascii="Times New Roman" w:hAnsi="Times New Roman" w:cs="Times New Roman"/>
          <w:b w:val="0"/>
          <w:bCs w:val="0"/>
          <w:i w:val="0"/>
          <w:iCs w:val="0"/>
          <w:sz w:val="24"/>
          <w:szCs w:val="24"/>
          <w:lang w:val="en-US" w:eastAsia="zh-CN"/>
        </w:rPr>
        <w:t>), factor loadings higher than 0.71 (i.e., explaining 50% of the variance) are considered excellent. In this study, all loadings are far above this standard, and there is no significant cross-loadings phenomenon (i.e., no item has a loading higher than 0.40 on both factors). Factor 1 is entirely composed of the 6 items of the Math Anxiety Scale, and Factor 2 is entirely composed of the 4 items of the Growth Mindset Scale, which is completely consistent with the initial theoretical construct of the scales.</w:t>
      </w:r>
    </w:p>
    <w:p w14:paraId="0348047A">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In conclusion, the results of the EFA analysis strongly support that the two scales used in this study have good structural validity in the sample of junior high school students in China, ensuring the scientificity and reliability of the subsequent analysis of variable relationships.</w:t>
      </w:r>
    </w:p>
    <w:p w14:paraId="4C327F95">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bCs/>
          <w:i w:val="0"/>
          <w:iCs w:val="0"/>
          <w:sz w:val="24"/>
          <w:szCs w:val="24"/>
          <w:lang w:val="en-US" w:eastAsia="zh-CN"/>
        </w:rPr>
      </w:pPr>
      <w:r>
        <w:rPr>
          <w:rFonts w:hint="default" w:ascii="Times New Roman" w:hAnsi="Times New Roman" w:cs="Times New Roman"/>
          <w:b/>
          <w:bCs/>
          <w:i w:val="0"/>
          <w:iCs w:val="0"/>
          <w:sz w:val="24"/>
          <w:szCs w:val="24"/>
          <w:lang w:val="en-US" w:eastAsia="zh-CN"/>
        </w:rPr>
        <w:t>Descriptive Statistics</w:t>
      </w:r>
    </w:p>
    <w:p w14:paraId="78DF54A7">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Descriptive statistical analysis aims to provide a detailed description of the responses of the sample to the various measurement items of growth mindset and math anxiety, including mean, standard deviation, skewness and kurtosis.</w:t>
      </w:r>
    </w:p>
    <w:p w14:paraId="2E53EAFE">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i/>
          <w:iCs/>
          <w:sz w:val="24"/>
          <w:szCs w:val="24"/>
          <w:lang w:val="en-US" w:eastAsia="zh-CN"/>
        </w:rPr>
      </w:pPr>
      <w:r>
        <w:rPr>
          <w:rFonts w:hint="eastAsia" w:ascii="Times New Roman" w:hAnsi="Times New Roman" w:cs="Times New Roman"/>
          <w:b/>
          <w:bCs/>
          <w:i/>
          <w:iCs/>
          <w:sz w:val="24"/>
          <w:szCs w:val="24"/>
          <w:lang w:val="en-US" w:eastAsia="zh-CN"/>
        </w:rPr>
        <w:t>Descriptive Statistics of Growth Mindset</w:t>
      </w:r>
    </w:p>
    <w:p w14:paraId="146A6FFA">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The growth mindset scale uses a 4-point scoring system (1 = strongly agree, 2 = agree, 3 = disagree, 4 = strongly disagree), with higher scores indicating a stronger tendency towards growth mindset.</w:t>
      </w:r>
    </w:p>
    <w:p w14:paraId="71C277C0">
      <w:pPr>
        <w:keepNext w:val="0"/>
        <w:keepLines w:val="0"/>
        <w:pageBreakBefore w:val="0"/>
        <w:widowControl w:val="0"/>
        <w:kinsoku/>
        <w:wordWrap/>
        <w:overflowPunct/>
        <w:topLinePunct w:val="0"/>
        <w:autoSpaceDE/>
        <w:autoSpaceDN/>
        <w:bidi w:val="0"/>
        <w:adjustRightInd/>
        <w:spacing w:beforeLines="0" w:afterLines="0" w:line="48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Table 5</w:t>
      </w:r>
    </w:p>
    <w:p w14:paraId="3F594E0F">
      <w:pPr>
        <w:keepNext w:val="0"/>
        <w:keepLines w:val="0"/>
        <w:pageBreakBefore w:val="0"/>
        <w:widowControl w:val="0"/>
        <w:kinsoku/>
        <w:wordWrap/>
        <w:overflowPunct/>
        <w:topLinePunct w:val="0"/>
        <w:autoSpaceDE/>
        <w:autoSpaceDN/>
        <w:bidi w:val="0"/>
        <w:adjustRightInd/>
        <w:spacing w:beforeLines="0" w:afterLines="0" w:line="480" w:lineRule="auto"/>
        <w:textAlignment w:val="auto"/>
        <w:rPr>
          <w:rFonts w:hint="default" w:ascii="Times New Roman" w:hAnsi="Times New Roman" w:cs="Times New Roman"/>
          <w:i/>
          <w:iCs/>
          <w:sz w:val="24"/>
          <w:szCs w:val="24"/>
          <w:lang w:val="en-US" w:eastAsia="zh-CN"/>
        </w:rPr>
      </w:pPr>
      <w:r>
        <w:rPr>
          <w:rFonts w:hint="default" w:ascii="Times New Roman" w:hAnsi="Times New Roman" w:cs="Times New Roman"/>
          <w:i/>
          <w:iCs/>
          <w:sz w:val="24"/>
          <w:szCs w:val="24"/>
          <w:lang w:val="en-US" w:eastAsia="zh-CN"/>
        </w:rPr>
        <w:t xml:space="preserve">Descriptive Statistics of </w:t>
      </w:r>
      <w:r>
        <w:rPr>
          <w:rFonts w:hint="eastAsia" w:ascii="Times New Roman" w:hAnsi="Times New Roman" w:cs="Times New Roman"/>
          <w:i/>
          <w:iCs/>
          <w:sz w:val="24"/>
          <w:szCs w:val="24"/>
          <w:lang w:val="en-US" w:eastAsia="zh-CN"/>
        </w:rPr>
        <w:t>Growth Mindset</w:t>
      </w:r>
    </w:p>
    <w:tbl>
      <w:tblPr>
        <w:tblStyle w:val="3"/>
        <w:tblW w:w="8205"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316"/>
        <w:gridCol w:w="796"/>
        <w:gridCol w:w="819"/>
        <w:gridCol w:w="866"/>
        <w:gridCol w:w="857"/>
        <w:gridCol w:w="974"/>
        <w:gridCol w:w="820"/>
        <w:gridCol w:w="879"/>
        <w:gridCol w:w="1022"/>
        <w:gridCol w:w="856"/>
      </w:tblGrid>
      <w:tr w14:paraId="1857A66B">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34" w:hRule="atLeast"/>
        </w:trPr>
        <w:tc>
          <w:tcPr>
            <w:tcW w:w="8205" w:type="dxa"/>
            <w:gridSpan w:val="10"/>
            <w:tcBorders>
              <w:top w:val="single" w:color="auto" w:sz="4" w:space="0"/>
              <w:left w:val="nil"/>
              <w:bottom w:val="single" w:color="auto" w:sz="4" w:space="0"/>
              <w:right w:val="nil"/>
            </w:tcBorders>
            <w:shd w:val="clear" w:color="auto" w:fill="FFFFFF"/>
            <w:noWrap w:val="0"/>
            <w:vAlign w:val="center"/>
          </w:tcPr>
          <w:p w14:paraId="7BD1C789">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b/>
                <w:color w:val="000000" w:themeColor="text1"/>
                <w:sz w:val="20"/>
                <w:szCs w:val="20"/>
                <w14:textFill>
                  <w14:solidFill>
                    <w14:schemeClr w14:val="tx1"/>
                  </w14:solidFill>
                </w14:textFill>
              </w:rPr>
              <w:t>Descriptive Statistics</w:t>
            </w:r>
          </w:p>
        </w:tc>
      </w:tr>
      <w:tr w14:paraId="350633E9">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34" w:hRule="atLeast"/>
        </w:trPr>
        <w:tc>
          <w:tcPr>
            <w:tcW w:w="316" w:type="dxa"/>
            <w:vMerge w:val="restart"/>
            <w:tcBorders>
              <w:top w:val="single" w:color="auto" w:sz="4" w:space="0"/>
              <w:left w:val="nil"/>
              <w:bottom w:val="single" w:color="auto" w:sz="4" w:space="0"/>
              <w:right w:val="nil"/>
              <w:tl2br w:val="nil"/>
              <w:tr2bl w:val="nil"/>
            </w:tcBorders>
            <w:shd w:val="clear" w:color="auto" w:fill="FFFFFF"/>
            <w:noWrap w:val="0"/>
            <w:vAlign w:val="bottom"/>
          </w:tcPr>
          <w:p w14:paraId="320248CE">
            <w:pPr>
              <w:keepNext w:val="0"/>
              <w:keepLines w:val="0"/>
              <w:pageBreakBefore w:val="0"/>
              <w:widowControl w:val="0"/>
              <w:kinsoku/>
              <w:wordWrap/>
              <w:overflowPunct/>
              <w:topLinePunct w:val="0"/>
              <w:autoSpaceDE/>
              <w:autoSpaceDN/>
              <w:bidi w:val="0"/>
              <w:adjustRightInd/>
              <w:snapToGrid w:val="0"/>
              <w:spacing w:beforeLines="0" w:afterLines="0" w:line="480" w:lineRule="auto"/>
              <w:jc w:val="center"/>
              <w:textAlignment w:val="auto"/>
              <w:rPr>
                <w:rFonts w:hint="default" w:ascii="Times New Roman" w:hAnsi="Times New Roman" w:cs="Times New Roman"/>
                <w:color w:val="000000" w:themeColor="text1"/>
                <w:sz w:val="20"/>
                <w:szCs w:val="20"/>
                <w14:textFill>
                  <w14:solidFill>
                    <w14:schemeClr w14:val="tx1"/>
                  </w14:solidFill>
                </w14:textFill>
              </w:rPr>
            </w:pPr>
          </w:p>
        </w:tc>
        <w:tc>
          <w:tcPr>
            <w:tcW w:w="796" w:type="dxa"/>
            <w:tcBorders>
              <w:top w:val="single" w:color="auto" w:sz="4" w:space="0"/>
              <w:left w:val="nil"/>
              <w:bottom w:val="nil"/>
              <w:right w:val="nil"/>
              <w:tl2br w:val="nil"/>
              <w:tr2bl w:val="nil"/>
            </w:tcBorders>
            <w:shd w:val="clear" w:color="auto" w:fill="FFFFFF"/>
            <w:noWrap w:val="0"/>
            <w:vAlign w:val="bottom"/>
          </w:tcPr>
          <w:p w14:paraId="77FC8C08">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N</w:t>
            </w:r>
          </w:p>
        </w:tc>
        <w:tc>
          <w:tcPr>
            <w:tcW w:w="819" w:type="dxa"/>
            <w:tcBorders>
              <w:top w:val="single" w:color="auto" w:sz="4" w:space="0"/>
              <w:left w:val="single" w:color="E0E0E0" w:sz="8" w:space="0"/>
              <w:bottom w:val="nil"/>
              <w:right w:val="nil"/>
              <w:tl2br w:val="nil"/>
              <w:tr2bl w:val="nil"/>
            </w:tcBorders>
            <w:shd w:val="clear" w:color="auto" w:fill="FFFFFF"/>
            <w:noWrap w:val="0"/>
            <w:vAlign w:val="bottom"/>
          </w:tcPr>
          <w:p w14:paraId="345D1258">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Min</w:t>
            </w:r>
          </w:p>
        </w:tc>
        <w:tc>
          <w:tcPr>
            <w:tcW w:w="866" w:type="dxa"/>
            <w:tcBorders>
              <w:top w:val="single" w:color="auto" w:sz="4" w:space="0"/>
              <w:left w:val="single" w:color="E0E0E0" w:sz="8" w:space="0"/>
              <w:bottom w:val="nil"/>
              <w:right w:val="nil"/>
              <w:tl2br w:val="nil"/>
              <w:tr2bl w:val="nil"/>
            </w:tcBorders>
            <w:shd w:val="clear" w:color="auto" w:fill="FFFFFF"/>
            <w:noWrap w:val="0"/>
            <w:vAlign w:val="bottom"/>
          </w:tcPr>
          <w:p w14:paraId="0189F768">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Max</w:t>
            </w:r>
          </w:p>
        </w:tc>
        <w:tc>
          <w:tcPr>
            <w:tcW w:w="857" w:type="dxa"/>
            <w:tcBorders>
              <w:top w:val="single" w:color="auto" w:sz="4" w:space="0"/>
              <w:left w:val="single" w:color="E0E0E0" w:sz="8" w:space="0"/>
              <w:bottom w:val="nil"/>
              <w:right w:val="nil"/>
              <w:tl2br w:val="nil"/>
              <w:tr2bl w:val="nil"/>
            </w:tcBorders>
            <w:shd w:val="clear" w:color="auto" w:fill="FFFFFF"/>
            <w:noWrap w:val="0"/>
            <w:vAlign w:val="bottom"/>
          </w:tcPr>
          <w:p w14:paraId="2DEFE9E9">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Mean</w:t>
            </w:r>
          </w:p>
        </w:tc>
        <w:tc>
          <w:tcPr>
            <w:tcW w:w="974" w:type="dxa"/>
            <w:tcBorders>
              <w:top w:val="single" w:color="auto" w:sz="4" w:space="0"/>
              <w:left w:val="single" w:color="E0E0E0" w:sz="8" w:space="0"/>
              <w:bottom w:val="nil"/>
              <w:right w:val="nil"/>
              <w:tl2br w:val="nil"/>
              <w:tr2bl w:val="nil"/>
            </w:tcBorders>
            <w:shd w:val="clear" w:color="auto" w:fill="FFFFFF"/>
            <w:noWrap w:val="0"/>
            <w:vAlign w:val="bottom"/>
          </w:tcPr>
          <w:p w14:paraId="0658FFB0">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Std. Deviation</w:t>
            </w:r>
          </w:p>
        </w:tc>
        <w:tc>
          <w:tcPr>
            <w:tcW w:w="1699" w:type="dxa"/>
            <w:gridSpan w:val="2"/>
            <w:tcBorders>
              <w:top w:val="single" w:color="auto" w:sz="4" w:space="0"/>
              <w:left w:val="single" w:color="E0E0E0" w:sz="8" w:space="0"/>
              <w:bottom w:val="nil"/>
              <w:right w:val="nil"/>
              <w:tl2br w:val="nil"/>
              <w:tr2bl w:val="nil"/>
            </w:tcBorders>
            <w:shd w:val="clear" w:color="auto" w:fill="FFFFFF"/>
            <w:noWrap w:val="0"/>
            <w:vAlign w:val="bottom"/>
          </w:tcPr>
          <w:p w14:paraId="6BE41576">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Skewness</w:t>
            </w:r>
          </w:p>
        </w:tc>
        <w:tc>
          <w:tcPr>
            <w:tcW w:w="1878" w:type="dxa"/>
            <w:gridSpan w:val="2"/>
            <w:tcBorders>
              <w:top w:val="single" w:color="auto" w:sz="4" w:space="0"/>
              <w:left w:val="single" w:color="E0E0E0" w:sz="8" w:space="0"/>
              <w:bottom w:val="nil"/>
              <w:right w:val="nil"/>
              <w:tl2br w:val="nil"/>
              <w:tr2bl w:val="nil"/>
            </w:tcBorders>
            <w:shd w:val="clear" w:color="auto" w:fill="FFFFFF"/>
            <w:noWrap w:val="0"/>
            <w:vAlign w:val="bottom"/>
          </w:tcPr>
          <w:p w14:paraId="08EAB735">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Kurtosis</w:t>
            </w:r>
          </w:p>
        </w:tc>
      </w:tr>
      <w:tr w14:paraId="14A0AEB8">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34" w:hRule="atLeast"/>
        </w:trPr>
        <w:tc>
          <w:tcPr>
            <w:tcW w:w="316" w:type="dxa"/>
            <w:vMerge w:val="continue"/>
            <w:tcBorders>
              <w:top w:val="single" w:color="auto" w:sz="4" w:space="0"/>
              <w:left w:val="nil"/>
              <w:bottom w:val="nil"/>
              <w:right w:val="nil"/>
              <w:tl2br w:val="nil"/>
              <w:tr2bl w:val="nil"/>
            </w:tcBorders>
            <w:shd w:val="clear" w:color="auto" w:fill="FFFFFF"/>
            <w:noWrap w:val="0"/>
            <w:vAlign w:val="bottom"/>
          </w:tcPr>
          <w:p w14:paraId="097F4A8F">
            <w:pPr>
              <w:keepNext w:val="0"/>
              <w:keepLines w:val="0"/>
              <w:pageBreakBefore w:val="0"/>
              <w:widowControl w:val="0"/>
              <w:kinsoku/>
              <w:wordWrap/>
              <w:overflowPunct/>
              <w:topLinePunct w:val="0"/>
              <w:autoSpaceDE/>
              <w:autoSpaceDN/>
              <w:bidi w:val="0"/>
              <w:adjustRightInd/>
              <w:snapToGrid w:val="0"/>
              <w:spacing w:beforeLines="0" w:afterLines="0" w:line="480" w:lineRule="auto"/>
              <w:jc w:val="center"/>
              <w:textAlignment w:val="auto"/>
              <w:rPr>
                <w:rFonts w:hint="default" w:ascii="Times New Roman" w:hAnsi="Times New Roman" w:cs="Times New Roman"/>
                <w:color w:val="000000" w:themeColor="text1"/>
                <w:sz w:val="20"/>
                <w:szCs w:val="20"/>
                <w14:textFill>
                  <w14:solidFill>
                    <w14:schemeClr w14:val="tx1"/>
                  </w14:solidFill>
                </w14:textFill>
              </w:rPr>
            </w:pPr>
          </w:p>
        </w:tc>
        <w:tc>
          <w:tcPr>
            <w:tcW w:w="796" w:type="dxa"/>
            <w:tcBorders>
              <w:top w:val="nil"/>
              <w:left w:val="nil"/>
              <w:bottom w:val="nil"/>
              <w:right w:val="nil"/>
            </w:tcBorders>
            <w:shd w:val="clear" w:color="auto" w:fill="FFFFFF"/>
            <w:noWrap w:val="0"/>
            <w:vAlign w:val="bottom"/>
          </w:tcPr>
          <w:p w14:paraId="74A9A50A">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Statistic</w:t>
            </w:r>
          </w:p>
        </w:tc>
        <w:tc>
          <w:tcPr>
            <w:tcW w:w="819" w:type="dxa"/>
            <w:tcBorders>
              <w:top w:val="nil"/>
              <w:left w:val="nil"/>
              <w:bottom w:val="nil"/>
              <w:right w:val="nil"/>
            </w:tcBorders>
            <w:shd w:val="clear" w:color="auto" w:fill="FFFFFF"/>
            <w:noWrap w:val="0"/>
            <w:vAlign w:val="bottom"/>
          </w:tcPr>
          <w:p w14:paraId="7621D151">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Statistic</w:t>
            </w:r>
          </w:p>
        </w:tc>
        <w:tc>
          <w:tcPr>
            <w:tcW w:w="866" w:type="dxa"/>
            <w:tcBorders>
              <w:top w:val="nil"/>
              <w:left w:val="nil"/>
              <w:bottom w:val="nil"/>
              <w:right w:val="nil"/>
            </w:tcBorders>
            <w:shd w:val="clear" w:color="auto" w:fill="FFFFFF"/>
            <w:noWrap w:val="0"/>
            <w:vAlign w:val="bottom"/>
          </w:tcPr>
          <w:p w14:paraId="29EE7A71">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Statistic</w:t>
            </w:r>
          </w:p>
        </w:tc>
        <w:tc>
          <w:tcPr>
            <w:tcW w:w="857" w:type="dxa"/>
            <w:tcBorders>
              <w:top w:val="nil"/>
              <w:left w:val="nil"/>
              <w:bottom w:val="nil"/>
              <w:right w:val="nil"/>
            </w:tcBorders>
            <w:shd w:val="clear" w:color="auto" w:fill="FFFFFF"/>
            <w:noWrap w:val="0"/>
            <w:vAlign w:val="bottom"/>
          </w:tcPr>
          <w:p w14:paraId="5577462E">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Statistic</w:t>
            </w:r>
          </w:p>
        </w:tc>
        <w:tc>
          <w:tcPr>
            <w:tcW w:w="974" w:type="dxa"/>
            <w:tcBorders>
              <w:top w:val="nil"/>
              <w:left w:val="nil"/>
              <w:bottom w:val="nil"/>
              <w:right w:val="nil"/>
            </w:tcBorders>
            <w:shd w:val="clear" w:color="auto" w:fill="FFFFFF"/>
            <w:noWrap w:val="0"/>
            <w:vAlign w:val="bottom"/>
          </w:tcPr>
          <w:p w14:paraId="73B2858A">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Statistic</w:t>
            </w:r>
          </w:p>
        </w:tc>
        <w:tc>
          <w:tcPr>
            <w:tcW w:w="820" w:type="dxa"/>
            <w:tcBorders>
              <w:top w:val="nil"/>
              <w:left w:val="nil"/>
              <w:bottom w:val="nil"/>
              <w:right w:val="nil"/>
            </w:tcBorders>
            <w:shd w:val="clear" w:color="auto" w:fill="FFFFFF"/>
            <w:noWrap w:val="0"/>
            <w:vAlign w:val="bottom"/>
          </w:tcPr>
          <w:p w14:paraId="3B4CD6EF">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Statistic</w:t>
            </w:r>
          </w:p>
        </w:tc>
        <w:tc>
          <w:tcPr>
            <w:tcW w:w="879" w:type="dxa"/>
            <w:tcBorders>
              <w:top w:val="nil"/>
              <w:left w:val="nil"/>
              <w:bottom w:val="nil"/>
              <w:right w:val="nil"/>
            </w:tcBorders>
            <w:shd w:val="clear" w:color="auto" w:fill="FFFFFF"/>
            <w:noWrap w:val="0"/>
            <w:vAlign w:val="bottom"/>
          </w:tcPr>
          <w:p w14:paraId="50E9D52C">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Std. Error</w:t>
            </w:r>
          </w:p>
        </w:tc>
        <w:tc>
          <w:tcPr>
            <w:tcW w:w="1022" w:type="dxa"/>
            <w:tcBorders>
              <w:top w:val="nil"/>
              <w:left w:val="nil"/>
              <w:bottom w:val="nil"/>
              <w:right w:val="nil"/>
            </w:tcBorders>
            <w:shd w:val="clear" w:color="auto" w:fill="FFFFFF"/>
            <w:noWrap w:val="0"/>
            <w:vAlign w:val="bottom"/>
          </w:tcPr>
          <w:p w14:paraId="15BF4057">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Statistic</w:t>
            </w:r>
          </w:p>
        </w:tc>
        <w:tc>
          <w:tcPr>
            <w:tcW w:w="856" w:type="dxa"/>
            <w:tcBorders>
              <w:top w:val="nil"/>
              <w:left w:val="nil"/>
              <w:bottom w:val="nil"/>
              <w:right w:val="nil"/>
            </w:tcBorders>
            <w:shd w:val="clear" w:color="auto" w:fill="FFFFFF"/>
            <w:noWrap w:val="0"/>
            <w:vAlign w:val="bottom"/>
          </w:tcPr>
          <w:p w14:paraId="0BE172F4">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Std. Error</w:t>
            </w:r>
          </w:p>
        </w:tc>
      </w:tr>
      <w:tr w14:paraId="05EF667A">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292" w:hRule="atLeast"/>
        </w:trPr>
        <w:tc>
          <w:tcPr>
            <w:tcW w:w="316" w:type="dxa"/>
            <w:tcBorders>
              <w:top w:val="nil"/>
              <w:left w:val="nil"/>
              <w:bottom w:val="nil"/>
              <w:right w:val="nil"/>
            </w:tcBorders>
            <w:shd w:val="clear" w:color="auto" w:fill="FFFFFF" w:themeFill="background1"/>
            <w:noWrap w:val="0"/>
            <w:vAlign w:val="top"/>
          </w:tcPr>
          <w:p w14:paraId="36779BAC">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eastAsiaTheme="minorEastAsia"/>
                <w:color w:val="000000" w:themeColor="text1"/>
                <w:sz w:val="20"/>
                <w:szCs w:val="20"/>
                <w:lang w:val="en-US" w:eastAsia="zh-CN"/>
                <w14:textFill>
                  <w14:solidFill>
                    <w14:schemeClr w14:val="tx1"/>
                  </w14:solidFill>
                </w14:textFill>
              </w:rPr>
            </w:pPr>
            <w:r>
              <w:rPr>
                <w:rFonts w:hint="default" w:ascii="Times New Roman" w:hAnsi="Times New Roman" w:cs="Times New Roman"/>
                <w:color w:val="000000" w:themeColor="text1"/>
                <w:sz w:val="20"/>
                <w:szCs w:val="20"/>
                <w:lang w:val="en-US" w:eastAsia="zh-CN"/>
                <w14:textFill>
                  <w14:solidFill>
                    <w14:schemeClr w14:val="tx1"/>
                  </w14:solidFill>
                </w14:textFill>
              </w:rPr>
              <w:t>1</w:t>
            </w:r>
          </w:p>
        </w:tc>
        <w:tc>
          <w:tcPr>
            <w:tcW w:w="796" w:type="dxa"/>
            <w:tcBorders>
              <w:top w:val="nil"/>
              <w:left w:val="nil"/>
              <w:bottom w:val="nil"/>
              <w:right w:val="nil"/>
              <w:tl2br w:val="nil"/>
              <w:tr2bl w:val="nil"/>
            </w:tcBorders>
            <w:shd w:val="clear" w:color="auto" w:fill="FFFFFF"/>
            <w:noWrap w:val="0"/>
            <w:vAlign w:val="top"/>
          </w:tcPr>
          <w:p w14:paraId="3C9864B8">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297</w:t>
            </w:r>
          </w:p>
        </w:tc>
        <w:tc>
          <w:tcPr>
            <w:tcW w:w="819" w:type="dxa"/>
            <w:tcBorders>
              <w:top w:val="nil"/>
              <w:left w:val="single" w:color="E0E0E0" w:sz="8" w:space="0"/>
              <w:bottom w:val="nil"/>
              <w:right w:val="nil"/>
              <w:tl2br w:val="nil"/>
              <w:tr2bl w:val="nil"/>
            </w:tcBorders>
            <w:shd w:val="clear" w:color="auto" w:fill="FFFFFF"/>
            <w:noWrap w:val="0"/>
            <w:vAlign w:val="top"/>
          </w:tcPr>
          <w:p w14:paraId="0ADF55D9">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w:t>
            </w:r>
          </w:p>
        </w:tc>
        <w:tc>
          <w:tcPr>
            <w:tcW w:w="866" w:type="dxa"/>
            <w:tcBorders>
              <w:top w:val="nil"/>
              <w:left w:val="single" w:color="E0E0E0" w:sz="8" w:space="0"/>
              <w:bottom w:val="nil"/>
              <w:right w:val="nil"/>
              <w:tl2br w:val="nil"/>
              <w:tr2bl w:val="nil"/>
            </w:tcBorders>
            <w:shd w:val="clear" w:color="auto" w:fill="FFFFFF"/>
            <w:noWrap w:val="0"/>
            <w:vAlign w:val="top"/>
          </w:tcPr>
          <w:p w14:paraId="78F2DD30">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4</w:t>
            </w:r>
          </w:p>
        </w:tc>
        <w:tc>
          <w:tcPr>
            <w:tcW w:w="857" w:type="dxa"/>
            <w:tcBorders>
              <w:top w:val="nil"/>
              <w:left w:val="single" w:color="E0E0E0" w:sz="8" w:space="0"/>
              <w:bottom w:val="nil"/>
              <w:right w:val="nil"/>
              <w:tl2br w:val="nil"/>
              <w:tr2bl w:val="nil"/>
            </w:tcBorders>
            <w:shd w:val="clear" w:color="auto" w:fill="FFFFFF"/>
            <w:noWrap w:val="0"/>
            <w:vAlign w:val="top"/>
          </w:tcPr>
          <w:p w14:paraId="3427358A">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2.55</w:t>
            </w:r>
          </w:p>
        </w:tc>
        <w:tc>
          <w:tcPr>
            <w:tcW w:w="974" w:type="dxa"/>
            <w:tcBorders>
              <w:top w:val="nil"/>
              <w:left w:val="single" w:color="E0E0E0" w:sz="8" w:space="0"/>
              <w:bottom w:val="nil"/>
              <w:right w:val="nil"/>
              <w:tl2br w:val="nil"/>
              <w:tr2bl w:val="nil"/>
            </w:tcBorders>
            <w:shd w:val="clear" w:color="auto" w:fill="FFFFFF"/>
            <w:noWrap w:val="0"/>
            <w:vAlign w:val="top"/>
          </w:tcPr>
          <w:p w14:paraId="6CCB228B">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.896</w:t>
            </w:r>
          </w:p>
        </w:tc>
        <w:tc>
          <w:tcPr>
            <w:tcW w:w="820" w:type="dxa"/>
            <w:tcBorders>
              <w:top w:val="nil"/>
              <w:left w:val="single" w:color="E0E0E0" w:sz="8" w:space="0"/>
              <w:bottom w:val="nil"/>
              <w:right w:val="single" w:color="E0E0E0" w:sz="8" w:space="0"/>
              <w:tl2br w:val="nil"/>
              <w:tr2bl w:val="nil"/>
            </w:tcBorders>
            <w:shd w:val="clear" w:color="auto" w:fill="FFFFFF"/>
            <w:noWrap w:val="0"/>
            <w:vAlign w:val="top"/>
          </w:tcPr>
          <w:p w14:paraId="43E3F259">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-.073</w:t>
            </w:r>
          </w:p>
        </w:tc>
        <w:tc>
          <w:tcPr>
            <w:tcW w:w="879" w:type="dxa"/>
            <w:tcBorders>
              <w:top w:val="nil"/>
              <w:left w:val="single" w:color="E0E0E0" w:sz="8" w:space="0"/>
              <w:bottom w:val="nil"/>
              <w:right w:val="nil"/>
              <w:tl2br w:val="nil"/>
              <w:tr2bl w:val="nil"/>
            </w:tcBorders>
            <w:shd w:val="clear" w:color="auto" w:fill="FFFFFF"/>
            <w:noWrap w:val="0"/>
            <w:vAlign w:val="top"/>
          </w:tcPr>
          <w:p w14:paraId="4CBE660B">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.141</w:t>
            </w:r>
          </w:p>
        </w:tc>
        <w:tc>
          <w:tcPr>
            <w:tcW w:w="1022" w:type="dxa"/>
            <w:tcBorders>
              <w:top w:val="nil"/>
              <w:left w:val="single" w:color="E0E0E0" w:sz="8" w:space="0"/>
              <w:bottom w:val="nil"/>
              <w:right w:val="single" w:color="E0E0E0" w:sz="8" w:space="0"/>
              <w:tl2br w:val="nil"/>
              <w:tr2bl w:val="nil"/>
            </w:tcBorders>
            <w:shd w:val="clear" w:color="auto" w:fill="FFFFFF"/>
            <w:noWrap w:val="0"/>
            <w:vAlign w:val="top"/>
          </w:tcPr>
          <w:p w14:paraId="69FE18F8">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-.738</w:t>
            </w:r>
          </w:p>
        </w:tc>
        <w:tc>
          <w:tcPr>
            <w:tcW w:w="856" w:type="dxa"/>
            <w:tcBorders>
              <w:top w:val="nil"/>
              <w:left w:val="single" w:color="E0E0E0" w:sz="8" w:space="0"/>
              <w:bottom w:val="nil"/>
              <w:right w:val="nil"/>
              <w:tl2br w:val="nil"/>
              <w:tr2bl w:val="nil"/>
            </w:tcBorders>
            <w:shd w:val="clear" w:color="auto" w:fill="FFFFFF"/>
            <w:noWrap w:val="0"/>
            <w:vAlign w:val="top"/>
          </w:tcPr>
          <w:p w14:paraId="206E167A">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.282</w:t>
            </w:r>
          </w:p>
        </w:tc>
      </w:tr>
      <w:tr w14:paraId="52C40E93">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55" w:hRule="atLeast"/>
        </w:trPr>
        <w:tc>
          <w:tcPr>
            <w:tcW w:w="316" w:type="dxa"/>
            <w:tcBorders>
              <w:top w:val="nil"/>
              <w:left w:val="nil"/>
              <w:bottom w:val="nil"/>
              <w:right w:val="nil"/>
            </w:tcBorders>
            <w:shd w:val="clear" w:color="auto" w:fill="FFFFFF" w:themeFill="background1"/>
            <w:noWrap w:val="0"/>
            <w:vAlign w:val="top"/>
          </w:tcPr>
          <w:p w14:paraId="451A7D5E">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w:t>
            </w:r>
          </w:p>
        </w:tc>
        <w:tc>
          <w:tcPr>
            <w:tcW w:w="796" w:type="dxa"/>
            <w:tcBorders>
              <w:top w:val="nil"/>
              <w:left w:val="nil"/>
              <w:bottom w:val="nil"/>
              <w:right w:val="nil"/>
            </w:tcBorders>
            <w:shd w:val="clear" w:color="auto" w:fill="FFFFFF"/>
            <w:noWrap w:val="0"/>
            <w:vAlign w:val="top"/>
          </w:tcPr>
          <w:p w14:paraId="68E5149E">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297</w:t>
            </w:r>
          </w:p>
        </w:tc>
        <w:tc>
          <w:tcPr>
            <w:tcW w:w="819" w:type="dxa"/>
            <w:tcBorders>
              <w:top w:val="nil"/>
              <w:left w:val="nil"/>
              <w:bottom w:val="nil"/>
              <w:right w:val="nil"/>
            </w:tcBorders>
            <w:shd w:val="clear" w:color="auto" w:fill="FFFFFF"/>
            <w:noWrap w:val="0"/>
            <w:vAlign w:val="top"/>
          </w:tcPr>
          <w:p w14:paraId="2D6F41CB">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w:t>
            </w:r>
          </w:p>
        </w:tc>
        <w:tc>
          <w:tcPr>
            <w:tcW w:w="866" w:type="dxa"/>
            <w:tcBorders>
              <w:top w:val="nil"/>
              <w:left w:val="nil"/>
              <w:bottom w:val="nil"/>
              <w:right w:val="nil"/>
            </w:tcBorders>
            <w:shd w:val="clear" w:color="auto" w:fill="FFFFFF"/>
            <w:noWrap w:val="0"/>
            <w:vAlign w:val="top"/>
          </w:tcPr>
          <w:p w14:paraId="2B06EA76">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4</w:t>
            </w:r>
          </w:p>
        </w:tc>
        <w:tc>
          <w:tcPr>
            <w:tcW w:w="857" w:type="dxa"/>
            <w:tcBorders>
              <w:top w:val="nil"/>
              <w:left w:val="nil"/>
              <w:bottom w:val="nil"/>
              <w:right w:val="nil"/>
            </w:tcBorders>
            <w:shd w:val="clear" w:color="auto" w:fill="FFFFFF"/>
            <w:noWrap w:val="0"/>
            <w:vAlign w:val="top"/>
          </w:tcPr>
          <w:p w14:paraId="1F50ADB7">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2.73</w:t>
            </w:r>
          </w:p>
        </w:tc>
        <w:tc>
          <w:tcPr>
            <w:tcW w:w="974" w:type="dxa"/>
            <w:tcBorders>
              <w:top w:val="nil"/>
              <w:left w:val="nil"/>
              <w:bottom w:val="nil"/>
              <w:right w:val="nil"/>
            </w:tcBorders>
            <w:shd w:val="clear" w:color="auto" w:fill="FFFFFF"/>
            <w:noWrap w:val="0"/>
            <w:vAlign w:val="top"/>
          </w:tcPr>
          <w:p w14:paraId="547A3A13">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.966</w:t>
            </w:r>
          </w:p>
        </w:tc>
        <w:tc>
          <w:tcPr>
            <w:tcW w:w="820" w:type="dxa"/>
            <w:tcBorders>
              <w:top w:val="nil"/>
              <w:left w:val="nil"/>
              <w:bottom w:val="nil"/>
              <w:right w:val="nil"/>
            </w:tcBorders>
            <w:shd w:val="clear" w:color="auto" w:fill="FFFFFF"/>
            <w:noWrap w:val="0"/>
            <w:vAlign w:val="top"/>
          </w:tcPr>
          <w:p w14:paraId="22277C2E">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-.342</w:t>
            </w:r>
          </w:p>
        </w:tc>
        <w:tc>
          <w:tcPr>
            <w:tcW w:w="879" w:type="dxa"/>
            <w:tcBorders>
              <w:top w:val="nil"/>
              <w:left w:val="nil"/>
              <w:bottom w:val="nil"/>
              <w:right w:val="nil"/>
            </w:tcBorders>
            <w:shd w:val="clear" w:color="auto" w:fill="FFFFFF"/>
            <w:noWrap w:val="0"/>
            <w:vAlign w:val="top"/>
          </w:tcPr>
          <w:p w14:paraId="3BC7CCC2">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.141</w:t>
            </w:r>
          </w:p>
        </w:tc>
        <w:tc>
          <w:tcPr>
            <w:tcW w:w="1022" w:type="dxa"/>
            <w:tcBorders>
              <w:top w:val="nil"/>
              <w:left w:val="nil"/>
              <w:bottom w:val="nil"/>
              <w:right w:val="nil"/>
            </w:tcBorders>
            <w:shd w:val="clear" w:color="auto" w:fill="FFFFFF"/>
            <w:noWrap w:val="0"/>
            <w:vAlign w:val="top"/>
          </w:tcPr>
          <w:p w14:paraId="221956A1">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-.824</w:t>
            </w:r>
          </w:p>
        </w:tc>
        <w:tc>
          <w:tcPr>
            <w:tcW w:w="856" w:type="dxa"/>
            <w:tcBorders>
              <w:top w:val="nil"/>
              <w:left w:val="nil"/>
              <w:bottom w:val="nil"/>
              <w:right w:val="nil"/>
            </w:tcBorders>
            <w:shd w:val="clear" w:color="auto" w:fill="FFFFFF"/>
            <w:noWrap w:val="0"/>
            <w:vAlign w:val="top"/>
          </w:tcPr>
          <w:p w14:paraId="3A8C78CF">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.282</w:t>
            </w:r>
          </w:p>
        </w:tc>
      </w:tr>
      <w:tr w14:paraId="2D07060D">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55" w:hRule="atLeast"/>
        </w:trPr>
        <w:tc>
          <w:tcPr>
            <w:tcW w:w="316" w:type="dxa"/>
            <w:tcBorders>
              <w:top w:val="nil"/>
              <w:left w:val="nil"/>
              <w:bottom w:val="nil"/>
              <w:right w:val="nil"/>
              <w:tl2br w:val="nil"/>
              <w:tr2bl w:val="nil"/>
            </w:tcBorders>
            <w:shd w:val="clear" w:color="auto" w:fill="FFFFFF" w:themeFill="background1"/>
            <w:noWrap w:val="0"/>
            <w:vAlign w:val="top"/>
          </w:tcPr>
          <w:p w14:paraId="5DD757C2">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3</w:t>
            </w:r>
          </w:p>
        </w:tc>
        <w:tc>
          <w:tcPr>
            <w:tcW w:w="796" w:type="dxa"/>
            <w:tcBorders>
              <w:top w:val="nil"/>
              <w:left w:val="nil"/>
              <w:bottom w:val="nil"/>
              <w:right w:val="nil"/>
              <w:tl2br w:val="nil"/>
              <w:tr2bl w:val="nil"/>
            </w:tcBorders>
            <w:shd w:val="clear" w:color="auto" w:fill="FFFFFF"/>
            <w:noWrap w:val="0"/>
            <w:vAlign w:val="top"/>
          </w:tcPr>
          <w:p w14:paraId="2BC58EB9">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297</w:t>
            </w:r>
          </w:p>
        </w:tc>
        <w:tc>
          <w:tcPr>
            <w:tcW w:w="819" w:type="dxa"/>
            <w:tcBorders>
              <w:top w:val="nil"/>
              <w:left w:val="single" w:color="E0E0E0" w:sz="8" w:space="0"/>
              <w:bottom w:val="nil"/>
              <w:right w:val="nil"/>
              <w:tl2br w:val="nil"/>
              <w:tr2bl w:val="nil"/>
            </w:tcBorders>
            <w:shd w:val="clear" w:color="auto" w:fill="FFFFFF"/>
            <w:noWrap w:val="0"/>
            <w:vAlign w:val="top"/>
          </w:tcPr>
          <w:p w14:paraId="25EE6F92">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w:t>
            </w:r>
          </w:p>
        </w:tc>
        <w:tc>
          <w:tcPr>
            <w:tcW w:w="866" w:type="dxa"/>
            <w:tcBorders>
              <w:top w:val="nil"/>
              <w:left w:val="single" w:color="E0E0E0" w:sz="8" w:space="0"/>
              <w:bottom w:val="nil"/>
              <w:right w:val="nil"/>
              <w:tl2br w:val="nil"/>
              <w:tr2bl w:val="nil"/>
            </w:tcBorders>
            <w:shd w:val="clear" w:color="auto" w:fill="FFFFFF"/>
            <w:noWrap w:val="0"/>
            <w:vAlign w:val="top"/>
          </w:tcPr>
          <w:p w14:paraId="1CAB49EC">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4</w:t>
            </w:r>
          </w:p>
        </w:tc>
        <w:tc>
          <w:tcPr>
            <w:tcW w:w="857" w:type="dxa"/>
            <w:tcBorders>
              <w:top w:val="nil"/>
              <w:left w:val="single" w:color="E0E0E0" w:sz="8" w:space="0"/>
              <w:bottom w:val="nil"/>
              <w:right w:val="nil"/>
              <w:tl2br w:val="nil"/>
              <w:tr2bl w:val="nil"/>
            </w:tcBorders>
            <w:shd w:val="clear" w:color="auto" w:fill="FFFFFF"/>
            <w:noWrap w:val="0"/>
            <w:vAlign w:val="top"/>
          </w:tcPr>
          <w:p w14:paraId="5C934AA4">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2.78</w:t>
            </w:r>
          </w:p>
        </w:tc>
        <w:tc>
          <w:tcPr>
            <w:tcW w:w="974" w:type="dxa"/>
            <w:tcBorders>
              <w:top w:val="nil"/>
              <w:left w:val="single" w:color="E0E0E0" w:sz="8" w:space="0"/>
              <w:bottom w:val="nil"/>
              <w:right w:val="nil"/>
              <w:tl2br w:val="nil"/>
              <w:tr2bl w:val="nil"/>
            </w:tcBorders>
            <w:shd w:val="clear" w:color="auto" w:fill="FFFFFF"/>
            <w:noWrap w:val="0"/>
            <w:vAlign w:val="top"/>
          </w:tcPr>
          <w:p w14:paraId="0CB95269">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.992</w:t>
            </w:r>
          </w:p>
        </w:tc>
        <w:tc>
          <w:tcPr>
            <w:tcW w:w="820" w:type="dxa"/>
            <w:tcBorders>
              <w:top w:val="nil"/>
              <w:left w:val="single" w:color="E0E0E0" w:sz="8" w:space="0"/>
              <w:bottom w:val="nil"/>
              <w:right w:val="single" w:color="E0E0E0" w:sz="8" w:space="0"/>
              <w:tl2br w:val="nil"/>
              <w:tr2bl w:val="nil"/>
            </w:tcBorders>
            <w:shd w:val="clear" w:color="auto" w:fill="FFFFFF"/>
            <w:noWrap w:val="0"/>
            <w:vAlign w:val="top"/>
          </w:tcPr>
          <w:p w14:paraId="12636A14">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-.336</w:t>
            </w:r>
          </w:p>
        </w:tc>
        <w:tc>
          <w:tcPr>
            <w:tcW w:w="879" w:type="dxa"/>
            <w:tcBorders>
              <w:top w:val="nil"/>
              <w:left w:val="single" w:color="E0E0E0" w:sz="8" w:space="0"/>
              <w:bottom w:val="nil"/>
              <w:right w:val="nil"/>
              <w:tl2br w:val="nil"/>
              <w:tr2bl w:val="nil"/>
            </w:tcBorders>
            <w:shd w:val="clear" w:color="auto" w:fill="FFFFFF"/>
            <w:noWrap w:val="0"/>
            <w:vAlign w:val="top"/>
          </w:tcPr>
          <w:p w14:paraId="6A004ECD">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.141</w:t>
            </w:r>
          </w:p>
        </w:tc>
        <w:tc>
          <w:tcPr>
            <w:tcW w:w="1022" w:type="dxa"/>
            <w:tcBorders>
              <w:top w:val="nil"/>
              <w:left w:val="single" w:color="E0E0E0" w:sz="8" w:space="0"/>
              <w:bottom w:val="nil"/>
              <w:right w:val="single" w:color="E0E0E0" w:sz="8" w:space="0"/>
              <w:tl2br w:val="nil"/>
              <w:tr2bl w:val="nil"/>
            </w:tcBorders>
            <w:shd w:val="clear" w:color="auto" w:fill="FFFFFF"/>
            <w:noWrap w:val="0"/>
            <w:vAlign w:val="top"/>
          </w:tcPr>
          <w:p w14:paraId="60474CB4">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-.934</w:t>
            </w:r>
          </w:p>
        </w:tc>
        <w:tc>
          <w:tcPr>
            <w:tcW w:w="856" w:type="dxa"/>
            <w:tcBorders>
              <w:top w:val="nil"/>
              <w:left w:val="single" w:color="E0E0E0" w:sz="8" w:space="0"/>
              <w:bottom w:val="nil"/>
              <w:right w:val="nil"/>
              <w:tl2br w:val="nil"/>
              <w:tr2bl w:val="nil"/>
            </w:tcBorders>
            <w:shd w:val="clear" w:color="auto" w:fill="FFFFFF"/>
            <w:noWrap w:val="0"/>
            <w:vAlign w:val="top"/>
          </w:tcPr>
          <w:p w14:paraId="2D5D0E94">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.282</w:t>
            </w:r>
          </w:p>
        </w:tc>
      </w:tr>
      <w:tr w14:paraId="02F07228">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55" w:hRule="atLeast"/>
        </w:trPr>
        <w:tc>
          <w:tcPr>
            <w:tcW w:w="316" w:type="dxa"/>
            <w:tcBorders>
              <w:top w:val="nil"/>
              <w:left w:val="nil"/>
              <w:bottom w:val="nil"/>
              <w:right w:val="nil"/>
            </w:tcBorders>
            <w:shd w:val="clear" w:color="auto" w:fill="FFFFFF" w:themeFill="background1"/>
            <w:noWrap w:val="0"/>
            <w:vAlign w:val="top"/>
          </w:tcPr>
          <w:p w14:paraId="09C9F73F">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4</w:t>
            </w:r>
          </w:p>
        </w:tc>
        <w:tc>
          <w:tcPr>
            <w:tcW w:w="796" w:type="dxa"/>
            <w:tcBorders>
              <w:top w:val="nil"/>
              <w:left w:val="nil"/>
              <w:bottom w:val="nil"/>
              <w:right w:val="nil"/>
            </w:tcBorders>
            <w:shd w:val="clear" w:color="auto" w:fill="FFFFFF"/>
            <w:noWrap w:val="0"/>
            <w:vAlign w:val="top"/>
          </w:tcPr>
          <w:p w14:paraId="6D7301B1">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297</w:t>
            </w:r>
          </w:p>
        </w:tc>
        <w:tc>
          <w:tcPr>
            <w:tcW w:w="819" w:type="dxa"/>
            <w:tcBorders>
              <w:top w:val="nil"/>
              <w:left w:val="nil"/>
              <w:bottom w:val="nil"/>
              <w:right w:val="nil"/>
            </w:tcBorders>
            <w:shd w:val="clear" w:color="auto" w:fill="FFFFFF"/>
            <w:noWrap w:val="0"/>
            <w:vAlign w:val="top"/>
          </w:tcPr>
          <w:p w14:paraId="27576AB9">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w:t>
            </w:r>
          </w:p>
        </w:tc>
        <w:tc>
          <w:tcPr>
            <w:tcW w:w="866" w:type="dxa"/>
            <w:tcBorders>
              <w:top w:val="nil"/>
              <w:left w:val="nil"/>
              <w:bottom w:val="nil"/>
              <w:right w:val="nil"/>
            </w:tcBorders>
            <w:shd w:val="clear" w:color="auto" w:fill="FFFFFF"/>
            <w:noWrap w:val="0"/>
            <w:vAlign w:val="top"/>
          </w:tcPr>
          <w:p w14:paraId="296D0E9F">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4</w:t>
            </w:r>
          </w:p>
        </w:tc>
        <w:tc>
          <w:tcPr>
            <w:tcW w:w="857" w:type="dxa"/>
            <w:tcBorders>
              <w:top w:val="nil"/>
              <w:left w:val="nil"/>
              <w:bottom w:val="nil"/>
              <w:right w:val="nil"/>
            </w:tcBorders>
            <w:shd w:val="clear" w:color="auto" w:fill="FFFFFF"/>
            <w:noWrap w:val="0"/>
            <w:vAlign w:val="top"/>
          </w:tcPr>
          <w:p w14:paraId="79405FA0">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2.75</w:t>
            </w:r>
          </w:p>
        </w:tc>
        <w:tc>
          <w:tcPr>
            <w:tcW w:w="974" w:type="dxa"/>
            <w:tcBorders>
              <w:top w:val="nil"/>
              <w:left w:val="nil"/>
              <w:bottom w:val="nil"/>
              <w:right w:val="nil"/>
            </w:tcBorders>
            <w:shd w:val="clear" w:color="auto" w:fill="FFFFFF"/>
            <w:noWrap w:val="0"/>
            <w:vAlign w:val="top"/>
          </w:tcPr>
          <w:p w14:paraId="41D82E5C">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.957</w:t>
            </w:r>
          </w:p>
        </w:tc>
        <w:tc>
          <w:tcPr>
            <w:tcW w:w="820" w:type="dxa"/>
            <w:tcBorders>
              <w:top w:val="nil"/>
              <w:left w:val="nil"/>
              <w:bottom w:val="nil"/>
              <w:right w:val="nil"/>
            </w:tcBorders>
            <w:shd w:val="clear" w:color="auto" w:fill="FFFFFF"/>
            <w:noWrap w:val="0"/>
            <w:vAlign w:val="top"/>
          </w:tcPr>
          <w:p w14:paraId="1751C3AC">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-.422</w:t>
            </w:r>
          </w:p>
        </w:tc>
        <w:tc>
          <w:tcPr>
            <w:tcW w:w="879" w:type="dxa"/>
            <w:tcBorders>
              <w:top w:val="nil"/>
              <w:left w:val="nil"/>
              <w:bottom w:val="nil"/>
              <w:right w:val="nil"/>
            </w:tcBorders>
            <w:shd w:val="clear" w:color="auto" w:fill="FFFFFF"/>
            <w:noWrap w:val="0"/>
            <w:vAlign w:val="top"/>
          </w:tcPr>
          <w:p w14:paraId="775F43F7">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.141</w:t>
            </w:r>
          </w:p>
        </w:tc>
        <w:tc>
          <w:tcPr>
            <w:tcW w:w="1022" w:type="dxa"/>
            <w:tcBorders>
              <w:top w:val="nil"/>
              <w:left w:val="nil"/>
              <w:bottom w:val="nil"/>
              <w:right w:val="nil"/>
            </w:tcBorders>
            <w:shd w:val="clear" w:color="auto" w:fill="FFFFFF"/>
            <w:noWrap w:val="0"/>
            <w:vAlign w:val="top"/>
          </w:tcPr>
          <w:p w14:paraId="59124AF7">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-.717</w:t>
            </w:r>
          </w:p>
        </w:tc>
        <w:tc>
          <w:tcPr>
            <w:tcW w:w="856" w:type="dxa"/>
            <w:tcBorders>
              <w:top w:val="nil"/>
              <w:left w:val="nil"/>
              <w:bottom w:val="nil"/>
              <w:right w:val="nil"/>
            </w:tcBorders>
            <w:shd w:val="clear" w:color="auto" w:fill="FFFFFF"/>
            <w:noWrap w:val="0"/>
            <w:vAlign w:val="top"/>
          </w:tcPr>
          <w:p w14:paraId="670F7A0E">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.282</w:t>
            </w:r>
          </w:p>
        </w:tc>
      </w:tr>
      <w:tr w14:paraId="1AAE2ADE">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55" w:hRule="atLeast"/>
        </w:trPr>
        <w:tc>
          <w:tcPr>
            <w:tcW w:w="316" w:type="dxa"/>
            <w:tcBorders>
              <w:top w:val="nil"/>
              <w:left w:val="nil"/>
              <w:bottom w:val="single" w:color="000000" w:themeColor="text1" w:sz="8" w:space="0"/>
              <w:right w:val="nil"/>
            </w:tcBorders>
            <w:shd w:val="clear" w:color="auto" w:fill="FFFFFF" w:themeFill="background1"/>
            <w:noWrap w:val="0"/>
            <w:vAlign w:val="top"/>
          </w:tcPr>
          <w:p w14:paraId="66A05ACA">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G</w:t>
            </w:r>
          </w:p>
        </w:tc>
        <w:tc>
          <w:tcPr>
            <w:tcW w:w="796" w:type="dxa"/>
            <w:tcBorders>
              <w:top w:val="nil"/>
              <w:left w:val="nil"/>
              <w:bottom w:val="single" w:color="000000" w:themeColor="text1" w:sz="8" w:space="0"/>
              <w:right w:val="nil"/>
            </w:tcBorders>
            <w:shd w:val="clear" w:color="auto" w:fill="FFFFFF"/>
            <w:noWrap w:val="0"/>
            <w:vAlign w:val="top"/>
          </w:tcPr>
          <w:p w14:paraId="0B928D3F">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297</w:t>
            </w:r>
          </w:p>
        </w:tc>
        <w:tc>
          <w:tcPr>
            <w:tcW w:w="819" w:type="dxa"/>
            <w:tcBorders>
              <w:top w:val="nil"/>
              <w:left w:val="nil"/>
              <w:bottom w:val="single" w:color="000000" w:themeColor="text1" w:sz="8" w:space="0"/>
              <w:right w:val="nil"/>
            </w:tcBorders>
            <w:shd w:val="clear" w:color="auto" w:fill="FFFFFF"/>
            <w:noWrap w:val="0"/>
            <w:vAlign w:val="top"/>
          </w:tcPr>
          <w:p w14:paraId="6318AC78">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1.00</w:t>
            </w:r>
          </w:p>
        </w:tc>
        <w:tc>
          <w:tcPr>
            <w:tcW w:w="866" w:type="dxa"/>
            <w:tcBorders>
              <w:top w:val="nil"/>
              <w:left w:val="nil"/>
              <w:bottom w:val="single" w:color="000000" w:themeColor="text1" w:sz="8" w:space="0"/>
              <w:right w:val="nil"/>
            </w:tcBorders>
            <w:shd w:val="clear" w:color="auto" w:fill="FFFFFF"/>
            <w:noWrap w:val="0"/>
            <w:vAlign w:val="top"/>
          </w:tcPr>
          <w:p w14:paraId="0B74A5CB">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4.00</w:t>
            </w:r>
          </w:p>
        </w:tc>
        <w:tc>
          <w:tcPr>
            <w:tcW w:w="857" w:type="dxa"/>
            <w:tcBorders>
              <w:top w:val="nil"/>
              <w:left w:val="nil"/>
              <w:bottom w:val="single" w:color="000000" w:themeColor="text1" w:sz="8" w:space="0"/>
              <w:right w:val="nil"/>
            </w:tcBorders>
            <w:shd w:val="clear" w:color="auto" w:fill="FFFFFF"/>
            <w:noWrap w:val="0"/>
            <w:vAlign w:val="top"/>
          </w:tcPr>
          <w:p w14:paraId="429F611A">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2.7037</w:t>
            </w:r>
          </w:p>
        </w:tc>
        <w:tc>
          <w:tcPr>
            <w:tcW w:w="974" w:type="dxa"/>
            <w:tcBorders>
              <w:top w:val="nil"/>
              <w:left w:val="nil"/>
              <w:bottom w:val="single" w:color="000000" w:themeColor="text1" w:sz="8" w:space="0"/>
              <w:right w:val="nil"/>
            </w:tcBorders>
            <w:shd w:val="clear" w:color="auto" w:fill="FFFFFF"/>
            <w:noWrap w:val="0"/>
            <w:vAlign w:val="top"/>
          </w:tcPr>
          <w:p w14:paraId="37E0A5BF">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.85311</w:t>
            </w:r>
          </w:p>
        </w:tc>
        <w:tc>
          <w:tcPr>
            <w:tcW w:w="820" w:type="dxa"/>
            <w:tcBorders>
              <w:top w:val="nil"/>
              <w:left w:val="nil"/>
              <w:bottom w:val="single" w:color="000000" w:themeColor="text1" w:sz="8" w:space="0"/>
              <w:right w:val="nil"/>
            </w:tcBorders>
            <w:shd w:val="clear" w:color="auto" w:fill="FFFFFF"/>
            <w:noWrap w:val="0"/>
            <w:vAlign w:val="top"/>
          </w:tcPr>
          <w:p w14:paraId="7AE77706">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-.372</w:t>
            </w:r>
          </w:p>
        </w:tc>
        <w:tc>
          <w:tcPr>
            <w:tcW w:w="879" w:type="dxa"/>
            <w:tcBorders>
              <w:top w:val="nil"/>
              <w:left w:val="nil"/>
              <w:bottom w:val="single" w:color="000000" w:themeColor="text1" w:sz="8" w:space="0"/>
              <w:right w:val="nil"/>
            </w:tcBorders>
            <w:shd w:val="clear" w:color="auto" w:fill="FFFFFF"/>
            <w:noWrap w:val="0"/>
            <w:vAlign w:val="top"/>
          </w:tcPr>
          <w:p w14:paraId="7F88943B">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.141</w:t>
            </w:r>
          </w:p>
        </w:tc>
        <w:tc>
          <w:tcPr>
            <w:tcW w:w="1022" w:type="dxa"/>
            <w:tcBorders>
              <w:top w:val="nil"/>
              <w:left w:val="nil"/>
              <w:bottom w:val="single" w:color="000000" w:themeColor="text1" w:sz="8" w:space="0"/>
              <w:right w:val="nil"/>
            </w:tcBorders>
            <w:shd w:val="clear" w:color="auto" w:fill="FFFFFF"/>
            <w:noWrap w:val="0"/>
            <w:vAlign w:val="top"/>
          </w:tcPr>
          <w:p w14:paraId="3F8F3758">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-1.070</w:t>
            </w:r>
          </w:p>
        </w:tc>
        <w:tc>
          <w:tcPr>
            <w:tcW w:w="856" w:type="dxa"/>
            <w:tcBorders>
              <w:top w:val="nil"/>
              <w:left w:val="nil"/>
              <w:bottom w:val="single" w:color="000000" w:themeColor="text1" w:sz="8" w:space="0"/>
              <w:right w:val="nil"/>
            </w:tcBorders>
            <w:shd w:val="clear" w:color="auto" w:fill="FFFFFF"/>
            <w:noWrap w:val="0"/>
            <w:vAlign w:val="top"/>
          </w:tcPr>
          <w:p w14:paraId="19555884">
            <w:pPr>
              <w:keepNext w:val="0"/>
              <w:keepLines w:val="0"/>
              <w:pageBreakBefore w:val="0"/>
              <w:widowControl w:val="0"/>
              <w:kinsoku/>
              <w:wordWrap/>
              <w:overflowPunct/>
              <w:topLinePunct w:val="0"/>
              <w:autoSpaceDE/>
              <w:autoSpaceDN/>
              <w:bidi w:val="0"/>
              <w:adjustRightInd/>
              <w:snapToGrid w:val="0"/>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.282</w:t>
            </w:r>
          </w:p>
        </w:tc>
      </w:tr>
    </w:tbl>
    <w:p w14:paraId="1C462E06">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i/>
          <w:iCs/>
          <w:color w:val="000000" w:themeColor="text1"/>
          <w:sz w:val="24"/>
          <w:szCs w:val="24"/>
          <w:lang w:val="en-US" w:eastAsia="zh-CN"/>
          <w14:textFill>
            <w14:solidFill>
              <w14:schemeClr w14:val="tx1"/>
            </w14:solidFill>
          </w14:textFill>
        </w:rPr>
        <w:t>Note.</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G indicates the mean of each question of growth mindset.</w:t>
      </w:r>
    </w:p>
    <w:p w14:paraId="5C57E245">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As shown in Table 5, the mean total score of this scale is 2.70 (SD = 0.85), which is generally at a moderately high level, indicating that the growth mindset tendency of the surveyed students is at a medium level, neither extremely rigid nor very intense. The specific analysis of each item is as follows:</w:t>
      </w:r>
    </w:p>
    <w:p w14:paraId="08CA0378">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olor w:val="222222"/>
          <w:sz w:val="24"/>
          <w:shd w:val="clear" w:color="auto" w:fill="FFFFFF"/>
          <w:lang w:val="en-US" w:eastAsia="zh-CN"/>
        </w:rPr>
      </w:pPr>
      <w:r>
        <w:rPr>
          <w:rFonts w:hint="eastAsia" w:ascii="Times New Roman" w:hAnsi="Times New Roman" w:cs="Times New Roman"/>
          <w:b w:val="0"/>
          <w:bCs w:val="0"/>
          <w:i w:val="0"/>
          <w:iCs w:val="0"/>
          <w:sz w:val="24"/>
          <w:szCs w:val="24"/>
          <w:lang w:val="en-US" w:eastAsia="zh-CN"/>
        </w:rPr>
        <w:t xml:space="preserve">Question 1: </w:t>
      </w:r>
      <w:r>
        <w:rPr>
          <w:rFonts w:ascii="Times New Roman" w:hAnsi="Times New Roman"/>
          <w:color w:val="222222"/>
          <w:sz w:val="24"/>
          <w:shd w:val="clear" w:color="auto" w:fill="FFFFFF"/>
        </w:rPr>
        <w:t>Agree/disagree: Your intelligence is something about you that you cannot change very much.</w:t>
      </w:r>
      <w:r>
        <w:rPr>
          <w:rFonts w:hint="eastAsia" w:ascii="Times New Roman" w:hAnsi="Times New Roman"/>
          <w:color w:val="222222"/>
          <w:sz w:val="24"/>
          <w:shd w:val="clear" w:color="auto" w:fill="FFFFFF"/>
          <w:lang w:val="en-US" w:eastAsia="zh-CN"/>
        </w:rPr>
        <w:t xml:space="preserve"> For this question, the mean score was 2.55 (SD = 0.90). This score was lower than the mean score of the total, and it was the lowest score item in the scale. It indicates that compared to other aspects, students tend to believe that intelligence is fixed, which is the most core fixed belief in the growth mindset.</w:t>
      </w:r>
    </w:p>
    <w:p w14:paraId="55B068B9">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olor w:val="222222"/>
          <w:sz w:val="24"/>
          <w:shd w:val="clear" w:color="auto" w:fill="FFFFFF"/>
          <w:lang w:val="en-US" w:eastAsia="zh-CN"/>
        </w:rPr>
      </w:pPr>
      <w:r>
        <w:rPr>
          <w:rFonts w:hint="eastAsia" w:ascii="Times New Roman" w:hAnsi="Times New Roman"/>
          <w:color w:val="222222"/>
          <w:sz w:val="24"/>
          <w:shd w:val="clear" w:color="auto" w:fill="FFFFFF"/>
          <w:lang w:val="en-US" w:eastAsia="zh-CN"/>
        </w:rPr>
        <w:t xml:space="preserve">Question 2: </w:t>
      </w:r>
      <w:r>
        <w:rPr>
          <w:rFonts w:ascii="Times New Roman" w:hAnsi="Times New Roman"/>
          <w:color w:val="222222"/>
          <w:sz w:val="24"/>
          <w:shd w:val="clear" w:color="auto" w:fill="FFFFFF"/>
        </w:rPr>
        <w:t>Agree/disagree: Some people are just not good at mathematics, no matter how hard they study.</w:t>
      </w:r>
      <w:r>
        <w:rPr>
          <w:rFonts w:hint="eastAsia" w:ascii="Times New Roman" w:hAnsi="Times New Roman"/>
          <w:color w:val="222222"/>
          <w:sz w:val="24"/>
          <w:shd w:val="clear" w:color="auto" w:fill="FFFFFF"/>
          <w:lang w:val="en-US" w:eastAsia="zh-CN"/>
        </w:rPr>
        <w:t xml:space="preserve"> For this question, the mean score was 2.73 (SD = 0.97). This score was close to the overall mean score, indicating that students' belief that their mathematical ability can be improved through effort was at a moderate level, but a considerable number of students still held the inherent notion that mathematics requires innate talent.</w:t>
      </w:r>
    </w:p>
    <w:p w14:paraId="5FE6FE3C">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olor w:val="222222"/>
          <w:sz w:val="24"/>
          <w:shd w:val="clear" w:color="auto" w:fill="FFFFFF"/>
          <w:lang w:val="en-US" w:eastAsia="zh-CN"/>
        </w:rPr>
      </w:pPr>
      <w:r>
        <w:rPr>
          <w:rFonts w:hint="eastAsia" w:ascii="Times New Roman" w:hAnsi="Times New Roman"/>
          <w:color w:val="222222"/>
          <w:sz w:val="24"/>
          <w:shd w:val="clear" w:color="auto" w:fill="FFFFFF"/>
          <w:lang w:val="en-US" w:eastAsia="zh-CN"/>
        </w:rPr>
        <w:t xml:space="preserve">Question 3: </w:t>
      </w:r>
      <w:r>
        <w:rPr>
          <w:rFonts w:ascii="Times New Roman" w:hAnsi="Times New Roman"/>
          <w:color w:val="222222"/>
          <w:sz w:val="24"/>
          <w:shd w:val="clear" w:color="auto" w:fill="FFFFFF"/>
        </w:rPr>
        <w:t>Agree/disagree: Some people are just not good in [test language], no matter how hard they study.</w:t>
      </w:r>
      <w:r>
        <w:rPr>
          <w:rFonts w:hint="eastAsia" w:ascii="Times New Roman" w:hAnsi="Times New Roman"/>
          <w:color w:val="222222"/>
          <w:sz w:val="24"/>
          <w:shd w:val="clear" w:color="auto" w:fill="FFFFFF"/>
          <w:lang w:val="en-US" w:eastAsia="zh-CN"/>
        </w:rPr>
        <w:t xml:space="preserve"> For this question, the mean score was 2.78 (SD = 0.99). This score was the highest in this scale, indicating that students strongly disagreed with the notion that language ability is fixed. Compared to intelligence and mathematical ability, they were more convinced that language ability can be improved through effort.</w:t>
      </w:r>
    </w:p>
    <w:p w14:paraId="6AF13024">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olor w:val="222222"/>
          <w:sz w:val="24"/>
          <w:shd w:val="clear" w:color="auto" w:fill="FFFFFF"/>
          <w:lang w:val="en-US" w:eastAsia="zh-CN"/>
        </w:rPr>
      </w:pPr>
      <w:r>
        <w:rPr>
          <w:rFonts w:hint="eastAsia" w:ascii="Times New Roman" w:hAnsi="Times New Roman"/>
          <w:color w:val="222222"/>
          <w:sz w:val="24"/>
          <w:shd w:val="clear" w:color="auto" w:fill="FFFFFF"/>
          <w:lang w:val="en-US" w:eastAsia="zh-CN"/>
        </w:rPr>
        <w:t xml:space="preserve">Question 4: </w:t>
      </w:r>
      <w:r>
        <w:rPr>
          <w:rFonts w:ascii="Times New Roman" w:hAnsi="Times New Roman"/>
          <w:color w:val="222222"/>
          <w:sz w:val="24"/>
          <w:shd w:val="clear" w:color="auto" w:fill="FFFFFF"/>
        </w:rPr>
        <w:t>Agree/disagree: Your creativity is something about you that you cannot change very much.</w:t>
      </w:r>
      <w:r>
        <w:rPr>
          <w:rFonts w:hint="eastAsia" w:ascii="Times New Roman" w:hAnsi="Times New Roman"/>
          <w:color w:val="222222"/>
          <w:sz w:val="24"/>
          <w:shd w:val="clear" w:color="auto" w:fill="FFFFFF"/>
          <w:lang w:val="en-US" w:eastAsia="zh-CN"/>
        </w:rPr>
        <w:t xml:space="preserve"> For this question, the mean score was 2.75 (SD = 0.96). This score was slightly higher than the overall mean score, indicating that students generally tended to disagree that creativity is fixed and believed that creativity can be cultivated.</w:t>
      </w:r>
    </w:p>
    <w:p w14:paraId="08A93A9A">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olor w:val="222222"/>
          <w:sz w:val="24"/>
          <w:shd w:val="clear" w:color="auto" w:fill="FFFFFF"/>
          <w:lang w:val="en-US" w:eastAsia="zh-CN"/>
        </w:rPr>
      </w:pPr>
      <w:r>
        <w:rPr>
          <w:rFonts w:hint="default" w:ascii="Times New Roman" w:hAnsi="Times New Roman"/>
          <w:color w:val="222222"/>
          <w:sz w:val="24"/>
          <w:shd w:val="clear" w:color="auto" w:fill="FFFFFF"/>
          <w:lang w:val="en-US" w:eastAsia="zh-CN"/>
        </w:rPr>
        <w:t>The distribution of the total score data shows a slight negative skewness (Skewness = -0.372), indicating that students' responses slightly shifted towards higher scores (i.e., a growth mindset); the kurtosis is -1.070, suggesting that the distribution is slightly platykurtic (flatter than a normal distribution), meaning the data distribution is more dispersed and has greater differences.</w:t>
      </w:r>
    </w:p>
    <w:p w14:paraId="0E538FF3">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i/>
          <w:iCs/>
          <w:sz w:val="24"/>
          <w:szCs w:val="24"/>
          <w:lang w:val="en-US" w:eastAsia="zh-CN"/>
        </w:rPr>
      </w:pPr>
      <w:r>
        <w:rPr>
          <w:rFonts w:hint="eastAsia" w:ascii="Times New Roman" w:hAnsi="Times New Roman" w:cs="Times New Roman"/>
          <w:b/>
          <w:bCs/>
          <w:i/>
          <w:iCs/>
          <w:sz w:val="24"/>
          <w:szCs w:val="24"/>
          <w:lang w:val="en-US" w:eastAsia="zh-CN"/>
        </w:rPr>
        <w:t>Descriptive Statistics of Math Anxiety</w:t>
      </w:r>
    </w:p>
    <w:p w14:paraId="394048F8">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The mathematics anxiety scale also uses a 4-point scoring system (1 = strongly disagree, </w:t>
      </w:r>
      <w:r>
        <w:rPr>
          <w:rFonts w:hint="eastAsia" w:ascii="Times New Roman" w:hAnsi="Times New Roman" w:cs="Times New Roman"/>
          <w:b w:val="0"/>
          <w:bCs w:val="0"/>
          <w:i w:val="0"/>
          <w:iCs w:val="0"/>
          <w:sz w:val="24"/>
          <w:szCs w:val="24"/>
          <w:lang w:val="en-US" w:eastAsia="zh-CN"/>
        </w:rPr>
        <w:t xml:space="preserve">2 = disagree, 3 = agree, </w:t>
      </w:r>
      <w:r>
        <w:rPr>
          <w:rFonts w:hint="default" w:ascii="Times New Roman" w:hAnsi="Times New Roman" w:cs="Times New Roman"/>
          <w:b w:val="0"/>
          <w:bCs w:val="0"/>
          <w:i w:val="0"/>
          <w:iCs w:val="0"/>
          <w:sz w:val="24"/>
          <w:szCs w:val="24"/>
          <w:lang w:val="en-US" w:eastAsia="zh-CN"/>
        </w:rPr>
        <w:t>4 = strongly agree), with higher scores indicating a more severe level of mathematics anxiety.</w:t>
      </w:r>
    </w:p>
    <w:p w14:paraId="2B466844">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b/>
          <w:bCs/>
          <w:color w:val="000000" w:themeColor="text1"/>
          <w:sz w:val="24"/>
          <w:szCs w:val="24"/>
          <w:lang w:val="en-US" w:eastAsia="zh-CN"/>
          <w14:textFill>
            <w14:solidFill>
              <w14:schemeClr w14:val="tx1"/>
            </w14:solidFill>
          </w14:textFill>
        </w:rPr>
      </w:pPr>
      <w:r>
        <w:rPr>
          <w:rFonts w:hint="eastAsia" w:ascii="Times New Roman" w:hAnsi="Times New Roman" w:cs="Times New Roman"/>
          <w:b/>
          <w:bCs/>
          <w:color w:val="000000" w:themeColor="text1"/>
          <w:sz w:val="24"/>
          <w:szCs w:val="24"/>
          <w:lang w:val="en-US" w:eastAsia="zh-CN"/>
          <w14:textFill>
            <w14:solidFill>
              <w14:schemeClr w14:val="tx1"/>
            </w14:solidFill>
          </w14:textFill>
        </w:rPr>
        <w:t>Table 6</w:t>
      </w:r>
    </w:p>
    <w:p w14:paraId="7A053A10">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i/>
          <w:iCs/>
          <w:sz w:val="24"/>
          <w:szCs w:val="24"/>
          <w:lang w:val="en-US" w:eastAsia="zh-CN"/>
        </w:rPr>
      </w:pPr>
      <w:r>
        <w:rPr>
          <w:rFonts w:hint="default" w:ascii="Times New Roman" w:hAnsi="Times New Roman" w:cs="Times New Roman"/>
          <w:i/>
          <w:iCs/>
          <w:sz w:val="24"/>
          <w:szCs w:val="24"/>
          <w:lang w:val="en-US" w:eastAsia="zh-CN"/>
        </w:rPr>
        <w:t xml:space="preserve">Descriptive Statistics of </w:t>
      </w:r>
      <w:r>
        <w:rPr>
          <w:rFonts w:hint="eastAsia" w:ascii="Times New Roman" w:hAnsi="Times New Roman" w:cs="Times New Roman"/>
          <w:i/>
          <w:iCs/>
          <w:sz w:val="24"/>
          <w:szCs w:val="24"/>
          <w:lang w:val="en-US" w:eastAsia="zh-CN"/>
        </w:rPr>
        <w:t>Math Anxiety</w:t>
      </w:r>
    </w:p>
    <w:p w14:paraId="0BBE741C">
      <w:pPr>
        <w:spacing w:beforeLines="0" w:afterLines="0"/>
        <w:rPr>
          <w:rFonts w:hint="default"/>
          <w:sz w:val="24"/>
          <w:szCs w:val="24"/>
        </w:rPr>
      </w:pPr>
    </w:p>
    <w:tbl>
      <w:tblPr>
        <w:tblStyle w:val="3"/>
        <w:tblW w:w="8218"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459"/>
        <w:gridCol w:w="844"/>
        <w:gridCol w:w="891"/>
        <w:gridCol w:w="843"/>
        <w:gridCol w:w="832"/>
        <w:gridCol w:w="962"/>
        <w:gridCol w:w="844"/>
        <w:gridCol w:w="844"/>
        <w:gridCol w:w="914"/>
        <w:gridCol w:w="785"/>
      </w:tblGrid>
      <w:tr w14:paraId="59589AC5">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298" w:hRule="atLeast"/>
        </w:trPr>
        <w:tc>
          <w:tcPr>
            <w:tcW w:w="8218" w:type="dxa"/>
            <w:gridSpan w:val="10"/>
            <w:tcBorders>
              <w:top w:val="single" w:color="auto" w:sz="4" w:space="0"/>
              <w:left w:val="nil"/>
              <w:bottom w:val="single" w:color="auto" w:sz="4" w:space="0"/>
              <w:right w:val="nil"/>
            </w:tcBorders>
            <w:shd w:val="clear" w:color="auto" w:fill="FFFFFF"/>
            <w:noWrap w:val="0"/>
            <w:vAlign w:val="center"/>
          </w:tcPr>
          <w:p w14:paraId="3F75F4AE">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b/>
                <w:color w:val="000000" w:themeColor="text1"/>
                <w:sz w:val="20"/>
                <w:szCs w:val="20"/>
                <w14:textFill>
                  <w14:solidFill>
                    <w14:schemeClr w14:val="tx1"/>
                  </w14:solidFill>
                </w14:textFill>
              </w:rPr>
              <w:t>Descriptive Statistics</w:t>
            </w:r>
          </w:p>
        </w:tc>
      </w:tr>
      <w:tr w14:paraId="568999A7">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298" w:hRule="atLeast"/>
        </w:trPr>
        <w:tc>
          <w:tcPr>
            <w:tcW w:w="459" w:type="dxa"/>
            <w:vMerge w:val="restart"/>
            <w:tcBorders>
              <w:top w:val="single" w:color="auto" w:sz="4" w:space="0"/>
              <w:left w:val="nil"/>
              <w:bottom w:val="nil"/>
              <w:right w:val="nil"/>
              <w:tl2br w:val="nil"/>
              <w:tr2bl w:val="nil"/>
            </w:tcBorders>
            <w:shd w:val="clear" w:color="auto" w:fill="FFFFFF"/>
            <w:noWrap w:val="0"/>
            <w:vAlign w:val="bottom"/>
          </w:tcPr>
          <w:p w14:paraId="3DD31D51">
            <w:pPr>
              <w:keepNext w:val="0"/>
              <w:keepLines w:val="0"/>
              <w:pageBreakBefore w:val="0"/>
              <w:widowControl w:val="0"/>
              <w:kinsoku/>
              <w:wordWrap/>
              <w:overflowPunct/>
              <w:topLinePunct w:val="0"/>
              <w:autoSpaceDE/>
              <w:autoSpaceDN/>
              <w:bidi w:val="0"/>
              <w:adjustRightInd/>
              <w:snapToGrid/>
              <w:spacing w:beforeLines="0" w:afterLines="0" w:line="480" w:lineRule="auto"/>
              <w:textAlignment w:val="auto"/>
              <w:rPr>
                <w:rFonts w:hint="default" w:ascii="Times New Roman" w:hAnsi="Times New Roman" w:cs="Times New Roman"/>
                <w:color w:val="000000" w:themeColor="text1"/>
                <w:sz w:val="20"/>
                <w:szCs w:val="20"/>
                <w14:textFill>
                  <w14:solidFill>
                    <w14:schemeClr w14:val="tx1"/>
                  </w14:solidFill>
                </w14:textFill>
              </w:rPr>
            </w:pPr>
          </w:p>
        </w:tc>
        <w:tc>
          <w:tcPr>
            <w:tcW w:w="844" w:type="dxa"/>
            <w:tcBorders>
              <w:top w:val="single" w:color="auto" w:sz="4" w:space="0"/>
              <w:left w:val="nil"/>
              <w:bottom w:val="nil"/>
              <w:right w:val="nil"/>
              <w:tl2br w:val="nil"/>
              <w:tr2bl w:val="nil"/>
            </w:tcBorders>
            <w:shd w:val="clear" w:color="auto" w:fill="FFFFFF"/>
            <w:noWrap w:val="0"/>
            <w:vAlign w:val="bottom"/>
          </w:tcPr>
          <w:p w14:paraId="6D3D8058">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N</w:t>
            </w:r>
          </w:p>
        </w:tc>
        <w:tc>
          <w:tcPr>
            <w:tcW w:w="891" w:type="dxa"/>
            <w:tcBorders>
              <w:top w:val="single" w:color="auto" w:sz="4" w:space="0"/>
              <w:left w:val="single" w:color="E0E0E0" w:sz="8" w:space="0"/>
              <w:bottom w:val="nil"/>
              <w:right w:val="nil"/>
              <w:tl2br w:val="nil"/>
              <w:tr2bl w:val="nil"/>
            </w:tcBorders>
            <w:shd w:val="clear" w:color="auto" w:fill="FFFFFF"/>
            <w:noWrap w:val="0"/>
            <w:vAlign w:val="bottom"/>
          </w:tcPr>
          <w:p w14:paraId="3F71BD4D">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Min</w:t>
            </w:r>
          </w:p>
        </w:tc>
        <w:tc>
          <w:tcPr>
            <w:tcW w:w="843" w:type="dxa"/>
            <w:tcBorders>
              <w:top w:val="single" w:color="auto" w:sz="4" w:space="0"/>
              <w:left w:val="single" w:color="E0E0E0" w:sz="8" w:space="0"/>
              <w:bottom w:val="nil"/>
              <w:right w:val="nil"/>
              <w:tl2br w:val="nil"/>
              <w:tr2bl w:val="nil"/>
            </w:tcBorders>
            <w:shd w:val="clear" w:color="auto" w:fill="FFFFFF"/>
            <w:noWrap w:val="0"/>
            <w:vAlign w:val="bottom"/>
          </w:tcPr>
          <w:p w14:paraId="30A7D2D7">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Max</w:t>
            </w:r>
          </w:p>
        </w:tc>
        <w:tc>
          <w:tcPr>
            <w:tcW w:w="832" w:type="dxa"/>
            <w:tcBorders>
              <w:top w:val="single" w:color="auto" w:sz="4" w:space="0"/>
              <w:left w:val="single" w:color="E0E0E0" w:sz="8" w:space="0"/>
              <w:bottom w:val="nil"/>
              <w:right w:val="nil"/>
              <w:tl2br w:val="nil"/>
              <w:tr2bl w:val="nil"/>
            </w:tcBorders>
            <w:shd w:val="clear" w:color="auto" w:fill="FFFFFF"/>
            <w:noWrap w:val="0"/>
            <w:vAlign w:val="bottom"/>
          </w:tcPr>
          <w:p w14:paraId="24CD0756">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Mean</w:t>
            </w:r>
          </w:p>
        </w:tc>
        <w:tc>
          <w:tcPr>
            <w:tcW w:w="962" w:type="dxa"/>
            <w:tcBorders>
              <w:top w:val="single" w:color="auto" w:sz="4" w:space="0"/>
              <w:left w:val="single" w:color="E0E0E0" w:sz="8" w:space="0"/>
              <w:bottom w:val="nil"/>
              <w:right w:val="nil"/>
              <w:tl2br w:val="nil"/>
              <w:tr2bl w:val="nil"/>
            </w:tcBorders>
            <w:shd w:val="clear" w:color="auto" w:fill="FFFFFF"/>
            <w:noWrap w:val="0"/>
            <w:vAlign w:val="bottom"/>
          </w:tcPr>
          <w:p w14:paraId="3CDE5EB8">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Std. Deviation</w:t>
            </w:r>
          </w:p>
        </w:tc>
        <w:tc>
          <w:tcPr>
            <w:tcW w:w="1688" w:type="dxa"/>
            <w:gridSpan w:val="2"/>
            <w:tcBorders>
              <w:top w:val="single" w:color="auto" w:sz="4" w:space="0"/>
              <w:left w:val="single" w:color="E0E0E0" w:sz="8" w:space="0"/>
              <w:bottom w:val="nil"/>
              <w:right w:val="nil"/>
              <w:tl2br w:val="nil"/>
              <w:tr2bl w:val="nil"/>
            </w:tcBorders>
            <w:shd w:val="clear" w:color="auto" w:fill="FFFFFF"/>
            <w:noWrap w:val="0"/>
            <w:vAlign w:val="bottom"/>
          </w:tcPr>
          <w:p w14:paraId="51D1E28D">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Skewness</w:t>
            </w:r>
          </w:p>
        </w:tc>
        <w:tc>
          <w:tcPr>
            <w:tcW w:w="1699" w:type="dxa"/>
            <w:gridSpan w:val="2"/>
            <w:tcBorders>
              <w:top w:val="single" w:color="auto" w:sz="4" w:space="0"/>
              <w:left w:val="single" w:color="E0E0E0" w:sz="8" w:space="0"/>
              <w:bottom w:val="nil"/>
              <w:right w:val="nil"/>
              <w:tl2br w:val="nil"/>
              <w:tr2bl w:val="nil"/>
            </w:tcBorders>
            <w:shd w:val="clear" w:color="auto" w:fill="FFFFFF"/>
            <w:noWrap w:val="0"/>
            <w:vAlign w:val="bottom"/>
          </w:tcPr>
          <w:p w14:paraId="48637C1C">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Kurtosis</w:t>
            </w:r>
          </w:p>
        </w:tc>
      </w:tr>
      <w:tr w14:paraId="69A8366E">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298" w:hRule="atLeast"/>
        </w:trPr>
        <w:tc>
          <w:tcPr>
            <w:tcW w:w="459" w:type="dxa"/>
            <w:vMerge w:val="continue"/>
            <w:tcBorders>
              <w:top w:val="nil"/>
              <w:left w:val="nil"/>
              <w:bottom w:val="nil"/>
              <w:right w:val="nil"/>
            </w:tcBorders>
            <w:shd w:val="clear" w:color="auto" w:fill="FFFFFF"/>
            <w:noWrap w:val="0"/>
            <w:vAlign w:val="bottom"/>
          </w:tcPr>
          <w:p w14:paraId="1B3EADCD">
            <w:pPr>
              <w:keepNext w:val="0"/>
              <w:keepLines w:val="0"/>
              <w:pageBreakBefore w:val="0"/>
              <w:widowControl w:val="0"/>
              <w:kinsoku/>
              <w:wordWrap/>
              <w:overflowPunct/>
              <w:topLinePunct w:val="0"/>
              <w:autoSpaceDE/>
              <w:autoSpaceDN/>
              <w:bidi w:val="0"/>
              <w:adjustRightInd/>
              <w:snapToGrid/>
              <w:spacing w:beforeLines="0" w:afterLines="0" w:line="480" w:lineRule="auto"/>
              <w:textAlignment w:val="auto"/>
              <w:rPr>
                <w:rFonts w:hint="default" w:ascii="Times New Roman" w:hAnsi="Times New Roman" w:cs="Times New Roman"/>
                <w:color w:val="000000" w:themeColor="text1"/>
                <w:sz w:val="20"/>
                <w:szCs w:val="20"/>
                <w14:textFill>
                  <w14:solidFill>
                    <w14:schemeClr w14:val="tx1"/>
                  </w14:solidFill>
                </w14:textFill>
              </w:rPr>
            </w:pPr>
          </w:p>
        </w:tc>
        <w:tc>
          <w:tcPr>
            <w:tcW w:w="844" w:type="dxa"/>
            <w:tcBorders>
              <w:top w:val="nil"/>
              <w:left w:val="nil"/>
              <w:bottom w:val="nil"/>
              <w:right w:val="nil"/>
            </w:tcBorders>
            <w:shd w:val="clear" w:color="auto" w:fill="FFFFFF"/>
            <w:noWrap w:val="0"/>
            <w:vAlign w:val="bottom"/>
          </w:tcPr>
          <w:p w14:paraId="02F696D6">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Statistic</w:t>
            </w:r>
          </w:p>
        </w:tc>
        <w:tc>
          <w:tcPr>
            <w:tcW w:w="891" w:type="dxa"/>
            <w:tcBorders>
              <w:top w:val="nil"/>
              <w:left w:val="nil"/>
              <w:bottom w:val="nil"/>
              <w:right w:val="nil"/>
            </w:tcBorders>
            <w:shd w:val="clear" w:color="auto" w:fill="FFFFFF"/>
            <w:noWrap w:val="0"/>
            <w:vAlign w:val="bottom"/>
          </w:tcPr>
          <w:p w14:paraId="2185BA5E">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Statistic</w:t>
            </w:r>
          </w:p>
        </w:tc>
        <w:tc>
          <w:tcPr>
            <w:tcW w:w="843" w:type="dxa"/>
            <w:tcBorders>
              <w:top w:val="nil"/>
              <w:left w:val="nil"/>
              <w:bottom w:val="nil"/>
              <w:right w:val="nil"/>
            </w:tcBorders>
            <w:shd w:val="clear" w:color="auto" w:fill="FFFFFF"/>
            <w:noWrap w:val="0"/>
            <w:vAlign w:val="bottom"/>
          </w:tcPr>
          <w:p w14:paraId="41C6FD2A">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Statistic</w:t>
            </w:r>
          </w:p>
        </w:tc>
        <w:tc>
          <w:tcPr>
            <w:tcW w:w="832" w:type="dxa"/>
            <w:tcBorders>
              <w:top w:val="nil"/>
              <w:left w:val="nil"/>
              <w:bottom w:val="nil"/>
              <w:right w:val="nil"/>
            </w:tcBorders>
            <w:shd w:val="clear" w:color="auto" w:fill="FFFFFF"/>
            <w:noWrap w:val="0"/>
            <w:vAlign w:val="bottom"/>
          </w:tcPr>
          <w:p w14:paraId="6F1993DD">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Statistic</w:t>
            </w:r>
          </w:p>
        </w:tc>
        <w:tc>
          <w:tcPr>
            <w:tcW w:w="962" w:type="dxa"/>
            <w:tcBorders>
              <w:top w:val="nil"/>
              <w:left w:val="nil"/>
              <w:bottom w:val="nil"/>
              <w:right w:val="nil"/>
            </w:tcBorders>
            <w:shd w:val="clear" w:color="auto" w:fill="FFFFFF"/>
            <w:noWrap w:val="0"/>
            <w:vAlign w:val="bottom"/>
          </w:tcPr>
          <w:p w14:paraId="7734ED36">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Statistic</w:t>
            </w:r>
          </w:p>
        </w:tc>
        <w:tc>
          <w:tcPr>
            <w:tcW w:w="844" w:type="dxa"/>
            <w:tcBorders>
              <w:top w:val="nil"/>
              <w:left w:val="nil"/>
              <w:bottom w:val="nil"/>
              <w:right w:val="nil"/>
            </w:tcBorders>
            <w:shd w:val="clear" w:color="auto" w:fill="FFFFFF"/>
            <w:noWrap w:val="0"/>
            <w:vAlign w:val="bottom"/>
          </w:tcPr>
          <w:p w14:paraId="17DEFD03">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Statistic</w:t>
            </w:r>
          </w:p>
        </w:tc>
        <w:tc>
          <w:tcPr>
            <w:tcW w:w="844" w:type="dxa"/>
            <w:tcBorders>
              <w:top w:val="nil"/>
              <w:left w:val="nil"/>
              <w:bottom w:val="nil"/>
              <w:right w:val="nil"/>
            </w:tcBorders>
            <w:shd w:val="clear" w:color="auto" w:fill="FFFFFF"/>
            <w:noWrap w:val="0"/>
            <w:vAlign w:val="bottom"/>
          </w:tcPr>
          <w:p w14:paraId="11E267AA">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Std. Error</w:t>
            </w:r>
          </w:p>
        </w:tc>
        <w:tc>
          <w:tcPr>
            <w:tcW w:w="914" w:type="dxa"/>
            <w:tcBorders>
              <w:top w:val="nil"/>
              <w:left w:val="nil"/>
              <w:bottom w:val="nil"/>
              <w:right w:val="nil"/>
            </w:tcBorders>
            <w:shd w:val="clear" w:color="auto" w:fill="FFFFFF"/>
            <w:noWrap w:val="0"/>
            <w:vAlign w:val="bottom"/>
          </w:tcPr>
          <w:p w14:paraId="690BFF8C">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Statistic</w:t>
            </w:r>
          </w:p>
        </w:tc>
        <w:tc>
          <w:tcPr>
            <w:tcW w:w="785" w:type="dxa"/>
            <w:tcBorders>
              <w:top w:val="nil"/>
              <w:left w:val="nil"/>
              <w:bottom w:val="nil"/>
              <w:right w:val="nil"/>
            </w:tcBorders>
            <w:shd w:val="clear" w:color="auto" w:fill="FFFFFF"/>
            <w:noWrap w:val="0"/>
            <w:vAlign w:val="bottom"/>
          </w:tcPr>
          <w:p w14:paraId="581BB81C">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Std. Error</w:t>
            </w:r>
          </w:p>
        </w:tc>
      </w:tr>
      <w:tr w14:paraId="3EEC2863">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17" w:hRule="atLeast"/>
        </w:trPr>
        <w:tc>
          <w:tcPr>
            <w:tcW w:w="459" w:type="dxa"/>
            <w:tcBorders>
              <w:top w:val="nil"/>
              <w:left w:val="nil"/>
              <w:bottom w:val="nil"/>
              <w:right w:val="nil"/>
              <w:tl2br w:val="nil"/>
              <w:tr2bl w:val="nil"/>
            </w:tcBorders>
            <w:shd w:val="clear" w:color="auto" w:fill="FFFFFF" w:themeFill="background1"/>
            <w:noWrap w:val="0"/>
            <w:vAlign w:val="top"/>
          </w:tcPr>
          <w:p w14:paraId="70BCD5BA">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textAlignment w:val="auto"/>
              <w:rPr>
                <w:rFonts w:hint="eastAsia" w:ascii="Times New Roman" w:hAnsi="Times New Roman" w:cs="Times New Roman" w:eastAsiaTheme="minorEastAsia"/>
                <w:color w:val="000000" w:themeColor="text1"/>
                <w:sz w:val="20"/>
                <w:szCs w:val="20"/>
                <w:lang w:val="en-US" w:eastAsia="zh-CN"/>
                <w14:textFill>
                  <w14:solidFill>
                    <w14:schemeClr w14:val="tx1"/>
                  </w14:solidFill>
                </w14:textFill>
              </w:rPr>
            </w:pPr>
            <w:r>
              <w:rPr>
                <w:rFonts w:hint="eastAsia" w:ascii="Times New Roman" w:hAnsi="Times New Roman" w:cs="Times New Roman"/>
                <w:color w:val="000000" w:themeColor="text1"/>
                <w:sz w:val="20"/>
                <w:szCs w:val="20"/>
                <w:lang w:val="en-US" w:eastAsia="zh-CN"/>
                <w14:textFill>
                  <w14:solidFill>
                    <w14:schemeClr w14:val="tx1"/>
                  </w14:solidFill>
                </w14:textFill>
              </w:rPr>
              <w:t>5</w:t>
            </w:r>
          </w:p>
        </w:tc>
        <w:tc>
          <w:tcPr>
            <w:tcW w:w="844" w:type="dxa"/>
            <w:tcBorders>
              <w:top w:val="nil"/>
              <w:left w:val="nil"/>
              <w:bottom w:val="nil"/>
              <w:right w:val="nil"/>
              <w:tl2br w:val="nil"/>
              <w:tr2bl w:val="nil"/>
            </w:tcBorders>
            <w:shd w:val="clear" w:color="auto" w:fill="FFFFFF"/>
            <w:noWrap w:val="0"/>
            <w:vAlign w:val="top"/>
          </w:tcPr>
          <w:p w14:paraId="5BC3D1BD">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297</w:t>
            </w:r>
          </w:p>
        </w:tc>
        <w:tc>
          <w:tcPr>
            <w:tcW w:w="891" w:type="dxa"/>
            <w:tcBorders>
              <w:top w:val="nil"/>
              <w:left w:val="single" w:color="E0E0E0" w:sz="8" w:space="0"/>
              <w:bottom w:val="nil"/>
              <w:right w:val="nil"/>
              <w:tl2br w:val="nil"/>
              <w:tr2bl w:val="nil"/>
            </w:tcBorders>
            <w:shd w:val="clear" w:color="auto" w:fill="FFFFFF"/>
            <w:noWrap w:val="0"/>
            <w:vAlign w:val="top"/>
          </w:tcPr>
          <w:p w14:paraId="2E7F6BA6">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w:t>
            </w:r>
          </w:p>
        </w:tc>
        <w:tc>
          <w:tcPr>
            <w:tcW w:w="843" w:type="dxa"/>
            <w:tcBorders>
              <w:top w:val="nil"/>
              <w:left w:val="single" w:color="E0E0E0" w:sz="8" w:space="0"/>
              <w:bottom w:val="nil"/>
              <w:right w:val="nil"/>
              <w:tl2br w:val="nil"/>
              <w:tr2bl w:val="nil"/>
            </w:tcBorders>
            <w:shd w:val="clear" w:color="auto" w:fill="FFFFFF"/>
            <w:noWrap w:val="0"/>
            <w:vAlign w:val="top"/>
          </w:tcPr>
          <w:p w14:paraId="3D4CB08A">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4</w:t>
            </w:r>
          </w:p>
        </w:tc>
        <w:tc>
          <w:tcPr>
            <w:tcW w:w="832" w:type="dxa"/>
            <w:tcBorders>
              <w:top w:val="nil"/>
              <w:left w:val="single" w:color="E0E0E0" w:sz="8" w:space="0"/>
              <w:bottom w:val="nil"/>
              <w:right w:val="nil"/>
              <w:tl2br w:val="nil"/>
              <w:tr2bl w:val="nil"/>
            </w:tcBorders>
            <w:shd w:val="clear" w:color="auto" w:fill="FFFFFF"/>
            <w:noWrap w:val="0"/>
            <w:vAlign w:val="top"/>
          </w:tcPr>
          <w:p w14:paraId="247AEB01">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2.63</w:t>
            </w:r>
          </w:p>
        </w:tc>
        <w:tc>
          <w:tcPr>
            <w:tcW w:w="962" w:type="dxa"/>
            <w:tcBorders>
              <w:top w:val="nil"/>
              <w:left w:val="single" w:color="E0E0E0" w:sz="8" w:space="0"/>
              <w:bottom w:val="nil"/>
              <w:right w:val="nil"/>
              <w:tl2br w:val="nil"/>
              <w:tr2bl w:val="nil"/>
            </w:tcBorders>
            <w:shd w:val="clear" w:color="auto" w:fill="FFFFFF"/>
            <w:noWrap w:val="0"/>
            <w:vAlign w:val="top"/>
          </w:tcPr>
          <w:p w14:paraId="05013D8F">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.982</w:t>
            </w:r>
          </w:p>
        </w:tc>
        <w:tc>
          <w:tcPr>
            <w:tcW w:w="844" w:type="dxa"/>
            <w:tcBorders>
              <w:top w:val="nil"/>
              <w:left w:val="single" w:color="E0E0E0" w:sz="8" w:space="0"/>
              <w:bottom w:val="nil"/>
              <w:right w:val="single" w:color="E0E0E0" w:sz="8" w:space="0"/>
              <w:tl2br w:val="nil"/>
              <w:tr2bl w:val="nil"/>
            </w:tcBorders>
            <w:shd w:val="clear" w:color="auto" w:fill="FFFFFF"/>
            <w:noWrap w:val="0"/>
            <w:vAlign w:val="top"/>
          </w:tcPr>
          <w:p w14:paraId="7A6BAC26">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-.098</w:t>
            </w:r>
          </w:p>
        </w:tc>
        <w:tc>
          <w:tcPr>
            <w:tcW w:w="844" w:type="dxa"/>
            <w:tcBorders>
              <w:top w:val="nil"/>
              <w:left w:val="single" w:color="E0E0E0" w:sz="8" w:space="0"/>
              <w:bottom w:val="nil"/>
              <w:right w:val="nil"/>
              <w:tl2br w:val="nil"/>
              <w:tr2bl w:val="nil"/>
            </w:tcBorders>
            <w:shd w:val="clear" w:color="auto" w:fill="FFFFFF"/>
            <w:noWrap w:val="0"/>
            <w:vAlign w:val="top"/>
          </w:tcPr>
          <w:p w14:paraId="5A304355">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.141</w:t>
            </w:r>
          </w:p>
        </w:tc>
        <w:tc>
          <w:tcPr>
            <w:tcW w:w="914" w:type="dxa"/>
            <w:tcBorders>
              <w:top w:val="nil"/>
              <w:left w:val="single" w:color="E0E0E0" w:sz="8" w:space="0"/>
              <w:bottom w:val="nil"/>
              <w:right w:val="single" w:color="E0E0E0" w:sz="8" w:space="0"/>
              <w:tl2br w:val="nil"/>
              <w:tr2bl w:val="nil"/>
            </w:tcBorders>
            <w:shd w:val="clear" w:color="auto" w:fill="FFFFFF"/>
            <w:noWrap w:val="0"/>
            <w:vAlign w:val="top"/>
          </w:tcPr>
          <w:p w14:paraId="140C2901">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-1.011</w:t>
            </w:r>
          </w:p>
        </w:tc>
        <w:tc>
          <w:tcPr>
            <w:tcW w:w="785" w:type="dxa"/>
            <w:tcBorders>
              <w:top w:val="nil"/>
              <w:left w:val="single" w:color="E0E0E0" w:sz="8" w:space="0"/>
              <w:bottom w:val="nil"/>
              <w:right w:val="nil"/>
              <w:tl2br w:val="nil"/>
              <w:tr2bl w:val="nil"/>
            </w:tcBorders>
            <w:shd w:val="clear" w:color="auto" w:fill="FFFFFF"/>
            <w:noWrap w:val="0"/>
            <w:vAlign w:val="top"/>
          </w:tcPr>
          <w:p w14:paraId="485F9871">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.282</w:t>
            </w:r>
          </w:p>
        </w:tc>
      </w:tr>
      <w:tr w14:paraId="29637B00">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17" w:hRule="atLeast"/>
        </w:trPr>
        <w:tc>
          <w:tcPr>
            <w:tcW w:w="459" w:type="dxa"/>
            <w:tcBorders>
              <w:top w:val="nil"/>
              <w:left w:val="nil"/>
              <w:bottom w:val="nil"/>
              <w:right w:val="nil"/>
            </w:tcBorders>
            <w:shd w:val="clear" w:color="auto" w:fill="FFFFFF" w:themeFill="background1"/>
            <w:noWrap w:val="0"/>
            <w:vAlign w:val="top"/>
          </w:tcPr>
          <w:p w14:paraId="13D8F4E9">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textAlignment w:val="auto"/>
              <w:rPr>
                <w:rFonts w:hint="eastAsia" w:ascii="Times New Roman" w:hAnsi="Times New Roman" w:cs="Times New Roman" w:eastAsiaTheme="minorEastAsia"/>
                <w:color w:val="000000" w:themeColor="text1"/>
                <w:sz w:val="20"/>
                <w:szCs w:val="20"/>
                <w:lang w:val="en-US" w:eastAsia="zh-CN"/>
                <w14:textFill>
                  <w14:solidFill>
                    <w14:schemeClr w14:val="tx1"/>
                  </w14:solidFill>
                </w14:textFill>
              </w:rPr>
            </w:pPr>
            <w:r>
              <w:rPr>
                <w:rFonts w:hint="eastAsia" w:ascii="Times New Roman" w:hAnsi="Times New Roman" w:cs="Times New Roman"/>
                <w:color w:val="000000" w:themeColor="text1"/>
                <w:sz w:val="20"/>
                <w:szCs w:val="20"/>
                <w:lang w:val="en-US" w:eastAsia="zh-CN"/>
                <w14:textFill>
                  <w14:solidFill>
                    <w14:schemeClr w14:val="tx1"/>
                  </w14:solidFill>
                </w14:textFill>
              </w:rPr>
              <w:t>6</w:t>
            </w:r>
          </w:p>
        </w:tc>
        <w:tc>
          <w:tcPr>
            <w:tcW w:w="844" w:type="dxa"/>
            <w:tcBorders>
              <w:top w:val="nil"/>
              <w:left w:val="nil"/>
              <w:bottom w:val="nil"/>
              <w:right w:val="nil"/>
            </w:tcBorders>
            <w:shd w:val="clear" w:color="auto" w:fill="FFFFFF"/>
            <w:noWrap w:val="0"/>
            <w:vAlign w:val="top"/>
          </w:tcPr>
          <w:p w14:paraId="37DE9F4A">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297</w:t>
            </w:r>
          </w:p>
        </w:tc>
        <w:tc>
          <w:tcPr>
            <w:tcW w:w="891" w:type="dxa"/>
            <w:tcBorders>
              <w:top w:val="nil"/>
              <w:left w:val="nil"/>
              <w:bottom w:val="nil"/>
              <w:right w:val="nil"/>
            </w:tcBorders>
            <w:shd w:val="clear" w:color="auto" w:fill="FFFFFF"/>
            <w:noWrap w:val="0"/>
            <w:vAlign w:val="top"/>
          </w:tcPr>
          <w:p w14:paraId="4843F9BC">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w:t>
            </w:r>
          </w:p>
        </w:tc>
        <w:tc>
          <w:tcPr>
            <w:tcW w:w="843" w:type="dxa"/>
            <w:tcBorders>
              <w:top w:val="nil"/>
              <w:left w:val="nil"/>
              <w:bottom w:val="nil"/>
              <w:right w:val="nil"/>
            </w:tcBorders>
            <w:shd w:val="clear" w:color="auto" w:fill="FFFFFF"/>
            <w:noWrap w:val="0"/>
            <w:vAlign w:val="top"/>
          </w:tcPr>
          <w:p w14:paraId="6BAAF14A">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4</w:t>
            </w:r>
          </w:p>
        </w:tc>
        <w:tc>
          <w:tcPr>
            <w:tcW w:w="832" w:type="dxa"/>
            <w:tcBorders>
              <w:top w:val="nil"/>
              <w:left w:val="nil"/>
              <w:bottom w:val="nil"/>
              <w:right w:val="nil"/>
            </w:tcBorders>
            <w:shd w:val="clear" w:color="auto" w:fill="FFFFFF"/>
            <w:noWrap w:val="0"/>
            <w:vAlign w:val="top"/>
          </w:tcPr>
          <w:p w14:paraId="2CFF8092">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2.49</w:t>
            </w:r>
          </w:p>
        </w:tc>
        <w:tc>
          <w:tcPr>
            <w:tcW w:w="962" w:type="dxa"/>
            <w:tcBorders>
              <w:top w:val="nil"/>
              <w:left w:val="nil"/>
              <w:bottom w:val="nil"/>
              <w:right w:val="nil"/>
            </w:tcBorders>
            <w:shd w:val="clear" w:color="auto" w:fill="FFFFFF"/>
            <w:noWrap w:val="0"/>
            <w:vAlign w:val="top"/>
          </w:tcPr>
          <w:p w14:paraId="1CAE92D4">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1.043</w:t>
            </w:r>
          </w:p>
        </w:tc>
        <w:tc>
          <w:tcPr>
            <w:tcW w:w="844" w:type="dxa"/>
            <w:tcBorders>
              <w:top w:val="nil"/>
              <w:left w:val="nil"/>
              <w:bottom w:val="nil"/>
              <w:right w:val="nil"/>
            </w:tcBorders>
            <w:shd w:val="clear" w:color="auto" w:fill="FFFFFF"/>
            <w:noWrap w:val="0"/>
            <w:vAlign w:val="top"/>
          </w:tcPr>
          <w:p w14:paraId="4F9C068E">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.121</w:t>
            </w:r>
          </w:p>
        </w:tc>
        <w:tc>
          <w:tcPr>
            <w:tcW w:w="844" w:type="dxa"/>
            <w:tcBorders>
              <w:top w:val="nil"/>
              <w:left w:val="nil"/>
              <w:bottom w:val="nil"/>
              <w:right w:val="nil"/>
            </w:tcBorders>
            <w:shd w:val="clear" w:color="auto" w:fill="FFFFFF"/>
            <w:noWrap w:val="0"/>
            <w:vAlign w:val="top"/>
          </w:tcPr>
          <w:p w14:paraId="66CCB6A1">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.141</w:t>
            </w:r>
          </w:p>
        </w:tc>
        <w:tc>
          <w:tcPr>
            <w:tcW w:w="914" w:type="dxa"/>
            <w:tcBorders>
              <w:top w:val="nil"/>
              <w:left w:val="nil"/>
              <w:bottom w:val="nil"/>
              <w:right w:val="nil"/>
            </w:tcBorders>
            <w:shd w:val="clear" w:color="auto" w:fill="FFFFFF"/>
            <w:noWrap w:val="0"/>
            <w:vAlign w:val="top"/>
          </w:tcPr>
          <w:p w14:paraId="5F0C5FE6">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-1.168</w:t>
            </w:r>
          </w:p>
        </w:tc>
        <w:tc>
          <w:tcPr>
            <w:tcW w:w="785" w:type="dxa"/>
            <w:tcBorders>
              <w:top w:val="nil"/>
              <w:left w:val="nil"/>
              <w:bottom w:val="nil"/>
              <w:right w:val="nil"/>
            </w:tcBorders>
            <w:shd w:val="clear" w:color="auto" w:fill="FFFFFF"/>
            <w:noWrap w:val="0"/>
            <w:vAlign w:val="top"/>
          </w:tcPr>
          <w:p w14:paraId="65B12415">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.282</w:t>
            </w:r>
          </w:p>
        </w:tc>
      </w:tr>
      <w:tr w14:paraId="7384105D">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17" w:hRule="atLeast"/>
        </w:trPr>
        <w:tc>
          <w:tcPr>
            <w:tcW w:w="459" w:type="dxa"/>
            <w:tcBorders>
              <w:top w:val="nil"/>
              <w:left w:val="nil"/>
              <w:bottom w:val="nil"/>
              <w:right w:val="nil"/>
            </w:tcBorders>
            <w:shd w:val="clear" w:color="auto" w:fill="FFFFFF" w:themeFill="background1"/>
            <w:noWrap w:val="0"/>
            <w:vAlign w:val="top"/>
          </w:tcPr>
          <w:p w14:paraId="58FC40AB">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textAlignment w:val="auto"/>
              <w:rPr>
                <w:rFonts w:hint="eastAsia" w:ascii="Times New Roman" w:hAnsi="Times New Roman" w:cs="Times New Roman" w:eastAsiaTheme="minorEastAsia"/>
                <w:color w:val="000000" w:themeColor="text1"/>
                <w:sz w:val="20"/>
                <w:szCs w:val="20"/>
                <w:lang w:val="en-US" w:eastAsia="zh-CN"/>
                <w14:textFill>
                  <w14:solidFill>
                    <w14:schemeClr w14:val="tx1"/>
                  </w14:solidFill>
                </w14:textFill>
              </w:rPr>
            </w:pPr>
            <w:r>
              <w:rPr>
                <w:rFonts w:hint="eastAsia" w:ascii="Times New Roman" w:hAnsi="Times New Roman" w:cs="Times New Roman"/>
                <w:color w:val="000000" w:themeColor="text1"/>
                <w:sz w:val="20"/>
                <w:szCs w:val="20"/>
                <w:lang w:val="en-US" w:eastAsia="zh-CN"/>
                <w14:textFill>
                  <w14:solidFill>
                    <w14:schemeClr w14:val="tx1"/>
                  </w14:solidFill>
                </w14:textFill>
              </w:rPr>
              <w:t>7</w:t>
            </w:r>
          </w:p>
        </w:tc>
        <w:tc>
          <w:tcPr>
            <w:tcW w:w="844" w:type="dxa"/>
            <w:tcBorders>
              <w:top w:val="nil"/>
              <w:left w:val="nil"/>
              <w:bottom w:val="nil"/>
              <w:right w:val="nil"/>
            </w:tcBorders>
            <w:shd w:val="clear" w:color="auto" w:fill="FFFFFF"/>
            <w:noWrap w:val="0"/>
            <w:vAlign w:val="top"/>
          </w:tcPr>
          <w:p w14:paraId="44DEBFAC">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297</w:t>
            </w:r>
          </w:p>
        </w:tc>
        <w:tc>
          <w:tcPr>
            <w:tcW w:w="891" w:type="dxa"/>
            <w:tcBorders>
              <w:top w:val="nil"/>
              <w:left w:val="nil"/>
              <w:bottom w:val="nil"/>
              <w:right w:val="nil"/>
            </w:tcBorders>
            <w:shd w:val="clear" w:color="auto" w:fill="FFFFFF"/>
            <w:noWrap w:val="0"/>
            <w:vAlign w:val="top"/>
          </w:tcPr>
          <w:p w14:paraId="010DE425">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w:t>
            </w:r>
          </w:p>
        </w:tc>
        <w:tc>
          <w:tcPr>
            <w:tcW w:w="843" w:type="dxa"/>
            <w:tcBorders>
              <w:top w:val="nil"/>
              <w:left w:val="nil"/>
              <w:bottom w:val="nil"/>
              <w:right w:val="nil"/>
            </w:tcBorders>
            <w:shd w:val="clear" w:color="auto" w:fill="FFFFFF"/>
            <w:noWrap w:val="0"/>
            <w:vAlign w:val="top"/>
          </w:tcPr>
          <w:p w14:paraId="199B44EF">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4</w:t>
            </w:r>
          </w:p>
        </w:tc>
        <w:tc>
          <w:tcPr>
            <w:tcW w:w="832" w:type="dxa"/>
            <w:tcBorders>
              <w:top w:val="nil"/>
              <w:left w:val="nil"/>
              <w:bottom w:val="nil"/>
              <w:right w:val="nil"/>
            </w:tcBorders>
            <w:shd w:val="clear" w:color="auto" w:fill="FFFFFF"/>
            <w:noWrap w:val="0"/>
            <w:vAlign w:val="top"/>
          </w:tcPr>
          <w:p w14:paraId="1D87A2D4">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2.39</w:t>
            </w:r>
          </w:p>
        </w:tc>
        <w:tc>
          <w:tcPr>
            <w:tcW w:w="962" w:type="dxa"/>
            <w:tcBorders>
              <w:top w:val="nil"/>
              <w:left w:val="nil"/>
              <w:bottom w:val="nil"/>
              <w:right w:val="nil"/>
            </w:tcBorders>
            <w:shd w:val="clear" w:color="auto" w:fill="FFFFFF"/>
            <w:noWrap w:val="0"/>
            <w:vAlign w:val="top"/>
          </w:tcPr>
          <w:p w14:paraId="28DC43C0">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.964</w:t>
            </w:r>
          </w:p>
        </w:tc>
        <w:tc>
          <w:tcPr>
            <w:tcW w:w="844" w:type="dxa"/>
            <w:tcBorders>
              <w:top w:val="nil"/>
              <w:left w:val="nil"/>
              <w:bottom w:val="nil"/>
              <w:right w:val="nil"/>
            </w:tcBorders>
            <w:shd w:val="clear" w:color="auto" w:fill="FFFFFF"/>
            <w:noWrap w:val="0"/>
            <w:vAlign w:val="top"/>
          </w:tcPr>
          <w:p w14:paraId="3975B84D">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.076</w:t>
            </w:r>
          </w:p>
        </w:tc>
        <w:tc>
          <w:tcPr>
            <w:tcW w:w="844" w:type="dxa"/>
            <w:tcBorders>
              <w:top w:val="nil"/>
              <w:left w:val="nil"/>
              <w:bottom w:val="nil"/>
              <w:right w:val="nil"/>
            </w:tcBorders>
            <w:shd w:val="clear" w:color="auto" w:fill="FFFFFF"/>
            <w:noWrap w:val="0"/>
            <w:vAlign w:val="top"/>
          </w:tcPr>
          <w:p w14:paraId="78F47287">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.141</w:t>
            </w:r>
          </w:p>
        </w:tc>
        <w:tc>
          <w:tcPr>
            <w:tcW w:w="914" w:type="dxa"/>
            <w:tcBorders>
              <w:top w:val="nil"/>
              <w:left w:val="nil"/>
              <w:bottom w:val="nil"/>
              <w:right w:val="nil"/>
            </w:tcBorders>
            <w:shd w:val="clear" w:color="auto" w:fill="FFFFFF"/>
            <w:noWrap w:val="0"/>
            <w:vAlign w:val="top"/>
          </w:tcPr>
          <w:p w14:paraId="0B2A9485">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-.959</w:t>
            </w:r>
          </w:p>
        </w:tc>
        <w:tc>
          <w:tcPr>
            <w:tcW w:w="785" w:type="dxa"/>
            <w:tcBorders>
              <w:top w:val="nil"/>
              <w:left w:val="nil"/>
              <w:bottom w:val="nil"/>
              <w:right w:val="nil"/>
            </w:tcBorders>
            <w:shd w:val="clear" w:color="auto" w:fill="FFFFFF"/>
            <w:noWrap w:val="0"/>
            <w:vAlign w:val="top"/>
          </w:tcPr>
          <w:p w14:paraId="198B0AFC">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.282</w:t>
            </w:r>
          </w:p>
        </w:tc>
      </w:tr>
      <w:tr w14:paraId="1BA7E137">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17" w:hRule="atLeast"/>
        </w:trPr>
        <w:tc>
          <w:tcPr>
            <w:tcW w:w="459" w:type="dxa"/>
            <w:tcBorders>
              <w:top w:val="nil"/>
              <w:left w:val="nil"/>
              <w:bottom w:val="nil"/>
              <w:right w:val="nil"/>
            </w:tcBorders>
            <w:shd w:val="clear" w:color="auto" w:fill="FFFFFF" w:themeFill="background1"/>
            <w:noWrap w:val="0"/>
            <w:vAlign w:val="top"/>
          </w:tcPr>
          <w:p w14:paraId="6B4B8DD5">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textAlignment w:val="auto"/>
              <w:rPr>
                <w:rFonts w:hint="eastAsia" w:ascii="Times New Roman" w:hAnsi="Times New Roman" w:cs="Times New Roman" w:eastAsiaTheme="minorEastAsia"/>
                <w:color w:val="000000" w:themeColor="text1"/>
                <w:sz w:val="20"/>
                <w:szCs w:val="20"/>
                <w:lang w:val="en-US" w:eastAsia="zh-CN"/>
                <w14:textFill>
                  <w14:solidFill>
                    <w14:schemeClr w14:val="tx1"/>
                  </w14:solidFill>
                </w14:textFill>
              </w:rPr>
            </w:pPr>
            <w:r>
              <w:rPr>
                <w:rFonts w:hint="eastAsia" w:ascii="Times New Roman" w:hAnsi="Times New Roman" w:cs="Times New Roman"/>
                <w:color w:val="000000" w:themeColor="text1"/>
                <w:sz w:val="20"/>
                <w:szCs w:val="20"/>
                <w:lang w:val="en-US" w:eastAsia="zh-CN"/>
                <w14:textFill>
                  <w14:solidFill>
                    <w14:schemeClr w14:val="tx1"/>
                  </w14:solidFill>
                </w14:textFill>
              </w:rPr>
              <w:t>8</w:t>
            </w:r>
          </w:p>
        </w:tc>
        <w:tc>
          <w:tcPr>
            <w:tcW w:w="844" w:type="dxa"/>
            <w:tcBorders>
              <w:top w:val="nil"/>
              <w:left w:val="nil"/>
              <w:bottom w:val="nil"/>
              <w:right w:val="nil"/>
            </w:tcBorders>
            <w:shd w:val="clear" w:color="auto" w:fill="FFFFFF"/>
            <w:noWrap w:val="0"/>
            <w:vAlign w:val="top"/>
          </w:tcPr>
          <w:p w14:paraId="778B68F3">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297</w:t>
            </w:r>
          </w:p>
        </w:tc>
        <w:tc>
          <w:tcPr>
            <w:tcW w:w="891" w:type="dxa"/>
            <w:tcBorders>
              <w:top w:val="nil"/>
              <w:left w:val="nil"/>
              <w:bottom w:val="nil"/>
              <w:right w:val="nil"/>
            </w:tcBorders>
            <w:shd w:val="clear" w:color="auto" w:fill="FFFFFF"/>
            <w:noWrap w:val="0"/>
            <w:vAlign w:val="top"/>
          </w:tcPr>
          <w:p w14:paraId="300BF70D">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w:t>
            </w:r>
          </w:p>
        </w:tc>
        <w:tc>
          <w:tcPr>
            <w:tcW w:w="843" w:type="dxa"/>
            <w:tcBorders>
              <w:top w:val="nil"/>
              <w:left w:val="nil"/>
              <w:bottom w:val="nil"/>
              <w:right w:val="nil"/>
            </w:tcBorders>
            <w:shd w:val="clear" w:color="auto" w:fill="FFFFFF"/>
            <w:noWrap w:val="0"/>
            <w:vAlign w:val="top"/>
          </w:tcPr>
          <w:p w14:paraId="5B1569E4">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4</w:t>
            </w:r>
          </w:p>
        </w:tc>
        <w:tc>
          <w:tcPr>
            <w:tcW w:w="832" w:type="dxa"/>
            <w:tcBorders>
              <w:top w:val="nil"/>
              <w:left w:val="nil"/>
              <w:bottom w:val="nil"/>
              <w:right w:val="nil"/>
            </w:tcBorders>
            <w:shd w:val="clear" w:color="auto" w:fill="FFFFFF"/>
            <w:noWrap w:val="0"/>
            <w:vAlign w:val="top"/>
          </w:tcPr>
          <w:p w14:paraId="3EBAFD7D">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2.54</w:t>
            </w:r>
          </w:p>
        </w:tc>
        <w:tc>
          <w:tcPr>
            <w:tcW w:w="962" w:type="dxa"/>
            <w:tcBorders>
              <w:top w:val="nil"/>
              <w:left w:val="nil"/>
              <w:bottom w:val="nil"/>
              <w:right w:val="nil"/>
            </w:tcBorders>
            <w:shd w:val="clear" w:color="auto" w:fill="FFFFFF"/>
            <w:noWrap w:val="0"/>
            <w:vAlign w:val="top"/>
          </w:tcPr>
          <w:p w14:paraId="1C2190C5">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.896</w:t>
            </w:r>
          </w:p>
        </w:tc>
        <w:tc>
          <w:tcPr>
            <w:tcW w:w="844" w:type="dxa"/>
            <w:tcBorders>
              <w:top w:val="nil"/>
              <w:left w:val="nil"/>
              <w:bottom w:val="nil"/>
              <w:right w:val="nil"/>
            </w:tcBorders>
            <w:shd w:val="clear" w:color="auto" w:fill="FFFFFF"/>
            <w:noWrap w:val="0"/>
            <w:vAlign w:val="top"/>
          </w:tcPr>
          <w:p w14:paraId="715C9228">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-.135</w:t>
            </w:r>
          </w:p>
        </w:tc>
        <w:tc>
          <w:tcPr>
            <w:tcW w:w="844" w:type="dxa"/>
            <w:tcBorders>
              <w:top w:val="nil"/>
              <w:left w:val="nil"/>
              <w:bottom w:val="nil"/>
              <w:right w:val="nil"/>
            </w:tcBorders>
            <w:shd w:val="clear" w:color="auto" w:fill="FFFFFF"/>
            <w:noWrap w:val="0"/>
            <w:vAlign w:val="top"/>
          </w:tcPr>
          <w:p w14:paraId="24E72412">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.141</w:t>
            </w:r>
          </w:p>
        </w:tc>
        <w:tc>
          <w:tcPr>
            <w:tcW w:w="914" w:type="dxa"/>
            <w:tcBorders>
              <w:top w:val="nil"/>
              <w:left w:val="nil"/>
              <w:bottom w:val="nil"/>
              <w:right w:val="nil"/>
            </w:tcBorders>
            <w:shd w:val="clear" w:color="auto" w:fill="FFFFFF"/>
            <w:noWrap w:val="0"/>
            <w:vAlign w:val="top"/>
          </w:tcPr>
          <w:p w14:paraId="3A76D5F5">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-.731</w:t>
            </w:r>
          </w:p>
        </w:tc>
        <w:tc>
          <w:tcPr>
            <w:tcW w:w="785" w:type="dxa"/>
            <w:tcBorders>
              <w:top w:val="nil"/>
              <w:left w:val="nil"/>
              <w:bottom w:val="nil"/>
              <w:right w:val="nil"/>
            </w:tcBorders>
            <w:shd w:val="clear" w:color="auto" w:fill="FFFFFF"/>
            <w:noWrap w:val="0"/>
            <w:vAlign w:val="top"/>
          </w:tcPr>
          <w:p w14:paraId="3C1B4384">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.282</w:t>
            </w:r>
          </w:p>
        </w:tc>
      </w:tr>
      <w:tr w14:paraId="7E12F2FD">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17" w:hRule="atLeast"/>
        </w:trPr>
        <w:tc>
          <w:tcPr>
            <w:tcW w:w="459" w:type="dxa"/>
            <w:tcBorders>
              <w:top w:val="nil"/>
              <w:left w:val="nil"/>
              <w:bottom w:val="nil"/>
              <w:right w:val="nil"/>
            </w:tcBorders>
            <w:shd w:val="clear" w:color="auto" w:fill="FFFFFF" w:themeFill="background1"/>
            <w:noWrap w:val="0"/>
            <w:vAlign w:val="top"/>
          </w:tcPr>
          <w:p w14:paraId="0A549FD3">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textAlignment w:val="auto"/>
              <w:rPr>
                <w:rFonts w:hint="eastAsia" w:ascii="Times New Roman" w:hAnsi="Times New Roman" w:cs="Times New Roman" w:eastAsiaTheme="minorEastAsia"/>
                <w:color w:val="000000" w:themeColor="text1"/>
                <w:sz w:val="20"/>
                <w:szCs w:val="20"/>
                <w:lang w:val="en-US" w:eastAsia="zh-CN"/>
                <w14:textFill>
                  <w14:solidFill>
                    <w14:schemeClr w14:val="tx1"/>
                  </w14:solidFill>
                </w14:textFill>
              </w:rPr>
            </w:pPr>
            <w:r>
              <w:rPr>
                <w:rFonts w:hint="eastAsia" w:ascii="Times New Roman" w:hAnsi="Times New Roman" w:cs="Times New Roman"/>
                <w:color w:val="000000" w:themeColor="text1"/>
                <w:sz w:val="20"/>
                <w:szCs w:val="20"/>
                <w:lang w:val="en-US" w:eastAsia="zh-CN"/>
                <w14:textFill>
                  <w14:solidFill>
                    <w14:schemeClr w14:val="tx1"/>
                  </w14:solidFill>
                </w14:textFill>
              </w:rPr>
              <w:t>9</w:t>
            </w:r>
          </w:p>
        </w:tc>
        <w:tc>
          <w:tcPr>
            <w:tcW w:w="844" w:type="dxa"/>
            <w:tcBorders>
              <w:top w:val="nil"/>
              <w:left w:val="nil"/>
              <w:bottom w:val="nil"/>
              <w:right w:val="nil"/>
            </w:tcBorders>
            <w:shd w:val="clear" w:color="auto" w:fill="FFFFFF"/>
            <w:noWrap w:val="0"/>
            <w:vAlign w:val="top"/>
          </w:tcPr>
          <w:p w14:paraId="5B57C5C3">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297</w:t>
            </w:r>
          </w:p>
        </w:tc>
        <w:tc>
          <w:tcPr>
            <w:tcW w:w="891" w:type="dxa"/>
            <w:tcBorders>
              <w:top w:val="nil"/>
              <w:left w:val="nil"/>
              <w:bottom w:val="nil"/>
              <w:right w:val="nil"/>
            </w:tcBorders>
            <w:shd w:val="clear" w:color="auto" w:fill="FFFFFF"/>
            <w:noWrap w:val="0"/>
            <w:vAlign w:val="top"/>
          </w:tcPr>
          <w:p w14:paraId="6E2B1059">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w:t>
            </w:r>
          </w:p>
        </w:tc>
        <w:tc>
          <w:tcPr>
            <w:tcW w:w="843" w:type="dxa"/>
            <w:tcBorders>
              <w:top w:val="nil"/>
              <w:left w:val="nil"/>
              <w:bottom w:val="nil"/>
              <w:right w:val="nil"/>
            </w:tcBorders>
            <w:shd w:val="clear" w:color="auto" w:fill="FFFFFF"/>
            <w:noWrap w:val="0"/>
            <w:vAlign w:val="top"/>
          </w:tcPr>
          <w:p w14:paraId="185F88A6">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4</w:t>
            </w:r>
          </w:p>
        </w:tc>
        <w:tc>
          <w:tcPr>
            <w:tcW w:w="832" w:type="dxa"/>
            <w:tcBorders>
              <w:top w:val="nil"/>
              <w:left w:val="nil"/>
              <w:bottom w:val="nil"/>
              <w:right w:val="nil"/>
            </w:tcBorders>
            <w:shd w:val="clear" w:color="auto" w:fill="FFFFFF"/>
            <w:noWrap w:val="0"/>
            <w:vAlign w:val="top"/>
          </w:tcPr>
          <w:p w14:paraId="6ED0810D">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2.49</w:t>
            </w:r>
          </w:p>
        </w:tc>
        <w:tc>
          <w:tcPr>
            <w:tcW w:w="962" w:type="dxa"/>
            <w:tcBorders>
              <w:top w:val="nil"/>
              <w:left w:val="nil"/>
              <w:bottom w:val="nil"/>
              <w:right w:val="nil"/>
            </w:tcBorders>
            <w:shd w:val="clear" w:color="auto" w:fill="FFFFFF"/>
            <w:noWrap w:val="0"/>
            <w:vAlign w:val="top"/>
          </w:tcPr>
          <w:p w14:paraId="3D76A6F2">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1.043</w:t>
            </w:r>
          </w:p>
        </w:tc>
        <w:tc>
          <w:tcPr>
            <w:tcW w:w="844" w:type="dxa"/>
            <w:tcBorders>
              <w:top w:val="nil"/>
              <w:left w:val="nil"/>
              <w:bottom w:val="nil"/>
              <w:right w:val="nil"/>
            </w:tcBorders>
            <w:shd w:val="clear" w:color="auto" w:fill="FFFFFF"/>
            <w:noWrap w:val="0"/>
            <w:vAlign w:val="top"/>
          </w:tcPr>
          <w:p w14:paraId="26660C0F">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.112</w:t>
            </w:r>
          </w:p>
        </w:tc>
        <w:tc>
          <w:tcPr>
            <w:tcW w:w="844" w:type="dxa"/>
            <w:tcBorders>
              <w:top w:val="nil"/>
              <w:left w:val="nil"/>
              <w:bottom w:val="nil"/>
              <w:right w:val="nil"/>
            </w:tcBorders>
            <w:shd w:val="clear" w:color="auto" w:fill="FFFFFF"/>
            <w:noWrap w:val="0"/>
            <w:vAlign w:val="top"/>
          </w:tcPr>
          <w:p w14:paraId="6555EEF6">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.141</w:t>
            </w:r>
          </w:p>
        </w:tc>
        <w:tc>
          <w:tcPr>
            <w:tcW w:w="914" w:type="dxa"/>
            <w:tcBorders>
              <w:top w:val="nil"/>
              <w:left w:val="nil"/>
              <w:bottom w:val="nil"/>
              <w:right w:val="nil"/>
            </w:tcBorders>
            <w:shd w:val="clear" w:color="auto" w:fill="FFFFFF"/>
            <w:noWrap w:val="0"/>
            <w:vAlign w:val="top"/>
          </w:tcPr>
          <w:p w14:paraId="057B28B4">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-1.170</w:t>
            </w:r>
          </w:p>
        </w:tc>
        <w:tc>
          <w:tcPr>
            <w:tcW w:w="785" w:type="dxa"/>
            <w:tcBorders>
              <w:top w:val="nil"/>
              <w:left w:val="nil"/>
              <w:bottom w:val="nil"/>
              <w:right w:val="nil"/>
            </w:tcBorders>
            <w:shd w:val="clear" w:color="auto" w:fill="FFFFFF"/>
            <w:noWrap w:val="0"/>
            <w:vAlign w:val="top"/>
          </w:tcPr>
          <w:p w14:paraId="28EE6B4E">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.282</w:t>
            </w:r>
          </w:p>
        </w:tc>
      </w:tr>
      <w:tr w14:paraId="0309DEA8">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17" w:hRule="atLeast"/>
        </w:trPr>
        <w:tc>
          <w:tcPr>
            <w:tcW w:w="459" w:type="dxa"/>
            <w:tcBorders>
              <w:top w:val="nil"/>
              <w:left w:val="nil"/>
              <w:bottom w:val="nil"/>
              <w:right w:val="nil"/>
              <w:tl2br w:val="nil"/>
              <w:tr2bl w:val="nil"/>
            </w:tcBorders>
            <w:shd w:val="clear" w:color="auto" w:fill="FFFFFF" w:themeFill="background1"/>
            <w:noWrap w:val="0"/>
            <w:vAlign w:val="top"/>
          </w:tcPr>
          <w:p w14:paraId="1D0D6587">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textAlignment w:val="auto"/>
              <w:rPr>
                <w:rFonts w:hint="default" w:ascii="Times New Roman" w:hAnsi="Times New Roman" w:cs="Times New Roman" w:eastAsiaTheme="minorEastAsia"/>
                <w:color w:val="000000" w:themeColor="text1"/>
                <w:sz w:val="20"/>
                <w:szCs w:val="20"/>
                <w:lang w:val="en-US" w:eastAsia="zh-CN"/>
                <w14:textFill>
                  <w14:solidFill>
                    <w14:schemeClr w14:val="tx1"/>
                  </w14:solidFill>
                </w14:textFill>
              </w:rPr>
            </w:pPr>
            <w:r>
              <w:rPr>
                <w:rFonts w:hint="eastAsia" w:ascii="Times New Roman" w:hAnsi="Times New Roman" w:cs="Times New Roman"/>
                <w:color w:val="000000" w:themeColor="text1"/>
                <w:sz w:val="20"/>
                <w:szCs w:val="20"/>
                <w:lang w:val="en-US" w:eastAsia="zh-CN"/>
                <w14:textFill>
                  <w14:solidFill>
                    <w14:schemeClr w14:val="tx1"/>
                  </w14:solidFill>
                </w14:textFill>
              </w:rPr>
              <w:t>10</w:t>
            </w:r>
          </w:p>
        </w:tc>
        <w:tc>
          <w:tcPr>
            <w:tcW w:w="844" w:type="dxa"/>
            <w:tcBorders>
              <w:top w:val="nil"/>
              <w:left w:val="nil"/>
              <w:bottom w:val="nil"/>
              <w:right w:val="nil"/>
              <w:tl2br w:val="nil"/>
              <w:tr2bl w:val="nil"/>
            </w:tcBorders>
            <w:shd w:val="clear" w:color="auto" w:fill="FFFFFF"/>
            <w:noWrap w:val="0"/>
            <w:vAlign w:val="top"/>
          </w:tcPr>
          <w:p w14:paraId="1CFAEDB6">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297</w:t>
            </w:r>
          </w:p>
        </w:tc>
        <w:tc>
          <w:tcPr>
            <w:tcW w:w="891" w:type="dxa"/>
            <w:tcBorders>
              <w:top w:val="nil"/>
              <w:left w:val="single" w:color="E0E0E0" w:sz="8" w:space="0"/>
              <w:bottom w:val="nil"/>
              <w:right w:val="nil"/>
              <w:tl2br w:val="nil"/>
              <w:tr2bl w:val="nil"/>
            </w:tcBorders>
            <w:shd w:val="clear" w:color="auto" w:fill="FFFFFF"/>
            <w:noWrap w:val="0"/>
            <w:vAlign w:val="top"/>
          </w:tcPr>
          <w:p w14:paraId="105D4A0E">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w:t>
            </w:r>
          </w:p>
        </w:tc>
        <w:tc>
          <w:tcPr>
            <w:tcW w:w="843" w:type="dxa"/>
            <w:tcBorders>
              <w:top w:val="nil"/>
              <w:left w:val="single" w:color="E0E0E0" w:sz="8" w:space="0"/>
              <w:bottom w:val="nil"/>
              <w:right w:val="nil"/>
              <w:tl2br w:val="nil"/>
              <w:tr2bl w:val="nil"/>
            </w:tcBorders>
            <w:shd w:val="clear" w:color="auto" w:fill="FFFFFF"/>
            <w:noWrap w:val="0"/>
            <w:vAlign w:val="top"/>
          </w:tcPr>
          <w:p w14:paraId="49640436">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4</w:t>
            </w:r>
          </w:p>
        </w:tc>
        <w:tc>
          <w:tcPr>
            <w:tcW w:w="832" w:type="dxa"/>
            <w:tcBorders>
              <w:top w:val="nil"/>
              <w:left w:val="single" w:color="E0E0E0" w:sz="8" w:space="0"/>
              <w:bottom w:val="nil"/>
              <w:right w:val="nil"/>
              <w:tl2br w:val="nil"/>
              <w:tr2bl w:val="nil"/>
            </w:tcBorders>
            <w:shd w:val="clear" w:color="auto" w:fill="FFFFFF"/>
            <w:noWrap w:val="0"/>
            <w:vAlign w:val="top"/>
          </w:tcPr>
          <w:p w14:paraId="1C327D0B">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2.34</w:t>
            </w:r>
          </w:p>
        </w:tc>
        <w:tc>
          <w:tcPr>
            <w:tcW w:w="962" w:type="dxa"/>
            <w:tcBorders>
              <w:top w:val="nil"/>
              <w:left w:val="single" w:color="E0E0E0" w:sz="8" w:space="0"/>
              <w:bottom w:val="nil"/>
              <w:right w:val="nil"/>
              <w:tl2br w:val="nil"/>
              <w:tr2bl w:val="nil"/>
            </w:tcBorders>
            <w:shd w:val="clear" w:color="auto" w:fill="FFFFFF"/>
            <w:noWrap w:val="0"/>
            <w:vAlign w:val="top"/>
          </w:tcPr>
          <w:p w14:paraId="4E4AE85E">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1.007</w:t>
            </w:r>
          </w:p>
        </w:tc>
        <w:tc>
          <w:tcPr>
            <w:tcW w:w="844" w:type="dxa"/>
            <w:tcBorders>
              <w:top w:val="nil"/>
              <w:left w:val="single" w:color="E0E0E0" w:sz="8" w:space="0"/>
              <w:bottom w:val="nil"/>
              <w:right w:val="single" w:color="E0E0E0" w:sz="8" w:space="0"/>
              <w:tl2br w:val="nil"/>
              <w:tr2bl w:val="nil"/>
            </w:tcBorders>
            <w:shd w:val="clear" w:color="auto" w:fill="FFFFFF"/>
            <w:noWrap w:val="0"/>
            <w:vAlign w:val="top"/>
          </w:tcPr>
          <w:p w14:paraId="30773530">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.104</w:t>
            </w:r>
          </w:p>
        </w:tc>
        <w:tc>
          <w:tcPr>
            <w:tcW w:w="844" w:type="dxa"/>
            <w:tcBorders>
              <w:top w:val="nil"/>
              <w:left w:val="single" w:color="E0E0E0" w:sz="8" w:space="0"/>
              <w:bottom w:val="nil"/>
              <w:right w:val="nil"/>
              <w:tl2br w:val="nil"/>
              <w:tr2bl w:val="nil"/>
            </w:tcBorders>
            <w:shd w:val="clear" w:color="auto" w:fill="FFFFFF"/>
            <w:noWrap w:val="0"/>
            <w:vAlign w:val="top"/>
          </w:tcPr>
          <w:p w14:paraId="59ECF066">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.141</w:t>
            </w:r>
          </w:p>
        </w:tc>
        <w:tc>
          <w:tcPr>
            <w:tcW w:w="914" w:type="dxa"/>
            <w:tcBorders>
              <w:top w:val="nil"/>
              <w:left w:val="single" w:color="E0E0E0" w:sz="8" w:space="0"/>
              <w:bottom w:val="nil"/>
              <w:right w:val="single" w:color="E0E0E0" w:sz="8" w:space="0"/>
              <w:tl2br w:val="nil"/>
              <w:tr2bl w:val="nil"/>
            </w:tcBorders>
            <w:shd w:val="clear" w:color="auto" w:fill="FFFFFF"/>
            <w:noWrap w:val="0"/>
            <w:vAlign w:val="top"/>
          </w:tcPr>
          <w:p w14:paraId="309F39A6">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-1.103</w:t>
            </w:r>
          </w:p>
        </w:tc>
        <w:tc>
          <w:tcPr>
            <w:tcW w:w="785" w:type="dxa"/>
            <w:tcBorders>
              <w:top w:val="nil"/>
              <w:left w:val="single" w:color="E0E0E0" w:sz="8" w:space="0"/>
              <w:bottom w:val="nil"/>
              <w:right w:val="nil"/>
              <w:tl2br w:val="nil"/>
              <w:tr2bl w:val="nil"/>
            </w:tcBorders>
            <w:shd w:val="clear" w:color="auto" w:fill="FFFFFF"/>
            <w:noWrap w:val="0"/>
            <w:vAlign w:val="top"/>
          </w:tcPr>
          <w:p w14:paraId="4B38093E">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.282</w:t>
            </w:r>
          </w:p>
        </w:tc>
      </w:tr>
      <w:tr w14:paraId="64226817">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17" w:hRule="atLeast"/>
        </w:trPr>
        <w:tc>
          <w:tcPr>
            <w:tcW w:w="459" w:type="dxa"/>
            <w:tcBorders>
              <w:top w:val="nil"/>
              <w:left w:val="nil"/>
              <w:bottom w:val="single" w:color="000000" w:themeColor="text1" w:sz="8" w:space="0"/>
              <w:right w:val="nil"/>
            </w:tcBorders>
            <w:shd w:val="clear" w:color="auto" w:fill="FFFFFF" w:themeFill="background1"/>
            <w:noWrap w:val="0"/>
            <w:vAlign w:val="top"/>
          </w:tcPr>
          <w:p w14:paraId="7C8981AC">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M</w:t>
            </w:r>
          </w:p>
        </w:tc>
        <w:tc>
          <w:tcPr>
            <w:tcW w:w="844" w:type="dxa"/>
            <w:tcBorders>
              <w:top w:val="nil"/>
              <w:left w:val="nil"/>
              <w:bottom w:val="single" w:color="000000" w:themeColor="text1" w:sz="8" w:space="0"/>
              <w:right w:val="nil"/>
            </w:tcBorders>
            <w:shd w:val="clear" w:color="auto" w:fill="FFFFFF"/>
            <w:noWrap w:val="0"/>
            <w:vAlign w:val="top"/>
          </w:tcPr>
          <w:p w14:paraId="62852BE7">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297</w:t>
            </w:r>
          </w:p>
        </w:tc>
        <w:tc>
          <w:tcPr>
            <w:tcW w:w="891" w:type="dxa"/>
            <w:tcBorders>
              <w:top w:val="nil"/>
              <w:left w:val="nil"/>
              <w:bottom w:val="single" w:color="000000" w:themeColor="text1" w:sz="8" w:space="0"/>
              <w:right w:val="nil"/>
            </w:tcBorders>
            <w:shd w:val="clear" w:color="auto" w:fill="FFFFFF"/>
            <w:noWrap w:val="0"/>
            <w:vAlign w:val="top"/>
          </w:tcPr>
          <w:p w14:paraId="60331C74">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1.00</w:t>
            </w:r>
          </w:p>
        </w:tc>
        <w:tc>
          <w:tcPr>
            <w:tcW w:w="843" w:type="dxa"/>
            <w:tcBorders>
              <w:top w:val="nil"/>
              <w:left w:val="nil"/>
              <w:bottom w:val="single" w:color="000000" w:themeColor="text1" w:sz="8" w:space="0"/>
              <w:right w:val="nil"/>
            </w:tcBorders>
            <w:shd w:val="clear" w:color="auto" w:fill="FFFFFF"/>
            <w:noWrap w:val="0"/>
            <w:vAlign w:val="top"/>
          </w:tcPr>
          <w:p w14:paraId="66B727AB">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4.00</w:t>
            </w:r>
          </w:p>
        </w:tc>
        <w:tc>
          <w:tcPr>
            <w:tcW w:w="832" w:type="dxa"/>
            <w:tcBorders>
              <w:top w:val="nil"/>
              <w:left w:val="nil"/>
              <w:bottom w:val="single" w:color="000000" w:themeColor="text1" w:sz="8" w:space="0"/>
              <w:right w:val="nil"/>
            </w:tcBorders>
            <w:shd w:val="clear" w:color="auto" w:fill="FFFFFF"/>
            <w:noWrap w:val="0"/>
            <w:vAlign w:val="top"/>
          </w:tcPr>
          <w:p w14:paraId="578A8F24">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2.4787</w:t>
            </w:r>
          </w:p>
        </w:tc>
        <w:tc>
          <w:tcPr>
            <w:tcW w:w="962" w:type="dxa"/>
            <w:tcBorders>
              <w:top w:val="nil"/>
              <w:left w:val="nil"/>
              <w:bottom w:val="single" w:color="000000" w:themeColor="text1" w:sz="8" w:space="0"/>
              <w:right w:val="nil"/>
            </w:tcBorders>
            <w:shd w:val="clear" w:color="auto" w:fill="FFFFFF"/>
            <w:noWrap w:val="0"/>
            <w:vAlign w:val="top"/>
          </w:tcPr>
          <w:p w14:paraId="2F649620">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.88293</w:t>
            </w:r>
          </w:p>
        </w:tc>
        <w:tc>
          <w:tcPr>
            <w:tcW w:w="844" w:type="dxa"/>
            <w:tcBorders>
              <w:top w:val="nil"/>
              <w:left w:val="nil"/>
              <w:bottom w:val="single" w:color="000000" w:themeColor="text1" w:sz="8" w:space="0"/>
              <w:right w:val="nil"/>
            </w:tcBorders>
            <w:shd w:val="clear" w:color="auto" w:fill="FFFFFF"/>
            <w:noWrap w:val="0"/>
            <w:vAlign w:val="top"/>
          </w:tcPr>
          <w:p w14:paraId="458EBD3B">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.080</w:t>
            </w:r>
          </w:p>
        </w:tc>
        <w:tc>
          <w:tcPr>
            <w:tcW w:w="844" w:type="dxa"/>
            <w:tcBorders>
              <w:top w:val="nil"/>
              <w:left w:val="nil"/>
              <w:bottom w:val="single" w:color="000000" w:themeColor="text1" w:sz="8" w:space="0"/>
              <w:right w:val="nil"/>
            </w:tcBorders>
            <w:shd w:val="clear" w:color="auto" w:fill="FFFFFF"/>
            <w:noWrap w:val="0"/>
            <w:vAlign w:val="top"/>
          </w:tcPr>
          <w:p w14:paraId="0E35214B">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.141</w:t>
            </w:r>
          </w:p>
        </w:tc>
        <w:tc>
          <w:tcPr>
            <w:tcW w:w="914" w:type="dxa"/>
            <w:tcBorders>
              <w:top w:val="nil"/>
              <w:left w:val="nil"/>
              <w:bottom w:val="single" w:color="000000" w:themeColor="text1" w:sz="8" w:space="0"/>
              <w:right w:val="nil"/>
            </w:tcBorders>
            <w:shd w:val="clear" w:color="auto" w:fill="FFFFFF"/>
            <w:noWrap w:val="0"/>
            <w:vAlign w:val="top"/>
          </w:tcPr>
          <w:p w14:paraId="3B369B57">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-1.063</w:t>
            </w:r>
          </w:p>
        </w:tc>
        <w:tc>
          <w:tcPr>
            <w:tcW w:w="785" w:type="dxa"/>
            <w:tcBorders>
              <w:top w:val="nil"/>
              <w:left w:val="nil"/>
              <w:bottom w:val="single" w:color="000000" w:themeColor="text1" w:sz="8" w:space="0"/>
              <w:right w:val="nil"/>
            </w:tcBorders>
            <w:shd w:val="clear" w:color="auto" w:fill="FFFFFF"/>
            <w:noWrap w:val="0"/>
            <w:vAlign w:val="top"/>
          </w:tcPr>
          <w:p w14:paraId="4FFF8E72">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right"/>
              <w:textAlignment w:val="auto"/>
              <w:rPr>
                <w:rFonts w:hint="default" w:ascii="Times New Roman" w:hAnsi="Times New Roman" w:cs="Times New Roman"/>
                <w:color w:val="000000" w:themeColor="text1"/>
                <w:sz w:val="20"/>
                <w:szCs w:val="20"/>
                <w14:textFill>
                  <w14:solidFill>
                    <w14:schemeClr w14:val="tx1"/>
                  </w14:solidFill>
                </w14:textFill>
              </w:rPr>
            </w:pPr>
            <w:r>
              <w:rPr>
                <w:rFonts w:hint="default" w:ascii="Times New Roman" w:hAnsi="Times New Roman" w:cs="Times New Roman"/>
                <w:color w:val="000000" w:themeColor="text1"/>
                <w:sz w:val="20"/>
                <w:szCs w:val="20"/>
                <w14:textFill>
                  <w14:solidFill>
                    <w14:schemeClr w14:val="tx1"/>
                  </w14:solidFill>
                </w14:textFill>
              </w:rPr>
              <w:t>.282</w:t>
            </w:r>
          </w:p>
        </w:tc>
      </w:tr>
    </w:tbl>
    <w:p w14:paraId="4FA90B06">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i/>
          <w:iCs/>
          <w:color w:val="000000" w:themeColor="text1"/>
          <w:sz w:val="24"/>
          <w:szCs w:val="24"/>
          <w:lang w:val="en-US" w:eastAsia="zh-CN"/>
          <w14:textFill>
            <w14:solidFill>
              <w14:schemeClr w14:val="tx1"/>
            </w14:solidFill>
          </w14:textFill>
        </w:rPr>
        <w:t>Note.</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M indicates the mean of each question of math anxiety.</w:t>
      </w:r>
    </w:p>
    <w:p w14:paraId="5EC6C025">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As shown in Table 6, the mean total score of this scale was 2.48 (SD = 0.88), which was at a medium level overall, indicating that the surveyed students generally had a certain degree of math anxiety, but it was not extremely severe. The specific analysis of each item is as follows:</w:t>
      </w:r>
    </w:p>
    <w:p w14:paraId="03E84F7A">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olor w:val="222222"/>
          <w:sz w:val="24"/>
          <w:shd w:val="clear" w:color="auto" w:fill="FFFFFF"/>
          <w:lang w:val="en-US" w:eastAsia="zh-CN"/>
        </w:rPr>
      </w:pP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Question 5: </w:t>
      </w:r>
      <w:r>
        <w:rPr>
          <w:rFonts w:ascii="Times New Roman" w:hAnsi="Times New Roman"/>
          <w:color w:val="222222"/>
          <w:sz w:val="24"/>
          <w:shd w:val="clear" w:color="auto" w:fill="FFFFFF"/>
        </w:rPr>
        <w:t>Agree/disagree: I often worry that it will be difficult for me in mathematics classes.</w:t>
      </w:r>
      <w:r>
        <w:rPr>
          <w:rFonts w:hint="eastAsia" w:ascii="Times New Roman" w:hAnsi="Times New Roman"/>
          <w:color w:val="222222"/>
          <w:sz w:val="24"/>
          <w:shd w:val="clear" w:color="auto" w:fill="FFFFFF"/>
          <w:lang w:val="en-US" w:eastAsia="zh-CN"/>
        </w:rPr>
        <w:t xml:space="preserve"> For this question, the mean score was 2.63 (SD = 0.98). This score was the highest on the scale, indicating that the anxiety regarding the expected difficulty of the course was the most common source of worry among students.</w:t>
      </w:r>
    </w:p>
    <w:p w14:paraId="30504BEC">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olor w:val="222222"/>
          <w:sz w:val="24"/>
          <w:shd w:val="clear" w:color="auto" w:fill="FFFFFF"/>
          <w:lang w:val="en-US" w:eastAsia="zh-CN"/>
        </w:rPr>
      </w:pPr>
      <w:r>
        <w:rPr>
          <w:rFonts w:hint="eastAsia" w:ascii="Times New Roman" w:hAnsi="Times New Roman"/>
          <w:color w:val="222222"/>
          <w:sz w:val="24"/>
          <w:shd w:val="clear" w:color="auto" w:fill="FFFFFF"/>
          <w:lang w:val="en-US" w:eastAsia="zh-CN"/>
        </w:rPr>
        <w:t xml:space="preserve">Question 6: </w:t>
      </w:r>
      <w:r>
        <w:rPr>
          <w:rFonts w:ascii="Times New Roman" w:hAnsi="Times New Roman"/>
          <w:color w:val="222222"/>
          <w:sz w:val="24"/>
          <w:shd w:val="clear" w:color="auto" w:fill="FFFFFF"/>
        </w:rPr>
        <w:t>Agree/disagree: I get very tense when I have to do mathematics homework.</w:t>
      </w:r>
      <w:r>
        <w:rPr>
          <w:rFonts w:hint="eastAsia" w:ascii="Times New Roman" w:hAnsi="Times New Roman"/>
          <w:color w:val="222222"/>
          <w:sz w:val="24"/>
          <w:shd w:val="clear" w:color="auto" w:fill="FFFFFF"/>
          <w:lang w:val="en-US" w:eastAsia="zh-CN"/>
        </w:rPr>
        <w:t xml:space="preserve"> For this question, the mean score was 2.49 (SD = 1.04). This score was close to the overall mean score, indicating that completing this daily task of homework placed pressure on nearly half of the students.</w:t>
      </w:r>
    </w:p>
    <w:p w14:paraId="67C6EC57">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olor w:val="222222"/>
          <w:sz w:val="24"/>
          <w:shd w:val="clear" w:color="auto" w:fill="FFFFFF"/>
          <w:lang w:val="en-US" w:eastAsia="zh-CN"/>
        </w:rPr>
      </w:pPr>
      <w:r>
        <w:rPr>
          <w:rFonts w:hint="eastAsia" w:ascii="Times New Roman" w:hAnsi="Times New Roman"/>
          <w:color w:val="222222"/>
          <w:sz w:val="24"/>
          <w:shd w:val="clear" w:color="auto" w:fill="FFFFFF"/>
          <w:lang w:val="en-US" w:eastAsia="zh-CN"/>
        </w:rPr>
        <w:t xml:space="preserve">Question 7: </w:t>
      </w:r>
      <w:r>
        <w:rPr>
          <w:rFonts w:ascii="Times New Roman" w:hAnsi="Times New Roman"/>
          <w:color w:val="222222"/>
          <w:sz w:val="24"/>
          <w:shd w:val="clear" w:color="auto" w:fill="FFFFFF"/>
        </w:rPr>
        <w:t>Agree/disagree: I get very nervous doing mathematics problems.</w:t>
      </w:r>
      <w:r>
        <w:rPr>
          <w:rFonts w:hint="eastAsia" w:ascii="Times New Roman" w:hAnsi="Times New Roman"/>
          <w:color w:val="222222"/>
          <w:sz w:val="24"/>
          <w:shd w:val="clear" w:color="auto" w:fill="FFFFFF"/>
          <w:lang w:val="en-US" w:eastAsia="zh-CN"/>
        </w:rPr>
        <w:t xml:space="preserve"> For this question, the mean score was 2.39 (SD = 0.96). This score was slightly lower than the overall mean score, but still higher than the theoretical median of 2.5, indicating that immediate stress during the problem-solving process is widespread.</w:t>
      </w:r>
    </w:p>
    <w:p w14:paraId="640C7F91">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olor w:val="222222"/>
          <w:sz w:val="24"/>
          <w:shd w:val="clear" w:color="auto" w:fill="FFFFFF"/>
          <w:lang w:val="en-US" w:eastAsia="zh-CN"/>
        </w:rPr>
      </w:pPr>
      <w:r>
        <w:rPr>
          <w:rFonts w:hint="eastAsia" w:ascii="Times New Roman" w:hAnsi="Times New Roman"/>
          <w:color w:val="222222"/>
          <w:sz w:val="24"/>
          <w:shd w:val="clear" w:color="auto" w:fill="FFFFFF"/>
          <w:lang w:val="en-US" w:eastAsia="zh-CN"/>
        </w:rPr>
        <w:t xml:space="preserve">Question 8: </w:t>
      </w:r>
      <w:r>
        <w:rPr>
          <w:rFonts w:ascii="Times New Roman" w:hAnsi="Times New Roman"/>
          <w:color w:val="222222"/>
          <w:sz w:val="24"/>
          <w:shd w:val="clear" w:color="auto" w:fill="FFFFFF"/>
        </w:rPr>
        <w:t>Agree/disagree: I feel helpless when doing a mathematics problem.</w:t>
      </w:r>
      <w:r>
        <w:rPr>
          <w:rFonts w:hint="eastAsia" w:ascii="Times New Roman" w:hAnsi="Times New Roman"/>
          <w:color w:val="222222"/>
          <w:sz w:val="24"/>
          <w:shd w:val="clear" w:color="auto" w:fill="FFFFFF"/>
          <w:lang w:val="en-US" w:eastAsia="zh-CN"/>
        </w:rPr>
        <w:t xml:space="preserve"> For this question, The mean score was 2.54 (SD = 0.90). This score was slightly higher than the overall mean score, indicating that when problem-solving was hindered, a considerable number of students experienced feelings of frustration and powerlessness.</w:t>
      </w:r>
    </w:p>
    <w:p w14:paraId="32BB667E">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olor w:val="222222"/>
          <w:sz w:val="24"/>
          <w:shd w:val="clear" w:color="auto" w:fill="FFFFFF"/>
          <w:lang w:val="en-US" w:eastAsia="zh-CN"/>
        </w:rPr>
      </w:pPr>
      <w:r>
        <w:rPr>
          <w:rFonts w:hint="eastAsia" w:ascii="Times New Roman" w:hAnsi="Times New Roman"/>
          <w:color w:val="222222"/>
          <w:sz w:val="24"/>
          <w:shd w:val="clear" w:color="auto" w:fill="FFFFFF"/>
          <w:lang w:val="en-US" w:eastAsia="zh-CN"/>
        </w:rPr>
        <w:t xml:space="preserve">Question 9: </w:t>
      </w:r>
      <w:r>
        <w:rPr>
          <w:rFonts w:ascii="Times New Roman" w:hAnsi="Times New Roman"/>
          <w:color w:val="222222"/>
          <w:sz w:val="24"/>
          <w:shd w:val="clear" w:color="auto" w:fill="FFFFFF"/>
        </w:rPr>
        <w:t>Agree/disagree: I worry that I will get poor [marks] in mathematics.</w:t>
      </w:r>
      <w:r>
        <w:rPr>
          <w:rFonts w:hint="eastAsia" w:ascii="Times New Roman" w:hAnsi="Times New Roman"/>
          <w:color w:val="222222"/>
          <w:sz w:val="24"/>
          <w:shd w:val="clear" w:color="auto" w:fill="FFFFFF"/>
          <w:lang w:val="en-US" w:eastAsia="zh-CN"/>
        </w:rPr>
        <w:t xml:space="preserve"> For this question, the mean score was 2.49 (SD = 1.04). This score was the same as that of M6, indicating that concerns about exam results were another major source of anxiety, comparable to the level of tension regarding homework.</w:t>
      </w:r>
    </w:p>
    <w:p w14:paraId="7BA0CE19">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olor w:val="222222"/>
          <w:sz w:val="24"/>
          <w:shd w:val="clear" w:color="auto" w:fill="FFFFFF"/>
          <w:lang w:val="en-US" w:eastAsia="zh-CN"/>
        </w:rPr>
      </w:pPr>
      <w:r>
        <w:rPr>
          <w:rFonts w:hint="eastAsia" w:ascii="Times New Roman" w:hAnsi="Times New Roman"/>
          <w:color w:val="222222"/>
          <w:sz w:val="24"/>
          <w:shd w:val="clear" w:color="auto" w:fill="FFFFFF"/>
          <w:lang w:val="en-US" w:eastAsia="zh-CN"/>
        </w:rPr>
        <w:t xml:space="preserve">Question 10: </w:t>
      </w:r>
      <w:r>
        <w:rPr>
          <w:rFonts w:ascii="Times New Roman" w:hAnsi="Times New Roman"/>
          <w:color w:val="222222"/>
          <w:sz w:val="24"/>
          <w:shd w:val="clear" w:color="auto" w:fill="FFFFFF"/>
        </w:rPr>
        <w:t>Agree/disagree: I feel anxious about failing in mathematics.</w:t>
      </w:r>
      <w:r>
        <w:rPr>
          <w:rFonts w:hint="eastAsia" w:ascii="Times New Roman" w:hAnsi="Times New Roman"/>
          <w:color w:val="222222"/>
          <w:sz w:val="24"/>
          <w:shd w:val="clear" w:color="auto" w:fill="FFFFFF"/>
          <w:lang w:val="en-US" w:eastAsia="zh-CN"/>
        </w:rPr>
        <w:t xml:space="preserve"> For this question, the mean score was 2.34 (SD = 1.01). This score was the lowest on the scale, but still higher than the theoretical median of 2.5, indicating that although "fear of failure" exists, its intensity is slightly lower than that of other types of anxiety.</w:t>
      </w:r>
    </w:p>
    <w:p w14:paraId="5904D0EE">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olor w:val="222222"/>
          <w:sz w:val="24"/>
          <w:shd w:val="clear" w:color="auto" w:fill="FFFFFF"/>
          <w:lang w:val="en-US" w:eastAsia="zh-CN"/>
        </w:rPr>
      </w:pPr>
      <w:r>
        <w:rPr>
          <w:rFonts w:hint="default" w:ascii="Times New Roman" w:hAnsi="Times New Roman"/>
          <w:color w:val="222222"/>
          <w:sz w:val="24"/>
          <w:shd w:val="clear" w:color="auto" w:fill="FFFFFF"/>
          <w:lang w:val="en-US" w:eastAsia="zh-CN"/>
        </w:rPr>
        <w:t>The distribution of the total score data shows a slight positive skewness (Skewness = 0.080), indicating that students' responses slightly shifted towards lower scores (i.e., lower anxiety), but the degree of this shift was very small; the kurtosis is -1.063, suggesting that the distribution is also slightly platykurtic, and the data distribution is relatively scattered.</w:t>
      </w:r>
    </w:p>
    <w:p w14:paraId="4E2E6156">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eastAsia" w:ascii="Times New Roman" w:hAnsi="Times New Roman"/>
          <w:b/>
          <w:bCs/>
          <w:color w:val="222222"/>
          <w:sz w:val="24"/>
          <w:shd w:val="clear" w:color="auto" w:fill="FFFFFF"/>
          <w:lang w:val="en-US" w:eastAsia="zh-CN"/>
        </w:rPr>
      </w:pPr>
      <w:r>
        <w:rPr>
          <w:rFonts w:hint="eastAsia" w:ascii="Times New Roman" w:hAnsi="Times New Roman"/>
          <w:b/>
          <w:bCs/>
          <w:color w:val="222222"/>
          <w:sz w:val="24"/>
          <w:shd w:val="clear" w:color="auto" w:fill="FFFFFF"/>
          <w:lang w:val="en-US" w:eastAsia="zh-CN"/>
        </w:rPr>
        <w:t>Normality Test of Growth Mindset and Math Anxiety</w:t>
      </w:r>
    </w:p>
    <w:p w14:paraId="59227675">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olor w:val="222222"/>
          <w:sz w:val="24"/>
          <w:shd w:val="clear" w:color="auto" w:fill="FFFFFF"/>
          <w:lang w:val="en-US" w:eastAsia="zh-CN"/>
        </w:rPr>
      </w:pPr>
      <w:r>
        <w:rPr>
          <w:rFonts w:hint="default" w:ascii="Times New Roman" w:hAnsi="Times New Roman"/>
          <w:color w:val="222222"/>
          <w:sz w:val="24"/>
          <w:shd w:val="clear" w:color="auto" w:fill="FFFFFF"/>
          <w:lang w:val="en-US" w:eastAsia="zh-CN"/>
        </w:rPr>
        <w:t>In social science research, the core assumption of many parametric tests (such as Pearson correlation analysis) is that the data follow a normal distribution (Krithikadatta, 201</w:t>
      </w:r>
      <w:r>
        <w:rPr>
          <w:rFonts w:hint="eastAsia" w:ascii="Times New Roman" w:hAnsi="Times New Roman"/>
          <w:color w:val="222222"/>
          <w:sz w:val="24"/>
          <w:shd w:val="clear" w:color="auto" w:fill="FFFFFF"/>
          <w:lang w:val="en-US" w:eastAsia="zh-CN"/>
        </w:rPr>
        <w:t>4</w:t>
      </w:r>
      <w:r>
        <w:rPr>
          <w:rFonts w:hint="default" w:ascii="Times New Roman" w:hAnsi="Times New Roman"/>
          <w:color w:val="222222"/>
          <w:sz w:val="24"/>
          <w:shd w:val="clear" w:color="auto" w:fill="FFFFFF"/>
          <w:lang w:val="en-US" w:eastAsia="zh-CN"/>
        </w:rPr>
        <w:t xml:space="preserve">). Therefore, before conducting the core correlation analysis, it is necessary to test the distribution pattern of the variables to determine the appropriate statistical method to be used. </w:t>
      </w:r>
    </w:p>
    <w:p w14:paraId="7A3794C2">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olor w:val="222222"/>
          <w:sz w:val="24"/>
          <w:shd w:val="clear" w:color="auto" w:fill="FFFFFF"/>
          <w:lang w:val="en-US" w:eastAsia="zh-CN"/>
        </w:rPr>
      </w:pPr>
      <w:r>
        <w:rPr>
          <w:rFonts w:hint="default" w:ascii="Times New Roman" w:hAnsi="Times New Roman"/>
          <w:color w:val="222222"/>
          <w:sz w:val="24"/>
          <w:shd w:val="clear" w:color="auto" w:fill="FFFFFF"/>
          <w:lang w:val="en-US" w:eastAsia="zh-CN"/>
        </w:rPr>
        <w:t>This study employed the Shapiro-Wilk test to conduct a normality test on the total scores of the growth mindset and math anxiety variables. This test is applicable to studies with a sample size of less than 2000 and is considered a more efficient method of normality test compared to the Kolmogorov-Smirnov test (D’Agostino, 201</w:t>
      </w:r>
      <w:r>
        <w:rPr>
          <w:rFonts w:hint="eastAsia" w:ascii="Times New Roman" w:hAnsi="Times New Roman"/>
          <w:color w:val="222222"/>
          <w:sz w:val="24"/>
          <w:shd w:val="clear" w:color="auto" w:fill="FFFFFF"/>
          <w:lang w:val="en-US" w:eastAsia="zh-CN"/>
        </w:rPr>
        <w:t>7</w:t>
      </w:r>
      <w:r>
        <w:rPr>
          <w:rFonts w:hint="default" w:ascii="Times New Roman" w:hAnsi="Times New Roman"/>
          <w:color w:val="222222"/>
          <w:sz w:val="24"/>
          <w:shd w:val="clear" w:color="auto" w:fill="FFFFFF"/>
          <w:lang w:val="en-US" w:eastAsia="zh-CN"/>
        </w:rPr>
        <w:t xml:space="preserve">). The null hypothesis of the Shapiro-Wilk test is that the data follow a normal distribution. The test result will generate a statistic W (with a range from 0 to 1, the closer it is to 1, the more the data is close to normal) and the corresponding p-value. </w:t>
      </w:r>
    </w:p>
    <w:p w14:paraId="3BA52B00">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olor w:val="222222"/>
          <w:sz w:val="24"/>
          <w:shd w:val="clear" w:color="auto" w:fill="FFFFFF"/>
          <w:lang w:val="en-US" w:eastAsia="zh-CN"/>
        </w:rPr>
      </w:pPr>
      <w:r>
        <w:rPr>
          <w:rFonts w:hint="default" w:ascii="Times New Roman" w:hAnsi="Times New Roman"/>
          <w:color w:val="222222"/>
          <w:sz w:val="24"/>
          <w:shd w:val="clear" w:color="auto" w:fill="FFFFFF"/>
          <w:lang w:val="en-US" w:eastAsia="zh-CN"/>
        </w:rPr>
        <w:t>According to standard statistical practice (Ghasemi &amp; Zahediasl, 2012), if the p-value of the test is greater than 0.05, there is insufficient evidence to reject the null hypothesis, and it can be concluded that the data follow a normal distribution; if the p-value is less than 0.05, the null hypothesis is rejected, indicating that the data significantly deviate from a normal distribution.</w:t>
      </w:r>
    </w:p>
    <w:p w14:paraId="15D96D93">
      <w:pPr>
        <w:keepNext w:val="0"/>
        <w:keepLines w:val="0"/>
        <w:pageBreakBefore w:val="0"/>
        <w:widowControl w:val="0"/>
        <w:kinsoku/>
        <w:wordWrap/>
        <w:overflowPunct/>
        <w:topLinePunct w:val="0"/>
        <w:autoSpaceDE/>
        <w:autoSpaceDN/>
        <w:bidi w:val="0"/>
        <w:adjustRightInd/>
        <w:snapToGrid/>
        <w:spacing w:beforeLines="0" w:afterLines="0" w:line="48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Table 7</w:t>
      </w:r>
    </w:p>
    <w:p w14:paraId="5574511A">
      <w:pPr>
        <w:keepNext w:val="0"/>
        <w:keepLines w:val="0"/>
        <w:pageBreakBefore w:val="0"/>
        <w:widowControl w:val="0"/>
        <w:kinsoku/>
        <w:wordWrap/>
        <w:overflowPunct/>
        <w:topLinePunct w:val="0"/>
        <w:autoSpaceDE/>
        <w:autoSpaceDN/>
        <w:bidi w:val="0"/>
        <w:adjustRightInd/>
        <w:snapToGrid/>
        <w:spacing w:beforeLines="0" w:afterLines="0" w:line="480" w:lineRule="auto"/>
        <w:textAlignment w:val="auto"/>
        <w:rPr>
          <w:rFonts w:hint="default" w:ascii="Times New Roman" w:hAnsi="Times New Roman" w:cs="Times New Roman"/>
          <w:b w:val="0"/>
          <w:bCs w:val="0"/>
          <w:i/>
          <w:iCs/>
          <w:sz w:val="24"/>
          <w:szCs w:val="24"/>
          <w:lang w:val="en-US" w:eastAsia="zh-CN"/>
        </w:rPr>
      </w:pPr>
      <w:r>
        <w:rPr>
          <w:rFonts w:hint="default" w:ascii="Times New Roman" w:hAnsi="Times New Roman" w:cs="Times New Roman"/>
          <w:b w:val="0"/>
          <w:bCs w:val="0"/>
          <w:i/>
          <w:iCs/>
          <w:sz w:val="24"/>
          <w:szCs w:val="24"/>
          <w:lang w:val="en-US" w:eastAsia="zh-CN"/>
        </w:rPr>
        <w:t xml:space="preserve">Tests of Normality for Variables </w:t>
      </w:r>
      <w:r>
        <w:rPr>
          <w:rFonts w:hint="eastAsia" w:ascii="Times New Roman" w:hAnsi="Times New Roman" w:cs="Times New Roman"/>
          <w:b w:val="0"/>
          <w:bCs w:val="0"/>
          <w:i/>
          <w:iCs/>
          <w:sz w:val="24"/>
          <w:szCs w:val="24"/>
          <w:lang w:val="en-US" w:eastAsia="zh-CN"/>
        </w:rPr>
        <w:t>Growth Mindset</w:t>
      </w:r>
      <w:r>
        <w:rPr>
          <w:rFonts w:hint="default" w:ascii="Times New Roman" w:hAnsi="Times New Roman" w:cs="Times New Roman"/>
          <w:b w:val="0"/>
          <w:bCs w:val="0"/>
          <w:i/>
          <w:iCs/>
          <w:sz w:val="24"/>
          <w:szCs w:val="24"/>
          <w:lang w:val="en-US" w:eastAsia="zh-CN"/>
        </w:rPr>
        <w:t xml:space="preserve"> and </w:t>
      </w:r>
      <w:r>
        <w:rPr>
          <w:rFonts w:hint="eastAsia" w:ascii="Times New Roman" w:hAnsi="Times New Roman" w:cs="Times New Roman"/>
          <w:b w:val="0"/>
          <w:bCs w:val="0"/>
          <w:i/>
          <w:iCs/>
          <w:sz w:val="24"/>
          <w:szCs w:val="24"/>
          <w:lang w:val="en-US" w:eastAsia="zh-CN"/>
        </w:rPr>
        <w:t>Math Anxiety</w:t>
      </w:r>
    </w:p>
    <w:tbl>
      <w:tblPr>
        <w:tblStyle w:val="3"/>
        <w:tblW w:w="6911" w:type="dxa"/>
        <w:tblInd w:w="0" w:type="dxa"/>
        <w:tblBorders>
          <w:top w:val="single" w:color="auto" w:sz="4" w:space="0"/>
          <w:left w:val="none" w:color="auto" w:sz="0" w:space="0"/>
          <w:bottom w:val="single" w:color="auto" w:sz="4" w:space="0"/>
          <w:right w:val="none" w:color="auto" w:sz="0" w:space="0"/>
          <w:insideH w:val="none" w:color="auto" w:sz="0" w:space="0"/>
          <w:insideV w:val="none" w:color="auto" w:sz="0" w:space="0"/>
        </w:tblBorders>
        <w:tblLayout w:type="fixed"/>
        <w:tblCellMar>
          <w:top w:w="0" w:type="dxa"/>
          <w:left w:w="0" w:type="dxa"/>
          <w:bottom w:w="0" w:type="dxa"/>
          <w:right w:w="0" w:type="dxa"/>
        </w:tblCellMar>
      </w:tblPr>
      <w:tblGrid>
        <w:gridCol w:w="2243"/>
        <w:gridCol w:w="1122"/>
        <w:gridCol w:w="600"/>
        <w:gridCol w:w="722"/>
        <w:gridCol w:w="956"/>
        <w:gridCol w:w="556"/>
        <w:gridCol w:w="712"/>
      </w:tblGrid>
      <w:tr w14:paraId="5455522B">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0" w:type="dxa"/>
            <w:bottom w:w="0" w:type="dxa"/>
            <w:right w:w="0" w:type="dxa"/>
          </w:tblCellMar>
        </w:tblPrEx>
        <w:trPr>
          <w:cantSplit/>
        </w:trPr>
        <w:tc>
          <w:tcPr>
            <w:tcW w:w="6911" w:type="dxa"/>
            <w:gridSpan w:val="7"/>
            <w:tcBorders>
              <w:tl2br w:val="nil"/>
              <w:tr2bl w:val="nil"/>
            </w:tcBorders>
            <w:shd w:val="clear" w:color="auto" w:fill="FFFFFF"/>
            <w:noWrap w:val="0"/>
            <w:vAlign w:val="center"/>
          </w:tcPr>
          <w:p w14:paraId="281C3A20">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b/>
                <w:color w:val="000000" w:themeColor="text1"/>
                <w:sz w:val="24"/>
                <w:szCs w:val="24"/>
                <w14:textFill>
                  <w14:solidFill>
                    <w14:schemeClr w14:val="tx1"/>
                  </w14:solidFill>
                </w14:textFill>
              </w:rPr>
              <w:t>Tests of Normality</w:t>
            </w:r>
          </w:p>
        </w:tc>
      </w:tr>
      <w:tr w14:paraId="3A6C13FC">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0" w:type="dxa"/>
            <w:bottom w:w="0" w:type="dxa"/>
            <w:right w:w="0" w:type="dxa"/>
          </w:tblCellMar>
        </w:tblPrEx>
        <w:trPr>
          <w:cantSplit/>
        </w:trPr>
        <w:tc>
          <w:tcPr>
            <w:tcW w:w="2243" w:type="dxa"/>
            <w:vMerge w:val="restart"/>
            <w:tcBorders>
              <w:tl2br w:val="nil"/>
              <w:tr2bl w:val="nil"/>
            </w:tcBorders>
            <w:shd w:val="clear" w:color="auto" w:fill="FFFFFF"/>
            <w:noWrap w:val="0"/>
            <w:vAlign w:val="bottom"/>
          </w:tcPr>
          <w:p w14:paraId="2BEFC5FC">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2444" w:type="dxa"/>
            <w:gridSpan w:val="3"/>
            <w:tcBorders>
              <w:tl2br w:val="nil"/>
              <w:tr2bl w:val="nil"/>
            </w:tcBorders>
            <w:shd w:val="clear" w:color="auto" w:fill="FFFFFF"/>
            <w:noWrap w:val="0"/>
            <w:vAlign w:val="bottom"/>
          </w:tcPr>
          <w:p w14:paraId="091187A1">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Kolmogorov-Smirnov</w:t>
            </w:r>
            <w:r>
              <w:rPr>
                <w:rFonts w:hint="default" w:ascii="Times New Roman" w:hAnsi="Times New Roman" w:cs="Times New Roman"/>
                <w:color w:val="000000" w:themeColor="text1"/>
                <w:sz w:val="24"/>
                <w:szCs w:val="24"/>
                <w:vertAlign w:val="superscript"/>
                <w14:textFill>
                  <w14:solidFill>
                    <w14:schemeClr w14:val="tx1"/>
                  </w14:solidFill>
                </w14:textFill>
              </w:rPr>
              <w:t>a</w:t>
            </w:r>
          </w:p>
        </w:tc>
        <w:tc>
          <w:tcPr>
            <w:tcW w:w="2224" w:type="dxa"/>
            <w:gridSpan w:val="3"/>
            <w:tcBorders>
              <w:tl2br w:val="nil"/>
              <w:tr2bl w:val="nil"/>
            </w:tcBorders>
            <w:shd w:val="clear" w:color="auto" w:fill="FFFFFF"/>
            <w:noWrap w:val="0"/>
            <w:vAlign w:val="bottom"/>
          </w:tcPr>
          <w:p w14:paraId="7BB0C9E6">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Shapiro-Wilk</w:t>
            </w:r>
          </w:p>
        </w:tc>
      </w:tr>
      <w:tr w14:paraId="08BCC70B">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0" w:type="dxa"/>
            <w:bottom w:w="0" w:type="dxa"/>
            <w:right w:w="0" w:type="dxa"/>
          </w:tblCellMar>
        </w:tblPrEx>
        <w:trPr>
          <w:cantSplit/>
        </w:trPr>
        <w:tc>
          <w:tcPr>
            <w:tcW w:w="2243" w:type="dxa"/>
            <w:vMerge w:val="continue"/>
            <w:tcBorders>
              <w:tl2br w:val="nil"/>
              <w:tr2bl w:val="nil"/>
            </w:tcBorders>
            <w:shd w:val="clear" w:color="auto" w:fill="FFFFFF"/>
            <w:noWrap w:val="0"/>
            <w:vAlign w:val="bottom"/>
          </w:tcPr>
          <w:p w14:paraId="64AF8010">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1122" w:type="dxa"/>
            <w:tcBorders>
              <w:tl2br w:val="nil"/>
              <w:tr2bl w:val="nil"/>
            </w:tcBorders>
            <w:shd w:val="clear" w:color="auto" w:fill="FFFFFF"/>
            <w:noWrap w:val="0"/>
            <w:vAlign w:val="bottom"/>
          </w:tcPr>
          <w:p w14:paraId="0E2CD003">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Statistic</w:t>
            </w:r>
          </w:p>
        </w:tc>
        <w:tc>
          <w:tcPr>
            <w:tcW w:w="600" w:type="dxa"/>
            <w:tcBorders>
              <w:tl2br w:val="nil"/>
              <w:tr2bl w:val="nil"/>
            </w:tcBorders>
            <w:shd w:val="clear" w:color="auto" w:fill="FFFFFF"/>
            <w:noWrap w:val="0"/>
            <w:vAlign w:val="bottom"/>
          </w:tcPr>
          <w:p w14:paraId="0CE26FF7">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df</w:t>
            </w:r>
          </w:p>
        </w:tc>
        <w:tc>
          <w:tcPr>
            <w:tcW w:w="722" w:type="dxa"/>
            <w:tcBorders>
              <w:tl2br w:val="nil"/>
              <w:tr2bl w:val="nil"/>
            </w:tcBorders>
            <w:shd w:val="clear" w:color="auto" w:fill="FFFFFF"/>
            <w:noWrap w:val="0"/>
            <w:vAlign w:val="bottom"/>
          </w:tcPr>
          <w:p w14:paraId="715133CF">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Sig.</w:t>
            </w:r>
          </w:p>
        </w:tc>
        <w:tc>
          <w:tcPr>
            <w:tcW w:w="956" w:type="dxa"/>
            <w:tcBorders>
              <w:tl2br w:val="nil"/>
              <w:tr2bl w:val="nil"/>
            </w:tcBorders>
            <w:shd w:val="clear" w:color="auto" w:fill="FFFFFF"/>
            <w:noWrap w:val="0"/>
            <w:vAlign w:val="bottom"/>
          </w:tcPr>
          <w:p w14:paraId="67C33F6D">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Statistic</w:t>
            </w:r>
          </w:p>
        </w:tc>
        <w:tc>
          <w:tcPr>
            <w:tcW w:w="556" w:type="dxa"/>
            <w:tcBorders>
              <w:tl2br w:val="nil"/>
              <w:tr2bl w:val="nil"/>
            </w:tcBorders>
            <w:shd w:val="clear" w:color="auto" w:fill="FFFFFF"/>
            <w:noWrap w:val="0"/>
            <w:vAlign w:val="bottom"/>
          </w:tcPr>
          <w:p w14:paraId="2DA54256">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df</w:t>
            </w:r>
          </w:p>
        </w:tc>
        <w:tc>
          <w:tcPr>
            <w:tcW w:w="712" w:type="dxa"/>
            <w:tcBorders>
              <w:tl2br w:val="nil"/>
              <w:tr2bl w:val="nil"/>
            </w:tcBorders>
            <w:shd w:val="clear" w:color="auto" w:fill="FFFFFF"/>
            <w:noWrap w:val="0"/>
            <w:vAlign w:val="bottom"/>
          </w:tcPr>
          <w:p w14:paraId="0D1CAF2C">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Sig.</w:t>
            </w:r>
          </w:p>
        </w:tc>
      </w:tr>
      <w:tr w14:paraId="2F2C379E">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0" w:type="dxa"/>
            <w:bottom w:w="0" w:type="dxa"/>
            <w:right w:w="0" w:type="dxa"/>
          </w:tblCellMar>
        </w:tblPrEx>
        <w:trPr>
          <w:cantSplit/>
        </w:trPr>
        <w:tc>
          <w:tcPr>
            <w:tcW w:w="2243" w:type="dxa"/>
            <w:tcBorders>
              <w:tl2br w:val="nil"/>
              <w:tr2bl w:val="nil"/>
            </w:tcBorders>
            <w:shd w:val="clear" w:color="auto" w:fill="FFFFFF" w:themeFill="background1"/>
            <w:noWrap w:val="0"/>
            <w:vAlign w:val="top"/>
          </w:tcPr>
          <w:p w14:paraId="01C5FD28">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eastAsiaTheme="minorEastAsia"/>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Growth Mindset</w:t>
            </w:r>
          </w:p>
        </w:tc>
        <w:tc>
          <w:tcPr>
            <w:tcW w:w="1122" w:type="dxa"/>
            <w:tcBorders>
              <w:tl2br w:val="nil"/>
              <w:tr2bl w:val="nil"/>
            </w:tcBorders>
            <w:shd w:val="clear" w:color="auto" w:fill="FFFFFF"/>
            <w:noWrap w:val="0"/>
            <w:vAlign w:val="top"/>
          </w:tcPr>
          <w:p w14:paraId="27218396">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.173</w:t>
            </w:r>
          </w:p>
        </w:tc>
        <w:tc>
          <w:tcPr>
            <w:tcW w:w="600" w:type="dxa"/>
            <w:tcBorders>
              <w:tl2br w:val="nil"/>
              <w:tr2bl w:val="nil"/>
            </w:tcBorders>
            <w:shd w:val="clear" w:color="auto" w:fill="FFFFFF"/>
            <w:noWrap w:val="0"/>
            <w:vAlign w:val="top"/>
          </w:tcPr>
          <w:p w14:paraId="7B14B2B8">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297</w:t>
            </w:r>
          </w:p>
        </w:tc>
        <w:tc>
          <w:tcPr>
            <w:tcW w:w="722" w:type="dxa"/>
            <w:tcBorders>
              <w:tl2br w:val="nil"/>
              <w:tr2bl w:val="nil"/>
            </w:tcBorders>
            <w:shd w:val="clear" w:color="auto" w:fill="FFFFFF"/>
            <w:noWrap w:val="0"/>
            <w:vAlign w:val="top"/>
          </w:tcPr>
          <w:p w14:paraId="6C786583">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.000</w:t>
            </w:r>
          </w:p>
        </w:tc>
        <w:tc>
          <w:tcPr>
            <w:tcW w:w="956" w:type="dxa"/>
            <w:tcBorders>
              <w:tl2br w:val="nil"/>
              <w:tr2bl w:val="nil"/>
            </w:tcBorders>
            <w:shd w:val="clear" w:color="auto" w:fill="FFFFFF"/>
            <w:noWrap w:val="0"/>
            <w:vAlign w:val="top"/>
          </w:tcPr>
          <w:p w14:paraId="4ACE274C">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.909</w:t>
            </w:r>
          </w:p>
        </w:tc>
        <w:tc>
          <w:tcPr>
            <w:tcW w:w="556" w:type="dxa"/>
            <w:tcBorders>
              <w:tl2br w:val="nil"/>
              <w:tr2bl w:val="nil"/>
            </w:tcBorders>
            <w:shd w:val="clear" w:color="auto" w:fill="FFFFFF"/>
            <w:noWrap w:val="0"/>
            <w:vAlign w:val="top"/>
          </w:tcPr>
          <w:p w14:paraId="5BB02934">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297</w:t>
            </w:r>
          </w:p>
        </w:tc>
        <w:tc>
          <w:tcPr>
            <w:tcW w:w="712" w:type="dxa"/>
            <w:tcBorders>
              <w:tl2br w:val="nil"/>
              <w:tr2bl w:val="nil"/>
            </w:tcBorders>
            <w:shd w:val="clear" w:color="auto" w:fill="FFFFFF"/>
            <w:noWrap w:val="0"/>
            <w:vAlign w:val="top"/>
          </w:tcPr>
          <w:p w14:paraId="2E69ECDC">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.000</w:t>
            </w:r>
          </w:p>
        </w:tc>
      </w:tr>
      <w:tr w14:paraId="50F57536">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0" w:type="dxa"/>
            <w:bottom w:w="0" w:type="dxa"/>
            <w:right w:w="0" w:type="dxa"/>
          </w:tblCellMar>
        </w:tblPrEx>
        <w:trPr>
          <w:cantSplit/>
        </w:trPr>
        <w:tc>
          <w:tcPr>
            <w:tcW w:w="2243" w:type="dxa"/>
            <w:tcBorders>
              <w:tl2br w:val="nil"/>
              <w:tr2bl w:val="nil"/>
            </w:tcBorders>
            <w:shd w:val="clear" w:color="auto" w:fill="FFFFFF" w:themeFill="background1"/>
            <w:noWrap w:val="0"/>
            <w:vAlign w:val="top"/>
          </w:tcPr>
          <w:p w14:paraId="463FE996">
            <w:pPr>
              <w:keepNext w:val="0"/>
              <w:keepLines w:val="0"/>
              <w:pageBreakBefore w:val="0"/>
              <w:widowControl w:val="0"/>
              <w:kinsoku/>
              <w:wordWrap/>
              <w:overflowPunct/>
              <w:topLinePunct w:val="0"/>
              <w:autoSpaceDE/>
              <w:autoSpaceDN/>
              <w:bidi w:val="0"/>
              <w:adjustRightInd/>
              <w:snapToGrid/>
              <w:spacing w:beforeLines="0" w:afterLines="0" w:line="480" w:lineRule="auto"/>
              <w:ind w:left="60" w:leftChars="0" w:right="60" w:rightChars="0"/>
              <w:jc w:val="center"/>
              <w:textAlignment w:val="auto"/>
              <w:rPr>
                <w:rFonts w:hint="default" w:ascii="Times New Roman" w:hAnsi="Times New Roman" w:cs="Times New Roman" w:eastAsiaTheme="minorEastAsia"/>
                <w:color w:val="000000" w:themeColor="text1"/>
                <w:kern w:val="2"/>
                <w:sz w:val="24"/>
                <w:szCs w:val="24"/>
                <w:lang w:val="en-US" w:eastAsia="zh-CN" w:bidi="ar-SA"/>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M</w:t>
            </w:r>
            <w:r>
              <w:rPr>
                <w:rFonts w:hint="eastAsia" w:ascii="Times New Roman" w:hAnsi="Times New Roman" w:cs="Times New Roman"/>
                <w:color w:val="000000" w:themeColor="text1"/>
                <w:sz w:val="24"/>
                <w:szCs w:val="24"/>
                <w:lang w:val="en-US" w:eastAsia="zh-CN"/>
                <w14:textFill>
                  <w14:solidFill>
                    <w14:schemeClr w14:val="tx1"/>
                  </w14:solidFill>
                </w14:textFill>
              </w:rPr>
              <w:t>ath Anxiety</w:t>
            </w:r>
          </w:p>
        </w:tc>
        <w:tc>
          <w:tcPr>
            <w:tcW w:w="1122" w:type="dxa"/>
            <w:tcBorders>
              <w:tl2br w:val="nil"/>
              <w:tr2bl w:val="nil"/>
            </w:tcBorders>
            <w:shd w:val="clear" w:color="auto" w:fill="FFFFFF"/>
            <w:noWrap w:val="0"/>
            <w:vAlign w:val="top"/>
          </w:tcPr>
          <w:p w14:paraId="191F732B">
            <w:pPr>
              <w:keepNext w:val="0"/>
              <w:keepLines w:val="0"/>
              <w:pageBreakBefore w:val="0"/>
              <w:widowControl w:val="0"/>
              <w:kinsoku/>
              <w:wordWrap/>
              <w:overflowPunct/>
              <w:topLinePunct w:val="0"/>
              <w:autoSpaceDE/>
              <w:autoSpaceDN/>
              <w:bidi w:val="0"/>
              <w:adjustRightInd/>
              <w:snapToGrid/>
              <w:spacing w:beforeLines="0" w:afterLines="0" w:line="480" w:lineRule="auto"/>
              <w:ind w:left="60" w:leftChars="0" w:right="60" w:rightChars="0"/>
              <w:jc w:val="center"/>
              <w:textAlignment w:val="auto"/>
              <w:rPr>
                <w:rFonts w:hint="default" w:ascii="Times New Roman" w:hAnsi="Times New Roman" w:cs="Times New Roman" w:eastAsiaTheme="minorEastAsia"/>
                <w:color w:val="000000" w:themeColor="text1"/>
                <w:kern w:val="2"/>
                <w:sz w:val="24"/>
                <w:szCs w:val="24"/>
                <w:lang w:val="en-US" w:eastAsia="zh-CN" w:bidi="ar-SA"/>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.137</w:t>
            </w:r>
          </w:p>
        </w:tc>
        <w:tc>
          <w:tcPr>
            <w:tcW w:w="600" w:type="dxa"/>
            <w:tcBorders>
              <w:tl2br w:val="nil"/>
              <w:tr2bl w:val="nil"/>
            </w:tcBorders>
            <w:shd w:val="clear" w:color="auto" w:fill="FFFFFF"/>
            <w:noWrap w:val="0"/>
            <w:vAlign w:val="top"/>
          </w:tcPr>
          <w:p w14:paraId="22D124D3">
            <w:pPr>
              <w:keepNext w:val="0"/>
              <w:keepLines w:val="0"/>
              <w:pageBreakBefore w:val="0"/>
              <w:widowControl w:val="0"/>
              <w:kinsoku/>
              <w:wordWrap/>
              <w:overflowPunct/>
              <w:topLinePunct w:val="0"/>
              <w:autoSpaceDE/>
              <w:autoSpaceDN/>
              <w:bidi w:val="0"/>
              <w:adjustRightInd/>
              <w:snapToGrid/>
              <w:spacing w:beforeLines="0" w:afterLines="0" w:line="480" w:lineRule="auto"/>
              <w:ind w:left="60" w:leftChars="0" w:right="60" w:rightChars="0"/>
              <w:jc w:val="center"/>
              <w:textAlignment w:val="auto"/>
              <w:rPr>
                <w:rFonts w:hint="default" w:ascii="Times New Roman" w:hAnsi="Times New Roman" w:cs="Times New Roman" w:eastAsiaTheme="minorEastAsia"/>
                <w:color w:val="000000" w:themeColor="text1"/>
                <w:kern w:val="2"/>
                <w:sz w:val="24"/>
                <w:szCs w:val="24"/>
                <w:lang w:val="en-US" w:eastAsia="zh-CN" w:bidi="ar-SA"/>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297</w:t>
            </w:r>
          </w:p>
        </w:tc>
        <w:tc>
          <w:tcPr>
            <w:tcW w:w="722" w:type="dxa"/>
            <w:tcBorders>
              <w:tl2br w:val="nil"/>
              <w:tr2bl w:val="nil"/>
            </w:tcBorders>
            <w:shd w:val="clear" w:color="auto" w:fill="FFFFFF"/>
            <w:noWrap w:val="0"/>
            <w:vAlign w:val="top"/>
          </w:tcPr>
          <w:p w14:paraId="2BA796C3">
            <w:pPr>
              <w:keepNext w:val="0"/>
              <w:keepLines w:val="0"/>
              <w:pageBreakBefore w:val="0"/>
              <w:widowControl w:val="0"/>
              <w:kinsoku/>
              <w:wordWrap/>
              <w:overflowPunct/>
              <w:topLinePunct w:val="0"/>
              <w:autoSpaceDE/>
              <w:autoSpaceDN/>
              <w:bidi w:val="0"/>
              <w:adjustRightInd/>
              <w:snapToGrid/>
              <w:spacing w:beforeLines="0" w:afterLines="0" w:line="480" w:lineRule="auto"/>
              <w:ind w:left="60" w:leftChars="0" w:right="60" w:rightChars="0"/>
              <w:jc w:val="center"/>
              <w:textAlignment w:val="auto"/>
              <w:rPr>
                <w:rFonts w:hint="default" w:ascii="Times New Roman" w:hAnsi="Times New Roman" w:cs="Times New Roman" w:eastAsiaTheme="minorEastAsia"/>
                <w:color w:val="000000" w:themeColor="text1"/>
                <w:kern w:val="2"/>
                <w:sz w:val="24"/>
                <w:szCs w:val="24"/>
                <w:lang w:val="en-US" w:eastAsia="zh-CN" w:bidi="ar-SA"/>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.000</w:t>
            </w:r>
          </w:p>
        </w:tc>
        <w:tc>
          <w:tcPr>
            <w:tcW w:w="956" w:type="dxa"/>
            <w:tcBorders>
              <w:tl2br w:val="nil"/>
              <w:tr2bl w:val="nil"/>
            </w:tcBorders>
            <w:shd w:val="clear" w:color="auto" w:fill="FFFFFF"/>
            <w:noWrap w:val="0"/>
            <w:vAlign w:val="top"/>
          </w:tcPr>
          <w:p w14:paraId="1234B021">
            <w:pPr>
              <w:keepNext w:val="0"/>
              <w:keepLines w:val="0"/>
              <w:pageBreakBefore w:val="0"/>
              <w:widowControl w:val="0"/>
              <w:kinsoku/>
              <w:wordWrap/>
              <w:overflowPunct/>
              <w:topLinePunct w:val="0"/>
              <w:autoSpaceDE/>
              <w:autoSpaceDN/>
              <w:bidi w:val="0"/>
              <w:adjustRightInd/>
              <w:snapToGrid/>
              <w:spacing w:beforeLines="0" w:afterLines="0" w:line="480" w:lineRule="auto"/>
              <w:ind w:left="60" w:leftChars="0" w:right="60" w:rightChars="0"/>
              <w:jc w:val="center"/>
              <w:textAlignment w:val="auto"/>
              <w:rPr>
                <w:rFonts w:hint="default" w:ascii="Times New Roman" w:hAnsi="Times New Roman" w:cs="Times New Roman" w:eastAsiaTheme="minorEastAsia"/>
                <w:color w:val="000000" w:themeColor="text1"/>
                <w:kern w:val="2"/>
                <w:sz w:val="24"/>
                <w:szCs w:val="24"/>
                <w:lang w:val="en-US" w:eastAsia="zh-CN" w:bidi="ar-SA"/>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.942</w:t>
            </w:r>
          </w:p>
        </w:tc>
        <w:tc>
          <w:tcPr>
            <w:tcW w:w="556" w:type="dxa"/>
            <w:tcBorders>
              <w:tl2br w:val="nil"/>
              <w:tr2bl w:val="nil"/>
            </w:tcBorders>
            <w:shd w:val="clear" w:color="auto" w:fill="FFFFFF"/>
            <w:noWrap w:val="0"/>
            <w:vAlign w:val="top"/>
          </w:tcPr>
          <w:p w14:paraId="01C029AA">
            <w:pPr>
              <w:keepNext w:val="0"/>
              <w:keepLines w:val="0"/>
              <w:pageBreakBefore w:val="0"/>
              <w:widowControl w:val="0"/>
              <w:kinsoku/>
              <w:wordWrap/>
              <w:overflowPunct/>
              <w:topLinePunct w:val="0"/>
              <w:autoSpaceDE/>
              <w:autoSpaceDN/>
              <w:bidi w:val="0"/>
              <w:adjustRightInd/>
              <w:snapToGrid/>
              <w:spacing w:beforeLines="0" w:afterLines="0" w:line="480" w:lineRule="auto"/>
              <w:ind w:left="60" w:leftChars="0" w:right="60" w:rightChars="0"/>
              <w:jc w:val="center"/>
              <w:textAlignment w:val="auto"/>
              <w:rPr>
                <w:rFonts w:hint="default" w:ascii="Times New Roman" w:hAnsi="Times New Roman" w:cs="Times New Roman" w:eastAsiaTheme="minorEastAsia"/>
                <w:color w:val="000000" w:themeColor="text1"/>
                <w:kern w:val="2"/>
                <w:sz w:val="24"/>
                <w:szCs w:val="24"/>
                <w:lang w:val="en-US" w:eastAsia="zh-CN" w:bidi="ar-SA"/>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297</w:t>
            </w:r>
          </w:p>
        </w:tc>
        <w:tc>
          <w:tcPr>
            <w:tcW w:w="712" w:type="dxa"/>
            <w:tcBorders>
              <w:tl2br w:val="nil"/>
              <w:tr2bl w:val="nil"/>
            </w:tcBorders>
            <w:shd w:val="clear" w:color="auto" w:fill="FFFFFF"/>
            <w:noWrap w:val="0"/>
            <w:vAlign w:val="top"/>
          </w:tcPr>
          <w:p w14:paraId="02E21E27">
            <w:pPr>
              <w:keepNext w:val="0"/>
              <w:keepLines w:val="0"/>
              <w:pageBreakBefore w:val="0"/>
              <w:widowControl w:val="0"/>
              <w:kinsoku/>
              <w:wordWrap/>
              <w:overflowPunct/>
              <w:topLinePunct w:val="0"/>
              <w:autoSpaceDE/>
              <w:autoSpaceDN/>
              <w:bidi w:val="0"/>
              <w:adjustRightInd/>
              <w:snapToGrid/>
              <w:spacing w:beforeLines="0" w:afterLines="0" w:line="480" w:lineRule="auto"/>
              <w:ind w:left="60" w:leftChars="0" w:right="60" w:rightChars="0"/>
              <w:jc w:val="center"/>
              <w:textAlignment w:val="auto"/>
              <w:rPr>
                <w:rFonts w:hint="default" w:ascii="Times New Roman" w:hAnsi="Times New Roman" w:cs="Times New Roman" w:eastAsiaTheme="minorEastAsia"/>
                <w:color w:val="000000" w:themeColor="text1"/>
                <w:kern w:val="2"/>
                <w:sz w:val="24"/>
                <w:szCs w:val="24"/>
                <w:lang w:val="en-US" w:eastAsia="zh-CN" w:bidi="ar-SA"/>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.000</w:t>
            </w:r>
          </w:p>
        </w:tc>
      </w:tr>
    </w:tbl>
    <w:p w14:paraId="2F6F220F">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olor w:val="222222"/>
          <w:sz w:val="24"/>
          <w:shd w:val="clear" w:color="auto" w:fill="FFFFFF"/>
          <w:lang w:val="en-US" w:eastAsia="zh-CN"/>
        </w:rPr>
      </w:pPr>
      <w:r>
        <w:rPr>
          <w:rFonts w:hint="default" w:ascii="Times New Roman" w:hAnsi="Times New Roman"/>
          <w:color w:val="222222"/>
          <w:sz w:val="24"/>
          <w:shd w:val="clear" w:color="auto" w:fill="FFFFFF"/>
          <w:lang w:val="en-US" w:eastAsia="zh-CN"/>
        </w:rPr>
        <w:t xml:space="preserve">As shown in Table 7, the p-values of both items are far less than the significance level of 0.05, indicating that the null hypothesis must be rejected. The total scores of growth mindset and math anxiety both significantly deviate from the normal distribution. Moreover, from the previous descriptive statistics, it can also be observed that the absolute values of skewness and kurtosis of the two variables are not zero, further confirming the non-normal characteristics of the distribution. </w:t>
      </w:r>
    </w:p>
    <w:p w14:paraId="1BD43E2C">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olor w:val="222222"/>
          <w:sz w:val="24"/>
          <w:shd w:val="clear" w:color="auto" w:fill="FFFFFF"/>
          <w:lang w:val="en-US" w:eastAsia="zh-CN"/>
        </w:rPr>
      </w:pPr>
      <w:r>
        <w:rPr>
          <w:rFonts w:hint="default" w:ascii="Times New Roman" w:hAnsi="Times New Roman"/>
          <w:color w:val="222222"/>
          <w:sz w:val="24"/>
          <w:shd w:val="clear" w:color="auto" w:fill="FFFFFF"/>
          <w:lang w:val="en-US" w:eastAsia="zh-CN"/>
        </w:rPr>
        <w:t>Given that the data seriously violated the normality assumption of the parameter test, this study decided to use the non-parametric Spearman rank-order correlation analysis (Spearman's rank-order correlation) to test the relationship between growth mindset and math anxiety. Spearman correlation calculates based on the ranks of the data rather than the original values, does not require the variables to follow a normal distribution, and is more suitable for the data analysis of this study (Damasceno, 2020).</w:t>
      </w:r>
    </w:p>
    <w:p w14:paraId="280764A7">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eastAsia" w:ascii="Times New Roman" w:hAnsi="Times New Roman"/>
          <w:b/>
          <w:bCs/>
          <w:color w:val="222222"/>
          <w:sz w:val="24"/>
          <w:shd w:val="clear" w:color="auto" w:fill="FFFFFF"/>
          <w:lang w:val="en-US" w:eastAsia="zh-CN"/>
        </w:rPr>
      </w:pPr>
      <w:r>
        <w:rPr>
          <w:rFonts w:hint="eastAsia" w:ascii="Times New Roman" w:hAnsi="Times New Roman"/>
          <w:b/>
          <w:bCs/>
          <w:color w:val="222222"/>
          <w:sz w:val="24"/>
          <w:shd w:val="clear" w:color="auto" w:fill="FFFFFF"/>
          <w:lang w:val="en-US" w:eastAsia="zh-CN"/>
        </w:rPr>
        <w:t>Correlation Analysis</w:t>
      </w:r>
    </w:p>
    <w:p w14:paraId="46A91D8A">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olor w:val="222222"/>
          <w:sz w:val="24"/>
          <w:shd w:val="clear" w:color="auto" w:fill="FFFFFF"/>
          <w:lang w:val="en-US" w:eastAsia="zh-CN"/>
        </w:rPr>
      </w:pPr>
      <w:r>
        <w:rPr>
          <w:rFonts w:hint="eastAsia" w:ascii="Times New Roman" w:hAnsi="Times New Roman"/>
          <w:color w:val="222222"/>
          <w:sz w:val="24"/>
          <w:shd w:val="clear" w:color="auto" w:fill="FFFFFF"/>
          <w:lang w:val="en-US" w:eastAsia="zh-CN"/>
        </w:rPr>
        <w:t>To answer the core question of this study, correlation between growth mindset and math anxiety among X junior high school students in Jiangxi Province, a correlation analysis was conducted. Since the aforementioned normality test indicated that the data distributions of the two variables significantly deviated from normality, this study employed the Spearman rank-order correlation (Spearman's rank correlation) method. This method does not require the data to satisfy the assumption of normal distribution but calculates based on the ranks of the variables, making it more suitable for the non-parametric data characteristics of this study (Damasceno, 2020).</w:t>
      </w:r>
    </w:p>
    <w:p w14:paraId="272BF068">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olor w:val="222222"/>
          <w:sz w:val="24"/>
          <w:shd w:val="clear" w:color="auto" w:fill="FFFFFF"/>
          <w:lang w:val="en-US" w:eastAsia="zh-CN"/>
        </w:rPr>
      </w:pPr>
      <w:r>
        <w:rPr>
          <w:rFonts w:hint="eastAsia" w:ascii="Times New Roman" w:hAnsi="Times New Roman"/>
          <w:color w:val="222222"/>
          <w:sz w:val="24"/>
          <w:shd w:val="clear" w:color="auto" w:fill="FFFFFF"/>
          <w:lang w:val="en-US" w:eastAsia="zh-CN"/>
        </w:rPr>
        <w:t>According to the widely accepted criteria by Cohen (1988), the magnitude of the absolute value of the Spearman correlation coefficient (ρ) indicates the strength of the correlation: |ρ| ≥ 0.50 represents a strong correlation, 0.30 ≤ |ρ| &lt; 0.50 indicates a moderate correlation, 0.10 ≤ |ρ| &lt; 0.30 represents a weak correlation, while |ρ| &lt; 0.10 indicates an extremely weak correlation or no correlation at all. The sign of the coefficient indicates the direction of the correlation (positive or negative).</w:t>
      </w:r>
    </w:p>
    <w:p w14:paraId="6B790917">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b/>
          <w:bCs/>
          <w:i w:val="0"/>
          <w:iCs w:val="0"/>
          <w:sz w:val="24"/>
          <w:szCs w:val="24"/>
          <w:lang w:val="en-US" w:eastAsia="zh-CN"/>
        </w:rPr>
      </w:pPr>
      <w:r>
        <w:rPr>
          <w:rFonts w:hint="eastAsia" w:ascii="Times New Roman" w:hAnsi="Times New Roman" w:cs="Times New Roman"/>
          <w:b/>
          <w:bCs/>
          <w:i w:val="0"/>
          <w:iCs w:val="0"/>
          <w:sz w:val="24"/>
          <w:szCs w:val="24"/>
          <w:lang w:val="en-US" w:eastAsia="zh-CN"/>
        </w:rPr>
        <w:t>Table 8</w:t>
      </w:r>
    </w:p>
    <w:p w14:paraId="0D9C7D44">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i/>
          <w:iCs/>
          <w:sz w:val="24"/>
          <w:szCs w:val="24"/>
          <w:lang w:val="en-US" w:eastAsia="zh-CN"/>
        </w:rPr>
      </w:pPr>
      <w:r>
        <w:rPr>
          <w:rFonts w:hint="default" w:ascii="Times New Roman" w:hAnsi="Times New Roman" w:cs="Times New Roman"/>
          <w:i/>
          <w:iCs/>
          <w:sz w:val="24"/>
          <w:szCs w:val="24"/>
          <w:lang w:val="en-US" w:eastAsia="zh-CN"/>
        </w:rPr>
        <w:t>Spearman's Rho Correlations between Growth Mindset and Math Anxiety</w:t>
      </w:r>
    </w:p>
    <w:p w14:paraId="4AC6BDB4">
      <w:pPr>
        <w:spacing w:beforeLines="0" w:afterLines="0"/>
        <w:rPr>
          <w:rFonts w:hint="default"/>
          <w:sz w:val="24"/>
          <w:szCs w:val="24"/>
        </w:rPr>
      </w:pPr>
    </w:p>
    <w:tbl>
      <w:tblPr>
        <w:tblStyle w:val="3"/>
        <w:tblW w:w="6606"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1242"/>
        <w:gridCol w:w="944"/>
        <w:gridCol w:w="1534"/>
        <w:gridCol w:w="1511"/>
        <w:gridCol w:w="1375"/>
      </w:tblGrid>
      <w:tr w14:paraId="3207A5A3">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6606" w:type="dxa"/>
            <w:gridSpan w:val="5"/>
            <w:tcBorders>
              <w:top w:val="single" w:color="auto" w:sz="4" w:space="0"/>
              <w:left w:val="nil"/>
              <w:bottom w:val="single" w:color="auto" w:sz="4" w:space="0"/>
              <w:right w:val="nil"/>
            </w:tcBorders>
            <w:shd w:val="clear" w:color="auto" w:fill="FFFFFF"/>
            <w:noWrap w:val="0"/>
            <w:vAlign w:val="center"/>
          </w:tcPr>
          <w:p w14:paraId="0D2C4E65">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b/>
                <w:color w:val="000000" w:themeColor="text1"/>
                <w:sz w:val="24"/>
                <w:szCs w:val="24"/>
                <w14:textFill>
                  <w14:solidFill>
                    <w14:schemeClr w14:val="tx1"/>
                  </w14:solidFill>
                </w14:textFill>
              </w:rPr>
              <w:t>Correlations</w:t>
            </w:r>
          </w:p>
        </w:tc>
      </w:tr>
      <w:tr w14:paraId="477937C2">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3720" w:type="dxa"/>
            <w:gridSpan w:val="3"/>
            <w:tcBorders>
              <w:top w:val="single" w:color="auto" w:sz="4" w:space="0"/>
              <w:left w:val="nil"/>
              <w:bottom w:val="nil"/>
              <w:right w:val="nil"/>
              <w:tl2br w:val="nil"/>
              <w:tr2bl w:val="nil"/>
            </w:tcBorders>
            <w:shd w:val="clear" w:color="auto" w:fill="FFFFFF"/>
            <w:noWrap w:val="0"/>
            <w:vAlign w:val="bottom"/>
          </w:tcPr>
          <w:p w14:paraId="31FF19A7">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1511" w:type="dxa"/>
            <w:tcBorders>
              <w:top w:val="single" w:color="auto" w:sz="4" w:space="0"/>
              <w:left w:val="nil"/>
              <w:bottom w:val="nil"/>
              <w:right w:val="single" w:color="E0E0E0" w:sz="8" w:space="0"/>
              <w:tl2br w:val="nil"/>
              <w:tr2bl w:val="nil"/>
            </w:tcBorders>
            <w:shd w:val="clear" w:color="auto" w:fill="FFFFFF"/>
            <w:noWrap w:val="0"/>
            <w:vAlign w:val="bottom"/>
          </w:tcPr>
          <w:p w14:paraId="755C025D">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eastAsiaTheme="minorEastAsia"/>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G</w:t>
            </w:r>
            <w:r>
              <w:rPr>
                <w:rFonts w:hint="eastAsia" w:ascii="Times New Roman" w:hAnsi="Times New Roman" w:cs="Times New Roman"/>
                <w:color w:val="000000" w:themeColor="text1"/>
                <w:sz w:val="24"/>
                <w:szCs w:val="24"/>
                <w:lang w:val="en-US" w:eastAsia="zh-CN"/>
                <w14:textFill>
                  <w14:solidFill>
                    <w14:schemeClr w14:val="tx1"/>
                  </w14:solidFill>
                </w14:textFill>
              </w:rPr>
              <w:t>rowth Mindset</w:t>
            </w:r>
          </w:p>
        </w:tc>
        <w:tc>
          <w:tcPr>
            <w:tcW w:w="1375" w:type="dxa"/>
            <w:tcBorders>
              <w:top w:val="single" w:color="auto" w:sz="4" w:space="0"/>
              <w:left w:val="single" w:color="E0E0E0" w:sz="8" w:space="0"/>
              <w:bottom w:val="nil"/>
              <w:right w:val="nil"/>
              <w:tl2br w:val="nil"/>
              <w:tr2bl w:val="nil"/>
            </w:tcBorders>
            <w:shd w:val="clear" w:color="auto" w:fill="FFFFFF"/>
            <w:noWrap w:val="0"/>
            <w:vAlign w:val="bottom"/>
          </w:tcPr>
          <w:p w14:paraId="5DBFADFF">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eastAsiaTheme="minorEastAsia"/>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M</w:t>
            </w:r>
            <w:r>
              <w:rPr>
                <w:rFonts w:hint="eastAsia" w:ascii="Times New Roman" w:hAnsi="Times New Roman" w:cs="Times New Roman"/>
                <w:color w:val="000000" w:themeColor="text1"/>
                <w:sz w:val="24"/>
                <w:szCs w:val="24"/>
                <w:lang w:val="en-US" w:eastAsia="zh-CN"/>
                <w14:textFill>
                  <w14:solidFill>
                    <w14:schemeClr w14:val="tx1"/>
                  </w14:solidFill>
                </w14:textFill>
              </w:rPr>
              <w:t>ath Anxiety</w:t>
            </w:r>
          </w:p>
        </w:tc>
      </w:tr>
      <w:tr w14:paraId="24244E14">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242" w:type="dxa"/>
            <w:vMerge w:val="restart"/>
            <w:tcBorders>
              <w:top w:val="nil"/>
              <w:left w:val="nil"/>
              <w:bottom w:val="nil"/>
              <w:right w:val="nil"/>
            </w:tcBorders>
            <w:shd w:val="clear" w:color="auto" w:fill="FFFFFF" w:themeFill="background1"/>
            <w:noWrap w:val="0"/>
            <w:vAlign w:val="top"/>
          </w:tcPr>
          <w:p w14:paraId="58DCD6C8">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Spearman's rho</w:t>
            </w:r>
          </w:p>
        </w:tc>
        <w:tc>
          <w:tcPr>
            <w:tcW w:w="944" w:type="dxa"/>
            <w:vMerge w:val="restart"/>
            <w:tcBorders>
              <w:top w:val="nil"/>
              <w:left w:val="nil"/>
              <w:bottom w:val="nil"/>
              <w:right w:val="nil"/>
            </w:tcBorders>
            <w:shd w:val="clear" w:color="auto" w:fill="FFFFFF" w:themeFill="background1"/>
            <w:noWrap w:val="0"/>
            <w:vAlign w:val="top"/>
          </w:tcPr>
          <w:p w14:paraId="002DA55D">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Growth Mindset</w:t>
            </w:r>
          </w:p>
        </w:tc>
        <w:tc>
          <w:tcPr>
            <w:tcW w:w="1534" w:type="dxa"/>
            <w:tcBorders>
              <w:top w:val="nil"/>
              <w:left w:val="nil"/>
              <w:bottom w:val="nil"/>
              <w:right w:val="nil"/>
            </w:tcBorders>
            <w:shd w:val="clear" w:color="auto" w:fill="FFFFFF" w:themeFill="background1"/>
            <w:noWrap w:val="0"/>
            <w:vAlign w:val="top"/>
          </w:tcPr>
          <w:p w14:paraId="6D0ADB2D">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Correlation Coefficient</w:t>
            </w:r>
          </w:p>
        </w:tc>
        <w:tc>
          <w:tcPr>
            <w:tcW w:w="1511" w:type="dxa"/>
            <w:tcBorders>
              <w:top w:val="nil"/>
              <w:left w:val="nil"/>
              <w:bottom w:val="nil"/>
              <w:right w:val="nil"/>
            </w:tcBorders>
            <w:shd w:val="clear" w:color="auto" w:fill="FFFFFF"/>
            <w:noWrap w:val="0"/>
            <w:vAlign w:val="top"/>
          </w:tcPr>
          <w:p w14:paraId="37A047F1">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1.000</w:t>
            </w:r>
          </w:p>
        </w:tc>
        <w:tc>
          <w:tcPr>
            <w:tcW w:w="1375" w:type="dxa"/>
            <w:tcBorders>
              <w:top w:val="nil"/>
              <w:left w:val="nil"/>
              <w:bottom w:val="nil"/>
              <w:right w:val="nil"/>
            </w:tcBorders>
            <w:shd w:val="clear" w:color="auto" w:fill="FFFFFF"/>
            <w:noWrap w:val="0"/>
            <w:vAlign w:val="top"/>
          </w:tcPr>
          <w:p w14:paraId="078AC347">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-.117</w:t>
            </w:r>
            <w:r>
              <w:rPr>
                <w:rFonts w:hint="default" w:ascii="Times New Roman" w:hAnsi="Times New Roman" w:cs="Times New Roman"/>
                <w:color w:val="000000" w:themeColor="text1"/>
                <w:sz w:val="24"/>
                <w:szCs w:val="24"/>
                <w:vertAlign w:val="superscript"/>
                <w14:textFill>
                  <w14:solidFill>
                    <w14:schemeClr w14:val="tx1"/>
                  </w14:solidFill>
                </w14:textFill>
              </w:rPr>
              <w:t>*</w:t>
            </w:r>
          </w:p>
        </w:tc>
      </w:tr>
      <w:tr w14:paraId="0063536B">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242" w:type="dxa"/>
            <w:vMerge w:val="continue"/>
            <w:tcBorders>
              <w:top w:val="nil"/>
              <w:left w:val="nil"/>
              <w:bottom w:val="nil"/>
              <w:right w:val="nil"/>
            </w:tcBorders>
            <w:shd w:val="clear" w:color="auto" w:fill="FFFFFF" w:themeFill="background1"/>
            <w:noWrap w:val="0"/>
            <w:vAlign w:val="top"/>
          </w:tcPr>
          <w:p w14:paraId="510863AD">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944" w:type="dxa"/>
            <w:vMerge w:val="continue"/>
            <w:tcBorders>
              <w:top w:val="nil"/>
              <w:left w:val="nil"/>
              <w:bottom w:val="nil"/>
              <w:right w:val="nil"/>
            </w:tcBorders>
            <w:shd w:val="clear" w:color="auto" w:fill="FFFFFF" w:themeFill="background1"/>
            <w:noWrap w:val="0"/>
            <w:vAlign w:val="top"/>
          </w:tcPr>
          <w:p w14:paraId="1A923824">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1534" w:type="dxa"/>
            <w:tcBorders>
              <w:top w:val="nil"/>
              <w:left w:val="nil"/>
              <w:bottom w:val="nil"/>
              <w:right w:val="nil"/>
            </w:tcBorders>
            <w:shd w:val="clear" w:color="auto" w:fill="FFFFFF" w:themeFill="background1"/>
            <w:noWrap w:val="0"/>
            <w:vAlign w:val="top"/>
          </w:tcPr>
          <w:p w14:paraId="1551DCB2">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Sig. (2-tailed)</w:t>
            </w:r>
          </w:p>
        </w:tc>
        <w:tc>
          <w:tcPr>
            <w:tcW w:w="1511" w:type="dxa"/>
            <w:tcBorders>
              <w:top w:val="nil"/>
              <w:left w:val="nil"/>
              <w:bottom w:val="nil"/>
              <w:right w:val="nil"/>
            </w:tcBorders>
            <w:shd w:val="clear" w:color="auto" w:fill="FFFFFF"/>
            <w:noWrap w:val="0"/>
            <w:vAlign w:val="top"/>
          </w:tcPr>
          <w:p w14:paraId="7D0F5F82">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w:t>
            </w:r>
          </w:p>
        </w:tc>
        <w:tc>
          <w:tcPr>
            <w:tcW w:w="1375" w:type="dxa"/>
            <w:tcBorders>
              <w:top w:val="nil"/>
              <w:left w:val="nil"/>
              <w:bottom w:val="nil"/>
              <w:right w:val="nil"/>
            </w:tcBorders>
            <w:shd w:val="clear" w:color="auto" w:fill="FFFFFF"/>
            <w:noWrap w:val="0"/>
            <w:vAlign w:val="top"/>
          </w:tcPr>
          <w:p w14:paraId="30EED315">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.044</w:t>
            </w:r>
          </w:p>
        </w:tc>
      </w:tr>
      <w:tr w14:paraId="74EB11C8">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242" w:type="dxa"/>
            <w:vMerge w:val="continue"/>
            <w:tcBorders>
              <w:top w:val="nil"/>
              <w:left w:val="nil"/>
              <w:bottom w:val="nil"/>
              <w:right w:val="nil"/>
            </w:tcBorders>
            <w:shd w:val="clear" w:color="auto" w:fill="FFFFFF" w:themeFill="background1"/>
            <w:noWrap w:val="0"/>
            <w:vAlign w:val="top"/>
          </w:tcPr>
          <w:p w14:paraId="09917F1B">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944" w:type="dxa"/>
            <w:vMerge w:val="continue"/>
            <w:tcBorders>
              <w:top w:val="nil"/>
              <w:left w:val="nil"/>
              <w:bottom w:val="nil"/>
              <w:right w:val="nil"/>
            </w:tcBorders>
            <w:shd w:val="clear" w:color="auto" w:fill="FFFFFF" w:themeFill="background1"/>
            <w:noWrap w:val="0"/>
            <w:vAlign w:val="top"/>
          </w:tcPr>
          <w:p w14:paraId="5E685458">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1534" w:type="dxa"/>
            <w:tcBorders>
              <w:top w:val="nil"/>
              <w:left w:val="nil"/>
              <w:bottom w:val="nil"/>
              <w:right w:val="nil"/>
            </w:tcBorders>
            <w:shd w:val="clear" w:color="auto" w:fill="FFFFFF" w:themeFill="background1"/>
            <w:noWrap w:val="0"/>
            <w:vAlign w:val="top"/>
          </w:tcPr>
          <w:p w14:paraId="350A495D">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N</w:t>
            </w:r>
          </w:p>
        </w:tc>
        <w:tc>
          <w:tcPr>
            <w:tcW w:w="1511" w:type="dxa"/>
            <w:tcBorders>
              <w:top w:val="nil"/>
              <w:left w:val="nil"/>
              <w:bottom w:val="nil"/>
              <w:right w:val="nil"/>
            </w:tcBorders>
            <w:shd w:val="clear" w:color="auto" w:fill="FFFFFF"/>
            <w:noWrap w:val="0"/>
            <w:vAlign w:val="top"/>
          </w:tcPr>
          <w:p w14:paraId="71BD9F87">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297</w:t>
            </w:r>
          </w:p>
        </w:tc>
        <w:tc>
          <w:tcPr>
            <w:tcW w:w="1375" w:type="dxa"/>
            <w:tcBorders>
              <w:top w:val="nil"/>
              <w:left w:val="nil"/>
              <w:bottom w:val="nil"/>
              <w:right w:val="nil"/>
            </w:tcBorders>
            <w:shd w:val="clear" w:color="auto" w:fill="FFFFFF"/>
            <w:noWrap w:val="0"/>
            <w:vAlign w:val="top"/>
          </w:tcPr>
          <w:p w14:paraId="044A0D13">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297</w:t>
            </w:r>
          </w:p>
        </w:tc>
      </w:tr>
      <w:tr w14:paraId="1F686229">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242" w:type="dxa"/>
            <w:vMerge w:val="continue"/>
            <w:tcBorders>
              <w:top w:val="nil"/>
              <w:left w:val="nil"/>
              <w:bottom w:val="nil"/>
              <w:right w:val="nil"/>
            </w:tcBorders>
            <w:shd w:val="clear" w:color="auto" w:fill="FFFFFF" w:themeFill="background1"/>
            <w:noWrap w:val="0"/>
            <w:vAlign w:val="top"/>
          </w:tcPr>
          <w:p w14:paraId="61A09B55">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944" w:type="dxa"/>
            <w:vMerge w:val="restart"/>
            <w:tcBorders>
              <w:top w:val="nil"/>
              <w:left w:val="nil"/>
              <w:bottom w:val="nil"/>
              <w:right w:val="nil"/>
            </w:tcBorders>
            <w:shd w:val="clear" w:color="auto" w:fill="FFFFFF" w:themeFill="background1"/>
            <w:noWrap w:val="0"/>
            <w:vAlign w:val="top"/>
          </w:tcPr>
          <w:p w14:paraId="2F96AEF3">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eastAsiaTheme="minorEastAsia"/>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M</w:t>
            </w:r>
            <w:r>
              <w:rPr>
                <w:rFonts w:hint="eastAsia" w:ascii="Times New Roman" w:hAnsi="Times New Roman" w:cs="Times New Roman"/>
                <w:color w:val="000000" w:themeColor="text1"/>
                <w:sz w:val="24"/>
                <w:szCs w:val="24"/>
                <w:lang w:val="en-US" w:eastAsia="zh-CN"/>
                <w14:textFill>
                  <w14:solidFill>
                    <w14:schemeClr w14:val="tx1"/>
                  </w14:solidFill>
                </w14:textFill>
              </w:rPr>
              <w:t>ath Anxiety</w:t>
            </w:r>
          </w:p>
        </w:tc>
        <w:tc>
          <w:tcPr>
            <w:tcW w:w="1534" w:type="dxa"/>
            <w:tcBorders>
              <w:top w:val="nil"/>
              <w:left w:val="nil"/>
              <w:bottom w:val="nil"/>
              <w:right w:val="nil"/>
            </w:tcBorders>
            <w:shd w:val="clear" w:color="auto" w:fill="FFFFFF" w:themeFill="background1"/>
            <w:noWrap w:val="0"/>
            <w:vAlign w:val="top"/>
          </w:tcPr>
          <w:p w14:paraId="2D0CF3EB">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Correlation Coefficient</w:t>
            </w:r>
          </w:p>
        </w:tc>
        <w:tc>
          <w:tcPr>
            <w:tcW w:w="1511" w:type="dxa"/>
            <w:tcBorders>
              <w:top w:val="nil"/>
              <w:left w:val="nil"/>
              <w:bottom w:val="nil"/>
              <w:right w:val="nil"/>
            </w:tcBorders>
            <w:shd w:val="clear" w:color="auto" w:fill="FFFFFF"/>
            <w:noWrap w:val="0"/>
            <w:vAlign w:val="top"/>
          </w:tcPr>
          <w:p w14:paraId="28BC8770">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-.117</w:t>
            </w:r>
            <w:r>
              <w:rPr>
                <w:rFonts w:hint="default" w:ascii="Times New Roman" w:hAnsi="Times New Roman" w:cs="Times New Roman"/>
                <w:color w:val="000000" w:themeColor="text1"/>
                <w:sz w:val="24"/>
                <w:szCs w:val="24"/>
                <w:vertAlign w:val="superscript"/>
                <w14:textFill>
                  <w14:solidFill>
                    <w14:schemeClr w14:val="tx1"/>
                  </w14:solidFill>
                </w14:textFill>
              </w:rPr>
              <w:t>*</w:t>
            </w:r>
          </w:p>
        </w:tc>
        <w:tc>
          <w:tcPr>
            <w:tcW w:w="1375" w:type="dxa"/>
            <w:tcBorders>
              <w:top w:val="nil"/>
              <w:left w:val="nil"/>
              <w:bottom w:val="nil"/>
              <w:right w:val="nil"/>
            </w:tcBorders>
            <w:shd w:val="clear" w:color="auto" w:fill="FFFFFF"/>
            <w:noWrap w:val="0"/>
            <w:vAlign w:val="top"/>
          </w:tcPr>
          <w:p w14:paraId="3F69B278">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1.000</w:t>
            </w:r>
          </w:p>
        </w:tc>
      </w:tr>
      <w:tr w14:paraId="5D1A0CAA">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242" w:type="dxa"/>
            <w:vMerge w:val="continue"/>
            <w:tcBorders>
              <w:top w:val="nil"/>
              <w:left w:val="nil"/>
              <w:bottom w:val="nil"/>
              <w:right w:val="nil"/>
            </w:tcBorders>
            <w:shd w:val="clear" w:color="auto" w:fill="FFFFFF" w:themeFill="background1"/>
            <w:noWrap w:val="0"/>
            <w:vAlign w:val="top"/>
          </w:tcPr>
          <w:p w14:paraId="6638C9F4">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944" w:type="dxa"/>
            <w:vMerge w:val="continue"/>
            <w:tcBorders>
              <w:top w:val="nil"/>
              <w:left w:val="nil"/>
              <w:bottom w:val="nil"/>
              <w:right w:val="nil"/>
            </w:tcBorders>
            <w:shd w:val="clear" w:color="auto" w:fill="FFFFFF" w:themeFill="background1"/>
            <w:noWrap w:val="0"/>
            <w:vAlign w:val="top"/>
          </w:tcPr>
          <w:p w14:paraId="3814B90C">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1534" w:type="dxa"/>
            <w:tcBorders>
              <w:top w:val="nil"/>
              <w:left w:val="nil"/>
              <w:bottom w:val="nil"/>
              <w:right w:val="nil"/>
            </w:tcBorders>
            <w:shd w:val="clear" w:color="auto" w:fill="FFFFFF" w:themeFill="background1"/>
            <w:noWrap w:val="0"/>
            <w:vAlign w:val="top"/>
          </w:tcPr>
          <w:p w14:paraId="797F61E4">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Sig. (2-tailed)</w:t>
            </w:r>
          </w:p>
        </w:tc>
        <w:tc>
          <w:tcPr>
            <w:tcW w:w="1511" w:type="dxa"/>
            <w:tcBorders>
              <w:top w:val="nil"/>
              <w:left w:val="nil"/>
              <w:bottom w:val="nil"/>
              <w:right w:val="nil"/>
            </w:tcBorders>
            <w:shd w:val="clear" w:color="auto" w:fill="FFFFFF"/>
            <w:noWrap w:val="0"/>
            <w:vAlign w:val="top"/>
          </w:tcPr>
          <w:p w14:paraId="2F06EA51">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.044</w:t>
            </w:r>
          </w:p>
        </w:tc>
        <w:tc>
          <w:tcPr>
            <w:tcW w:w="1375" w:type="dxa"/>
            <w:tcBorders>
              <w:top w:val="nil"/>
              <w:left w:val="nil"/>
              <w:bottom w:val="nil"/>
              <w:right w:val="nil"/>
            </w:tcBorders>
            <w:shd w:val="clear" w:color="auto" w:fill="FFFFFF"/>
            <w:noWrap w:val="0"/>
            <w:vAlign w:val="top"/>
          </w:tcPr>
          <w:p w14:paraId="6F95384E">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w:t>
            </w:r>
          </w:p>
        </w:tc>
      </w:tr>
      <w:tr w14:paraId="14181454">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242" w:type="dxa"/>
            <w:vMerge w:val="continue"/>
            <w:tcBorders>
              <w:top w:val="nil"/>
              <w:left w:val="nil"/>
              <w:bottom w:val="single" w:color="152935" w:sz="8" w:space="0"/>
              <w:right w:val="nil"/>
            </w:tcBorders>
            <w:shd w:val="clear" w:color="auto" w:fill="FFFFFF" w:themeFill="background1"/>
            <w:noWrap w:val="0"/>
            <w:vAlign w:val="top"/>
          </w:tcPr>
          <w:p w14:paraId="758CF5BD">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944" w:type="dxa"/>
            <w:vMerge w:val="continue"/>
            <w:tcBorders>
              <w:top w:val="nil"/>
              <w:left w:val="nil"/>
              <w:bottom w:val="single" w:color="152935" w:sz="8" w:space="0"/>
              <w:right w:val="nil"/>
            </w:tcBorders>
            <w:shd w:val="clear" w:color="auto" w:fill="FFFFFF" w:themeFill="background1"/>
            <w:noWrap w:val="0"/>
            <w:vAlign w:val="top"/>
          </w:tcPr>
          <w:p w14:paraId="011C88E9">
            <w:pPr>
              <w:keepNext w:val="0"/>
              <w:keepLines w:val="0"/>
              <w:pageBreakBefore w:val="0"/>
              <w:widowControl w:val="0"/>
              <w:kinsoku/>
              <w:wordWrap/>
              <w:overflowPunct/>
              <w:topLinePunct w:val="0"/>
              <w:autoSpaceDE/>
              <w:autoSpaceDN/>
              <w:bidi w:val="0"/>
              <w:adjustRightInd/>
              <w:snapToGrid/>
              <w:spacing w:beforeLines="0" w:afterLines="0" w:line="480" w:lineRule="auto"/>
              <w:jc w:val="center"/>
              <w:textAlignment w:val="auto"/>
              <w:rPr>
                <w:rFonts w:hint="default" w:ascii="Times New Roman" w:hAnsi="Times New Roman" w:cs="Times New Roman"/>
                <w:color w:val="000000" w:themeColor="text1"/>
                <w:sz w:val="24"/>
                <w:szCs w:val="24"/>
                <w14:textFill>
                  <w14:solidFill>
                    <w14:schemeClr w14:val="tx1"/>
                  </w14:solidFill>
                </w14:textFill>
              </w:rPr>
            </w:pPr>
          </w:p>
        </w:tc>
        <w:tc>
          <w:tcPr>
            <w:tcW w:w="1534" w:type="dxa"/>
            <w:tcBorders>
              <w:top w:val="nil"/>
              <w:left w:val="nil"/>
              <w:bottom w:val="single" w:color="152935" w:sz="8" w:space="0"/>
              <w:right w:val="nil"/>
            </w:tcBorders>
            <w:shd w:val="clear" w:color="auto" w:fill="FFFFFF" w:themeFill="background1"/>
            <w:noWrap w:val="0"/>
            <w:vAlign w:val="top"/>
          </w:tcPr>
          <w:p w14:paraId="1A9FE6A8">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N</w:t>
            </w:r>
          </w:p>
        </w:tc>
        <w:tc>
          <w:tcPr>
            <w:tcW w:w="1511" w:type="dxa"/>
            <w:tcBorders>
              <w:top w:val="nil"/>
              <w:left w:val="nil"/>
              <w:bottom w:val="single" w:color="152935" w:sz="8" w:space="0"/>
              <w:right w:val="nil"/>
            </w:tcBorders>
            <w:shd w:val="clear" w:color="auto" w:fill="FFFFFF"/>
            <w:noWrap w:val="0"/>
            <w:vAlign w:val="top"/>
          </w:tcPr>
          <w:p w14:paraId="61190D2D">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297</w:t>
            </w:r>
          </w:p>
        </w:tc>
        <w:tc>
          <w:tcPr>
            <w:tcW w:w="1375" w:type="dxa"/>
            <w:tcBorders>
              <w:top w:val="nil"/>
              <w:left w:val="nil"/>
              <w:bottom w:val="single" w:color="152935" w:sz="8" w:space="0"/>
              <w:right w:val="nil"/>
            </w:tcBorders>
            <w:shd w:val="clear" w:color="auto" w:fill="FFFFFF"/>
            <w:noWrap w:val="0"/>
            <w:vAlign w:val="top"/>
          </w:tcPr>
          <w:p w14:paraId="75AD47E7">
            <w:pPr>
              <w:keepNext w:val="0"/>
              <w:keepLines w:val="0"/>
              <w:pageBreakBefore w:val="0"/>
              <w:widowControl w:val="0"/>
              <w:kinsoku/>
              <w:wordWrap/>
              <w:overflowPunct/>
              <w:topLinePunct w:val="0"/>
              <w:autoSpaceDE/>
              <w:autoSpaceDN/>
              <w:bidi w:val="0"/>
              <w:adjustRightInd/>
              <w:snapToGrid/>
              <w:spacing w:beforeLines="0" w:afterLines="0" w:line="480" w:lineRule="auto"/>
              <w:ind w:left="60" w:right="60"/>
              <w:jc w:val="center"/>
              <w:textAlignment w:val="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297</w:t>
            </w:r>
          </w:p>
        </w:tc>
      </w:tr>
    </w:tbl>
    <w:p w14:paraId="246481B3">
      <w:pPr>
        <w:spacing w:beforeLines="0" w:afterLines="0" w:line="400" w:lineRule="atLeast"/>
        <w:rPr>
          <w:rFonts w:hint="default" w:ascii="Times New Roman" w:hAnsi="Times New Roman" w:eastAsia="宋体"/>
          <w:sz w:val="24"/>
          <w:szCs w:val="24"/>
          <w:lang w:val="en-US" w:eastAsia="zh-CN"/>
        </w:rPr>
      </w:pPr>
      <w:r>
        <w:rPr>
          <w:rFonts w:hint="eastAsia" w:ascii="Times New Roman" w:hAnsi="Times New Roman" w:eastAsia="宋体"/>
          <w:i/>
          <w:iCs/>
          <w:sz w:val="24"/>
          <w:szCs w:val="24"/>
          <w:lang w:val="en-US" w:eastAsia="zh-CN"/>
        </w:rPr>
        <w:t>Note.</w:t>
      </w:r>
      <w:r>
        <w:rPr>
          <w:rFonts w:hint="eastAsia" w:ascii="Times New Roman" w:hAnsi="Times New Roman" w:eastAsia="宋体"/>
          <w:sz w:val="24"/>
          <w:szCs w:val="24"/>
          <w:lang w:val="en-US" w:eastAsia="zh-CN"/>
        </w:rPr>
        <w:t xml:space="preserve"> * indicates Sig. (2-tailed) &lt; 0.05.</w:t>
      </w:r>
    </w:p>
    <w:p w14:paraId="07E3CCAE">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olor w:val="222222"/>
          <w:sz w:val="24"/>
          <w:shd w:val="clear" w:color="auto" w:fill="FFFFFF"/>
          <w:lang w:val="en-US" w:eastAsia="zh-CN"/>
        </w:rPr>
      </w:pPr>
      <w:r>
        <w:rPr>
          <w:rFonts w:hint="eastAsia" w:ascii="Times New Roman" w:hAnsi="Times New Roman"/>
          <w:color w:val="222222"/>
          <w:sz w:val="24"/>
          <w:shd w:val="clear" w:color="auto" w:fill="FFFFFF"/>
          <w:lang w:val="en-US" w:eastAsia="zh-CN"/>
        </w:rPr>
        <w:t>As shown in Table 8, there is a statistically significant negative correlation between the growth mindset and math anxiety (ρ = -0.117, p = 0.044), which can reject the null hypothesis of no relationship at the 95% confidence level; however, according to Cohen (1988)'s standard, the absolute value of this correlation coefficient falls within the range of 0.10 to 0.30, indicating that there is only a weak negative association between the two, and the growth mindset can only explain about 1.4% of the total variance of math anxiety (ρ² ≈ 0.014). This further indicates that although the relationship is statistically significant, its practical effect is very limited.</w:t>
      </w:r>
    </w:p>
    <w:p w14:paraId="731686E6">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eastAsia" w:ascii="Times New Roman" w:hAnsi="Times New Roman"/>
          <w:b/>
          <w:bCs/>
          <w:color w:val="222222"/>
          <w:sz w:val="24"/>
          <w:shd w:val="clear" w:color="auto" w:fill="FFFFFF"/>
          <w:lang w:val="en-US" w:eastAsia="zh-CN"/>
        </w:rPr>
      </w:pPr>
      <w:r>
        <w:rPr>
          <w:rFonts w:hint="eastAsia" w:ascii="Times New Roman" w:hAnsi="Times New Roman"/>
          <w:b/>
          <w:bCs/>
          <w:color w:val="222222"/>
          <w:sz w:val="24"/>
          <w:shd w:val="clear" w:color="auto" w:fill="FFFFFF"/>
          <w:lang w:val="en-US" w:eastAsia="zh-CN"/>
        </w:rPr>
        <w:t>Findings Summary</w:t>
      </w:r>
    </w:p>
    <w:p w14:paraId="07DD88F3">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color w:val="222222"/>
          <w:sz w:val="24"/>
          <w:shd w:val="clear" w:color="auto" w:fill="FFFFFF"/>
          <w:lang w:val="en-US" w:eastAsia="zh-CN"/>
        </w:rPr>
      </w:pPr>
      <w:r>
        <w:rPr>
          <w:rFonts w:hint="eastAsia" w:ascii="Times New Roman" w:hAnsi="Times New Roman"/>
          <w:color w:val="222222"/>
          <w:sz w:val="24"/>
          <w:shd w:val="clear" w:color="auto" w:fill="FFFFFF"/>
          <w:lang w:val="en-US" w:eastAsia="zh-CN"/>
        </w:rPr>
        <w:t>The results of the data analysis in this study indicate that the growth mindset of the junior high school students at X junior high school in Jiangxi Province is generally at an above-average level (M = 2.70, SD = 0.85), reflecting that students generally tend to believe that their abilities can be improved through effort. However, the intensity of this belief has not reached a very high level. At the same time, this group shows a moderate level of math anxiety (M = 2.48, SD = 0.88), indicating that students generally experience certain levels of tension and worry during their math learning process. It is particularly noteworthy that the Spearman correlation analysis revealed a statistically significant but weakly impactful negative relationship between the two (ρ = -0.117, p = 0.044), supporting the research hypothesis, but the strength of the relationship is not as significant as that reported in Western studies.</w:t>
      </w:r>
    </w:p>
    <w:p w14:paraId="19A1D090">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center"/>
        <w:textAlignment w:val="auto"/>
        <w:rPr>
          <w:rFonts w:hint="eastAsia" w:ascii="Times New Roman" w:hAnsi="Times New Roman"/>
          <w:b/>
          <w:bCs/>
          <w:color w:val="222222"/>
          <w:sz w:val="24"/>
          <w:shd w:val="clear" w:color="auto" w:fill="FFFFFF"/>
          <w:lang w:val="en-US" w:eastAsia="zh-CN"/>
        </w:rPr>
      </w:pPr>
      <w:r>
        <w:rPr>
          <w:rFonts w:hint="eastAsia" w:ascii="Times New Roman" w:hAnsi="Times New Roman"/>
          <w:b/>
          <w:bCs/>
          <w:color w:val="222222"/>
          <w:sz w:val="24"/>
          <w:shd w:val="clear" w:color="auto" w:fill="FFFFFF"/>
          <w:lang w:val="en-US" w:eastAsia="zh-CN"/>
        </w:rPr>
        <w:t>Discussion</w:t>
      </w:r>
    </w:p>
    <w:p w14:paraId="0320B6F7">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b w:val="0"/>
          <w:bCs w:val="0"/>
          <w:color w:val="222222"/>
          <w:sz w:val="24"/>
          <w:shd w:val="clear" w:color="auto" w:fill="FFFFFF"/>
          <w:lang w:val="en-US" w:eastAsia="zh-CN"/>
        </w:rPr>
      </w:pPr>
      <w:r>
        <w:rPr>
          <w:rFonts w:hint="default" w:ascii="Times New Roman" w:hAnsi="Times New Roman"/>
          <w:b w:val="0"/>
          <w:bCs w:val="0"/>
          <w:color w:val="222222"/>
          <w:sz w:val="24"/>
          <w:shd w:val="clear" w:color="auto" w:fill="FFFFFF"/>
          <w:lang w:val="en-US" w:eastAsia="zh-CN"/>
        </w:rPr>
        <w:t xml:space="preserve">This study </w:t>
      </w:r>
      <w:r>
        <w:rPr>
          <w:rFonts w:hint="eastAsia" w:ascii="Times New Roman" w:hAnsi="Times New Roman"/>
          <w:b w:val="0"/>
          <w:bCs w:val="0"/>
          <w:color w:val="222222"/>
          <w:sz w:val="24"/>
          <w:shd w:val="clear" w:color="auto" w:fill="FFFFFF"/>
          <w:lang w:val="en-US" w:eastAsia="zh-CN"/>
        </w:rPr>
        <w:t>took</w:t>
      </w:r>
      <w:r>
        <w:rPr>
          <w:rFonts w:hint="default" w:ascii="Times New Roman" w:hAnsi="Times New Roman"/>
          <w:b w:val="0"/>
          <w:bCs w:val="0"/>
          <w:color w:val="222222"/>
          <w:sz w:val="24"/>
          <w:shd w:val="clear" w:color="auto" w:fill="FFFFFF"/>
          <w:lang w:val="en-US" w:eastAsia="zh-CN"/>
        </w:rPr>
        <w:t xml:space="preserve"> </w:t>
      </w:r>
      <w:r>
        <w:rPr>
          <w:rFonts w:hint="eastAsia" w:ascii="Times New Roman" w:hAnsi="Times New Roman"/>
          <w:b w:val="0"/>
          <w:bCs w:val="0"/>
          <w:color w:val="222222"/>
          <w:sz w:val="24"/>
          <w:shd w:val="clear" w:color="auto" w:fill="FFFFFF"/>
          <w:lang w:val="en-US" w:eastAsia="zh-CN"/>
        </w:rPr>
        <w:t>X</w:t>
      </w:r>
      <w:r>
        <w:rPr>
          <w:rFonts w:hint="default" w:ascii="Times New Roman" w:hAnsi="Times New Roman"/>
          <w:b w:val="0"/>
          <w:bCs w:val="0"/>
          <w:color w:val="222222"/>
          <w:sz w:val="24"/>
          <w:shd w:val="clear" w:color="auto" w:fill="FFFFFF"/>
          <w:lang w:val="en-US" w:eastAsia="zh-CN"/>
        </w:rPr>
        <w:t xml:space="preserve"> junior high school in Jiangxi Province, China as the empirical field, aiming to explore the manifestations and relationship between growth mindset and math anxiety in a unique educational environment where Confucian cultural traditions coexist with intense examination pressure. The following will conduct a comprehensive discussion based on the findings of three research questions, integrating theories and empirical studies from both China and the West.</w:t>
      </w:r>
      <w:r>
        <w:rPr>
          <w:rFonts w:hint="eastAsia" w:ascii="Times New Roman" w:hAnsi="Times New Roman"/>
          <w:b w:val="0"/>
          <w:bCs w:val="0"/>
          <w:color w:val="222222"/>
          <w:sz w:val="24"/>
          <w:shd w:val="clear" w:color="auto" w:fill="FFFFFF"/>
          <w:lang w:val="en-US" w:eastAsia="zh-CN"/>
        </w:rPr>
        <w:t xml:space="preserve"> Also it will talk about the limitations of data collection and contribution to this field.</w:t>
      </w:r>
    </w:p>
    <w:p w14:paraId="421F9C04">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default" w:ascii="Times New Roman" w:hAnsi="Times New Roman"/>
          <w:b/>
          <w:bCs/>
          <w:color w:val="222222"/>
          <w:sz w:val="24"/>
          <w:shd w:val="clear" w:color="auto" w:fill="FFFFFF"/>
          <w:lang w:val="en-US" w:eastAsia="zh-CN"/>
        </w:rPr>
      </w:pPr>
      <w:r>
        <w:rPr>
          <w:rFonts w:hint="default" w:ascii="Times New Roman" w:hAnsi="Times New Roman"/>
          <w:b/>
          <w:bCs/>
          <w:color w:val="222222"/>
          <w:sz w:val="24"/>
          <w:shd w:val="clear" w:color="auto" w:fill="FFFFFF"/>
          <w:lang w:val="en-US" w:eastAsia="zh-CN"/>
        </w:rPr>
        <w:t xml:space="preserve">Discussion on the Growth Mindset Level of </w:t>
      </w:r>
      <w:r>
        <w:rPr>
          <w:rFonts w:hint="eastAsia" w:ascii="Times New Roman" w:hAnsi="Times New Roman"/>
          <w:b/>
          <w:bCs/>
          <w:color w:val="222222"/>
          <w:sz w:val="24"/>
          <w:shd w:val="clear" w:color="auto" w:fill="FFFFFF"/>
          <w:lang w:val="en-US" w:eastAsia="zh-CN"/>
        </w:rPr>
        <w:t xml:space="preserve">X </w:t>
      </w:r>
      <w:r>
        <w:rPr>
          <w:rFonts w:hint="default" w:ascii="Times New Roman" w:hAnsi="Times New Roman"/>
          <w:b/>
          <w:bCs/>
          <w:color w:val="222222"/>
          <w:sz w:val="24"/>
          <w:shd w:val="clear" w:color="auto" w:fill="FFFFFF"/>
          <w:lang w:val="en-US" w:eastAsia="zh-CN"/>
        </w:rPr>
        <w:t>Junior High School Students</w:t>
      </w:r>
    </w:p>
    <w:p w14:paraId="7FDC0ADB">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b w:val="0"/>
          <w:bCs w:val="0"/>
          <w:color w:val="222222"/>
          <w:sz w:val="24"/>
          <w:shd w:val="clear" w:color="auto" w:fill="FFFFFF"/>
          <w:lang w:val="en-US" w:eastAsia="zh-CN"/>
        </w:rPr>
      </w:pPr>
      <w:r>
        <w:rPr>
          <w:rFonts w:hint="default" w:ascii="Times New Roman" w:hAnsi="Times New Roman"/>
          <w:b w:val="0"/>
          <w:bCs w:val="0"/>
          <w:color w:val="222222"/>
          <w:sz w:val="24"/>
          <w:shd w:val="clear" w:color="auto" w:fill="FFFFFF"/>
          <w:lang w:val="en-US" w:eastAsia="zh-CN"/>
        </w:rPr>
        <w:t>This study measured students from X Junior High School in Jiangxi Province using the PISA 2022 Growth Mindset Scale. Results indicated that the students' overall growth mindset was at a moderately high level (M = 2.70, SD = 0.85, on a 4-point scale; higher scores reflect a stronger growth mindset tendency). It should be noted that these findings reflect the situation of the sampled students from X Junior High School and should not be generalised to all Chinese students. Within this sample, students generally endorsed the view that abilities can be improved through effort, particularly in the domains of language and creativity, where they showed strong belief in malleability. However, regarding intelligence and mathematical ability, fixed mindset tendencies remained relatively pronounced, with the lowest scores observed on the item stating that intelligence is difficult to change.</w:t>
      </w:r>
    </w:p>
    <w:p w14:paraId="04B29071">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b w:val="0"/>
          <w:bCs w:val="0"/>
          <w:color w:val="222222"/>
          <w:sz w:val="24"/>
          <w:shd w:val="clear" w:color="auto" w:fill="FFFFFF"/>
          <w:lang w:val="en-US" w:eastAsia="zh-CN"/>
        </w:rPr>
      </w:pPr>
      <w:r>
        <w:rPr>
          <w:rFonts w:hint="default" w:ascii="Times New Roman" w:hAnsi="Times New Roman"/>
          <w:b w:val="0"/>
          <w:bCs w:val="0"/>
          <w:color w:val="222222"/>
          <w:sz w:val="24"/>
          <w:shd w:val="clear" w:color="auto" w:fill="FFFFFF"/>
          <w:lang w:val="en-US" w:eastAsia="zh-CN"/>
        </w:rPr>
        <w:t xml:space="preserve">When compared with existing literature, the results present a complex picture. On the one hand, the growth mindset level of the sampled students (M = 2.70) appears higher than that reported in some prior studies involving Chinese students. For example, </w:t>
      </w:r>
      <w:r>
        <w:rPr>
          <w:rFonts w:hint="eastAsia" w:ascii="Times New Roman" w:hAnsi="Times New Roman"/>
          <w:b w:val="0"/>
          <w:bCs w:val="0"/>
          <w:color w:val="222222"/>
          <w:sz w:val="24"/>
          <w:shd w:val="clear" w:color="auto" w:fill="FFFFFF"/>
          <w:lang w:val="en-US" w:eastAsia="zh-CN"/>
        </w:rPr>
        <w:t>a study</w:t>
      </w:r>
      <w:r>
        <w:rPr>
          <w:rFonts w:hint="default" w:ascii="Times New Roman" w:hAnsi="Times New Roman"/>
          <w:b w:val="0"/>
          <w:bCs w:val="0"/>
          <w:color w:val="222222"/>
          <w:sz w:val="24"/>
          <w:shd w:val="clear" w:color="auto" w:fill="FFFFFF"/>
          <w:lang w:val="en-US" w:eastAsia="zh-CN"/>
        </w:rPr>
        <w:t xml:space="preserve"> </w:t>
      </w:r>
      <w:r>
        <w:rPr>
          <w:rFonts w:hint="eastAsia" w:ascii="Times New Roman" w:hAnsi="Times New Roman"/>
          <w:b w:val="0"/>
          <w:bCs w:val="0"/>
          <w:color w:val="222222"/>
          <w:sz w:val="24"/>
          <w:shd w:val="clear" w:color="auto" w:fill="FFFFFF"/>
          <w:lang w:val="en-US" w:eastAsia="zh-CN"/>
        </w:rPr>
        <w:t>showed</w:t>
      </w:r>
      <w:r>
        <w:rPr>
          <w:rFonts w:hint="default" w:ascii="Times New Roman" w:hAnsi="Times New Roman"/>
          <w:b w:val="0"/>
          <w:bCs w:val="0"/>
          <w:color w:val="222222"/>
          <w:sz w:val="24"/>
          <w:shd w:val="clear" w:color="auto" w:fill="FFFFFF"/>
          <w:lang w:val="en-US" w:eastAsia="zh-CN"/>
        </w:rPr>
        <w:t xml:space="preserve"> that Chinese students’ growth mindset was lower than that of their American counterparts</w:t>
      </w:r>
      <w:r>
        <w:rPr>
          <w:rFonts w:hint="eastAsia" w:ascii="Times New Roman" w:hAnsi="Times New Roman"/>
          <w:b w:val="0"/>
          <w:bCs w:val="0"/>
          <w:color w:val="222222"/>
          <w:sz w:val="24"/>
          <w:shd w:val="clear" w:color="auto" w:fill="FFFFFF"/>
          <w:lang w:val="en-US" w:eastAsia="zh-CN"/>
        </w:rPr>
        <w:t xml:space="preserve"> (Sun et al., 2021)</w:t>
      </w:r>
      <w:r>
        <w:rPr>
          <w:rFonts w:hint="default" w:ascii="Times New Roman" w:hAnsi="Times New Roman"/>
          <w:b w:val="0"/>
          <w:bCs w:val="0"/>
          <w:color w:val="222222"/>
          <w:sz w:val="24"/>
          <w:shd w:val="clear" w:color="auto" w:fill="FFFFFF"/>
          <w:lang w:val="en-US" w:eastAsia="zh-CN"/>
        </w:rPr>
        <w:t>. On the other hand, the current finding aligns with other research, such as that by Wang and Sun (2025), who also reported that Chinese students’ growth mindset scores were above the midpoint. This suggests that the manifestation of growth mindset among Chinese students may vary across regions, samples, and contexts, warranting further investigation.</w:t>
      </w:r>
    </w:p>
    <w:p w14:paraId="56B933A5">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b w:val="0"/>
          <w:bCs w:val="0"/>
          <w:color w:val="222222"/>
          <w:sz w:val="24"/>
          <w:shd w:val="clear" w:color="auto" w:fill="FFFFFF"/>
          <w:lang w:val="en-US" w:eastAsia="zh-CN"/>
        </w:rPr>
      </w:pPr>
      <w:r>
        <w:rPr>
          <w:rFonts w:hint="default" w:ascii="Times New Roman" w:hAnsi="Times New Roman"/>
          <w:b w:val="0"/>
          <w:bCs w:val="0"/>
          <w:color w:val="222222"/>
          <w:sz w:val="24"/>
          <w:shd w:val="clear" w:color="auto" w:fill="FFFFFF"/>
          <w:lang w:val="en-US" w:eastAsia="zh-CN"/>
        </w:rPr>
        <w:t>In comparison with Western data, the findings reveal notable differences. According to Huang and Liu (2025), who analysed PISA 2022 data, the average growth mindset score among British students was 1.46. Thus, the growth mindset level of the sampled Jiangxi students (M = 2.70) was considerably higher than that of their British peers. This divergence may arise from profound differences in educational and cultural backgrounds. The Confucian notion of diligence compensating for lack of talent aligns closely with the growth mindset concept and has long encouraged students to persevere through effort (Li, 2013). Although China’s exam-oriented education system may reinforce perceptions of fixed ability in certain subjects (Ghaleb, 2024), the cultural emphasis on effort appears to dominate overall perceptions among students.</w:t>
      </w:r>
    </w:p>
    <w:p w14:paraId="2E56CAA0">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b w:val="0"/>
          <w:bCs w:val="0"/>
          <w:color w:val="222222"/>
          <w:sz w:val="24"/>
          <w:shd w:val="clear" w:color="auto" w:fill="FFFFFF"/>
          <w:lang w:val="en-US" w:eastAsia="zh-CN"/>
        </w:rPr>
      </w:pPr>
      <w:r>
        <w:rPr>
          <w:rFonts w:hint="default" w:ascii="Times New Roman" w:hAnsi="Times New Roman"/>
          <w:b w:val="0"/>
          <w:bCs w:val="0"/>
          <w:color w:val="222222"/>
          <w:sz w:val="24"/>
          <w:shd w:val="clear" w:color="auto" w:fill="FFFFFF"/>
          <w:lang w:val="en-US" w:eastAsia="zh-CN"/>
        </w:rPr>
        <w:t>Whereas the British education system places greater emphasis on process evaluation and individual development, its growth mindset score is relatively low. This may be linked to a long-standing Western cultural focus on innate talent and inherent ability (Dweck, 2006; Rattan et al., 2012). Research indicates that in individualistic cultural contexts, ability essentialism—the belief that intelligence is fixed—is more prevalent (Tang et al., 2016), which may help explain the weaker manifestation of growth mindset.</w:t>
      </w:r>
    </w:p>
    <w:p w14:paraId="41C9A242">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default" w:ascii="Times New Roman" w:hAnsi="Times New Roman"/>
          <w:b w:val="0"/>
          <w:bCs w:val="0"/>
          <w:color w:val="222222"/>
          <w:sz w:val="24"/>
          <w:shd w:val="clear" w:color="auto" w:fill="FFFFFF"/>
          <w:lang w:val="en-US" w:eastAsia="zh-CN"/>
        </w:rPr>
      </w:pPr>
      <w:r>
        <w:rPr>
          <w:rFonts w:hint="default" w:ascii="Times New Roman" w:hAnsi="Times New Roman"/>
          <w:b/>
          <w:bCs/>
          <w:color w:val="222222"/>
          <w:sz w:val="24"/>
          <w:shd w:val="clear" w:color="auto" w:fill="FFFFFF"/>
          <w:lang w:val="en-US" w:eastAsia="zh-CN"/>
        </w:rPr>
        <w:t xml:space="preserve">Discussion on the </w:t>
      </w:r>
      <w:r>
        <w:rPr>
          <w:rFonts w:hint="eastAsia" w:ascii="Times New Roman" w:hAnsi="Times New Roman"/>
          <w:b/>
          <w:bCs/>
          <w:color w:val="222222"/>
          <w:sz w:val="24"/>
          <w:shd w:val="clear" w:color="auto" w:fill="FFFFFF"/>
          <w:lang w:val="en-US" w:eastAsia="zh-CN"/>
        </w:rPr>
        <w:t>Math Anxiety</w:t>
      </w:r>
      <w:r>
        <w:rPr>
          <w:rFonts w:hint="default" w:ascii="Times New Roman" w:hAnsi="Times New Roman"/>
          <w:b/>
          <w:bCs/>
          <w:color w:val="222222"/>
          <w:sz w:val="24"/>
          <w:shd w:val="clear" w:color="auto" w:fill="FFFFFF"/>
          <w:lang w:val="en-US" w:eastAsia="zh-CN"/>
        </w:rPr>
        <w:t xml:space="preserve"> Level of </w:t>
      </w:r>
      <w:r>
        <w:rPr>
          <w:rFonts w:hint="eastAsia" w:ascii="Times New Roman" w:hAnsi="Times New Roman"/>
          <w:b/>
          <w:bCs/>
          <w:color w:val="222222"/>
          <w:sz w:val="24"/>
          <w:shd w:val="clear" w:color="auto" w:fill="FFFFFF"/>
          <w:lang w:val="en-US" w:eastAsia="zh-CN"/>
        </w:rPr>
        <w:t xml:space="preserve">X </w:t>
      </w:r>
      <w:r>
        <w:rPr>
          <w:rFonts w:hint="default" w:ascii="Times New Roman" w:hAnsi="Times New Roman"/>
          <w:b/>
          <w:bCs/>
          <w:color w:val="222222"/>
          <w:sz w:val="24"/>
          <w:shd w:val="clear" w:color="auto" w:fill="FFFFFF"/>
          <w:lang w:val="en-US" w:eastAsia="zh-CN"/>
        </w:rPr>
        <w:t>Junior High School Students</w:t>
      </w:r>
    </w:p>
    <w:p w14:paraId="3BE0541B">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b w:val="0"/>
          <w:bCs w:val="0"/>
          <w:color w:val="222222"/>
          <w:sz w:val="24"/>
          <w:shd w:val="clear" w:color="auto" w:fill="FFFFFF"/>
          <w:lang w:val="en-US" w:eastAsia="zh-CN"/>
        </w:rPr>
      </w:pPr>
      <w:r>
        <w:rPr>
          <w:rFonts w:hint="default" w:ascii="Times New Roman" w:hAnsi="Times New Roman"/>
          <w:b w:val="0"/>
          <w:bCs w:val="0"/>
          <w:color w:val="222222"/>
          <w:sz w:val="24"/>
          <w:shd w:val="clear" w:color="auto" w:fill="FFFFFF"/>
          <w:lang w:val="en-US" w:eastAsia="zh-CN"/>
        </w:rPr>
        <w:t>Regarding the degree of mathematics anxiety among students at X Junior High School in Jiangxi Province, the results of the mathematics anxiety scale indicate that the students are generally at a moderate level of anxiety (M = 2.48, SD = 0.88).</w:t>
      </w:r>
      <w:r>
        <w:rPr>
          <w:rFonts w:hint="eastAsia" w:ascii="Times New Roman" w:hAnsi="Times New Roman"/>
          <w:b w:val="0"/>
          <w:bCs w:val="0"/>
          <w:color w:val="222222"/>
          <w:sz w:val="24"/>
          <w:shd w:val="clear" w:color="auto" w:fill="FFFFFF"/>
          <w:lang w:val="en-US" w:eastAsia="zh-CN"/>
        </w:rPr>
        <w:t xml:space="preserve"> It should be noted that these findings reflect the situation of the sampled students from this school and should not be generalised to all Chinese students. The most significant source of anxiety is concern about the difficulty of mathematics courses (M = 2.63), followed by worry about examination results (M = 2.49) and tension when completing homework (M = 2.49). These results may be related to the high-pressure and competitive learning environment under China’s exam-oriented education system. In this system, mathematics is often accorded high stakes due to its pivotal role in high-stakes examinations (e.g., the Senior High School Entrance Examination), which largely determine academic trajectories. Consequently, the perceived difficulty of the subject, coupled with the pressure to perform well in exams and daily assignments that simulate exam conditions, naturally becomes a primary source of student anxiety (Zhou &amp; Sun, 2016).</w:t>
      </w:r>
    </w:p>
    <w:p w14:paraId="5F197245">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b w:val="0"/>
          <w:bCs w:val="0"/>
          <w:color w:val="222222"/>
          <w:sz w:val="24"/>
          <w:shd w:val="clear" w:color="auto" w:fill="FFFFFF"/>
          <w:lang w:val="en-US" w:eastAsia="zh-CN"/>
        </w:rPr>
      </w:pPr>
      <w:r>
        <w:rPr>
          <w:rFonts w:hint="default" w:ascii="Times New Roman" w:hAnsi="Times New Roman"/>
          <w:b w:val="0"/>
          <w:bCs w:val="0"/>
          <w:color w:val="222222"/>
          <w:sz w:val="24"/>
          <w:shd w:val="clear" w:color="auto" w:fill="FFFFFF"/>
          <w:lang w:val="en-US" w:eastAsia="zh-CN"/>
        </w:rPr>
        <w:t>When compared with existing domestic research, the findings present a somewhat consistent picture. For example, a study by Yuan et al. (2023) involving students in Shanghai also reported a moderate level of mathematics anxiety among Chinese students. This suggests that moderate mathematics anxiety may be a relatively common phenomenon among adolescents in different regions of China, though local educational contexts and sample characteristics may lead to variations in specific manifestations.</w:t>
      </w:r>
    </w:p>
    <w:p w14:paraId="1A3E8355">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b w:val="0"/>
          <w:bCs w:val="0"/>
          <w:color w:val="222222"/>
          <w:sz w:val="24"/>
          <w:shd w:val="clear" w:color="auto" w:fill="FFFFFF"/>
          <w:lang w:val="en-US" w:eastAsia="zh-CN"/>
        </w:rPr>
      </w:pPr>
      <w:r>
        <w:rPr>
          <w:rFonts w:hint="default" w:ascii="Times New Roman" w:hAnsi="Times New Roman"/>
          <w:b w:val="0"/>
          <w:bCs w:val="0"/>
          <w:color w:val="222222"/>
          <w:sz w:val="24"/>
          <w:shd w:val="clear" w:color="auto" w:fill="FFFFFF"/>
          <w:lang w:val="en-US" w:eastAsia="zh-CN"/>
        </w:rPr>
        <w:t>From an international perspective, the level of mathematics anxiety among the sampled junior high school students in Jiangxi is notably higher than that reported in some other countries. For instance, the average mathematics anxiety level among British adolescents is approximately 1.47, while that of the same age group in Japan is about 1.64 (OECD, 2023). This disparity may reflect the influence of different educational systems and cultural environments. With its large population and relatively narrow pathways for educational advancement, China may experience more intense competition, which can exacerbate students’ anxiety at a systemic level (Zhao &amp; Lian, 2024; Li et al., 2022).</w:t>
      </w:r>
    </w:p>
    <w:p w14:paraId="4BA5514D">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b w:val="0"/>
          <w:bCs w:val="0"/>
          <w:color w:val="222222"/>
          <w:sz w:val="24"/>
          <w:shd w:val="clear" w:color="auto" w:fill="FFFFFF"/>
          <w:lang w:val="en-US" w:eastAsia="zh-CN"/>
        </w:rPr>
      </w:pPr>
      <w:r>
        <w:rPr>
          <w:rFonts w:hint="default" w:ascii="Times New Roman" w:hAnsi="Times New Roman"/>
          <w:b w:val="0"/>
          <w:bCs w:val="0"/>
          <w:color w:val="222222"/>
          <w:sz w:val="24"/>
          <w:shd w:val="clear" w:color="auto" w:fill="FFFFFF"/>
          <w:lang w:val="en-US" w:eastAsia="zh-CN"/>
        </w:rPr>
        <w:t>It is worth noting that although the overall anxiety level is relatively high, students’ anxiety about failing in mathematics (M = 2.34) is slightly lower. This may indicate a degree of psychological adaptation to setbacks, possibly influenced by East Asian educational traditions that emphasise resilience and learning from failure (Fu et al., 2010). Nevertheless, high levels of classroom and examination anxiety remain prevalent, suggesting that systematic educational pressures continue to significantly affect students’ emotional states (OECD, 2023).</w:t>
      </w:r>
    </w:p>
    <w:p w14:paraId="72D1E010">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eastAsia" w:ascii="Times New Roman" w:hAnsi="Times New Roman"/>
          <w:b/>
          <w:bCs/>
          <w:i w:val="0"/>
          <w:iCs w:val="0"/>
          <w:color w:val="222222"/>
          <w:sz w:val="24"/>
          <w:shd w:val="clear" w:color="auto" w:fill="FFFFFF"/>
          <w:lang w:val="en-US" w:eastAsia="zh-CN"/>
        </w:rPr>
      </w:pPr>
      <w:r>
        <w:rPr>
          <w:rFonts w:hint="eastAsia" w:ascii="Times New Roman" w:hAnsi="Times New Roman"/>
          <w:b/>
          <w:bCs/>
          <w:i w:val="0"/>
          <w:iCs w:val="0"/>
          <w:color w:val="222222"/>
          <w:sz w:val="24"/>
          <w:shd w:val="clear" w:color="auto" w:fill="FFFFFF"/>
          <w:lang w:val="en-US" w:eastAsia="zh-CN"/>
        </w:rPr>
        <w:t>Discussion on the Correlation between Growth Mindset and Math Anxiety</w:t>
      </w:r>
    </w:p>
    <w:p w14:paraId="22DF8115">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eastAsia" w:ascii="Times New Roman" w:hAnsi="Times New Roman"/>
          <w:b w:val="0"/>
          <w:bCs w:val="0"/>
          <w:color w:val="222222"/>
          <w:sz w:val="24"/>
          <w:shd w:val="clear" w:color="auto" w:fill="FFFFFF"/>
          <w:lang w:val="en-US" w:eastAsia="zh-CN"/>
        </w:rPr>
      </w:pPr>
      <w:r>
        <w:rPr>
          <w:rFonts w:hint="default" w:ascii="Times New Roman" w:hAnsi="Times New Roman"/>
          <w:b w:val="0"/>
          <w:bCs w:val="0"/>
          <w:color w:val="222222"/>
          <w:sz w:val="24"/>
          <w:shd w:val="clear" w:color="auto" w:fill="FFFFFF"/>
          <w:lang w:val="en-US" w:eastAsia="zh-CN"/>
        </w:rPr>
        <w:t xml:space="preserve">This study, through Spearman correlation analysis, found a significant negative correlation between growth mindset and math anxiety (ρ = -0.117, p = 0.044), but the correlation was weak and could only explain 1.4% of the variance in math anxiety. Although this result supports the research hypothesis that the higher the growth mindset, the lower the math anxiety, its effect intensity is significantly lower than the typical level in Western educational contexts. For instance, Peterman and Ewing (2019) pointed out in their research that the explanatory rate of growth mindset for math anxiety could reach 19%, much higher than the findings of this study. Similarly, </w:t>
      </w:r>
      <w:r>
        <w:rPr>
          <w:rFonts w:hint="eastAsia" w:ascii="Times New Roman" w:hAnsi="Times New Roman"/>
          <w:b w:val="0"/>
          <w:bCs w:val="0"/>
          <w:color w:val="222222"/>
          <w:sz w:val="24"/>
          <w:shd w:val="clear" w:color="auto" w:fill="FFFFFF"/>
          <w:lang w:val="en-US" w:eastAsia="zh-CN"/>
        </w:rPr>
        <w:t>the study</w:t>
      </w:r>
      <w:r>
        <w:rPr>
          <w:rFonts w:hint="default" w:ascii="Times New Roman" w:hAnsi="Times New Roman"/>
          <w:b w:val="0"/>
          <w:bCs w:val="0"/>
          <w:color w:val="222222"/>
          <w:sz w:val="24"/>
          <w:shd w:val="clear" w:color="auto" w:fill="FFFFFF"/>
          <w:lang w:val="en-US" w:eastAsia="zh-CN"/>
        </w:rPr>
        <w:t xml:space="preserve"> based on a sample of British teenagers also reported a stronger and extremely significant negative correlation (ρ = -0.13, p = 0.00) between the two</w:t>
      </w:r>
      <w:r>
        <w:rPr>
          <w:rFonts w:hint="eastAsia" w:ascii="Times New Roman" w:hAnsi="Times New Roman"/>
          <w:b w:val="0"/>
          <w:bCs w:val="0"/>
          <w:color w:val="222222"/>
          <w:sz w:val="24"/>
          <w:shd w:val="clear" w:color="auto" w:fill="FFFFFF"/>
          <w:lang w:val="en-US" w:eastAsia="zh-CN"/>
        </w:rPr>
        <w:t xml:space="preserve"> (Huang &amp; Liu, 2025)</w:t>
      </w:r>
      <w:r>
        <w:rPr>
          <w:rFonts w:hint="default" w:ascii="Times New Roman" w:hAnsi="Times New Roman"/>
          <w:b w:val="0"/>
          <w:bCs w:val="0"/>
          <w:color w:val="222222"/>
          <w:sz w:val="24"/>
          <w:shd w:val="clear" w:color="auto" w:fill="FFFFFF"/>
          <w:lang w:val="en-US" w:eastAsia="zh-CN"/>
        </w:rPr>
        <w:t>.</w:t>
      </w:r>
      <w:r>
        <w:rPr>
          <w:rFonts w:hint="eastAsia" w:ascii="Times New Roman" w:hAnsi="Times New Roman"/>
          <w:b w:val="0"/>
          <w:bCs w:val="0"/>
          <w:color w:val="222222"/>
          <w:sz w:val="24"/>
          <w:shd w:val="clear" w:color="auto" w:fill="FFFFFF"/>
          <w:lang w:val="en-US" w:eastAsia="zh-CN"/>
        </w:rPr>
        <w:t xml:space="preserve"> This indicates that in the Western educational environment, growth mindset may be more easily transformed into practical resources for emotional regulation. Therefore, in the Chinese educational context, merely promoting mindset cultivation without changing the underlying structural stress factors may have a relatively limited effect in alleviating math anxiety.</w:t>
      </w:r>
    </w:p>
    <w:p w14:paraId="47AF3831">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b w:val="0"/>
          <w:bCs w:val="0"/>
          <w:color w:val="222222"/>
          <w:sz w:val="24"/>
          <w:shd w:val="clear" w:color="auto" w:fill="FFFFFF"/>
          <w:lang w:val="en-US" w:eastAsia="zh-CN"/>
        </w:rPr>
      </w:pPr>
      <w:r>
        <w:rPr>
          <w:rFonts w:hint="default" w:ascii="Times New Roman" w:hAnsi="Times New Roman"/>
          <w:b w:val="0"/>
          <w:bCs w:val="0"/>
          <w:color w:val="222222"/>
          <w:sz w:val="24"/>
          <w:shd w:val="clear" w:color="auto" w:fill="FFFFFF"/>
          <w:lang w:val="en-US" w:eastAsia="zh-CN"/>
        </w:rPr>
        <w:t>This disparity may stem from the particularity of the educational context in China. On one hand, growth mindset is theoretically compatible with the Confucian concept of striving, and may play a certain role in alleviating anxiety; on the other hand, the intense external evaluation pressure and the "performance-oriented" cultural atmosphere in exam-oriented education may weaken the buffering effect of growth mindset (OECD, 20</w:t>
      </w:r>
      <w:r>
        <w:rPr>
          <w:rFonts w:hint="eastAsia" w:ascii="Times New Roman" w:hAnsi="Times New Roman"/>
          <w:b w:val="0"/>
          <w:bCs w:val="0"/>
          <w:color w:val="222222"/>
          <w:sz w:val="24"/>
          <w:shd w:val="clear" w:color="auto" w:fill="FFFFFF"/>
          <w:lang w:val="en-US" w:eastAsia="zh-CN"/>
        </w:rPr>
        <w:t>23</w:t>
      </w:r>
      <w:r>
        <w:rPr>
          <w:rFonts w:hint="default" w:ascii="Times New Roman" w:hAnsi="Times New Roman"/>
          <w:b w:val="0"/>
          <w:bCs w:val="0"/>
          <w:color w:val="222222"/>
          <w:sz w:val="24"/>
          <w:shd w:val="clear" w:color="auto" w:fill="FFFFFF"/>
          <w:lang w:val="en-US" w:eastAsia="zh-CN"/>
        </w:rPr>
        <w:t>). Even if students recognize that effort is useful, they still find it difficult to escape anxiety about grades and rankings, resulting in the limited alleviation effect of growth mindset on anxiety.</w:t>
      </w:r>
    </w:p>
    <w:p w14:paraId="104FEFAC">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eastAsiaTheme="minorEastAsia" w:cstheme="minorBidi"/>
          <w:b w:val="0"/>
          <w:bCs w:val="0"/>
          <w:color w:val="222222"/>
          <w:kern w:val="2"/>
          <w:sz w:val="24"/>
          <w:szCs w:val="24"/>
          <w:shd w:val="clear" w:color="auto" w:fill="FFFFFF"/>
          <w:lang w:val="en-US" w:eastAsia="zh-CN" w:bidi="ar-SA"/>
        </w:rPr>
      </w:pPr>
      <w:r>
        <w:rPr>
          <w:rFonts w:hint="default" w:ascii="Times New Roman" w:hAnsi="Times New Roman" w:eastAsiaTheme="minorEastAsia" w:cstheme="minorBidi"/>
          <w:b w:val="0"/>
          <w:bCs w:val="0"/>
          <w:color w:val="222222"/>
          <w:kern w:val="2"/>
          <w:sz w:val="24"/>
          <w:szCs w:val="24"/>
          <w:shd w:val="clear" w:color="auto" w:fill="FFFFFF"/>
          <w:lang w:val="en-US" w:eastAsia="zh-CN" w:bidi="ar-SA"/>
        </w:rPr>
        <w:t>Furthermore, although the PISA scale used in this study has international comparability, its cultural adaptability and contextual specificity still require further verification. Future research could combine qualitative methods to deeply explore how Chinese students seek a balance between internalized effort beliefs and external examination pressure.</w:t>
      </w:r>
    </w:p>
    <w:p w14:paraId="2F3FD016">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default" w:ascii="Times New Roman" w:hAnsi="Times New Roman"/>
          <w:b/>
          <w:bCs/>
          <w:color w:val="222222"/>
          <w:sz w:val="24"/>
          <w:shd w:val="clear" w:color="auto" w:fill="FFFFFF"/>
          <w:lang w:val="en-US" w:eastAsia="zh-CN"/>
        </w:rPr>
      </w:pPr>
      <w:r>
        <w:rPr>
          <w:rFonts w:hint="eastAsia" w:ascii="Times New Roman" w:hAnsi="Times New Roman"/>
          <w:b/>
          <w:bCs/>
          <w:color w:val="222222"/>
          <w:sz w:val="24"/>
          <w:shd w:val="clear" w:color="auto" w:fill="FFFFFF"/>
          <w:lang w:val="en-US" w:eastAsia="zh-CN"/>
        </w:rPr>
        <w:t>Limitations of Data Collection</w:t>
      </w:r>
    </w:p>
    <w:p w14:paraId="1EA06F1A">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olor w:val="222222"/>
          <w:sz w:val="24"/>
          <w:shd w:val="clear" w:color="auto" w:fill="FFFFFF"/>
          <w:lang w:val="en-US" w:eastAsia="zh-CN"/>
        </w:rPr>
      </w:pPr>
      <w:r>
        <w:rPr>
          <w:rFonts w:hint="default" w:ascii="Times New Roman" w:hAnsi="Times New Roman"/>
          <w:color w:val="222222"/>
          <w:sz w:val="24"/>
          <w:shd w:val="clear" w:color="auto" w:fill="FFFFFF"/>
          <w:lang w:val="en-US" w:eastAsia="zh-CN"/>
        </w:rPr>
        <w:t>Although this study was designed with the aim of being scientifically rigorous and yielded statistically significant findings, upon reflection of the entire data collection process, several limitations still exist.</w:t>
      </w:r>
    </w:p>
    <w:p w14:paraId="78FD3450">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default" w:ascii="Times New Roman" w:hAnsi="Times New Roman"/>
          <w:b/>
          <w:bCs/>
          <w:i/>
          <w:iCs/>
          <w:color w:val="222222"/>
          <w:sz w:val="24"/>
          <w:shd w:val="clear" w:color="auto" w:fill="FFFFFF"/>
          <w:lang w:val="en-US" w:eastAsia="zh-CN"/>
        </w:rPr>
      </w:pPr>
      <w:r>
        <w:rPr>
          <w:rFonts w:hint="default" w:ascii="Times New Roman" w:hAnsi="Times New Roman"/>
          <w:b/>
          <w:bCs/>
          <w:i/>
          <w:iCs/>
          <w:color w:val="222222"/>
          <w:sz w:val="24"/>
          <w:shd w:val="clear" w:color="auto" w:fill="FFFFFF"/>
          <w:lang w:val="en-US" w:eastAsia="zh-CN"/>
        </w:rPr>
        <w:t xml:space="preserve">Causal </w:t>
      </w:r>
      <w:r>
        <w:rPr>
          <w:rFonts w:hint="eastAsia" w:ascii="Times New Roman" w:hAnsi="Times New Roman"/>
          <w:b/>
          <w:bCs/>
          <w:i/>
          <w:iCs/>
          <w:color w:val="222222"/>
          <w:sz w:val="24"/>
          <w:shd w:val="clear" w:color="auto" w:fill="FFFFFF"/>
          <w:lang w:val="en-US" w:eastAsia="zh-CN"/>
        </w:rPr>
        <w:t>I</w:t>
      </w:r>
      <w:r>
        <w:rPr>
          <w:rFonts w:hint="default" w:ascii="Times New Roman" w:hAnsi="Times New Roman"/>
          <w:b/>
          <w:bCs/>
          <w:i/>
          <w:iCs/>
          <w:color w:val="222222"/>
          <w:sz w:val="24"/>
          <w:shd w:val="clear" w:color="auto" w:fill="FFFFFF"/>
          <w:lang w:val="en-US" w:eastAsia="zh-CN"/>
        </w:rPr>
        <w:t xml:space="preserve">nference from </w:t>
      </w:r>
      <w:r>
        <w:rPr>
          <w:rFonts w:hint="eastAsia" w:ascii="Times New Roman" w:hAnsi="Times New Roman"/>
          <w:b/>
          <w:bCs/>
          <w:i/>
          <w:iCs/>
          <w:color w:val="222222"/>
          <w:sz w:val="24"/>
          <w:shd w:val="clear" w:color="auto" w:fill="FFFFFF"/>
          <w:lang w:val="en-US" w:eastAsia="zh-CN"/>
        </w:rPr>
        <w:t>C</w:t>
      </w:r>
      <w:r>
        <w:rPr>
          <w:rFonts w:hint="default" w:ascii="Times New Roman" w:hAnsi="Times New Roman"/>
          <w:b/>
          <w:bCs/>
          <w:i/>
          <w:iCs/>
          <w:color w:val="222222"/>
          <w:sz w:val="24"/>
          <w:shd w:val="clear" w:color="auto" w:fill="FFFFFF"/>
          <w:lang w:val="en-US" w:eastAsia="zh-CN"/>
        </w:rPr>
        <w:t>ross-</w:t>
      </w:r>
      <w:r>
        <w:rPr>
          <w:rFonts w:hint="eastAsia" w:ascii="Times New Roman" w:hAnsi="Times New Roman"/>
          <w:b/>
          <w:bCs/>
          <w:i/>
          <w:iCs/>
          <w:color w:val="222222"/>
          <w:sz w:val="24"/>
          <w:shd w:val="clear" w:color="auto" w:fill="FFFFFF"/>
          <w:lang w:val="en-US" w:eastAsia="zh-CN"/>
        </w:rPr>
        <w:t>S</w:t>
      </w:r>
      <w:r>
        <w:rPr>
          <w:rFonts w:hint="default" w:ascii="Times New Roman" w:hAnsi="Times New Roman"/>
          <w:b/>
          <w:bCs/>
          <w:i/>
          <w:iCs/>
          <w:color w:val="222222"/>
          <w:sz w:val="24"/>
          <w:shd w:val="clear" w:color="auto" w:fill="FFFFFF"/>
          <w:lang w:val="en-US" w:eastAsia="zh-CN"/>
        </w:rPr>
        <w:t xml:space="preserve">ectional </w:t>
      </w:r>
      <w:r>
        <w:rPr>
          <w:rFonts w:hint="eastAsia" w:ascii="Times New Roman" w:hAnsi="Times New Roman"/>
          <w:b/>
          <w:bCs/>
          <w:i/>
          <w:iCs/>
          <w:color w:val="222222"/>
          <w:sz w:val="24"/>
          <w:shd w:val="clear" w:color="auto" w:fill="FFFFFF"/>
          <w:lang w:val="en-US" w:eastAsia="zh-CN"/>
        </w:rPr>
        <w:t>D</w:t>
      </w:r>
      <w:r>
        <w:rPr>
          <w:rFonts w:hint="default" w:ascii="Times New Roman" w:hAnsi="Times New Roman"/>
          <w:b/>
          <w:bCs/>
          <w:i/>
          <w:iCs/>
          <w:color w:val="222222"/>
          <w:sz w:val="24"/>
          <w:shd w:val="clear" w:color="auto" w:fill="FFFFFF"/>
          <w:lang w:val="en-US" w:eastAsia="zh-CN"/>
        </w:rPr>
        <w:t>ata</w:t>
      </w:r>
    </w:p>
    <w:p w14:paraId="02A73F6D">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olor w:val="222222"/>
          <w:sz w:val="24"/>
          <w:shd w:val="clear" w:color="auto" w:fill="FFFFFF"/>
          <w:lang w:val="en-US" w:eastAsia="zh-CN"/>
        </w:rPr>
      </w:pPr>
      <w:r>
        <w:rPr>
          <w:rFonts w:hint="default" w:ascii="Times New Roman" w:hAnsi="Times New Roman"/>
          <w:color w:val="222222"/>
          <w:sz w:val="24"/>
          <w:shd w:val="clear" w:color="auto" w:fill="FFFFFF"/>
          <w:lang w:val="en-US" w:eastAsia="zh-CN"/>
        </w:rPr>
        <w:t>This study adopted a cross-sectional design, collecting all data at the same time point. Although this design can effectively reveal the correlation between variables (growth mindset and math anxiety), it cannot establish a clear causal relationship. This study found a significant negative correlation, but there could be three possible explanations for this: Growth mindset leads to a reduction in math anxiety (the hypothesis supported by this study); students with low math anxiety are more likely to develop a growth mindset; there may be a third variable (such as teacher teaching methods, family support) that simultaneously affects both. Future research can adopt a longitudinal tracking design, measuring students' thinking patterns and anxiety levels multiple times at different time points, to more clearly reveal their dynamic relationship, or adopt an experimental intervention design, conducting a random controlled experiment to verify whether growth mindset training can truly lead to a decrease in anxiety levels.</w:t>
      </w:r>
    </w:p>
    <w:p w14:paraId="3E98C3B9">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default" w:ascii="Times New Roman" w:hAnsi="Times New Roman"/>
          <w:b/>
          <w:bCs/>
          <w:i/>
          <w:iCs/>
          <w:color w:val="222222"/>
          <w:sz w:val="24"/>
          <w:shd w:val="clear" w:color="auto" w:fill="FFFFFF"/>
          <w:lang w:val="en-US" w:eastAsia="zh-CN"/>
        </w:rPr>
      </w:pPr>
      <w:r>
        <w:rPr>
          <w:rFonts w:hint="default" w:ascii="Times New Roman" w:hAnsi="Times New Roman"/>
          <w:b/>
          <w:bCs/>
          <w:i/>
          <w:iCs/>
          <w:color w:val="222222"/>
          <w:sz w:val="24"/>
          <w:shd w:val="clear" w:color="auto" w:fill="FFFFFF"/>
          <w:lang w:val="en-US" w:eastAsia="zh-CN"/>
        </w:rPr>
        <w:t>Single Area and School Focus</w:t>
      </w:r>
    </w:p>
    <w:p w14:paraId="6B22F06E">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olor w:val="222222"/>
          <w:sz w:val="24"/>
          <w:shd w:val="clear" w:color="auto" w:fill="FFFFFF"/>
          <w:lang w:val="en-US" w:eastAsia="zh-CN"/>
        </w:rPr>
      </w:pPr>
      <w:r>
        <w:rPr>
          <w:rFonts w:hint="default" w:ascii="Times New Roman" w:hAnsi="Times New Roman"/>
          <w:color w:val="222222"/>
          <w:sz w:val="24"/>
          <w:shd w:val="clear" w:color="auto" w:fill="FFFFFF"/>
          <w:lang w:val="en-US" w:eastAsia="zh-CN"/>
        </w:rPr>
        <w:t>The samples of this study were all from an ordinary public junior high school in Jiangxi Province. Although this school is at a medium level within the province and the educational pressure situation in Jiangxi Province is quite representative of China, the samples still lack the general representativeness across the country. There are significant differences in the distribution of educational resources, competition pressure and cultural atmosphere among different provinces, urban and rural areas, and different types of schools (such as key schools, international schools, and rural schools) in China. These differences may significantly affect the manifestation forms of growth mindset and math anxiety and the strength of their relationship. Therefore, the conclusions of this study should be used with caution when extending to other different educational contexts across the country. Future research should focus on conducting large-scale sampling surveys in multiple regions and at multiple levels to draw a more comprehensive and detailed picture of China.</w:t>
      </w:r>
    </w:p>
    <w:p w14:paraId="2399C358">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default" w:ascii="Times New Roman" w:hAnsi="Times New Roman"/>
          <w:b/>
          <w:bCs/>
          <w:i/>
          <w:iCs/>
          <w:color w:val="222222"/>
          <w:sz w:val="24"/>
          <w:shd w:val="clear" w:color="auto" w:fill="FFFFFF"/>
          <w:lang w:val="en-US" w:eastAsia="zh-CN"/>
        </w:rPr>
      </w:pPr>
      <w:r>
        <w:rPr>
          <w:rFonts w:hint="default" w:ascii="Times New Roman" w:hAnsi="Times New Roman"/>
          <w:b/>
          <w:bCs/>
          <w:i/>
          <w:iCs/>
          <w:color w:val="222222"/>
          <w:sz w:val="24"/>
          <w:shd w:val="clear" w:color="auto" w:fill="FFFFFF"/>
          <w:lang w:val="en-US" w:eastAsia="zh-CN"/>
        </w:rPr>
        <w:t xml:space="preserve">Cultural </w:t>
      </w:r>
      <w:r>
        <w:rPr>
          <w:rFonts w:hint="eastAsia" w:ascii="Times New Roman" w:hAnsi="Times New Roman"/>
          <w:b/>
          <w:bCs/>
          <w:i/>
          <w:iCs/>
          <w:color w:val="222222"/>
          <w:sz w:val="24"/>
          <w:shd w:val="clear" w:color="auto" w:fill="FFFFFF"/>
          <w:lang w:val="en-US" w:eastAsia="zh-CN"/>
        </w:rPr>
        <w:t>A</w:t>
      </w:r>
      <w:r>
        <w:rPr>
          <w:rFonts w:hint="default" w:ascii="Times New Roman" w:hAnsi="Times New Roman"/>
          <w:b/>
          <w:bCs/>
          <w:i/>
          <w:iCs/>
          <w:color w:val="222222"/>
          <w:sz w:val="24"/>
          <w:shd w:val="clear" w:color="auto" w:fill="FFFFFF"/>
          <w:lang w:val="en-US" w:eastAsia="zh-CN"/>
        </w:rPr>
        <w:t xml:space="preserve">daptability and </w:t>
      </w:r>
      <w:r>
        <w:rPr>
          <w:rFonts w:hint="eastAsia" w:ascii="Times New Roman" w:hAnsi="Times New Roman"/>
          <w:b/>
          <w:bCs/>
          <w:i/>
          <w:iCs/>
          <w:color w:val="222222"/>
          <w:sz w:val="24"/>
          <w:shd w:val="clear" w:color="auto" w:fill="FFFFFF"/>
          <w:lang w:val="en-US" w:eastAsia="zh-CN"/>
        </w:rPr>
        <w:t>C</w:t>
      </w:r>
      <w:r>
        <w:rPr>
          <w:rFonts w:hint="default" w:ascii="Times New Roman" w:hAnsi="Times New Roman"/>
          <w:b/>
          <w:bCs/>
          <w:i/>
          <w:iCs/>
          <w:color w:val="222222"/>
          <w:sz w:val="24"/>
          <w:shd w:val="clear" w:color="auto" w:fill="FFFFFF"/>
          <w:lang w:val="en-US" w:eastAsia="zh-CN"/>
        </w:rPr>
        <w:t xml:space="preserve">ontextual </w:t>
      </w:r>
      <w:r>
        <w:rPr>
          <w:rFonts w:hint="eastAsia" w:ascii="Times New Roman" w:hAnsi="Times New Roman"/>
          <w:b/>
          <w:bCs/>
          <w:i/>
          <w:iCs/>
          <w:color w:val="222222"/>
          <w:sz w:val="24"/>
          <w:shd w:val="clear" w:color="auto" w:fill="FFFFFF"/>
          <w:lang w:val="en-US" w:eastAsia="zh-CN"/>
        </w:rPr>
        <w:t>S</w:t>
      </w:r>
      <w:r>
        <w:rPr>
          <w:rFonts w:hint="default" w:ascii="Times New Roman" w:hAnsi="Times New Roman"/>
          <w:b/>
          <w:bCs/>
          <w:i/>
          <w:iCs/>
          <w:color w:val="222222"/>
          <w:sz w:val="24"/>
          <w:shd w:val="clear" w:color="auto" w:fill="FFFFFF"/>
          <w:lang w:val="en-US" w:eastAsia="zh-CN"/>
        </w:rPr>
        <w:t>pecificity</w:t>
      </w:r>
    </w:p>
    <w:p w14:paraId="326F62A5">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olor w:val="222222"/>
          <w:sz w:val="24"/>
          <w:shd w:val="clear" w:color="auto" w:fill="FFFFFF"/>
          <w:lang w:val="en-US" w:eastAsia="zh-CN"/>
        </w:rPr>
      </w:pPr>
      <w:r>
        <w:rPr>
          <w:rFonts w:hint="default" w:ascii="Times New Roman" w:hAnsi="Times New Roman"/>
          <w:color w:val="222222"/>
          <w:sz w:val="24"/>
          <w:shd w:val="clear" w:color="auto" w:fill="FFFFFF"/>
          <w:lang w:val="en-US" w:eastAsia="zh-CN"/>
        </w:rPr>
        <w:t xml:space="preserve">This study directly adopted the authoritative scale of PISA 2022, ensuring the international comparability of the research and the reliability and validity of the tools. However, the direct application of top-level international scales may still have cultural adaptability issues. The PISA scale was designed for global universality, and its question statements may not be able to precisely capture the most genuine and profound emotional experiences and belief cognitions of Chinese students in the specific context of exam-oriented education and the pressure of the college entrance examination. For example, the anxiety of Chinese students may be more specifically attributed to the fear of disappointing their parents' expectations or falling behind in the class ranking, and these subtle and culture-laden dimensions may not be fully reflected in the existing scales. Future research can build upon this and combine qualitative research methods such as focus group interviews and open-ended questionnaires to locally refine and supplement the questions of the scale, and develop an assessment tool that not only meets psychological measurement standards but is also deeply rooted in the Chinese educational </w:t>
      </w:r>
      <w:r>
        <w:rPr>
          <w:rFonts w:hint="eastAsia" w:ascii="Times New Roman" w:hAnsi="Times New Roman"/>
          <w:color w:val="222222"/>
          <w:sz w:val="24"/>
          <w:shd w:val="clear" w:color="auto" w:fill="FFFFFF"/>
          <w:lang w:val="en-US" w:eastAsia="zh-CN"/>
        </w:rPr>
        <w:t>context</w:t>
      </w:r>
      <w:r>
        <w:rPr>
          <w:rFonts w:hint="default" w:ascii="Times New Roman" w:hAnsi="Times New Roman"/>
          <w:color w:val="222222"/>
          <w:sz w:val="24"/>
          <w:shd w:val="clear" w:color="auto" w:fill="FFFFFF"/>
          <w:lang w:val="en-US" w:eastAsia="zh-CN"/>
        </w:rPr>
        <w:t>.</w:t>
      </w:r>
    </w:p>
    <w:p w14:paraId="0C91889D">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bCs/>
          <w:i/>
          <w:iCs/>
          <w:sz w:val="24"/>
          <w:szCs w:val="24"/>
          <w:lang w:val="en-US" w:eastAsia="zh-CN"/>
        </w:rPr>
      </w:pPr>
      <w:r>
        <w:rPr>
          <w:rFonts w:hint="default" w:ascii="Times New Roman" w:hAnsi="Times New Roman" w:cs="Times New Roman"/>
          <w:b/>
          <w:bCs/>
          <w:i/>
          <w:iCs/>
          <w:sz w:val="24"/>
          <w:szCs w:val="24"/>
          <w:lang w:val="en-US" w:eastAsia="zh-CN"/>
        </w:rPr>
        <w:t xml:space="preserve">The </w:t>
      </w:r>
      <w:r>
        <w:rPr>
          <w:rFonts w:hint="eastAsia" w:ascii="Times New Roman" w:hAnsi="Times New Roman" w:cs="Times New Roman"/>
          <w:b/>
          <w:bCs/>
          <w:i/>
          <w:iCs/>
          <w:sz w:val="24"/>
          <w:szCs w:val="24"/>
          <w:lang w:val="en-US" w:eastAsia="zh-CN"/>
        </w:rPr>
        <w:t>Effects</w:t>
      </w:r>
      <w:r>
        <w:rPr>
          <w:rFonts w:hint="default" w:ascii="Times New Roman" w:hAnsi="Times New Roman" w:cs="Times New Roman"/>
          <w:b/>
          <w:bCs/>
          <w:i/>
          <w:iCs/>
          <w:sz w:val="24"/>
          <w:szCs w:val="24"/>
          <w:lang w:val="en-US" w:eastAsia="zh-CN"/>
        </w:rPr>
        <w:t xml:space="preserve"> of </w:t>
      </w:r>
      <w:r>
        <w:rPr>
          <w:rFonts w:hint="eastAsia" w:ascii="Times New Roman" w:hAnsi="Times New Roman" w:cs="Times New Roman"/>
          <w:b/>
          <w:bCs/>
          <w:i/>
          <w:iCs/>
          <w:sz w:val="24"/>
          <w:szCs w:val="24"/>
          <w:lang w:val="en-US" w:eastAsia="zh-CN"/>
        </w:rPr>
        <w:t>S</w:t>
      </w:r>
      <w:r>
        <w:rPr>
          <w:rFonts w:hint="default" w:ascii="Times New Roman" w:hAnsi="Times New Roman" w:cs="Times New Roman"/>
          <w:b/>
          <w:bCs/>
          <w:i/>
          <w:iCs/>
          <w:sz w:val="24"/>
          <w:szCs w:val="24"/>
          <w:lang w:val="en-US" w:eastAsia="zh-CN"/>
        </w:rPr>
        <w:t>elf-</w:t>
      </w:r>
      <w:r>
        <w:rPr>
          <w:rFonts w:hint="eastAsia" w:ascii="Times New Roman" w:hAnsi="Times New Roman" w:cs="Times New Roman"/>
          <w:b/>
          <w:bCs/>
          <w:i/>
          <w:iCs/>
          <w:sz w:val="24"/>
          <w:szCs w:val="24"/>
          <w:lang w:val="en-US" w:eastAsia="zh-CN"/>
        </w:rPr>
        <w:t>R</w:t>
      </w:r>
      <w:r>
        <w:rPr>
          <w:rFonts w:hint="default" w:ascii="Times New Roman" w:hAnsi="Times New Roman" w:cs="Times New Roman"/>
          <w:b/>
          <w:bCs/>
          <w:i/>
          <w:iCs/>
          <w:sz w:val="24"/>
          <w:szCs w:val="24"/>
          <w:lang w:val="en-US" w:eastAsia="zh-CN"/>
        </w:rPr>
        <w:t xml:space="preserve">eport </w:t>
      </w:r>
      <w:r>
        <w:rPr>
          <w:rFonts w:hint="eastAsia" w:ascii="Times New Roman" w:hAnsi="Times New Roman" w:cs="Times New Roman"/>
          <w:b/>
          <w:bCs/>
          <w:i/>
          <w:iCs/>
          <w:sz w:val="24"/>
          <w:szCs w:val="24"/>
          <w:lang w:val="en-US" w:eastAsia="zh-CN"/>
        </w:rPr>
        <w:t>Q</w:t>
      </w:r>
      <w:r>
        <w:rPr>
          <w:rFonts w:hint="default" w:ascii="Times New Roman" w:hAnsi="Times New Roman" w:cs="Times New Roman"/>
          <w:b/>
          <w:bCs/>
          <w:i/>
          <w:iCs/>
          <w:sz w:val="24"/>
          <w:szCs w:val="24"/>
          <w:lang w:val="en-US" w:eastAsia="zh-CN"/>
        </w:rPr>
        <w:t>uestionnaires</w:t>
      </w:r>
    </w:p>
    <w:p w14:paraId="5BF0628B">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This study relies solely on students' self-report questionnaires as the data source. Although this method is efficient, it has inherent risks of bias. Firstly, in a collectivist cultural context, students may tend to give socially desirable responses, that is, choosing the options they think are correct or those expected by the teacher rather than their true thoughts, which may overestimate the level of growth mindset or underestimate the level of anxiety. Secondly, students' emotions and beliefs are fluctuating, and a one-time questionnaire measurement may not capture their most stable state, and is easily influenced by temporary factors such as the mood on the test day, recent exam results, etc. Future research can consider incorporating multiple data sources, such as adding teacher evaluations, parent reports, and even physiological measurements, to assess the core variables more comprehensively and objectively.</w:t>
      </w:r>
    </w:p>
    <w:p w14:paraId="03D73E85">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i w:val="0"/>
          <w:iCs w:val="0"/>
          <w:sz w:val="24"/>
          <w:szCs w:val="24"/>
          <w:lang w:val="en-US" w:eastAsia="zh-CN"/>
        </w:rPr>
      </w:pPr>
      <w:r>
        <w:rPr>
          <w:rFonts w:hint="eastAsia" w:ascii="Times New Roman" w:hAnsi="Times New Roman" w:cs="Times New Roman"/>
          <w:b/>
          <w:bCs/>
          <w:i w:val="0"/>
          <w:iCs w:val="0"/>
          <w:sz w:val="24"/>
          <w:szCs w:val="24"/>
          <w:lang w:val="en-US" w:eastAsia="zh-CN"/>
        </w:rPr>
        <w:t>Contribution to the Field</w:t>
      </w:r>
    </w:p>
    <w:p w14:paraId="08EE47E2">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Despite these limitations, this study still made substantial contributions to the relevant fields in both theoretical expansion and practical application aspects.</w:t>
      </w:r>
    </w:p>
    <w:p w14:paraId="4713C2EB">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i/>
          <w:iCs/>
          <w:sz w:val="24"/>
          <w:szCs w:val="24"/>
          <w:lang w:val="en-US" w:eastAsia="zh-CN"/>
        </w:rPr>
      </w:pPr>
      <w:r>
        <w:rPr>
          <w:rFonts w:hint="eastAsia" w:ascii="Times New Roman" w:hAnsi="Times New Roman" w:cs="Times New Roman"/>
          <w:b/>
          <w:bCs/>
          <w:i/>
          <w:iCs/>
          <w:sz w:val="24"/>
          <w:szCs w:val="24"/>
          <w:lang w:val="en-US" w:eastAsia="zh-CN"/>
        </w:rPr>
        <w:t>Theoretical Contribution</w:t>
      </w:r>
    </w:p>
    <w:p w14:paraId="5E98E2B5">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The existing literature on the relationship between growth mindset and math anxiety is almost entirely based on research conducted in Western individualistic cultures. This study is the first to provide direct empirical evidence in the Chinese junior high school student population, verifying the existence of a negative relationship between the two. This extends the applicability of this theoretical proposition from the Western context to the East Asian Confucian cultural circle, enriching the cross-cultural dimension and universality of the theory.</w:t>
      </w:r>
    </w:p>
    <w:p w14:paraId="71B53BFC">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The most crucial finding of this study is not a simple correlation, but a weak one. This discovery holds profound theoretical significance. It strongly indicates that the role of growth mindset is not absolute but is deeply regulated by macro cultural values and micro educational policies. Under the high-pressure examination environment in China, the effectiveness of growth mindset in alleviating anxiety has been significantly weakened. This conclusion challenges the simplistic perspective of viewing psychological intervention as an isolated means, and urges researchers to adopt an interactive framework of individuals and situations to more precisely understand the actual utility of psychological constructs.</w:t>
      </w:r>
    </w:p>
    <w:p w14:paraId="3A52083B">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eastAsia" w:ascii="Times New Roman" w:hAnsi="Times New Roman" w:cs="Times New Roman"/>
          <w:b/>
          <w:bCs/>
          <w:i/>
          <w:iCs/>
          <w:sz w:val="24"/>
          <w:szCs w:val="24"/>
          <w:lang w:val="en-US" w:eastAsia="zh-CN"/>
        </w:rPr>
      </w:pPr>
      <w:r>
        <w:rPr>
          <w:rFonts w:hint="eastAsia" w:ascii="Times New Roman" w:hAnsi="Times New Roman" w:cs="Times New Roman"/>
          <w:b/>
          <w:bCs/>
          <w:i/>
          <w:iCs/>
          <w:sz w:val="24"/>
          <w:szCs w:val="24"/>
          <w:lang w:val="en-US" w:eastAsia="zh-CN"/>
        </w:rPr>
        <w:t>Practical Contribution</w:t>
      </w:r>
    </w:p>
    <w:p w14:paraId="2CD8AE1C">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The research results have sent a clear message to education policymakers and school administrators: in high-risk examination environments like those in China, merely relying on publicity and cultivating students' growth mindset is not sufficient to fundamentally solve the widespread problem of math anxiety. This requires current educational reforms not only to focus on changing students' perceptions but also to simultaneously implement reforms on structural factors such as optimizing the evaluation system, reducing ranking competition, and creating a more supportive classroom environment. This study provides a solid scientific basis for such systematic and multi-dimensional reforms.</w:t>
      </w:r>
    </w:p>
    <w:p w14:paraId="38A9A023">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Research findings indicate that in daily teaching, teachers should not only instill the belief in the usefulness of effort, but also focus on reducing social comparison behaviors in the classroom, designing learning tasks that allow for mistakes and encourage exploration, thereby reducing students' external performance pressure and providing a better environment for the cultivation of growth mindset. At the same time, the PISA scale can also provide schools and teachers with a set of scientific and convenient screening tools for regular assessment of students' psychological states, enabling timely identification of students with serious anxiety tendencies and intervention.</w:t>
      </w:r>
    </w:p>
    <w:p w14:paraId="4CFD207D">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center"/>
        <w:textAlignment w:val="auto"/>
        <w:rPr>
          <w:rFonts w:hint="eastAsia" w:ascii="Times New Roman" w:hAnsi="Times New Roman" w:cs="Times New Roman"/>
          <w:b/>
          <w:bCs/>
          <w:i w:val="0"/>
          <w:iCs w:val="0"/>
          <w:sz w:val="24"/>
          <w:szCs w:val="24"/>
          <w:lang w:val="en-US" w:eastAsia="zh-CN"/>
        </w:rPr>
      </w:pPr>
      <w:r>
        <w:rPr>
          <w:rFonts w:hint="eastAsia" w:ascii="Times New Roman" w:hAnsi="Times New Roman" w:cs="Times New Roman"/>
          <w:b/>
          <w:bCs/>
          <w:i w:val="0"/>
          <w:iCs w:val="0"/>
          <w:sz w:val="24"/>
          <w:szCs w:val="24"/>
          <w:lang w:val="en-US" w:eastAsia="zh-CN"/>
        </w:rPr>
        <w:t>Recommendations</w:t>
      </w:r>
    </w:p>
    <w:p w14:paraId="645BF8C7">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Based on the findings and limitations of this study, several recommendations can be proposed. Future research should employ longitudinal or experimental designs to move beyond the correlational evidence gathered here and establish causal relationships between growth mindset and math anxiety. Furthermore, expanding the scope of sampling to include diverse regions and school types across China would enhance the generali</w:t>
      </w:r>
      <w:r>
        <w:rPr>
          <w:rFonts w:hint="eastAsia" w:ascii="Times New Roman" w:hAnsi="Times New Roman" w:cs="Times New Roman"/>
          <w:b w:val="0"/>
          <w:bCs w:val="0"/>
          <w:i w:val="0"/>
          <w:iCs w:val="0"/>
          <w:sz w:val="24"/>
          <w:szCs w:val="24"/>
          <w:lang w:val="en-US" w:eastAsia="zh-CN"/>
        </w:rPr>
        <w:t>s</w:t>
      </w:r>
      <w:r>
        <w:rPr>
          <w:rFonts w:hint="default" w:ascii="Times New Roman" w:hAnsi="Times New Roman" w:cs="Times New Roman"/>
          <w:b w:val="0"/>
          <w:bCs w:val="0"/>
          <w:i w:val="0"/>
          <w:iCs w:val="0"/>
          <w:sz w:val="24"/>
          <w:szCs w:val="24"/>
          <w:lang w:val="en-US" w:eastAsia="zh-CN"/>
        </w:rPr>
        <w:t>ability of the findings and provide a more comprehensive national picture.</w:t>
      </w:r>
    </w:p>
    <w:p w14:paraId="4D1BF71E">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The implications for educational practice are also noteworthy. While fostering a growth mindset is valuable, educators and policymakers should be aware that its anxiety-buffering effect may be limited within high-pressure exam-oriented systems. Therefore, interventions should be multi-faceted, combining mindset training with systemic reforms aimed at reducing excessive academic competition and creating more supportive learning environments that lessen the fear of failure.</w:t>
      </w:r>
    </w:p>
    <w:p w14:paraId="2BB5E2D5">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In final reflection, this study serves as a crucial first step in contextualizing the Western-derived theory of growth mindset within the Chinese educational landscape. It </w:t>
      </w:r>
      <w:r>
        <w:rPr>
          <w:rFonts w:hint="eastAsia" w:ascii="Times New Roman" w:hAnsi="Times New Roman" w:cs="Times New Roman"/>
          <w:b w:val="0"/>
          <w:bCs w:val="0"/>
          <w:i w:val="0"/>
          <w:iCs w:val="0"/>
          <w:sz w:val="24"/>
          <w:szCs w:val="24"/>
          <w:lang w:val="en-US" w:eastAsia="zh-CN"/>
        </w:rPr>
        <w:t>stresses</w:t>
      </w:r>
      <w:r>
        <w:rPr>
          <w:rFonts w:hint="default" w:ascii="Times New Roman" w:hAnsi="Times New Roman" w:cs="Times New Roman"/>
          <w:b w:val="0"/>
          <w:bCs w:val="0"/>
          <w:i w:val="0"/>
          <w:iCs w:val="0"/>
          <w:sz w:val="24"/>
          <w:szCs w:val="24"/>
          <w:lang w:val="en-US" w:eastAsia="zh-CN"/>
        </w:rPr>
        <w:t xml:space="preserve"> that psychological constructs do not operate in a vacuum but are deeply mediated by cultural and systemic factors. The findings call for a mor</w:t>
      </w:r>
      <w:r>
        <w:rPr>
          <w:rFonts w:hint="eastAsia" w:ascii="Times New Roman" w:hAnsi="Times New Roman" w:cs="Times New Roman"/>
          <w:b w:val="0"/>
          <w:bCs w:val="0"/>
          <w:i w:val="0"/>
          <w:iCs w:val="0"/>
          <w:sz w:val="24"/>
          <w:szCs w:val="24"/>
          <w:lang w:val="en-US" w:eastAsia="zh-CN"/>
        </w:rPr>
        <w:t xml:space="preserve">e </w:t>
      </w:r>
      <w:r>
        <w:rPr>
          <w:rFonts w:hint="default" w:ascii="Times New Roman" w:hAnsi="Times New Roman" w:cs="Times New Roman"/>
          <w:b w:val="0"/>
          <w:bCs w:val="0"/>
          <w:i w:val="0"/>
          <w:iCs w:val="0"/>
          <w:sz w:val="24"/>
          <w:szCs w:val="24"/>
          <w:lang w:val="en-US" w:eastAsia="zh-CN"/>
        </w:rPr>
        <w:t>culturally-grounded approach to educational research and practice, where understanding local contexts is paramount for developing effective strategies to support student well-being.</w:t>
      </w:r>
    </w:p>
    <w:p w14:paraId="44138FDA">
      <w:pPr>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br w:type="page"/>
      </w:r>
    </w:p>
    <w:p w14:paraId="6CDC178D">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b/>
          <w:bCs/>
          <w:i w:val="0"/>
          <w:iCs w:val="0"/>
          <w:color w:val="000000" w:themeColor="text1"/>
          <w:sz w:val="24"/>
          <w:szCs w:val="24"/>
          <w:lang w:val="en-US" w:eastAsia="zh-CN"/>
          <w14:textFill>
            <w14:solidFill>
              <w14:schemeClr w14:val="tx1"/>
            </w14:solidFill>
          </w14:textFill>
        </w:rPr>
      </w:pPr>
      <w:r>
        <w:rPr>
          <w:rFonts w:hint="eastAsia" w:ascii="Times New Roman" w:hAnsi="Times New Roman" w:cs="Times New Roman"/>
          <w:b/>
          <w:bCs/>
          <w:i w:val="0"/>
          <w:iCs w:val="0"/>
          <w:color w:val="000000" w:themeColor="text1"/>
          <w:sz w:val="24"/>
          <w:szCs w:val="24"/>
          <w:lang w:val="en-US" w:eastAsia="zh-CN"/>
          <w14:textFill>
            <w14:solidFill>
              <w14:schemeClr w14:val="tx1"/>
            </w14:solidFill>
          </w14:textFill>
        </w:rPr>
        <w:t>References</w:t>
      </w:r>
    </w:p>
    <w:p w14:paraId="5B409595">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Abdi, H. (2003)</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‘Factor rotations in factor analyses’</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Encyclopedia for research methods for the social sciences</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792-795.</w:t>
      </w:r>
    </w:p>
    <w:p w14:paraId="1F51B236">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Ashcraft, M. H., &amp; Moore, A. M. (2009)</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‘Mathematics anxiety and the affective drop in performance’</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 xml:space="preserve"> Journal of Psychoeducational Assessment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27(3), 197–205.</w:t>
      </w:r>
    </w:p>
    <w:p w14:paraId="6DE6D034">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Bai, B., &amp; Wang, J. (2023)</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‘The role of growth mindset, self-efficacy and intrinsic value in self-regulated learning and English language learning achievements’</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Language Teaching Research</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27(1), 207–228.</w:t>
      </w:r>
    </w:p>
    <w:p w14:paraId="53A80E2E">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Bai, B., Wang, J., &amp; Nie, Y. (2021)</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‘Self-efficacy, task values and growth mindset: What has the most predictive power for primary school students’ self-regulated learning in English writing and writing competence in an Asian Confucian cultural context?’</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Cambridge Journal of Education</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51(1), 65-84.</w:t>
      </w:r>
    </w:p>
    <w:p w14:paraId="4CDF64B1">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Barroso, C., Ganley, C. M., McGraw, A. L., Geer, E. A., Hart, S. A., &amp; Daucourt, M. C. (2021)</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‘A meta-analysis of the relation between math anxiety and math achievement’</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Psychological Bulletin</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147(2), 134.</w:t>
      </w:r>
    </w:p>
    <w:p w14:paraId="5CB48E48">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Clark, A. M. (1998)</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‘The qualitative‐quantitative debate: moving from positivism and confrontation to post‐positivism and reconciliation’</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Journal of Advanced Nursing</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27(6), 1242-1249.</w:t>
      </w:r>
    </w:p>
    <w:p w14:paraId="65A5FDCD">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Clark, J. E. (2021)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 xml:space="preserve">Case Study of Growth Mindset and the Impact on Math Anxiety </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(Doctoral dissertation, Brenau University).</w:t>
      </w:r>
    </w:p>
    <w:p w14:paraId="039F158E">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Cohen, J. (1988)</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‘Set correlation and contingency tables’</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Applied Psychological Measurement,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12(4), 425-434.</w:t>
      </w:r>
    </w:p>
    <w:p w14:paraId="36BDD79E">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Cronbach, L. J. (1951)</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‘Coefficient alpha and the internal structure of tests’</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Psychometrika</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16(3), 297-334.</w:t>
      </w:r>
    </w:p>
    <w:p w14:paraId="25314CF6">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Damasceno, B. (2020)</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‘Choosing a statistical test’</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Research on Cognition Disorders: Theoretical and Methodological Issues</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(pp. 167-185). Cham: Springer International Publishing.</w:t>
      </w:r>
    </w:p>
    <w:p w14:paraId="700B1387">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D’Agostino, R. B. (2017)</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‘Tests for the normal distribution’</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Goodness-of-fit-techniques</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(pp. 367-420). Routledge.</w:t>
      </w:r>
    </w:p>
    <w:p w14:paraId="46CA74C1">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De Winter, J. C., Gosling, S. D., &amp; Potter, J. (2016)</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‘Comparing the Pearson and Spearman correlation coefficients across distributions and sample sizes: A tutorial using simulations and empirical data’</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Psychological Methods</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21(3), 273.</w:t>
      </w:r>
    </w:p>
    <w:p w14:paraId="3DF4E406">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Dong, L., &amp; Kang, Y. (2022)</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‘Cultural differences in mindset beliefs regarding mathematics learning’</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Current Opinion in Behavioral Sciences</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46, 101159.</w:t>
      </w:r>
    </w:p>
    <w:p w14:paraId="30B624DA">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Dweck, C. S. (2006)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Mindset: The new psychology of success</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Random House.</w:t>
      </w:r>
    </w:p>
    <w:p w14:paraId="0A7C6899">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Finlayson, M. (2014) ‘Addressing math anxiety in the classroom’</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Improving Schools</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17(1), 99-115.</w:t>
      </w:r>
    </w:p>
    <w:p w14:paraId="785AB78E">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Fullone, C. J. (2024)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The Impact of a Growth Mindset Intervention on the Anxiety of Students With Multiple Disabilities</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(Doctoral dissertation, Freed-Hardeman University).</w:t>
      </w:r>
    </w:p>
    <w:p w14:paraId="15E4D005">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Fu, X., Qian, K., Palmer, K., Peltsverger, B., Campbell, B., Lim, B., &amp; Vogt, P. (2010, October) ‘Making failure the mother of success’</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2010 IEEE Frontiers in Education Conference</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(FIE) (pp. S2H-1). IEEE.</w:t>
      </w:r>
    </w:p>
    <w:p w14:paraId="57CE85FE">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Ghaleb, B. D. S. (2024) ‘Effect of exam-focused and teacher-centered education systems on students’ cognitive and psychological competencies’</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International Journal of Multidisciplinary Approach Research and Science</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2(2), 611-631.</w:t>
      </w:r>
    </w:p>
    <w:p w14:paraId="4EBF77FB">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Ghasemi, A., &amp; Zahediasl, S. (2012) ‘Normality tests for statistical analysis: a guide for non-statisticians’</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International Journal of Endocrinology and Metabolism</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10(2), 486.</w:t>
      </w:r>
    </w:p>
    <w:p w14:paraId="509F24A9">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Goel, V. (2007) ‘Anatomy of deductive reasoning’</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Trends in Cognitive Sciences</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11(10), 435-441.</w:t>
      </w:r>
    </w:p>
    <w:p w14:paraId="0568C3ED">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Goswami, U. (2010) ‘Inductive and deductive reasoning’</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The Wiley‐Blackwell handbook of childhood cognitive development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(pp. 399-419). Wiley.</w:t>
      </w:r>
    </w:p>
    <w:p w14:paraId="08CF2CFB">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Greenacre, M., Groenen, P. J., Hastie, T., d’Enza, A. I., Markos, A., &amp; Tuzhilina, E. (2022) ‘Principal component analysis’</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Nature Reviews Methods Primers</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2(1), 100.</w:t>
      </w:r>
    </w:p>
    <w:p w14:paraId="2BFE8773">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Guo, Y., Yan, J., &amp; Men, T. (2021) ‘Chinese junior high school students’ mathematical problem-posing performance’</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ZDM–Mathematics Education</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53(4), 905-917.</w:t>
      </w:r>
    </w:p>
    <w:p w14:paraId="70CD9D34">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Hallett, M. G., &amp; Hoffman, B. (2014) ‘Performing under pressure: Cultivating the peak performance mindset for workplace excellence’</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Consulting Psychology Journal: Practice and Research</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66(3), 212.</w:t>
      </w:r>
    </w:p>
    <w:p w14:paraId="51FB9BC8">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Huang, M., &amp; Liu, X. (2025) ‘Pathways to equity: A mediation analysis of gender, SES, and mathematics achievement using PISA 2022 UK data’</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 xml:space="preserve"> International Journal of Educational Research</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133, 102666.</w:t>
      </w:r>
    </w:p>
    <w:p w14:paraId="74318526">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Ibrahim, A. F., McKellar, S. E., Yates, J. F., &amp; Shah, P. (2025, August) ‘Oh, the Places You Can Go… If You Ace Calculus: Helping Minoritized Students Succeed in Undergraduate Mathematics’</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Frontiers in Education</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(Vol. 10, p. 1465832). Frontiers.</w:t>
      </w:r>
    </w:p>
    <w:p w14:paraId="03E33EBD">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Johnson-Laird, P. N. (1999)</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‘Deductive reasoning’</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Annual Review of Psychology</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50(1), 109-135.</w:t>
      </w:r>
    </w:p>
    <w:p w14:paraId="0C8F893B">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Kaiser, H. F. (1974) ‘An index of factorial simplicity’</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Psychometrika</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39(1), 31-36.</w:t>
      </w:r>
    </w:p>
    <w:p w14:paraId="1E9B798C">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Krithikadatta, J. (2014) ‘Normal distribution’</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Journal of Conservative Dentistry and Endodontics</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17(1), 96-97.</w:t>
      </w:r>
    </w:p>
    <w:p w14:paraId="36FB175B">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Kwok, P. (2004) ‘Examination-oriented knowledge and value transformation in East Asian cram schools’</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Asia Pacific Education Review</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5(1), 64-75.</w:t>
      </w:r>
    </w:p>
    <w:p w14:paraId="62FE1C65">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Li, C. (2013)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The Confucian philosophy of harmony</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Routledge.</w:t>
      </w:r>
    </w:p>
    <w:p w14:paraId="30C2A7EC">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Li, G., Li, Z., Wu, X., &amp; Zhen, R. (2022) ‘Relations between class competition and primary school students’ academic achievement: Learning anxiety and learning engagement as mediators’</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Frontiers in Psychology</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13, 775213.</w:t>
      </w:r>
    </w:p>
    <w:p w14:paraId="75070601">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Lu, J. (2022)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Localizing Task-Based Language Teaching in China’s Examination-oriented Context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(Doctoral dissertation). University of Hong Kong.</w:t>
      </w:r>
    </w:p>
    <w:p w14:paraId="7F90976F">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Maloney, E. A. (2016) ‘Math anxiety: Causes, consequences, and remediation’</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Handbook of Motivation at School</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(pp. 408-423). Routledge.</w:t>
      </w:r>
    </w:p>
    <w:p w14:paraId="3AB5F6A8">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Müller, D. (2025) ‘The ethical turn in mathematics education’</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arXiv preprint arXiv</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:2503.23454.</w:t>
      </w:r>
    </w:p>
    <w:p w14:paraId="66DBB18B">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Nick, T. G. (2007) ‘Descriptive statistics’</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Topics in Biostatistics</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(pp. 33-52). Humana Press.</w:t>
      </w:r>
    </w:p>
    <w:p w14:paraId="68C4B916">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Nunnally, J. C., &amp; Bernstein, I. H. (1994)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Psychometric theory</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(3rd ed.). New York, NY: McGraw-Hill.</w:t>
      </w:r>
    </w:p>
    <w:p w14:paraId="00E6EF8B">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OECD (2023)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PISA 2022 Results (Volume I): The State of Learning and Equity in Education</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OECD Publishing, Paris. https://doi.org/10.1787/53f23881-en</w:t>
      </w:r>
    </w:p>
    <w:p w14:paraId="71E35961">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Orbach, L., &amp; Fritz, A. (2022) ‘A latent profile analysis of math anxiety and core beliefs toward mathematics among children’</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Annals of the New York Academy of Sciences</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1509(1), 130-144.</w:t>
      </w:r>
    </w:p>
    <w:p w14:paraId="6B02BED8">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Park, Y. S., Konge, L., &amp; Artino Jr, A. R. (2020) ‘The positivism paradigm of research’</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Academic Medicine</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95(5), 690-694.</w:t>
      </w:r>
    </w:p>
    <w:p w14:paraId="5109CE9A">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Pekrun, R. (2006)</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‘The control-value theory of achievement emotions: Assumptions, corollaries, and implications for educational research and practice’</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Educational Psychology Review</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18(4), 315-341.</w:t>
      </w:r>
    </w:p>
    <w:p w14:paraId="04E94C5A">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Pekrun, R., &amp; Perry, R. P. (2014) ‘Control-value theory of achievement emotions’</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International Handbook of Emotions in Education</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(pp. 120-141). Routledge.</w:t>
      </w:r>
    </w:p>
    <w:p w14:paraId="30DB1309">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Pekrun, R., &amp; Stephens, E. J. (2009) ‘Goals, emotions, and emotion regulation: Perspectives of the control-value theory’</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Human Development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52(6), 357-365.</w:t>
      </w:r>
    </w:p>
    <w:p w14:paraId="6C26EEF4">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Pekrun, R., Frenzel, A. C., Goetz, T., &amp; Perry, R. P. (2007) ‘The control-value theory of achievement emotions: An integrative approach to emotions in education’</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Emotion in Education</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(pp. 13-36). Academic Press.</w:t>
      </w:r>
    </w:p>
    <w:p w14:paraId="1184AC61">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Peterman, C. J., &amp; Ewing, J. (2019) ‘Effects of movement, growth mindset and math talks on math anxiety’</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Journal of Multicultural Affairs</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4(1), 1.</w:t>
      </w:r>
    </w:p>
    <w:p w14:paraId="3904CDC0">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Pham, L. T. M. (2018) ‘Qualitative approach to research: a review of advantages and disadvantages of three paradigms: Positivism, interpretivism and critical inquiry’</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University of Adelaide</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6, 34-47.</w:t>
      </w:r>
    </w:p>
    <w:p w14:paraId="029C5037">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Ramirez, G., Shaw, S. T., &amp; Maloney, E. A. (2018) ‘Math anxiety: Past research, promising interventions, and a new interpretation framework’</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Educational Psychologist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53(3), 145–164.</w:t>
      </w:r>
    </w:p>
    <w:p w14:paraId="036A8151">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Rattan, A., Good, C., &amp; Dweck, C. S. (2012)</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‘“It's ok—Not everyone can be good at math”: Instructors with an entity theory comfort (and demotivate) students’</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Journal of Experimental Social Psychology</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48(3), 731-737.</w:t>
      </w:r>
    </w:p>
    <w:p w14:paraId="1D177D87">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Rowley, J. (2014) ‘Designing and using research questionnaires’</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 xml:space="preserve"> Management Research Review</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37(3), 308-330.</w:t>
      </w:r>
    </w:p>
    <w:p w14:paraId="19DFF49E">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Samuel, T. S., &amp; Warner, J. (2021) ‘“I can math!”: Reducing math anxiety and increasing math self-efficacy using a mindfulness and growth mindset-based intervention in first-year students’</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Community College Journal of Research and Practice</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45(3), 205-222.</w:t>
      </w:r>
    </w:p>
    <w:p w14:paraId="25300ACC">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Saunders, M., Lewis, P., &amp; Thornhill, A. (2007)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Research Methods for Business Students</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Pearson.</w:t>
      </w:r>
    </w:p>
    <w:p w14:paraId="6E87FEEA">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Sevinç, Y., &amp; Backus, A. (2019) ‘Anxiety, language use and linguistic competence in an immigrant context: A vicious circle?’</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International Journal of Bilingual Education and Bilingualism</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w:t>
      </w:r>
    </w:p>
    <w:p w14:paraId="10EC102F">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Soni, A., &amp; Kumari, S. (2017) ‘The role of parental math anxiety and math attitude in their children’s math achievement’</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International Journal of Science and Mathematics Education</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15(2), 331-347.</w:t>
      </w:r>
    </w:p>
    <w:p w14:paraId="6238E2E6">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Suhag, A. K., &amp; Taswar, N. (2025) ‘Impact of Mathematics Anxiety on Students Performance in Public Secondary Schools of Lyari, Karachi’</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Journal of Political Stability Archive</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3(3), 162-170.</w:t>
      </w:r>
    </w:p>
    <w:p w14:paraId="2434C6CF">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Sun, X., Nancekivell, S., Gelman, S. A., &amp; Shah, P. (2021) ‘Growth mindset and academic outcomes: A comparison of US and Chinese students’</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npj Science of Learning</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6(1), 21.</w:t>
      </w:r>
    </w:p>
    <w:p w14:paraId="583FA016">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Tang, M., Werner, C., &amp; Karwowski, M. (2016) ‘Differences in creative mindset between Germany and Poland: The mediating effect of individualism and collectivism’</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Thinking Skills and Creativity</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21, 31-40.</w:t>
      </w:r>
    </w:p>
    <w:p w14:paraId="72296208">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Wang, F., King, R. B., &amp; Leung, S. O. (2023) ‘Why do East Asian students do so well in mathematics? A machine learning study’</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International Journal of Science and Mathematics Education</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21(3), 691–711.</w:t>
      </w:r>
    </w:p>
    <w:p w14:paraId="339E3B28">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Wang, Y., &amp; Sun, X. (2025) ‘Growth mindset in Chinese culture: A meta-analysis’</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Social Psychology of Education</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28(1), 24.</w:t>
      </w:r>
    </w:p>
    <w:p w14:paraId="09A2ED55">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Watson, R. (2015) ‘Quantitative research’</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Nursing Standard (2014+)</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29(31), 44.</w:t>
      </w:r>
    </w:p>
    <w:p w14:paraId="59C2AC5D">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Yeager, D. S., &amp; Dweck, C. S. (2020) ‘What can be learned from growth mindset controversies?’</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American Psychologist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75(9), 1269.</w:t>
      </w:r>
    </w:p>
    <w:p w14:paraId="74E53F77">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Yeager, D. S., Hanselman, P., Walton, G. M., Murray, J. S., Crosnoe, R., Muller, C., ... &amp; Dweck, C. S. (2019) ‘A national experiment reveals where a growth mindset improves achievement’</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Nature</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573(7774), 364-369.</w:t>
      </w:r>
    </w:p>
    <w:p w14:paraId="657E74C0">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Yuan, Z., Tan, J., &amp; Ye, R. (2023) ‘A cross-national study of mathematics anxiety’</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The Asia-Pacific Education Researcher</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32(3), 295-306.</w:t>
      </w:r>
    </w:p>
    <w:p w14:paraId="2E5537C4">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Zhang, J., Zhao, N., &amp; Kong, Q. P. (2019)</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‘The relationship between math anxiety and math performance: A meta-analytic investigation’</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Frontiers in Psychology</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10, 1613.</w:t>
      </w:r>
    </w:p>
    <w:p w14:paraId="1BEAB912">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Zhao, T., &amp; Lian, X. (2024) ‘Competitive psychological climate and foreign language anxiety in junior high school learners in China: Roles of control-value appraisals, and cognitive reappraisal’</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Language Teaching Research</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13621688241240676.</w:t>
      </w:r>
    </w:p>
    <w:p w14:paraId="600E962C">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Zhou, Q., &amp; Sun, F. (2016, August) ‘The Status Quo Investigation and Study of Mathematics accomplishment of Five-year Normal College Rural Oriented Students in Jiangxi Province’</w:t>
      </w: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val="0"/>
          <w:i/>
          <w:iCs/>
          <w:color w:val="000000" w:themeColor="text1"/>
          <w:sz w:val="24"/>
          <w:szCs w:val="24"/>
          <w:lang w:val="en-US" w:eastAsia="zh-CN"/>
          <w14:textFill>
            <w14:solidFill>
              <w14:schemeClr w14:val="tx1"/>
            </w14:solidFill>
          </w14:textFill>
        </w:rPr>
        <w:t>2016 International Conference on Humanity, Education and Social Science</w:t>
      </w: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t xml:space="preserve"> (pp. 325-330). Atlantis Press.</w:t>
      </w:r>
    </w:p>
    <w:p w14:paraId="37B8B419">
      <w:pP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default" w:ascii="Times New Roman" w:hAnsi="Times New Roman" w:cs="Times New Roman"/>
          <w:b w:val="0"/>
          <w:bCs w:val="0"/>
          <w:i w:val="0"/>
          <w:iCs w:val="0"/>
          <w:color w:val="000000" w:themeColor="text1"/>
          <w:sz w:val="24"/>
          <w:szCs w:val="24"/>
          <w:lang w:val="en-US" w:eastAsia="zh-CN"/>
          <w14:textFill>
            <w14:solidFill>
              <w14:schemeClr w14:val="tx1"/>
            </w14:solidFill>
          </w14:textFill>
        </w:rPr>
        <w:br w:type="page"/>
      </w:r>
    </w:p>
    <w:p w14:paraId="07905B3C">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center"/>
        <w:textAlignment w:val="auto"/>
        <w:rPr>
          <w:rFonts w:hint="eastAsia" w:ascii="Times New Roman" w:hAnsi="Times New Roman" w:cs="Times New Roman"/>
          <w:b/>
          <w:bCs/>
          <w:i w:val="0"/>
          <w:iCs w:val="0"/>
          <w:color w:val="000000" w:themeColor="text1"/>
          <w:sz w:val="24"/>
          <w:szCs w:val="24"/>
          <w:lang w:val="en-US" w:eastAsia="zh-CN"/>
          <w14:textFill>
            <w14:solidFill>
              <w14:schemeClr w14:val="tx1"/>
            </w14:solidFill>
          </w14:textFill>
        </w:rPr>
      </w:pPr>
      <w:r>
        <w:rPr>
          <w:rFonts w:hint="eastAsia" w:ascii="Times New Roman" w:hAnsi="Times New Roman" w:cs="Times New Roman"/>
          <w:b/>
          <w:bCs/>
          <w:i w:val="0"/>
          <w:iCs w:val="0"/>
          <w:color w:val="000000" w:themeColor="text1"/>
          <w:sz w:val="24"/>
          <w:szCs w:val="24"/>
          <w:lang w:val="en-US" w:eastAsia="zh-CN"/>
          <w14:textFill>
            <w14:solidFill>
              <w14:schemeClr w14:val="tx1"/>
            </w14:solidFill>
          </w14:textFill>
        </w:rPr>
        <w:t>Appendix</w:t>
      </w:r>
    </w:p>
    <w:p w14:paraId="44990275">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eastAsia" w:ascii="Times New Roman" w:hAnsi="Times New Roman" w:cs="Times New Roman"/>
          <w:b/>
          <w:bCs/>
          <w:i w:val="0"/>
          <w:iCs w:val="0"/>
          <w:color w:val="000000" w:themeColor="text1"/>
          <w:sz w:val="24"/>
          <w:szCs w:val="24"/>
          <w:lang w:val="en-US" w:eastAsia="zh-CN"/>
          <w14:textFill>
            <w14:solidFill>
              <w14:schemeClr w14:val="tx1"/>
            </w14:solidFill>
          </w14:textFill>
        </w:rPr>
      </w:pPr>
      <w:r>
        <w:rPr>
          <w:rFonts w:hint="eastAsia" w:ascii="Times New Roman" w:hAnsi="Times New Roman" w:cs="Times New Roman"/>
          <w:b/>
          <w:bCs/>
          <w:i w:val="0"/>
          <w:iCs w:val="0"/>
          <w:color w:val="000000" w:themeColor="text1"/>
          <w:sz w:val="24"/>
          <w:szCs w:val="24"/>
          <w:lang w:val="en-US" w:eastAsia="zh-CN"/>
          <w14:textFill>
            <w14:solidFill>
              <w14:schemeClr w14:val="tx1"/>
            </w14:solidFill>
          </w14:textFill>
        </w:rPr>
        <w:t>Questionnaires (Chinese Version)</w:t>
      </w:r>
    </w:p>
    <w:p w14:paraId="17E4125D">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center"/>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val="en-US" w:eastAsia="zh-CN"/>
          <w14:textFill>
            <w14:solidFill>
              <w14:schemeClr w14:val="tx1"/>
            </w14:solidFill>
          </w14:textFill>
        </w:rPr>
        <w:t>中学生成长心态和数学焦虑调查问卷</w:t>
      </w:r>
    </w:p>
    <w:p w14:paraId="66EA7EC1">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t>亲爱的同学：</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4CDCC7E3">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300"/>
        <w:jc w:val="left"/>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t>感谢你参与本次匿名调查！你的回答将帮助我们更好地理解学生的学习体验。问卷没有对错之分，请根据真实感受填写。你的参与是完全自愿的，且答案会严格保密。</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36F7027A">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t>第一部分</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51C04C5B">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t>请选择你对以下说法的同意程度：</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4A36FAA0">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val="en-US"/>
          <w14:textFill>
            <w14:solidFill>
              <w14:schemeClr w14:val="tx1"/>
            </w14:solidFill>
          </w14:textFill>
        </w:rPr>
        <w:t>（1=非常</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t>同意</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val="en-US"/>
          <w14:textFill>
            <w14:solidFill>
              <w14:schemeClr w14:val="tx1"/>
            </w14:solidFill>
          </w14:textFill>
        </w:rPr>
        <w:t>，2=同意, 3=不同意, 4=非常不</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t>同意</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val="en-US"/>
          <w14:textFill>
            <w14:solidFill>
              <w14:schemeClr w14:val="tx1"/>
            </w14:solidFill>
          </w14:textFill>
        </w:rPr>
        <w:t>）</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75D3FCEB">
      <w:pPr>
        <w:pStyle w:val="2"/>
        <w:keepNext w:val="0"/>
        <w:keepLines w:val="0"/>
        <w:pageBreakBefore w:val="0"/>
        <w:widowControl/>
        <w:numPr>
          <w:ilvl w:val="0"/>
          <w:numId w:val="3"/>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t>你的智力是很难改变的。</w:t>
      </w:r>
    </w:p>
    <w:p w14:paraId="4CA7D34D">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val="en-US"/>
          <w14:textFill>
            <w14:solidFill>
              <w14:schemeClr w14:val="tx1"/>
            </w14:solidFill>
          </w14:textFill>
        </w:rPr>
        <w:t>□ 1 □ 2 □ 3 □ 4</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56008055">
      <w:pPr>
        <w:pStyle w:val="2"/>
        <w:keepNext w:val="0"/>
        <w:keepLines w:val="0"/>
        <w:pageBreakBefore w:val="0"/>
        <w:widowControl/>
        <w:numPr>
          <w:ilvl w:val="0"/>
          <w:numId w:val="3"/>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leftChars="0" w:right="0" w:firstLine="0" w:firstLineChars="0"/>
        <w:jc w:val="left"/>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t>有些人就是不擅长数学，无论怎么努力。</w:t>
      </w:r>
    </w:p>
    <w:p w14:paraId="76F7200F">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val="en-US"/>
          <w14:textFill>
            <w14:solidFill>
              <w14:schemeClr w14:val="tx1"/>
            </w14:solidFill>
          </w14:textFill>
        </w:rPr>
        <w:t>□ 1 □ 2 □ 3 □ 4</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488C3130">
      <w:pPr>
        <w:pStyle w:val="2"/>
        <w:keepNext w:val="0"/>
        <w:keepLines w:val="0"/>
        <w:pageBreakBefore w:val="0"/>
        <w:widowControl/>
        <w:numPr>
          <w:ilvl w:val="0"/>
          <w:numId w:val="3"/>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leftChars="0" w:right="0" w:firstLine="0" w:firstLineChars="0"/>
        <w:jc w:val="left"/>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t>有些人就是不擅长[考试语言]，无论怎么努力。</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t> </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t>（</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val="en-US" w:eastAsia="zh-CN"/>
          <w14:textFill>
            <w14:solidFill>
              <w14:schemeClr w14:val="tx1"/>
            </w14:solidFill>
          </w14:textFill>
        </w:rPr>
        <w:t>考试语言指的是考试题目的提出方式，本题可以理解为难以理解数学试卷的问题的意思。</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t>）</w:t>
      </w:r>
    </w:p>
    <w:p w14:paraId="602503DD">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val="en-US"/>
          <w14:textFill>
            <w14:solidFill>
              <w14:schemeClr w14:val="tx1"/>
            </w14:solidFill>
          </w14:textFill>
        </w:rPr>
        <w:t>□ 1 □ 2 □ 3 □ 4</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0763CF0C">
      <w:pPr>
        <w:pStyle w:val="2"/>
        <w:keepNext w:val="0"/>
        <w:keepLines w:val="0"/>
        <w:pageBreakBefore w:val="0"/>
        <w:widowControl/>
        <w:numPr>
          <w:ilvl w:val="0"/>
          <w:numId w:val="3"/>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leftChars="0" w:right="0" w:firstLine="0" w:firstLineChars="0"/>
        <w:jc w:val="left"/>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t>你的创造力是很难改变的。</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6DDCD1BA">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val="en-US"/>
          <w14:textFill>
            <w14:solidFill>
              <w14:schemeClr w14:val="tx1"/>
            </w14:solidFill>
          </w14:textFill>
        </w:rPr>
        <w:t>□ 1 □ 2 □ 3 □ 4</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24654113">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t xml:space="preserve">第二部分 </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7E5F2C9F">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t>请选择你对以下描述的符合程度：</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356CDE57">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val="en-US"/>
          <w14:textFill>
            <w14:solidFill>
              <w14:schemeClr w14:val="tx1"/>
            </w14:solidFill>
          </w14:textFill>
        </w:rPr>
        <w:t>（1=非常不</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t>符合</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val="en-US"/>
          <w14:textFill>
            <w14:solidFill>
              <w14:schemeClr w14:val="tx1"/>
            </w14:solidFill>
          </w14:textFill>
        </w:rPr>
        <w:t>，2=不符合, 3=符合，4=非常</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t>符合</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val="en-US"/>
          <w14:textFill>
            <w14:solidFill>
              <w14:schemeClr w14:val="tx1"/>
            </w14:solidFill>
          </w14:textFill>
        </w:rPr>
        <w:t>）</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6D1C16E8">
      <w:pPr>
        <w:pStyle w:val="2"/>
        <w:keepNext w:val="0"/>
        <w:keepLines w:val="0"/>
        <w:pageBreakBefore w:val="0"/>
        <w:widowControl/>
        <w:numPr>
          <w:ilvl w:val="0"/>
          <w:numId w:val="3"/>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leftChars="0" w:right="0" w:firstLine="0" w:firstLineChars="0"/>
        <w:jc w:val="left"/>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t>我经常担心数学课会很难。</w:t>
      </w:r>
    </w:p>
    <w:p w14:paraId="3F2EFF6D">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val="en-US"/>
          <w14:textFill>
            <w14:solidFill>
              <w14:schemeClr w14:val="tx1"/>
            </w14:solidFill>
          </w14:textFill>
        </w:rPr>
        <w:t>□ 1 □ 2 □ 3 □ 4</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68B504C5">
      <w:pPr>
        <w:pStyle w:val="2"/>
        <w:keepNext w:val="0"/>
        <w:keepLines w:val="0"/>
        <w:pageBreakBefore w:val="0"/>
        <w:widowControl/>
        <w:numPr>
          <w:ilvl w:val="0"/>
          <w:numId w:val="3"/>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leftChars="0" w:right="0" w:firstLine="0" w:firstLineChars="0"/>
        <w:jc w:val="left"/>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t>做数学作业时我会感到非常紧张。</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2BB0D71F">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val="en-US"/>
          <w14:textFill>
            <w14:solidFill>
              <w14:schemeClr w14:val="tx1"/>
            </w14:solidFill>
          </w14:textFill>
        </w:rPr>
        <w:t>□ 1 □ 2 □ 3 □ 4</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728F16C5">
      <w:pPr>
        <w:pStyle w:val="2"/>
        <w:keepNext w:val="0"/>
        <w:keepLines w:val="0"/>
        <w:pageBreakBefore w:val="0"/>
        <w:widowControl/>
        <w:numPr>
          <w:ilvl w:val="0"/>
          <w:numId w:val="3"/>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leftChars="0" w:right="0" w:firstLine="0" w:firstLineChars="0"/>
        <w:jc w:val="left"/>
        <w:textAlignment w:val="baseline"/>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t>做数学题时我会很焦虑。</w:t>
      </w:r>
    </w:p>
    <w:p w14:paraId="62CBA26A">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val="en-US"/>
          <w14:textFill>
            <w14:solidFill>
              <w14:schemeClr w14:val="tx1"/>
            </w14:solidFill>
          </w14:textFill>
        </w:rPr>
        <w:t>□ 1 □ 2 □ 3 □ 4</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75C6A76F">
      <w:pPr>
        <w:pStyle w:val="2"/>
        <w:keepNext w:val="0"/>
        <w:keepLines w:val="0"/>
        <w:pageBreakBefore w:val="0"/>
        <w:widowControl/>
        <w:numPr>
          <w:ilvl w:val="0"/>
          <w:numId w:val="3"/>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leftChars="0" w:right="0" w:firstLine="0" w:firstLineChars="0"/>
        <w:jc w:val="left"/>
        <w:textAlignment w:val="baseline"/>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t>做数学题时我会感到无助。</w:t>
      </w:r>
    </w:p>
    <w:p w14:paraId="7C338538">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val="en-US"/>
          <w14:textFill>
            <w14:solidFill>
              <w14:schemeClr w14:val="tx1"/>
            </w14:solidFill>
          </w14:textFill>
        </w:rPr>
        <w:t>□ 1 □ 2 □ 3 □ 4</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361D024A">
      <w:pPr>
        <w:pStyle w:val="2"/>
        <w:keepNext w:val="0"/>
        <w:keepLines w:val="0"/>
        <w:pageBreakBefore w:val="0"/>
        <w:widowControl/>
        <w:numPr>
          <w:ilvl w:val="0"/>
          <w:numId w:val="3"/>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leftChars="0" w:right="0" w:firstLine="0" w:firstLineChars="0"/>
        <w:jc w:val="left"/>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t>我担心数学成绩不理想。</w:t>
      </w:r>
    </w:p>
    <w:p w14:paraId="0F511FE1">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val="en-US"/>
          <w14:textFill>
            <w14:solidFill>
              <w14:schemeClr w14:val="tx1"/>
            </w14:solidFill>
          </w14:textFill>
        </w:rPr>
        <w:t>□ 1 □ 2 □ 3 □ 4</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736EC8DA">
      <w:pPr>
        <w:pStyle w:val="2"/>
        <w:keepNext w:val="0"/>
        <w:keepLines w:val="0"/>
        <w:pageBreakBefore w:val="0"/>
        <w:widowControl/>
        <w:numPr>
          <w:ilvl w:val="0"/>
          <w:numId w:val="3"/>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leftChars="0" w:right="0" w:firstLine="0" w:firstLineChars="0"/>
        <w:jc w:val="left"/>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t>我对数学考试失败感到焦虑。</w:t>
      </w:r>
    </w:p>
    <w:p w14:paraId="643908BB">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eastAsia" w:asciiTheme="minorEastAsia" w:hAnsiTheme="minorEastAsia" w:eastAsiaTheme="minorEastAsia" w:cstheme="minorEastAsia"/>
          <w:b w:val="0"/>
          <w:bCs w:val="0"/>
          <w:i w:val="0"/>
          <w:iCs w:val="0"/>
          <w:color w:val="000000" w:themeColor="text1"/>
          <w:sz w:val="24"/>
          <w:szCs w:val="24"/>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val="en-US"/>
          <w14:textFill>
            <w14:solidFill>
              <w14:schemeClr w14:val="tx1"/>
            </w14:solidFill>
          </w14:textFill>
        </w:rPr>
        <w:t>□ 1 □ 2 □ 3 □ 4</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48564950">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pP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lang w:eastAsia="zh-CN"/>
          <w14:textFill>
            <w14:solidFill>
              <w14:schemeClr w14:val="tx1"/>
            </w14:solidFill>
          </w14:textFill>
        </w:rPr>
        <w:t>再次感谢你的参与！</w:t>
      </w:r>
      <w:r>
        <w:rPr>
          <w:rFonts w:hint="eastAsia" w:asciiTheme="minorEastAsia" w:hAnsiTheme="minorEastAsia" w:eastAsiaTheme="minorEastAsia" w:cstheme="minorEastAsia"/>
          <w:b w:val="0"/>
          <w:bCs w:val="0"/>
          <w:i w:val="0"/>
          <w:iCs w:val="0"/>
          <w:caps w:val="0"/>
          <w:color w:val="000000" w:themeColor="text1"/>
          <w:spacing w:val="0"/>
          <w:sz w:val="24"/>
          <w:szCs w:val="24"/>
          <w:shd w:val="clear" w:fill="FFFFFF"/>
          <w:vertAlign w:val="baseline"/>
          <w14:textFill>
            <w14:solidFill>
              <w14:schemeClr w14:val="tx1"/>
            </w14:solidFill>
          </w14:textFill>
        </w:rPr>
        <w:t> </w:t>
      </w:r>
    </w:p>
    <w:p w14:paraId="2317CF45">
      <w:pPr>
        <w:rPr>
          <w:rFonts w:hint="default" w:ascii="Calibri" w:hAnsi="Calibri" w:eastAsia="Segoe UI" w:cs="Calibri"/>
          <w:b w:val="0"/>
          <w:bCs w:val="0"/>
          <w:i w:val="0"/>
          <w:iCs w:val="0"/>
          <w:caps w:val="0"/>
          <w:color w:val="auto"/>
          <w:spacing w:val="0"/>
          <w:sz w:val="24"/>
          <w:szCs w:val="24"/>
          <w:shd w:val="clear" w:fill="FFFFFF"/>
          <w:vertAlign w:val="baseline"/>
        </w:rPr>
      </w:pPr>
      <w:r>
        <w:rPr>
          <w:rFonts w:hint="default" w:ascii="Calibri" w:hAnsi="Calibri" w:eastAsia="Segoe UI" w:cs="Calibri"/>
          <w:b w:val="0"/>
          <w:bCs w:val="0"/>
          <w:i w:val="0"/>
          <w:iCs w:val="0"/>
          <w:caps w:val="0"/>
          <w:color w:val="auto"/>
          <w:spacing w:val="0"/>
          <w:sz w:val="24"/>
          <w:szCs w:val="24"/>
          <w:shd w:val="clear" w:fill="FFFFFF"/>
          <w:vertAlign w:val="baseline"/>
        </w:rPr>
        <w:br w:type="page"/>
      </w:r>
    </w:p>
    <w:p w14:paraId="47D63021">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eastAsia" w:ascii="Times New Roman" w:hAnsi="Times New Roman" w:cs="Times New Roman"/>
          <w:b/>
          <w:bCs/>
          <w:i w:val="0"/>
          <w:iCs w:val="0"/>
          <w:color w:val="000000" w:themeColor="text1"/>
          <w:sz w:val="24"/>
          <w:szCs w:val="24"/>
          <w:lang w:val="en-US" w:eastAsia="zh-CN"/>
          <w14:textFill>
            <w14:solidFill>
              <w14:schemeClr w14:val="tx1"/>
            </w14:solidFill>
          </w14:textFill>
        </w:rPr>
      </w:pPr>
      <w:r>
        <w:rPr>
          <w:rFonts w:hint="eastAsia" w:ascii="Times New Roman" w:hAnsi="Times New Roman" w:cs="Times New Roman"/>
          <w:b/>
          <w:bCs/>
          <w:i w:val="0"/>
          <w:iCs w:val="0"/>
          <w:color w:val="000000" w:themeColor="text1"/>
          <w:sz w:val="24"/>
          <w:szCs w:val="24"/>
          <w:lang w:val="en-US" w:eastAsia="zh-CN"/>
          <w14:textFill>
            <w14:solidFill>
              <w14:schemeClr w14:val="tx1"/>
            </w14:solidFill>
          </w14:textFill>
        </w:rPr>
        <w:t>Questionnaires (English Version)</w:t>
      </w:r>
    </w:p>
    <w:p w14:paraId="3C1F79E0">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center"/>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bCs/>
          <w:i w:val="0"/>
          <w:iCs w:val="0"/>
          <w:caps w:val="0"/>
          <w:color w:val="auto"/>
          <w:spacing w:val="0"/>
          <w:sz w:val="24"/>
          <w:szCs w:val="24"/>
          <w:shd w:val="clear" w:fill="FFFFFF"/>
          <w:vertAlign w:val="baseline"/>
          <w:lang w:val="en-US"/>
        </w:rPr>
        <w:t xml:space="preserve">Questionnaire on Growth Mindset and Math Anxiety of </w:t>
      </w:r>
      <w:r>
        <w:rPr>
          <w:rFonts w:hint="eastAsia" w:ascii="Times New Roman" w:hAnsi="Times New Roman" w:eastAsia="宋体" w:cs="Times New Roman"/>
          <w:b/>
          <w:bCs/>
          <w:i w:val="0"/>
          <w:iCs w:val="0"/>
          <w:caps w:val="0"/>
          <w:color w:val="auto"/>
          <w:spacing w:val="0"/>
          <w:sz w:val="24"/>
          <w:szCs w:val="24"/>
          <w:shd w:val="clear" w:fill="FFFFFF"/>
          <w:vertAlign w:val="baseline"/>
          <w:lang w:val="en-US" w:eastAsia="zh-CN"/>
        </w:rPr>
        <w:t>Junior High School</w:t>
      </w:r>
      <w:r>
        <w:rPr>
          <w:rFonts w:hint="default" w:ascii="Times New Roman" w:hAnsi="Times New Roman" w:eastAsia="Segoe UI" w:cs="Times New Roman"/>
          <w:b/>
          <w:bCs/>
          <w:i w:val="0"/>
          <w:iCs w:val="0"/>
          <w:caps w:val="0"/>
          <w:color w:val="auto"/>
          <w:spacing w:val="0"/>
          <w:sz w:val="24"/>
          <w:szCs w:val="24"/>
          <w:shd w:val="clear" w:fill="FFFFFF"/>
          <w:vertAlign w:val="baseline"/>
          <w:lang w:val="en-US"/>
        </w:rPr>
        <w:t xml:space="preserve"> Students</w:t>
      </w:r>
    </w:p>
    <w:p w14:paraId="3E60F093">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Dear student:</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5D87DFAC">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30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Thank you for participating in this anonymous survey! Your responses will help us better understand students' learning experiences. There are no right or wrong answers—please answer honestly. Your participation is voluntary, and all answers will be kept confidential.</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3EEDE462">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r>
        <w:rPr>
          <w:rFonts w:hint="default" w:ascii="Times New Roman" w:hAnsi="Times New Roman" w:eastAsia="Segoe UI" w:cs="Times New Roman"/>
          <w:b w:val="0"/>
          <w:bCs w:val="0"/>
          <w:i w:val="0"/>
          <w:iCs w:val="0"/>
          <w:caps w:val="0"/>
          <w:color w:val="auto"/>
          <w:spacing w:val="0"/>
          <w:sz w:val="24"/>
          <w:szCs w:val="24"/>
          <w:shd w:val="clear" w:fill="FFFFFF"/>
          <w:vertAlign w:val="baseline"/>
          <w:lang w:eastAsia="zh-CN"/>
        </w:rPr>
        <w:t>Part 1</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5A132613">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Please indicate your level of agreement with each statement:</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27E4EC16">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（1=Strongly agree</w:t>
      </w: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t xml:space="preserve">, </w:t>
      </w:r>
      <w:r>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t>2=agree, 3=disagree,</w:t>
      </w: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4=Strongly disagree）</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64823FBB">
      <w:pPr>
        <w:pStyle w:val="2"/>
        <w:keepNext w:val="0"/>
        <w:keepLines w:val="0"/>
        <w:pageBreakBefore w:val="0"/>
        <w:widowControl/>
        <w:numPr>
          <w:ilvl w:val="0"/>
          <w:numId w:val="4"/>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Your intelligence is something about you that you cannot change very much.</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12D58C1A">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 1 □ 2 □ 3 □ 4</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4052264A">
      <w:pPr>
        <w:pStyle w:val="2"/>
        <w:keepNext w:val="0"/>
        <w:keepLines w:val="0"/>
        <w:pageBreakBefore w:val="0"/>
        <w:widowControl/>
        <w:numPr>
          <w:ilvl w:val="0"/>
          <w:numId w:val="4"/>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leftChars="0" w:right="0" w:firstLine="0" w:firstLineChars="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Some people are just not good at mathematics, no matter how hard they study.</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3F44D4DB">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 1 □ 2 □ 3 □ 4</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203F61F5">
      <w:pPr>
        <w:pStyle w:val="2"/>
        <w:keepNext w:val="0"/>
        <w:keepLines w:val="0"/>
        <w:pageBreakBefore w:val="0"/>
        <w:widowControl/>
        <w:numPr>
          <w:ilvl w:val="0"/>
          <w:numId w:val="4"/>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leftChars="0" w:right="0" w:firstLine="0" w:firstLineChars="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Some people are just not good in [test language], no matter how hard they try.</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5146B6FF">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 1 □ 2 □ 3 □ 4</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236609B8">
      <w:pPr>
        <w:pStyle w:val="2"/>
        <w:keepNext w:val="0"/>
        <w:keepLines w:val="0"/>
        <w:pageBreakBefore w:val="0"/>
        <w:widowControl/>
        <w:numPr>
          <w:ilvl w:val="0"/>
          <w:numId w:val="4"/>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leftChars="0" w:right="0" w:firstLine="0" w:firstLineChars="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Your creativity is something about you that you cannot change very much.</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69F255C7">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 1 □ 2 □ 3 □ 4</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4D3E7DEC">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eastAsia="zh-CN"/>
        </w:rPr>
        <w:t>Part 2</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1EF15D36">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Please indicate how well each statement describes you:</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752CDE7A">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（1=Strongly disagree，</w:t>
      </w:r>
      <w:r>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t xml:space="preserve">2=disagree, 3=agree, </w:t>
      </w: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4=Strongly agree）</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543C066A">
      <w:pPr>
        <w:pStyle w:val="2"/>
        <w:keepNext w:val="0"/>
        <w:keepLines w:val="0"/>
        <w:pageBreakBefore w:val="0"/>
        <w:widowControl/>
        <w:numPr>
          <w:ilvl w:val="0"/>
          <w:numId w:val="4"/>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leftChars="0" w:right="0" w:firstLine="0" w:firstLineChars="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I often worry that it will be difficult for me in mathematics classes.</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4080EBDE">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 1 □ 2 □ 3 □ 4</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6248C9EB">
      <w:pPr>
        <w:pStyle w:val="2"/>
        <w:keepNext w:val="0"/>
        <w:keepLines w:val="0"/>
        <w:pageBreakBefore w:val="0"/>
        <w:widowControl/>
        <w:numPr>
          <w:ilvl w:val="0"/>
          <w:numId w:val="4"/>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leftChars="0" w:right="0" w:firstLine="0" w:firstLineChars="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I get very tense when I have to do mathematics homework.</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5EDBA418">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 1 □ 2 □ 3 □ 4</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15B09B8C">
      <w:pPr>
        <w:pStyle w:val="2"/>
        <w:keepNext w:val="0"/>
        <w:keepLines w:val="0"/>
        <w:pageBreakBefore w:val="0"/>
        <w:widowControl/>
        <w:numPr>
          <w:ilvl w:val="0"/>
          <w:numId w:val="4"/>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leftChars="0" w:right="0" w:firstLine="0" w:firstLineChars="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I get very nervous doing mathematics problems.</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40F92C39">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 1 □ 2 □ 3 □ 4</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7E92B96E">
      <w:pPr>
        <w:pStyle w:val="2"/>
        <w:keepNext w:val="0"/>
        <w:keepLines w:val="0"/>
        <w:pageBreakBefore w:val="0"/>
        <w:widowControl/>
        <w:numPr>
          <w:ilvl w:val="0"/>
          <w:numId w:val="4"/>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leftChars="0" w:right="0" w:firstLine="0" w:firstLineChars="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I feel helpless when doing a mathematics problem.</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5417D9BD">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 1 □ 2 □ 3 □ 4</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52663E0C">
      <w:pPr>
        <w:pStyle w:val="2"/>
        <w:keepNext w:val="0"/>
        <w:keepLines w:val="0"/>
        <w:pageBreakBefore w:val="0"/>
        <w:widowControl/>
        <w:numPr>
          <w:ilvl w:val="0"/>
          <w:numId w:val="4"/>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leftChars="0" w:right="0" w:firstLine="0" w:firstLineChars="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I worry that I will get poor [marks] in mathematics.</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74E757A0">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 1 □ 2 □ 3 □ 4</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50944C08">
      <w:pPr>
        <w:pStyle w:val="2"/>
        <w:keepNext w:val="0"/>
        <w:keepLines w:val="0"/>
        <w:pageBreakBefore w:val="0"/>
        <w:widowControl/>
        <w:numPr>
          <w:ilvl w:val="0"/>
          <w:numId w:val="4"/>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leftChars="0" w:right="0" w:firstLine="0" w:firstLineChars="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I feel anxious about failing in mathematics.</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0E88F497">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cs="Times New Roman"/>
          <w:b w:val="0"/>
          <w:bCs w:val="0"/>
          <w:i w:val="0"/>
          <w:iCs w:val="0"/>
          <w:color w:val="auto"/>
          <w:sz w:val="24"/>
          <w:szCs w:val="24"/>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 1 □ 2 □ 3 □ 4</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6D944398">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rPr>
        <w:t>Thank you again for your participation!</w:t>
      </w:r>
      <w:r>
        <w:rPr>
          <w:rFonts w:hint="default" w:ascii="Times New Roman" w:hAnsi="Times New Roman" w:eastAsia="Segoe UI" w:cs="Times New Roman"/>
          <w:b w:val="0"/>
          <w:bCs w:val="0"/>
          <w:i w:val="0"/>
          <w:iCs w:val="0"/>
          <w:caps w:val="0"/>
          <w:color w:val="auto"/>
          <w:spacing w:val="0"/>
          <w:sz w:val="24"/>
          <w:szCs w:val="24"/>
          <w:shd w:val="clear" w:fill="FFFFFF"/>
          <w:vertAlign w:val="baseline"/>
        </w:rPr>
        <w:t> </w:t>
      </w:r>
    </w:p>
    <w:p w14:paraId="5E41B1C2">
      <w:pPr>
        <w:rPr>
          <w:rFonts w:hint="default" w:ascii="Times New Roman" w:hAnsi="Times New Roman" w:eastAsia="Segoe UI" w:cs="Times New Roman"/>
          <w:b w:val="0"/>
          <w:bCs w:val="0"/>
          <w:i w:val="0"/>
          <w:iCs w:val="0"/>
          <w:caps w:val="0"/>
          <w:color w:val="auto"/>
          <w:spacing w:val="0"/>
          <w:sz w:val="24"/>
          <w:szCs w:val="24"/>
          <w:shd w:val="clear" w:fill="FFFFFF"/>
          <w:vertAlign w:val="baseline"/>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rPr>
        <w:br w:type="page"/>
      </w:r>
    </w:p>
    <w:p w14:paraId="5AD90ACA">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eastAsia" w:ascii="Times New Roman" w:hAnsi="Times New Roman" w:eastAsia="宋体" w:cs="Times New Roman"/>
          <w:b/>
          <w:bCs/>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bCs/>
          <w:i w:val="0"/>
          <w:iCs w:val="0"/>
          <w:caps w:val="0"/>
          <w:color w:val="auto"/>
          <w:spacing w:val="0"/>
          <w:sz w:val="24"/>
          <w:szCs w:val="24"/>
          <w:shd w:val="clear" w:fill="FFFFFF"/>
          <w:vertAlign w:val="baseline"/>
        </w:rPr>
        <w:t>Informed Consent</w:t>
      </w:r>
      <w:r>
        <w:rPr>
          <w:rFonts w:hint="eastAsia" w:ascii="Times New Roman" w:hAnsi="Times New Roman" w:eastAsia="宋体" w:cs="Times New Roman"/>
          <w:b/>
          <w:bCs/>
          <w:i w:val="0"/>
          <w:iCs w:val="0"/>
          <w:caps w:val="0"/>
          <w:color w:val="auto"/>
          <w:spacing w:val="0"/>
          <w:sz w:val="24"/>
          <w:szCs w:val="24"/>
          <w:shd w:val="clear" w:fill="FFFFFF"/>
          <w:vertAlign w:val="baseline"/>
          <w:lang w:val="en-US" w:eastAsia="zh-CN"/>
        </w:rPr>
        <w:t xml:space="preserve"> Form(Chinese Version)</w:t>
      </w:r>
    </w:p>
    <w:p w14:paraId="01FA9627">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center"/>
        <w:textAlignment w:val="baseline"/>
        <w:rPr>
          <w:rFonts w:hint="default" w:ascii="Times New Roman" w:hAnsi="Times New Roman" w:eastAsia="宋体" w:cs="Times New Roman"/>
          <w:b/>
          <w:bCs/>
          <w:i w:val="0"/>
          <w:iCs w:val="0"/>
          <w:caps w:val="0"/>
          <w:color w:val="auto"/>
          <w:spacing w:val="0"/>
          <w:sz w:val="24"/>
          <w:szCs w:val="24"/>
          <w:shd w:val="clear" w:fill="FFFFFF"/>
          <w:vertAlign w:val="baseline"/>
          <w:lang w:val="en-US" w:eastAsia="zh-CN"/>
        </w:rPr>
      </w:pPr>
      <w:r>
        <w:rPr>
          <w:rFonts w:hint="default" w:ascii="Times New Roman" w:hAnsi="Times New Roman" w:eastAsia="宋体" w:cs="Times New Roman"/>
          <w:b/>
          <w:bCs/>
          <w:i w:val="0"/>
          <w:iCs w:val="0"/>
          <w:caps w:val="0"/>
          <w:color w:val="auto"/>
          <w:spacing w:val="0"/>
          <w:sz w:val="24"/>
          <w:szCs w:val="24"/>
          <w:shd w:val="clear" w:fill="FFFFFF"/>
          <w:vertAlign w:val="baseline"/>
          <w:lang w:val="en-US" w:eastAsia="zh-CN"/>
        </w:rPr>
        <w:t>知情同意书</w:t>
      </w:r>
    </w:p>
    <w:p w14:paraId="5721FF42">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t>研究题目：关于中国江西省某中学初中生成长心态与数学焦虑关系的调查研究</w:t>
      </w:r>
    </w:p>
    <w:p w14:paraId="664AE8D5">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t>尊敬的参与者/家长：</w:t>
      </w:r>
    </w:p>
    <w:p w14:paraId="6FD52BF9">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t>您好！我是本研究的研究员黄梦莹。本研究旨在探讨初中生成长心态与数学焦虑之间的关系，以期为教育实践提供参考。您的参与将对本研究具有重要意义。</w:t>
      </w:r>
    </w:p>
    <w:p w14:paraId="269C92AE">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t>本研究采用匿名问卷调查方式，预计耗时约15分钟。问卷内容不涉及个人隐私，所有数据将严格保密，仅用于学术研究，并在研究结束后妥善保存。</w:t>
      </w:r>
    </w:p>
    <w:p w14:paraId="3D7C11C0">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t>您的参与完全是自愿的，有权在任何阶段退出研究，且不会因此受到任何不利影响。研究结果可能会在学术期刊或会议上发表，但所有数据将以匿名形式呈现，不会泄露您的个人身份。</w:t>
      </w:r>
    </w:p>
    <w:p w14:paraId="3ECC6F6A">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t>如果您对本研究有任何疑问，欢迎随时通过以下方式联系我：</w:t>
      </w:r>
    </w:p>
    <w:p w14:paraId="2668F875">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t>邮箱：</w:t>
      </w: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fldChar w:fldCharType="begin"/>
      </w: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instrText xml:space="preserve"> HYPERLINK "mailto:2306791@student.uwtsd.ac.uk" </w:instrText>
      </w: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fldChar w:fldCharType="separate"/>
      </w:r>
      <w:r>
        <w:rPr>
          <w:rStyle w:val="6"/>
          <w:rFonts w:hint="eastAsia" w:ascii="Times New Roman" w:hAnsi="Times New Roman" w:eastAsia="宋体" w:cs="Times New Roman"/>
          <w:b w:val="0"/>
          <w:bCs w:val="0"/>
          <w:i w:val="0"/>
          <w:iCs w:val="0"/>
          <w:caps w:val="0"/>
          <w:spacing w:val="0"/>
          <w:sz w:val="24"/>
          <w:szCs w:val="24"/>
          <w:shd w:val="clear" w:fill="FFFFFF"/>
          <w:vertAlign w:val="baseline"/>
          <w:lang w:val="en-US" w:eastAsia="zh-CN"/>
        </w:rPr>
        <w:t>2306791@student.uwtsd.ac.uk</w:t>
      </w: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fldChar w:fldCharType="end"/>
      </w:r>
    </w:p>
    <w:p w14:paraId="490C3134">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t>电话：</w:t>
      </w: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t>+8619823833917</w:t>
      </w:r>
    </w:p>
    <w:p w14:paraId="10EBB83E">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t>本研究已通过</w:t>
      </w: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t>威尔士三一圣大卫大学</w:t>
      </w:r>
      <w:r>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t>伦理审查批准。</w:t>
      </w:r>
    </w:p>
    <w:p w14:paraId="0038C2C4">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t>请阅读以下条款，并在同意项前打“√”：</w:t>
      </w:r>
    </w:p>
    <w:p w14:paraId="4FE11FB5">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t>□ 我确认已阅读并理解上述信息，并有机会提问。</w:t>
      </w:r>
    </w:p>
    <w:p w14:paraId="17A82BA8">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t>□ 我理解参与是自愿的，可随时退出且无需理由。</w:t>
      </w:r>
    </w:p>
    <w:p w14:paraId="5ABD4302">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t>□ 我同意参与本次问卷调查。</w:t>
      </w:r>
    </w:p>
    <w:p w14:paraId="2205252A">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t>□ 我理解所有数据将被匿名处理、保密存储，并可能用于未来学术发表。</w:t>
      </w:r>
    </w:p>
    <w:p w14:paraId="1058BD9F">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t>（如参与者为未成年人，请家长一并签字）</w:t>
      </w:r>
    </w:p>
    <w:p w14:paraId="6AEB7BB1">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t>参与者签名：________________________</w:t>
      </w:r>
    </w:p>
    <w:p w14:paraId="1C925320">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t>家长签名（如适用）：________________________</w:t>
      </w:r>
    </w:p>
    <w:p w14:paraId="5D6EB2D0">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firstLine="0"/>
        <w:jc w:val="left"/>
        <w:textAlignment w:val="baseline"/>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宋体" w:cs="Times New Roman"/>
          <w:b w:val="0"/>
          <w:bCs w:val="0"/>
          <w:i w:val="0"/>
          <w:iCs w:val="0"/>
          <w:caps w:val="0"/>
          <w:color w:val="auto"/>
          <w:spacing w:val="0"/>
          <w:sz w:val="24"/>
          <w:szCs w:val="24"/>
          <w:shd w:val="clear" w:fill="FFFFFF"/>
          <w:vertAlign w:val="baseline"/>
          <w:lang w:val="en-US" w:eastAsia="zh-CN"/>
        </w:rPr>
        <w:t>日期：____年____月____日</w:t>
      </w:r>
    </w:p>
    <w:p w14:paraId="3B059D89">
      <w:pP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pPr>
      <w:r>
        <w:rPr>
          <w:rFonts w:hint="eastAsia" w:ascii="Times New Roman" w:hAnsi="Times New Roman" w:cs="Times New Roman"/>
          <w:b w:val="0"/>
          <w:bCs w:val="0"/>
          <w:i w:val="0"/>
          <w:iCs w:val="0"/>
          <w:color w:val="000000" w:themeColor="text1"/>
          <w:sz w:val="24"/>
          <w:szCs w:val="24"/>
          <w:lang w:val="en-US" w:eastAsia="zh-CN"/>
          <w14:textFill>
            <w14:solidFill>
              <w14:schemeClr w14:val="tx1"/>
            </w14:solidFill>
          </w14:textFill>
        </w:rPr>
        <w:br w:type="page"/>
      </w:r>
    </w:p>
    <w:p w14:paraId="41A9396A">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eastAsia" w:ascii="Times New Roman" w:hAnsi="Times New Roman" w:eastAsia="宋体" w:cs="Times New Roman"/>
          <w:b/>
          <w:bCs/>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bCs/>
          <w:i w:val="0"/>
          <w:iCs w:val="0"/>
          <w:caps w:val="0"/>
          <w:color w:val="auto"/>
          <w:spacing w:val="0"/>
          <w:sz w:val="24"/>
          <w:szCs w:val="24"/>
          <w:shd w:val="clear" w:fill="FFFFFF"/>
          <w:vertAlign w:val="baseline"/>
        </w:rPr>
        <w:t>Informed Consent</w:t>
      </w:r>
      <w:r>
        <w:rPr>
          <w:rFonts w:hint="eastAsia" w:ascii="Times New Roman" w:hAnsi="Times New Roman" w:eastAsia="宋体" w:cs="Times New Roman"/>
          <w:b/>
          <w:bCs/>
          <w:i w:val="0"/>
          <w:iCs w:val="0"/>
          <w:caps w:val="0"/>
          <w:color w:val="auto"/>
          <w:spacing w:val="0"/>
          <w:sz w:val="24"/>
          <w:szCs w:val="24"/>
          <w:shd w:val="clear" w:fill="FFFFFF"/>
          <w:vertAlign w:val="baseline"/>
          <w:lang w:val="en-US" w:eastAsia="zh-CN"/>
        </w:rPr>
        <w:t xml:space="preserve"> Form(English Version)</w:t>
      </w:r>
    </w:p>
    <w:p w14:paraId="20AB6D28">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center"/>
        <w:textAlignment w:val="auto"/>
        <w:rPr>
          <w:rFonts w:hint="eastAsia" w:ascii="Times New Roman" w:hAnsi="Times New Roman" w:eastAsia="宋体" w:cs="Times New Roman"/>
          <w:b/>
          <w:bCs/>
          <w:i w:val="0"/>
          <w:iCs w:val="0"/>
          <w:caps w:val="0"/>
          <w:color w:val="auto"/>
          <w:spacing w:val="0"/>
          <w:sz w:val="24"/>
          <w:szCs w:val="24"/>
          <w:shd w:val="clear" w:fill="FFFFFF"/>
          <w:vertAlign w:val="baseline"/>
          <w:lang w:val="en-US" w:eastAsia="zh-CN"/>
        </w:rPr>
      </w:pPr>
      <w:r>
        <w:rPr>
          <w:rFonts w:hint="eastAsia" w:ascii="Times New Roman" w:hAnsi="Times New Roman" w:eastAsia="宋体" w:cs="Times New Roman"/>
          <w:b/>
          <w:bCs/>
          <w:i w:val="0"/>
          <w:iCs w:val="0"/>
          <w:caps w:val="0"/>
          <w:color w:val="auto"/>
          <w:spacing w:val="0"/>
          <w:sz w:val="24"/>
          <w:szCs w:val="24"/>
          <w:shd w:val="clear" w:fill="FFFFFF"/>
          <w:vertAlign w:val="baseline"/>
          <w:lang w:val="en-US" w:eastAsia="zh-CN"/>
        </w:rPr>
        <w:t>Informed Consent Form</w:t>
      </w:r>
    </w:p>
    <w:p w14:paraId="03ABEFEF">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0"/>
        <w:jc w:val="left"/>
        <w:textAlignment w:val="auto"/>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t>Research Title: An Investigation into the Relationship between Growth Mindset and Math Anxiety among Junior High School Students in X Junior High School in Jiangxi Province, China</w:t>
      </w:r>
    </w:p>
    <w:p w14:paraId="0796E16D">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0"/>
        <w:jc w:val="left"/>
        <w:textAlignment w:val="auto"/>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t>Dear Participant/Parents,</w:t>
      </w:r>
    </w:p>
    <w:p w14:paraId="6104D5B6">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720"/>
        <w:jc w:val="left"/>
        <w:textAlignment w:val="auto"/>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t>Hello! I am Huang Mengying, a researcher of this study. This study aims to explore the relationship between growth mindset and math anxiety among junior high school students, with the hope of providing references for educational practice. Your participation is of great significance to this research.</w:t>
      </w:r>
    </w:p>
    <w:p w14:paraId="02597892">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720"/>
        <w:jc w:val="left"/>
        <w:textAlignment w:val="auto"/>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t>This study will be conducted through an anonymous questionnaire survey, which is expected to take about 15 minutes. The questionnaire does not involve personal privacy. All data will be strictly confidential and used only for academic research, and will be properly stored after the research is completed.</w:t>
      </w:r>
    </w:p>
    <w:p w14:paraId="498AF515">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720"/>
        <w:jc w:val="left"/>
        <w:textAlignment w:val="auto"/>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t>Your participation is completely voluntary. You have the right to withdraw from the study at any stage without giving a reason, and you will not be adversely affected as a result. The research results may be published in academic journals or conferences, but all data will be presented anonymously and your personal identity will not be disclosed.</w:t>
      </w:r>
    </w:p>
    <w:p w14:paraId="65877B59">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0"/>
        <w:jc w:val="left"/>
        <w:textAlignment w:val="auto"/>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t>If you have any questions about this study, please feel free to contact me at any time through the following methods:</w:t>
      </w:r>
    </w:p>
    <w:p w14:paraId="3AE891C7">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0"/>
        <w:jc w:val="left"/>
        <w:textAlignment w:val="auto"/>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t>Email: 2306791@student.uwtsd.ac.uk</w:t>
      </w:r>
    </w:p>
    <w:p w14:paraId="42BCD6E8">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0"/>
        <w:jc w:val="left"/>
        <w:textAlignment w:val="auto"/>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t>Phone: +8619823833917</w:t>
      </w:r>
    </w:p>
    <w:p w14:paraId="58B33AE4">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0"/>
        <w:jc w:val="left"/>
        <w:textAlignment w:val="auto"/>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t>This study has been approved by the ethics review of the University of Wales Trinity Saint David.</w:t>
      </w:r>
    </w:p>
    <w:p w14:paraId="3FABC250">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0"/>
        <w:jc w:val="left"/>
        <w:textAlignment w:val="auto"/>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t>Please read the following terms and tick the box in front of the items you agree with:</w:t>
      </w:r>
    </w:p>
    <w:p w14:paraId="79D264E7">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0"/>
        <w:jc w:val="left"/>
        <w:textAlignment w:val="auto"/>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t>□ I confirm that I have read and understood the above information and have the opportunity to ask questions.</w:t>
      </w:r>
    </w:p>
    <w:p w14:paraId="09F60595">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0"/>
        <w:jc w:val="left"/>
        <w:textAlignment w:val="auto"/>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t>□ I understand that participation is voluntary and I can withdraw at any time without giving a reason.</w:t>
      </w:r>
    </w:p>
    <w:p w14:paraId="5C970E51">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0"/>
        <w:jc w:val="left"/>
        <w:textAlignment w:val="auto"/>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t>□ I agree to participate in this questionnaire survey.</w:t>
      </w:r>
    </w:p>
    <w:p w14:paraId="32A00580">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0"/>
        <w:jc w:val="left"/>
        <w:textAlignment w:val="auto"/>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t>□ I understand that all data will be anonymised, kept confidential, and may be used for future academic publications.</w:t>
      </w:r>
    </w:p>
    <w:p w14:paraId="27C81C35">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0"/>
        <w:jc w:val="left"/>
        <w:textAlignment w:val="auto"/>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t>(If the participant is a minor, please have the parent sign as well)</w:t>
      </w:r>
    </w:p>
    <w:p w14:paraId="51888CBE">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0"/>
        <w:jc w:val="left"/>
        <w:textAlignment w:val="auto"/>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t>Participant's signature: ________________________</w:t>
      </w:r>
    </w:p>
    <w:p w14:paraId="4F9A7DDD">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0"/>
        <w:jc w:val="left"/>
        <w:textAlignment w:val="auto"/>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t>Parent's signature (if applicable): ________________________</w:t>
      </w:r>
    </w:p>
    <w:p w14:paraId="41981DEF">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0"/>
        <w:jc w:val="left"/>
        <w:textAlignment w:val="auto"/>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pPr>
      <w:r>
        <w:rPr>
          <w:rFonts w:hint="eastAsia" w:ascii="Times New Roman" w:hAnsi="Times New Roman" w:eastAsia="宋体" w:cs="Times New Roman"/>
          <w:b w:val="0"/>
          <w:bCs w:val="0"/>
          <w:i w:val="0"/>
          <w:iCs w:val="0"/>
          <w:caps w:val="0"/>
          <w:color w:val="auto"/>
          <w:spacing w:val="0"/>
          <w:sz w:val="24"/>
          <w:szCs w:val="24"/>
          <w:shd w:val="clear" w:fill="FFFFFF"/>
          <w:vertAlign w:val="baseline"/>
          <w:lang w:val="en-US" w:eastAsia="zh-CN"/>
        </w:rPr>
        <w:t>Date: ____ year ____ month ____ day</w:t>
      </w:r>
    </w:p>
    <w:p w14:paraId="12DAAB7E">
      <w:pPr>
        <w:rPr>
          <w:rFonts w:hint="eastAsia" w:ascii="Times New Roman" w:hAnsi="Times New Roman" w:eastAsia="宋体" w:cs="Times New Roman"/>
          <w:b/>
          <w:bCs/>
          <w:i w:val="0"/>
          <w:iCs w:val="0"/>
          <w:caps w:val="0"/>
          <w:color w:val="auto"/>
          <w:spacing w:val="0"/>
          <w:sz w:val="24"/>
          <w:szCs w:val="24"/>
          <w:shd w:val="clear" w:fill="FFFFFF"/>
          <w:vertAlign w:val="baseline"/>
          <w:lang w:val="en-US" w:eastAsia="zh-CN"/>
        </w:rPr>
      </w:pPr>
      <w:r>
        <w:rPr>
          <w:rFonts w:hint="eastAsia" w:ascii="Times New Roman" w:hAnsi="Times New Roman" w:eastAsia="宋体" w:cs="Times New Roman"/>
          <w:b/>
          <w:bCs/>
          <w:i w:val="0"/>
          <w:iCs w:val="0"/>
          <w:caps w:val="0"/>
          <w:color w:val="auto"/>
          <w:spacing w:val="0"/>
          <w:sz w:val="24"/>
          <w:szCs w:val="24"/>
          <w:shd w:val="clear" w:fill="FFFFFF"/>
          <w:vertAlign w:val="baseline"/>
          <w:lang w:val="en-US" w:eastAsia="zh-CN"/>
        </w:rPr>
        <w:br w:type="page"/>
      </w:r>
    </w:p>
    <w:p w14:paraId="73CBEA90">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eastAsia" w:ascii="Times New Roman" w:hAnsi="Times New Roman" w:eastAsia="宋体" w:cs="Times New Roman"/>
          <w:b/>
          <w:bCs/>
          <w:i w:val="0"/>
          <w:iCs w:val="0"/>
          <w:caps w:val="0"/>
          <w:color w:val="auto"/>
          <w:spacing w:val="0"/>
          <w:sz w:val="24"/>
          <w:szCs w:val="24"/>
          <w:shd w:val="clear" w:fill="FFFFFF"/>
          <w:vertAlign w:val="baseline"/>
          <w:lang w:val="en-US" w:eastAsia="zh-CN"/>
        </w:rPr>
      </w:pPr>
      <w:r>
        <w:rPr>
          <w:rFonts w:hint="eastAsia" w:ascii="Times New Roman" w:hAnsi="Times New Roman" w:eastAsia="宋体" w:cs="Times New Roman"/>
          <w:b/>
          <w:bCs/>
          <w:i w:val="0"/>
          <w:iCs w:val="0"/>
          <w:caps w:val="0"/>
          <w:color w:val="auto"/>
          <w:spacing w:val="0"/>
          <w:sz w:val="24"/>
          <w:szCs w:val="24"/>
          <w:shd w:val="clear" w:fill="FFFFFF"/>
          <w:vertAlign w:val="baseline"/>
          <w:lang w:val="en-US" w:eastAsia="zh-CN"/>
        </w:rPr>
        <w:t>Poster(Chinese Version)</w:t>
      </w:r>
    </w:p>
    <w:p w14:paraId="407B8483">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720"/>
        <w:jc w:val="center"/>
        <w:textAlignment w:val="auto"/>
        <w:rPr>
          <w:rFonts w:hint="eastAsia" w:asciiTheme="minorEastAsia" w:hAnsiTheme="minorEastAsia" w:eastAsiaTheme="minorEastAsia" w:cstheme="minorEastAsia"/>
          <w:b/>
          <w:bCs/>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bCs/>
          <w:i w:val="0"/>
          <w:iCs w:val="0"/>
          <w:caps w:val="0"/>
          <w:color w:val="auto"/>
          <w:spacing w:val="0"/>
          <w:sz w:val="24"/>
          <w:szCs w:val="24"/>
          <w:shd w:val="clear" w:fill="FFFFFF"/>
          <w:vertAlign w:val="baseline"/>
          <w:lang w:val="en-US" w:eastAsia="zh-CN"/>
        </w:rPr>
        <w:t>一项关于成长心态与数学焦虑的调查研究邀请</w:t>
      </w:r>
    </w:p>
    <w:p w14:paraId="466EFCEF">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t>（为什么你的参与很重要？）</w:t>
      </w:r>
    </w:p>
    <w:p w14:paraId="6DC75A23">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left"/>
        <w:textAlignment w:val="auto"/>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t>你是不是也曾有过这样的感觉：</w:t>
      </w:r>
    </w:p>
    <w:p w14:paraId="7E22FDC2">
      <w:pPr>
        <w:keepNext w:val="0"/>
        <w:keepLines w:val="0"/>
        <w:pageBreakBefore w:val="0"/>
        <w:widowControl w:val="0"/>
        <w:numPr>
          <w:ilvl w:val="0"/>
          <w:numId w:val="5"/>
        </w:numPr>
        <w:kinsoku/>
        <w:wordWrap/>
        <w:overflowPunct/>
        <w:topLinePunct w:val="0"/>
        <w:autoSpaceDE/>
        <w:autoSpaceDN/>
        <w:bidi w:val="0"/>
        <w:adjustRightInd/>
        <w:snapToGrid/>
        <w:spacing w:line="480" w:lineRule="auto"/>
        <w:ind w:firstLine="720"/>
        <w:jc w:val="left"/>
        <w:textAlignment w:val="auto"/>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t>一上数学课就担心听不懂？</w:t>
      </w:r>
    </w:p>
    <w:p w14:paraId="70071B3F">
      <w:pPr>
        <w:keepNext w:val="0"/>
        <w:keepLines w:val="0"/>
        <w:pageBreakBefore w:val="0"/>
        <w:widowControl w:val="0"/>
        <w:numPr>
          <w:ilvl w:val="0"/>
          <w:numId w:val="5"/>
        </w:numPr>
        <w:kinsoku/>
        <w:wordWrap/>
        <w:overflowPunct/>
        <w:topLinePunct w:val="0"/>
        <w:autoSpaceDE/>
        <w:autoSpaceDN/>
        <w:bidi w:val="0"/>
        <w:adjustRightInd/>
        <w:snapToGrid/>
        <w:spacing w:line="480" w:lineRule="auto"/>
        <w:ind w:left="0" w:leftChars="0" w:firstLine="720" w:firstLineChars="0"/>
        <w:jc w:val="left"/>
        <w:textAlignment w:val="auto"/>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t>做数学作业时会感到特别紧张？</w:t>
      </w:r>
    </w:p>
    <w:p w14:paraId="707E26C2">
      <w:pPr>
        <w:keepNext w:val="0"/>
        <w:keepLines w:val="0"/>
        <w:pageBreakBefore w:val="0"/>
        <w:widowControl w:val="0"/>
        <w:numPr>
          <w:ilvl w:val="0"/>
          <w:numId w:val="5"/>
        </w:numPr>
        <w:kinsoku/>
        <w:wordWrap/>
        <w:overflowPunct/>
        <w:topLinePunct w:val="0"/>
        <w:autoSpaceDE/>
        <w:autoSpaceDN/>
        <w:bidi w:val="0"/>
        <w:adjustRightInd/>
        <w:snapToGrid/>
        <w:spacing w:line="480" w:lineRule="auto"/>
        <w:ind w:left="0" w:leftChars="0" w:firstLine="720" w:firstLineChars="0"/>
        <w:jc w:val="left"/>
        <w:textAlignment w:val="auto"/>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t>很害怕数学考试考不好？</w:t>
      </w:r>
    </w:p>
    <w:p w14:paraId="03FB8810">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720"/>
        <w:jc w:val="left"/>
        <w:textAlignment w:val="auto"/>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t>如果你有过这些想法，你并不是一个人！这是一种非常常见的数学焦虑。我们现在正在进行一项重要的研究，目的就是深入了解大家的真实感受和想法，从而帮助学校和社会找到让数学学习变得更轻松、更友好的方法。</w:t>
      </w:r>
    </w:p>
    <w:p w14:paraId="26363D71">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720"/>
        <w:jc w:val="left"/>
        <w:textAlignment w:val="auto"/>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t>这项研究和你有什么关系？</w:t>
      </w:r>
    </w:p>
    <w:p w14:paraId="7A675DC2">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720"/>
        <w:jc w:val="left"/>
        <w:textAlignment w:val="auto"/>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t>为你自己发声：这是你表达内心真实感受的绝佳机会。你的回答将直接帮助老师和家长更好地理解你们在学习数学时面临的压力和情绪。</w:t>
      </w:r>
    </w:p>
    <w:p w14:paraId="25B33290">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720"/>
        <w:jc w:val="left"/>
        <w:textAlignment w:val="auto"/>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t>共同改善学习环境：研究结果将为学校提供科学依据，推动教学方法和评价方式的改进。你的参与，可能直接帮助创造一个减少焦虑、更鼓励尝试和进步的数学课堂。</w:t>
      </w:r>
    </w:p>
    <w:p w14:paraId="25FC0811">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720"/>
        <w:jc w:val="left"/>
        <w:textAlignment w:val="auto"/>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t>发现你的潜在力量：研究也将探讨成长心态（即相信能力可以通过努力提升）如何帮助我们应对挑战。参与调查本身，也是一次了解自己、激发学习动力的过程。</w:t>
      </w:r>
    </w:p>
    <w:p w14:paraId="0F7577F3">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720"/>
        <w:jc w:val="left"/>
        <w:textAlignment w:val="auto"/>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t>参与方式超简单！</w:t>
      </w:r>
    </w:p>
    <w:p w14:paraId="6E87DF23">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720"/>
        <w:jc w:val="left"/>
        <w:textAlignment w:val="auto"/>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t>内容：填写一份关于学习想法和感受的匿名问卷。</w:t>
      </w:r>
    </w:p>
    <w:p w14:paraId="06E56987">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720"/>
        <w:jc w:val="left"/>
        <w:textAlignment w:val="auto"/>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t>时间：仅需约15分钟。</w:t>
      </w:r>
    </w:p>
    <w:p w14:paraId="17F7B4D3">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720"/>
        <w:jc w:val="left"/>
        <w:textAlignment w:val="auto"/>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t>方式：在线完成，完全保密。</w:t>
      </w:r>
    </w:p>
    <w:p w14:paraId="6932530D">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720"/>
        <w:jc w:val="left"/>
        <w:textAlignment w:val="auto"/>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t>奖励：你的每一次真诚回答，都是对教育进步的一份宝贵贡献！</w:t>
      </w:r>
    </w:p>
    <w:p w14:paraId="54145D00">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720"/>
        <w:jc w:val="left"/>
        <w:textAlignment w:val="auto"/>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t>我们郑重承诺：</w:t>
      </w:r>
    </w:p>
    <w:p w14:paraId="735EA512">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720"/>
        <w:jc w:val="left"/>
        <w:textAlignment w:val="auto"/>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t>问卷完全匿名，不会收集你的姓名和学号。</w:t>
      </w:r>
    </w:p>
    <w:p w14:paraId="13C99251">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720"/>
        <w:jc w:val="left"/>
        <w:textAlignment w:val="auto"/>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t>所有答案绝对保密，仅用于整体统计分析，不会影响你的任何学业评价。</w:t>
      </w:r>
    </w:p>
    <w:p w14:paraId="15DDA0D2">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720"/>
        <w:jc w:val="left"/>
        <w:textAlignment w:val="auto"/>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t>参与完全自愿，你随时可以退出。</w:t>
      </w:r>
    </w:p>
    <w:p w14:paraId="248E1E53">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720"/>
        <w:jc w:val="left"/>
        <w:textAlignment w:val="auto"/>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t>你的15分钟，可能改变未来无数同学的数学学习体验！</w:t>
      </w:r>
    </w:p>
    <w:p w14:paraId="7FE639B0">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720"/>
        <w:jc w:val="left"/>
        <w:textAlignment w:val="auto"/>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t>让我们一起，让数学学习不再充满焦虑！</w:t>
      </w:r>
    </w:p>
    <w:p w14:paraId="1C02DF58">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720"/>
        <w:jc w:val="left"/>
        <w:textAlignment w:val="auto"/>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t>研究负责人：黄梦莹</w:t>
      </w:r>
    </w:p>
    <w:p w14:paraId="386E467F">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720"/>
        <w:jc w:val="left"/>
        <w:textAlignment w:val="auto"/>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t>研究单位：威尔士三一圣大卫大学</w:t>
      </w:r>
    </w:p>
    <w:p w14:paraId="3E43890D">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0" w:firstLine="720"/>
        <w:jc w:val="left"/>
        <w:textAlignment w:val="auto"/>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pPr>
      <w:r>
        <w:rPr>
          <w:rFonts w:hint="eastAsia" w:asciiTheme="minorEastAsia" w:hAnsiTheme="minorEastAsia" w:eastAsiaTheme="minorEastAsia" w:cstheme="minorEastAsia"/>
          <w:b w:val="0"/>
          <w:bCs w:val="0"/>
          <w:i w:val="0"/>
          <w:iCs w:val="0"/>
          <w:caps w:val="0"/>
          <w:color w:val="auto"/>
          <w:spacing w:val="0"/>
          <w:sz w:val="24"/>
          <w:szCs w:val="24"/>
          <w:shd w:val="clear" w:fill="FFFFFF"/>
          <w:vertAlign w:val="baseline"/>
          <w:lang w:val="en-US" w:eastAsia="zh-CN"/>
        </w:rPr>
        <w:t>问卷开放时间：2025年8月1日 - 8月14日</w:t>
      </w:r>
    </w:p>
    <w:p w14:paraId="486C646E">
      <w:pPr>
        <w:rPr>
          <w:rFonts w:hint="default" w:ascii="Calibri" w:hAnsi="Calibri" w:eastAsia="Segoe UI" w:cs="Calibri"/>
          <w:b w:val="0"/>
          <w:bCs w:val="0"/>
          <w:i w:val="0"/>
          <w:iCs w:val="0"/>
          <w:caps w:val="0"/>
          <w:color w:val="auto"/>
          <w:spacing w:val="0"/>
          <w:sz w:val="24"/>
          <w:szCs w:val="24"/>
          <w:shd w:val="clear" w:fill="FFFFFF"/>
          <w:vertAlign w:val="baseline"/>
          <w:lang w:val="en-US" w:eastAsia="zh-CN"/>
        </w:rPr>
      </w:pPr>
      <w:r>
        <w:rPr>
          <w:rFonts w:hint="default" w:ascii="Calibri" w:hAnsi="Calibri" w:eastAsia="Segoe UI" w:cs="Calibri"/>
          <w:b w:val="0"/>
          <w:bCs w:val="0"/>
          <w:i w:val="0"/>
          <w:iCs w:val="0"/>
          <w:caps w:val="0"/>
          <w:color w:val="auto"/>
          <w:spacing w:val="0"/>
          <w:sz w:val="24"/>
          <w:szCs w:val="24"/>
          <w:shd w:val="clear" w:fill="FFFFFF"/>
          <w:vertAlign w:val="baseline"/>
          <w:lang w:val="en-US" w:eastAsia="zh-CN"/>
        </w:rPr>
        <w:br w:type="page"/>
      </w:r>
    </w:p>
    <w:p w14:paraId="6EA45734">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left"/>
        <w:textAlignment w:val="auto"/>
        <w:rPr>
          <w:rFonts w:hint="default" w:ascii="Calibri" w:hAnsi="Calibri" w:eastAsia="Segoe UI" w:cs="Calibri"/>
          <w:b w:val="0"/>
          <w:bCs w:val="0"/>
          <w:i w:val="0"/>
          <w:iCs w:val="0"/>
          <w:caps w:val="0"/>
          <w:color w:val="auto"/>
          <w:spacing w:val="0"/>
          <w:sz w:val="24"/>
          <w:szCs w:val="24"/>
          <w:shd w:val="clear" w:fill="FFFFFF"/>
          <w:vertAlign w:val="baseline"/>
          <w:lang w:val="en-US" w:eastAsia="zh-CN"/>
        </w:rPr>
      </w:pPr>
      <w:r>
        <w:rPr>
          <w:rFonts w:hint="eastAsia" w:ascii="Times New Roman" w:hAnsi="Times New Roman" w:eastAsia="宋体" w:cs="Times New Roman"/>
          <w:b/>
          <w:bCs/>
          <w:i w:val="0"/>
          <w:iCs w:val="0"/>
          <w:caps w:val="0"/>
          <w:color w:val="auto"/>
          <w:spacing w:val="0"/>
          <w:sz w:val="24"/>
          <w:szCs w:val="24"/>
          <w:shd w:val="clear" w:fill="FFFFFF"/>
          <w:vertAlign w:val="baseline"/>
          <w:lang w:val="en-US" w:eastAsia="zh-CN"/>
        </w:rPr>
        <w:t>Poster(English Version)</w:t>
      </w:r>
    </w:p>
    <w:p w14:paraId="0F805EEF">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center"/>
        <w:textAlignment w:val="baseline"/>
        <w:rPr>
          <w:rFonts w:hint="default" w:ascii="Times New Roman" w:hAnsi="Times New Roman" w:eastAsia="Segoe UI" w:cs="Times New Roman"/>
          <w:b/>
          <w:bCs/>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bCs/>
          <w:i w:val="0"/>
          <w:iCs w:val="0"/>
          <w:caps w:val="0"/>
          <w:color w:val="auto"/>
          <w:spacing w:val="0"/>
          <w:sz w:val="24"/>
          <w:szCs w:val="24"/>
          <w:shd w:val="clear" w:fill="FFFFFF"/>
          <w:vertAlign w:val="baseline"/>
          <w:lang w:val="en-US" w:eastAsia="zh-CN"/>
        </w:rPr>
        <w:t>Invitation to a Survey on Growth Mindset and Math Anxiety</w:t>
      </w:r>
    </w:p>
    <w:p w14:paraId="4D112AF0">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t>(Why Your Participation Matters?)</w:t>
      </w:r>
    </w:p>
    <w:p w14:paraId="277E2C8C">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t>Have you ever felt like this:</w:t>
      </w:r>
    </w:p>
    <w:p w14:paraId="0D7A98F7">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t>1. Worried about not understanding the math class as soon as it starts?</w:t>
      </w:r>
    </w:p>
    <w:p w14:paraId="6C65C326">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t>2. Extra nervous when doing math homework?</w:t>
      </w:r>
    </w:p>
    <w:p w14:paraId="43984F11">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t>3. Terrified of not doing well in math exams?</w:t>
      </w:r>
    </w:p>
    <w:p w14:paraId="060B8EB7">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t>If you have had these thoughts, you are not alone! This is a very common form of math anxiety. We are currently conducting an important study aimed at understanding your true feelings and thoughts, so as to help schools and society find ways to make math learning easier and more friendly.</w:t>
      </w:r>
    </w:p>
    <w:p w14:paraId="7CBC124E">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t>What does this study have to do with you?</w:t>
      </w:r>
    </w:p>
    <w:p w14:paraId="37646A2C">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t>Speak up for yourself: This is an excellent opportunity for you to express your true feelings. Your answers will directly help teachers and parents better understand the pressure and emotions you face when learning math.</w:t>
      </w:r>
    </w:p>
    <w:p w14:paraId="4EBD67B8">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t>Improve the learning environment together: The research results will provide scientific evidence for schools to improve teaching methods and evaluation methods. Your participation may directly help create a math classroom that reduces anxiety and encourages more attempts and progress.</w:t>
      </w:r>
    </w:p>
    <w:p w14:paraId="422EC9F4">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t>Discover your potential: The study will also explore how a growth mindset (the belief that abilities can be improved through effort) can help us deal with challenges. Participating in the survey itself is also a process of understanding yourself and stimulating your learning motivation.</w:t>
      </w:r>
    </w:p>
    <w:p w14:paraId="5AA5616A">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t>Participation is super easy!</w:t>
      </w:r>
    </w:p>
    <w:p w14:paraId="0F4544F9">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t>Content: Fill out an anonymous questionnaire about your learning thoughts and feelings.</w:t>
      </w:r>
    </w:p>
    <w:p w14:paraId="3324F24D">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t>Time: Only about 15 minutes.</w:t>
      </w:r>
    </w:p>
    <w:p w14:paraId="63496641">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t>Method: Complete it online, completely confidential.</w:t>
      </w:r>
    </w:p>
    <w:p w14:paraId="68752965">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t>Reward: Every sincere answer you give is a valuable contribution to educational progress!</w:t>
      </w:r>
    </w:p>
    <w:p w14:paraId="491A900B">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t>We solemnly promise:</w:t>
      </w:r>
    </w:p>
    <w:p w14:paraId="1E00BB3C">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t>The questionnaire is completely anonymous and will not collect your name or student number.</w:t>
      </w:r>
    </w:p>
    <w:p w14:paraId="624F08DA">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t>All answers are strictly confidential and will only be used for overall statistical analysis and will not affect any of your academic evaluations.</w:t>
      </w:r>
    </w:p>
    <w:p w14:paraId="0F6165B8">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t>Participation is completely voluntary and you can withdraw at any time.</w:t>
      </w:r>
    </w:p>
    <w:p w14:paraId="6B4C22EA">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t>Your 15 minutes may change the math learning experience of countless students in the future!</w:t>
      </w:r>
    </w:p>
    <w:p w14:paraId="08748395">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t>Let's work together to make math learning anxiety-free!</w:t>
      </w:r>
    </w:p>
    <w:p w14:paraId="6CBA65A9">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t>Researcher: Mengying Huang</w:t>
      </w:r>
    </w:p>
    <w:p w14:paraId="767B550D">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t>Research Institution: University of Wales Trinity Saint David</w:t>
      </w:r>
    </w:p>
    <w:p w14:paraId="1036BFCE">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tabs>
          <w:tab w:val="left" w:pos="688"/>
        </w:tabs>
        <w:kinsoku/>
        <w:wordWrap/>
        <w:overflowPunct/>
        <w:topLinePunct w:val="0"/>
        <w:autoSpaceDE/>
        <w:autoSpaceDN/>
        <w:bidi w:val="0"/>
        <w:adjustRightInd/>
        <w:snapToGrid/>
        <w:spacing w:before="0" w:beforeAutospacing="0" w:after="0" w:afterAutospacing="0" w:line="480" w:lineRule="auto"/>
        <w:ind w:left="0" w:right="0" w:firstLine="720"/>
        <w:jc w:val="left"/>
        <w:textAlignment w:val="baseline"/>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pPr>
      <w:r>
        <w:rPr>
          <w:rFonts w:hint="default" w:ascii="Times New Roman" w:hAnsi="Times New Roman" w:eastAsia="Segoe UI" w:cs="Times New Roman"/>
          <w:b w:val="0"/>
          <w:bCs w:val="0"/>
          <w:i w:val="0"/>
          <w:iCs w:val="0"/>
          <w:caps w:val="0"/>
          <w:color w:val="auto"/>
          <w:spacing w:val="0"/>
          <w:sz w:val="24"/>
          <w:szCs w:val="24"/>
          <w:shd w:val="clear" w:fill="FFFFFF"/>
          <w:vertAlign w:val="baseline"/>
          <w:lang w:val="en-US" w:eastAsia="zh-CN"/>
        </w:rPr>
        <w:t>Questionnaire Open Time: August 1st - 14th, 2025</w:t>
      </w:r>
    </w:p>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58679FE"/>
    <w:multiLevelType w:val="singleLevel"/>
    <w:tmpl w:val="158679FE"/>
    <w:lvl w:ilvl="0" w:tentative="0">
      <w:start w:val="1"/>
      <w:numFmt w:val="decimal"/>
      <w:suff w:val="space"/>
      <w:lvlText w:val="(%1)"/>
      <w:lvlJc w:val="left"/>
    </w:lvl>
  </w:abstractNum>
  <w:abstractNum w:abstractNumId="1">
    <w:nsid w:val="280FA1AD"/>
    <w:multiLevelType w:val="singleLevel"/>
    <w:tmpl w:val="280FA1AD"/>
    <w:lvl w:ilvl="0" w:tentative="0">
      <w:start w:val="1"/>
      <w:numFmt w:val="decimal"/>
      <w:suff w:val="space"/>
      <w:lvlText w:val="(%1)"/>
      <w:lvlJc w:val="left"/>
    </w:lvl>
  </w:abstractNum>
  <w:abstractNum w:abstractNumId="2">
    <w:nsid w:val="3182DAC4"/>
    <w:multiLevelType w:val="singleLevel"/>
    <w:tmpl w:val="3182DAC4"/>
    <w:lvl w:ilvl="0" w:tentative="0">
      <w:start w:val="1"/>
      <w:numFmt w:val="decimal"/>
      <w:suff w:val="space"/>
      <w:lvlText w:val="%1."/>
      <w:lvlJc w:val="left"/>
    </w:lvl>
  </w:abstractNum>
  <w:abstractNum w:abstractNumId="3">
    <w:nsid w:val="4182B257"/>
    <w:multiLevelType w:val="singleLevel"/>
    <w:tmpl w:val="4182B257"/>
    <w:lvl w:ilvl="0" w:tentative="0">
      <w:start w:val="1"/>
      <w:numFmt w:val="decimal"/>
      <w:suff w:val="space"/>
      <w:lvlText w:val="%1."/>
      <w:lvlJc w:val="left"/>
    </w:lvl>
  </w:abstractNum>
  <w:abstractNum w:abstractNumId="4">
    <w:nsid w:val="558C8950"/>
    <w:multiLevelType w:val="singleLevel"/>
    <w:tmpl w:val="558C8950"/>
    <w:lvl w:ilvl="0" w:tentative="0">
      <w:start w:val="1"/>
      <w:numFmt w:val="decimal"/>
      <w:suff w:val="space"/>
      <w:lvlText w:val="%1."/>
      <w:lvlJc w:val="left"/>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2"/>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jMxYmY5NjQzYzZlOGUyMjk4YTgyZmE2YzIyOGExNWMifQ=="/>
  </w:docVars>
  <w:rsids>
    <w:rsidRoot w:val="2B2850D8"/>
    <w:rsid w:val="10CF3B2D"/>
    <w:rsid w:val="13F33914"/>
    <w:rsid w:val="151E2FF1"/>
    <w:rsid w:val="1F170B2F"/>
    <w:rsid w:val="280229A0"/>
    <w:rsid w:val="2B2850D8"/>
    <w:rsid w:val="2D2A0AAF"/>
    <w:rsid w:val="2E2E7011"/>
    <w:rsid w:val="373816FA"/>
    <w:rsid w:val="393178DC"/>
    <w:rsid w:val="464A7B3B"/>
    <w:rsid w:val="62FF1604"/>
    <w:rsid w:val="63C95628"/>
    <w:rsid w:val="77B6465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qFormat/>
    <w:uiPriority w:val="0"/>
    <w:rPr>
      <w:sz w:val="24"/>
    </w:rPr>
  </w:style>
  <w:style w:type="table" w:styleId="4">
    <w:name w:val="Table Grid"/>
    <w:basedOn w:val="3"/>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6">
    <w:name w:val="Hyperlink"/>
    <w:basedOn w:val="5"/>
    <w:qFormat/>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73</Pages>
  <Words>15199</Words>
  <Characters>81196</Characters>
  <Lines>0</Lines>
  <Paragraphs>0</Paragraphs>
  <TotalTime>31</TotalTime>
  <ScaleCrop>false</ScaleCrop>
  <LinksUpToDate>false</LinksUpToDate>
  <CharactersWithSpaces>94342</CharactersWithSpaces>
  <Application>WPS Office_12.1.0.18276_F1E327BC-269C-435d-A152-05C5408002CA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2025-08-17T07:42:00Z</dcterms:created>
  <dc:creator>黄梦莹</dc:creator>
  <cp:lastModifiedBy>黄梦莹</cp:lastModifiedBy>
  <dcterms:modified xsi:type="dcterms:W3CDTF">2025-09-25T16:06:00Z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2052-12.1.0.18276</vt:lpwstr>
  </property>
  <property fmtid="{D5CDD505-2E9C-101B-9397-08002B2CF9AE}" pid="3" name="ICV">
    <vt:lpwstr>7DEBE308304A428D96C48F86B9E9AE33_13</vt:lpwstr>
  </property>
  <property fmtid="{D5CDD505-2E9C-101B-9397-08002B2CF9AE}" pid="4" name="KSOTemplateDocerSaveRecord">
    <vt:lpwstr>eyJoZGlkIjoiNGU4NzUzOGFjZGQ5NGEyZTQ4Yzk2MTNjNzNmMjJhN2EiLCJ1c2VySWQiOiI0MzkzOTgwOTYifQ==</vt:lpwstr>
  </property>
</Properties>
</file>