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rtl w:val="0"/>
        </w:rPr>
      </w:r>
    </w:p>
    <w:p w:rsidR="00000000" w:rsidDel="00000000" w:rsidP="00000000" w:rsidRDefault="00000000" w:rsidRPr="00000000" w14:paraId="00000002">
      <w:pPr>
        <w:jc w:val="center"/>
        <w:rPr>
          <w:b w:val="1"/>
          <w:bCs w:val="1"/>
        </w:rPr>
      </w:pPr>
      <w:r w:rsidDel="00000000" w:rsidR="00000000" w:rsidRPr="00000000">
        <w:rPr>
          <w:rtl w:val="0"/>
        </w:rPr>
      </w:r>
    </w:p>
    <w:p w:rsidR="00000000" w:rsidDel="00000000" w:rsidP="00000000" w:rsidRDefault="00000000" w:rsidRPr="00000000" w14:paraId="00000003">
      <w:pPr>
        <w:jc w:val="center"/>
        <w:rPr>
          <w:b w:val="1"/>
          <w:bCs w:val="1"/>
        </w:rPr>
      </w:pPr>
      <w:r w:rsidDel="00000000" w:rsidR="00000000" w:rsidRPr="00000000">
        <w:rPr>
          <w:rtl w:val="0"/>
        </w:rPr>
      </w:r>
    </w:p>
    <w:p w:rsidR="00000000" w:rsidDel="00000000" w:rsidP="00000000" w:rsidRDefault="00000000" w:rsidRPr="00000000" w14:paraId="00000004">
      <w:pPr>
        <w:jc w:val="center"/>
        <w:rPr>
          <w:b w:val="1"/>
          <w:bCs w:val="1"/>
        </w:rPr>
      </w:pPr>
      <w:r w:rsidDel="00000000" w:rsidR="00000000" w:rsidRPr="00000000">
        <w:rPr>
          <w:rtl w:val="0"/>
        </w:rPr>
      </w:r>
    </w:p>
    <w:p w:rsidR="00000000" w:rsidDel="00000000" w:rsidP="00000000" w:rsidRDefault="00000000" w:rsidRPr="00000000" w14:paraId="00000005">
      <w:pPr>
        <w:widowControl w:val="0"/>
        <w:spacing w:before="275" w:line="240" w:lineRule="auto"/>
        <w:rPr>
          <w:sz w:val="55"/>
          <w:szCs w:val="55"/>
        </w:rPr>
      </w:pPr>
      <w:r w:rsidDel="00000000" w:rsidR="00000000" w:rsidRPr="00000000">
        <w:rPr>
          <w:rtl w:val="0"/>
        </w:rPr>
      </w:r>
    </w:p>
    <w:p w:rsidR="00000000" w:rsidDel="00000000" w:rsidP="00000000" w:rsidRDefault="00000000" w:rsidRPr="00000000" w14:paraId="00000006">
      <w:pPr>
        <w:widowControl w:val="0"/>
        <w:spacing w:before="275" w:line="240" w:lineRule="auto"/>
        <w:jc w:val="center"/>
        <w:rPr>
          <w:b w:val="1"/>
          <w:bCs w:val="1"/>
          <w:i w:val="1"/>
          <w:iCs w:val="1"/>
        </w:rPr>
      </w:pPr>
      <w:r w:rsidDel="00000000" w:rsidR="00000000" w:rsidRPr="00000000">
        <w:rPr/>
        <w:drawing>
          <wp:inline distB="0" distT="0" distL="114300" distR="114300">
            <wp:extent cx="1739900" cy="7493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739900" cy="749300"/>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widowControl w:val="0"/>
        <w:spacing w:before="275" w:line="240" w:lineRule="auto"/>
        <w:jc w:val="center"/>
        <w:rPr>
          <w:b w:val="1"/>
          <w:bCs w:val="1"/>
          <w:sz w:val="28"/>
          <w:szCs w:val="28"/>
        </w:rPr>
      </w:pPr>
      <w:r w:rsidDel="00000000" w:rsidR="00000000" w:rsidRPr="00000000">
        <w:rPr>
          <w:b w:val="1"/>
          <w:bCs w:val="1"/>
          <w:sz w:val="28"/>
          <w:szCs w:val="28"/>
          <w:rtl w:val="0"/>
        </w:rPr>
        <w:t xml:space="preserve">Programme: MSc Public Health and Social Care in Practice</w:t>
      </w:r>
    </w:p>
    <w:p w:rsidR="00000000" w:rsidDel="00000000" w:rsidP="00000000" w:rsidRDefault="00000000" w:rsidRPr="00000000" w14:paraId="00000008">
      <w:pPr>
        <w:widowControl w:val="0"/>
        <w:spacing w:before="275" w:line="240" w:lineRule="auto"/>
        <w:jc w:val="center"/>
        <w:rPr>
          <w:b w:val="1"/>
          <w:bCs w:val="1"/>
          <w:sz w:val="28"/>
          <w:szCs w:val="28"/>
        </w:rPr>
      </w:pPr>
      <w:r w:rsidDel="00000000" w:rsidR="00000000" w:rsidRPr="00000000">
        <w:rPr>
          <w:b w:val="1"/>
          <w:bCs w:val="1"/>
          <w:sz w:val="28"/>
          <w:szCs w:val="28"/>
          <w:rtl w:val="0"/>
        </w:rPr>
        <w:t xml:space="preserve">Module: Health Care System Organisation and Leadership</w:t>
      </w:r>
    </w:p>
    <w:p w:rsidR="00000000" w:rsidDel="00000000" w:rsidP="00000000" w:rsidRDefault="00000000" w:rsidRPr="00000000" w14:paraId="00000009">
      <w:pPr>
        <w:widowControl w:val="0"/>
        <w:spacing w:before="275" w:line="240" w:lineRule="auto"/>
        <w:jc w:val="center"/>
        <w:rPr>
          <w:b w:val="1"/>
          <w:bCs w:val="1"/>
          <w:sz w:val="28"/>
          <w:szCs w:val="28"/>
        </w:rPr>
      </w:pPr>
      <w:r w:rsidDel="00000000" w:rsidR="00000000" w:rsidRPr="00000000">
        <w:rPr>
          <w:b w:val="1"/>
          <w:bCs w:val="1"/>
          <w:sz w:val="28"/>
          <w:szCs w:val="28"/>
          <w:rtl w:val="0"/>
        </w:rPr>
        <w:t xml:space="preserve">Module code: LCHS7002</w:t>
      </w:r>
    </w:p>
    <w:p w:rsidR="00000000" w:rsidDel="00000000" w:rsidP="00000000" w:rsidRDefault="00000000" w:rsidRPr="00000000" w14:paraId="0000000A">
      <w:pPr>
        <w:jc w:val="center"/>
        <w:rPr>
          <w:b w:val="1"/>
          <w:bCs w:val="1"/>
          <w:sz w:val="28"/>
          <w:szCs w:val="28"/>
        </w:rPr>
      </w:pPr>
      <w:r w:rsidDel="00000000" w:rsidR="00000000" w:rsidRPr="00000000">
        <w:rPr>
          <w:b w:val="1"/>
          <w:bCs w:val="1"/>
          <w:sz w:val="28"/>
          <w:szCs w:val="28"/>
          <w:rtl w:val="0"/>
        </w:rPr>
        <w:t xml:space="preserve">Chosen Case study: Case Study Number 1</w:t>
      </w:r>
    </w:p>
    <w:p w:rsidR="00000000" w:rsidDel="00000000" w:rsidP="00000000" w:rsidRDefault="00000000" w:rsidRPr="00000000" w14:paraId="0000000B">
      <w:pPr>
        <w:jc w:val="center"/>
        <w:rPr>
          <w:b w:val="1"/>
          <w:bCs w:val="1"/>
          <w:sz w:val="28"/>
          <w:szCs w:val="28"/>
        </w:rPr>
      </w:pPr>
      <w:r w:rsidDel="00000000" w:rsidR="00000000" w:rsidRPr="00000000">
        <w:rPr>
          <w:rtl w:val="0"/>
        </w:rPr>
      </w:r>
    </w:p>
    <w:p w:rsidR="00000000" w:rsidDel="00000000" w:rsidP="00000000" w:rsidRDefault="00000000" w:rsidRPr="00000000" w14:paraId="0000000C">
      <w:pPr>
        <w:jc w:val="center"/>
        <w:rPr>
          <w:b w:val="1"/>
          <w:bCs w:val="1"/>
          <w:sz w:val="28"/>
          <w:szCs w:val="28"/>
        </w:rPr>
      </w:pPr>
      <w:r w:rsidDel="00000000" w:rsidR="00000000" w:rsidRPr="00000000">
        <w:rPr>
          <w:b w:val="1"/>
          <w:bCs w:val="1"/>
          <w:sz w:val="28"/>
          <w:szCs w:val="28"/>
          <w:rtl w:val="0"/>
        </w:rPr>
        <w:t xml:space="preserve">Student Name: Rizwana </w:t>
      </w:r>
    </w:p>
    <w:p w:rsidR="00000000" w:rsidDel="00000000" w:rsidP="00000000" w:rsidRDefault="00000000" w:rsidRPr="00000000" w14:paraId="0000000D">
      <w:pPr>
        <w:jc w:val="center"/>
        <w:rPr>
          <w:b w:val="1"/>
          <w:bCs w:val="1"/>
        </w:rPr>
      </w:pPr>
      <w:r w:rsidDel="00000000" w:rsidR="00000000" w:rsidRPr="00000000">
        <w:rPr>
          <w:b w:val="1"/>
          <w:bCs w:val="1"/>
          <w:sz w:val="28"/>
          <w:szCs w:val="28"/>
          <w:rtl w:val="0"/>
        </w:rPr>
        <w:t xml:space="preserve">Student ID:2521764</w:t>
      </w:r>
      <w:r w:rsidDel="00000000" w:rsidR="00000000" w:rsidRPr="00000000">
        <w:rPr>
          <w:rtl w:val="0"/>
        </w:rPr>
      </w:r>
    </w:p>
    <w:p w:rsidR="00000000" w:rsidDel="00000000" w:rsidP="00000000" w:rsidRDefault="00000000" w:rsidRPr="00000000" w14:paraId="0000000E">
      <w:pPr>
        <w:jc w:val="center"/>
        <w:rPr>
          <w:b w:val="1"/>
          <w:bCs w:val="1"/>
        </w:rPr>
      </w:pPr>
      <w:r w:rsidDel="00000000" w:rsidR="00000000" w:rsidRPr="00000000">
        <w:rPr>
          <w:rtl w:val="0"/>
        </w:rPr>
      </w:r>
    </w:p>
    <w:p w:rsidR="00000000" w:rsidDel="00000000" w:rsidP="00000000" w:rsidRDefault="00000000" w:rsidRPr="00000000" w14:paraId="0000000F">
      <w:pPr>
        <w:jc w:val="center"/>
        <w:rPr>
          <w:b w:val="1"/>
          <w:bCs w:val="1"/>
        </w:rPr>
      </w:pPr>
      <w:r w:rsidDel="00000000" w:rsidR="00000000" w:rsidRPr="00000000">
        <w:rPr>
          <w:rtl w:val="0"/>
        </w:rPr>
      </w:r>
    </w:p>
    <w:p w:rsidR="00000000" w:rsidDel="00000000" w:rsidP="00000000" w:rsidRDefault="00000000" w:rsidRPr="00000000" w14:paraId="00000010">
      <w:pPr>
        <w:jc w:val="center"/>
        <w:rPr>
          <w:b w:val="1"/>
          <w:bCs w:val="1"/>
        </w:rPr>
      </w:pPr>
      <w:r w:rsidDel="00000000" w:rsidR="00000000" w:rsidRPr="00000000">
        <w:rPr>
          <w:rtl w:val="0"/>
        </w:rPr>
      </w:r>
    </w:p>
    <w:p w:rsidR="00000000" w:rsidDel="00000000" w:rsidP="00000000" w:rsidRDefault="00000000" w:rsidRPr="00000000" w14:paraId="00000011">
      <w:pPr>
        <w:jc w:val="center"/>
        <w:rPr>
          <w:b w:val="1"/>
          <w:bCs w:val="1"/>
        </w:rPr>
      </w:pPr>
      <w:r w:rsidDel="00000000" w:rsidR="00000000" w:rsidRPr="00000000">
        <w:rPr>
          <w:rtl w:val="0"/>
        </w:rPr>
      </w:r>
    </w:p>
    <w:p w:rsidR="00000000" w:rsidDel="00000000" w:rsidP="00000000" w:rsidRDefault="00000000" w:rsidRPr="00000000" w14:paraId="00000012">
      <w:pPr>
        <w:jc w:val="center"/>
        <w:rPr>
          <w:b w:val="1"/>
          <w:bCs w:val="1"/>
        </w:rPr>
      </w:pPr>
      <w:r w:rsidDel="00000000" w:rsidR="00000000" w:rsidRPr="00000000">
        <w:rPr>
          <w:rtl w:val="0"/>
        </w:rPr>
      </w:r>
    </w:p>
    <w:p w:rsidR="00000000" w:rsidDel="00000000" w:rsidP="00000000" w:rsidRDefault="00000000" w:rsidRPr="00000000" w14:paraId="00000013">
      <w:pPr>
        <w:jc w:val="center"/>
        <w:rPr>
          <w:b w:val="1"/>
          <w:bCs w:val="1"/>
        </w:rPr>
      </w:pPr>
      <w:r w:rsidDel="00000000" w:rsidR="00000000" w:rsidRPr="00000000">
        <w:rPr>
          <w:rtl w:val="0"/>
        </w:rPr>
      </w:r>
    </w:p>
    <w:p w:rsidR="00000000" w:rsidDel="00000000" w:rsidP="00000000" w:rsidRDefault="00000000" w:rsidRPr="00000000" w14:paraId="00000014">
      <w:pPr>
        <w:jc w:val="center"/>
        <w:rPr>
          <w:b w:val="1"/>
          <w:bCs w:val="1"/>
        </w:rPr>
      </w:pPr>
      <w:r w:rsidDel="00000000" w:rsidR="00000000" w:rsidRPr="00000000">
        <w:rPr>
          <w:rtl w:val="0"/>
        </w:rPr>
      </w:r>
    </w:p>
    <w:p w:rsidR="00000000" w:rsidDel="00000000" w:rsidP="00000000" w:rsidRDefault="00000000" w:rsidRPr="00000000" w14:paraId="00000015">
      <w:pPr>
        <w:jc w:val="center"/>
        <w:rPr>
          <w:b w:val="1"/>
          <w:bCs w:val="1"/>
        </w:rPr>
      </w:pPr>
      <w:r w:rsidDel="00000000" w:rsidR="00000000" w:rsidRPr="00000000">
        <w:rPr>
          <w:rtl w:val="0"/>
        </w:rPr>
      </w:r>
    </w:p>
    <w:p w:rsidR="00000000" w:rsidDel="00000000" w:rsidP="00000000" w:rsidRDefault="00000000" w:rsidRPr="00000000" w14:paraId="00000016">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Table of Contents</w:t>
      </w:r>
    </w:p>
    <w:sdt>
      <w:sdtPr>
        <w:id w:val="-1921274575"/>
        <w:docPartObj>
          <w:docPartGallery w:val="Table of Contents"/>
          <w:docPartUnique w:val="1"/>
        </w:docPartObj>
      </w:sdtPr>
      <w:sdtConten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82eub9ilmy2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 Introduction</w:t>
              <w:tab/>
              <w:t xml:space="preserve">3</w:t>
            </w:r>
          </w:hyperlink>
          <w:r w:rsidDel="00000000" w:rsidR="00000000" w:rsidRPr="00000000">
            <w:fldChar w:fldCharType="begin"/>
            <w:instrText xml:space="preserve"> HYPERLINK \l "_82eub9ilmy2h" </w:instrText>
            <w:fldChar w:fldCharType="separate"/>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4v76mkumie2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 Main Body</w:t>
              <w:tab/>
              <w:t xml:space="preserve">4</w:t>
            </w:r>
          </w:hyperlink>
          <w:r w:rsidDel="00000000" w:rsidR="00000000" w:rsidRPr="00000000">
            <w:fldChar w:fldCharType="begin"/>
            <w:instrText xml:space="preserve"> HYPERLINK \l "_4v76mkumie2q" </w:instrText>
            <w:fldChar w:fldCharType="separate"/>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2lcn5xf6kv2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Identifying the Problem Using Systems Thinking</w:t>
              <w:tab/>
              <w:t xml:space="preserve">4</w:t>
            </w:r>
          </w:hyperlink>
          <w:r w:rsidDel="00000000" w:rsidR="00000000" w:rsidRPr="00000000">
            <w:fldChar w:fldCharType="begin"/>
            <w:instrText xml:space="preserve"> HYPERLINK \l "_2lcn5xf6kv27" </w:instrText>
            <w:fldChar w:fldCharType="separate"/>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4vazyrjv1me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2.1.1 Problem definition</w:t>
              <w:tab/>
              <w:t xml:space="preserve">4</w:t>
            </w:r>
          </w:hyperlink>
          <w:r w:rsidDel="00000000" w:rsidR="00000000" w:rsidRPr="00000000">
            <w:fldChar w:fldCharType="begin"/>
            <w:instrText xml:space="preserve"> HYPERLINK \l "_4vazyrjv1mec" </w:instrText>
            <w:fldChar w:fldCharType="separate"/>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vtx2ucumgs6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2.1.2 National and international data supporting the issue</w:t>
              <w:tab/>
              <w:t xml:space="preserve">4</w:t>
            </w:r>
          </w:hyperlink>
          <w:r w:rsidDel="00000000" w:rsidR="00000000" w:rsidRPr="00000000">
            <w:fldChar w:fldCharType="begin"/>
            <w:instrText xml:space="preserve"> HYPERLINK \l "_vtx2ucumgs6g" </w:instrText>
            <w:fldChar w:fldCharType="separate"/>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gbg65ra6k8f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2.1.3 System weaknesses revealed by the case</w:t>
              <w:tab/>
              <w:t xml:space="preserve">5</w:t>
            </w:r>
          </w:hyperlink>
          <w:r w:rsidDel="00000000" w:rsidR="00000000" w:rsidRPr="00000000">
            <w:fldChar w:fldCharType="begin"/>
            <w:instrText xml:space="preserve"> HYPERLINK \l "_gbg65ra6k8fj" </w:instrText>
            <w:fldChar w:fldCharType="separate"/>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kry6j2d3lzk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2.1.4 Governance level and underlying challenges</w:t>
              <w:tab/>
              <w:t xml:space="preserve">5</w:t>
            </w:r>
          </w:hyperlink>
          <w:r w:rsidDel="00000000" w:rsidR="00000000" w:rsidRPr="00000000">
            <w:fldChar w:fldCharType="begin"/>
            <w:instrText xml:space="preserve"> HYPERLINK \l "_kry6j2d3lzkf" </w:instrText>
            <w:fldChar w:fldCharType="separate"/>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by2e06tn3k7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2.1.5 Linking the problem to a Rich Picture</w:t>
              <w:tab/>
              <w:t xml:space="preserve">6</w:t>
            </w:r>
          </w:hyperlink>
          <w:r w:rsidDel="00000000" w:rsidR="00000000" w:rsidRPr="00000000">
            <w:fldChar w:fldCharType="begin"/>
            <w:instrText xml:space="preserve"> HYPERLINK \l "_by2e06tn3k7f" </w:instrText>
            <w:fldChar w:fldCharType="separate"/>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pvus7iupd3p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2.1.6 Emotions and system behaviour</w:t>
              <w:tab/>
              <w:t xml:space="preserve">7</w:t>
            </w:r>
          </w:hyperlink>
          <w:r w:rsidDel="00000000" w:rsidR="00000000" w:rsidRPr="00000000">
            <w:fldChar w:fldCharType="begin"/>
            <w:instrText xml:space="preserve"> HYPERLINK \l "_pvus7iupd3pz" </w:instrText>
            <w:fldChar w:fldCharType="separate"/>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f2l75123l7j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 Centralisation or Decentralisation within the Case Study</w:t>
              <w:tab/>
              <w:t xml:space="preserve">7</w:t>
            </w:r>
          </w:hyperlink>
          <w:r w:rsidDel="00000000" w:rsidR="00000000" w:rsidRPr="00000000">
            <w:fldChar w:fldCharType="begin"/>
            <w:instrText xml:space="preserve"> HYPERLINK \l "_f2l75123l7jn" </w:instrText>
            <w:fldChar w:fldCharType="separate"/>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ytabwnsgh7b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2.2.1 Centralised features in the case</w:t>
              <w:tab/>
              <w:t xml:space="preserve">7</w:t>
            </w:r>
          </w:hyperlink>
          <w:r w:rsidDel="00000000" w:rsidR="00000000" w:rsidRPr="00000000">
            <w:fldChar w:fldCharType="begin"/>
            <w:instrText xml:space="preserve"> HYPERLINK \l "_ytabwnsgh7b5" </w:instrText>
            <w:fldChar w:fldCharType="separate"/>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imx15pduh27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2.2.2 Limitations of centralisation</w:t>
              <w:tab/>
              <w:t xml:space="preserve">8</w:t>
            </w:r>
          </w:hyperlink>
          <w:r w:rsidDel="00000000" w:rsidR="00000000" w:rsidRPr="00000000">
            <w:fldChar w:fldCharType="begin"/>
            <w:instrText xml:space="preserve"> HYPERLINK \l "_imx15pduh27b" </w:instrText>
            <w:fldChar w:fldCharType="separate"/>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bbgat96k1nb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2.2.3 Decentralised features in the case</w:t>
              <w:tab/>
              <w:t xml:space="preserve">8</w:t>
            </w:r>
          </w:hyperlink>
          <w:r w:rsidDel="00000000" w:rsidR="00000000" w:rsidRPr="00000000">
            <w:fldChar w:fldCharType="begin"/>
            <w:instrText xml:space="preserve"> HYPERLINK \l "_bbgat96k1nb6" </w:instrText>
            <w:fldChar w:fldCharType="separate"/>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7d7clic1cki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2.2.4 Limitations of decentralisation</w:t>
              <w:tab/>
              <w:t xml:space="preserve">9</w:t>
            </w:r>
          </w:hyperlink>
          <w:r w:rsidDel="00000000" w:rsidR="00000000" w:rsidRPr="00000000">
            <w:fldChar w:fldCharType="begin"/>
            <w:instrText xml:space="preserve"> HYPERLINK \l "_7d7clic1ckih" </w:instrText>
            <w:fldChar w:fldCharType="separate"/>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x03myhlx6mi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2.2.5 Critical evaluation: crisis management, decision-making, and accountability</w:t>
              <w:tab/>
              <w:t xml:space="preserve">10</w:t>
            </w:r>
          </w:hyperlink>
          <w:r w:rsidDel="00000000" w:rsidR="00000000" w:rsidRPr="00000000">
            <w:fldChar w:fldCharType="begin"/>
            <w:instrText xml:space="preserve"> HYPERLINK \l "_x03myhlx6mii" </w:instrText>
            <w:fldChar w:fldCharType="separate"/>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r8cjo1h7id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 Leadership Theories and Application to the Case Study</w:t>
              <w:tab/>
              <w:t xml:space="preserve">10</w:t>
            </w:r>
          </w:hyperlink>
          <w:r w:rsidDel="00000000" w:rsidR="00000000" w:rsidRPr="00000000">
            <w:fldChar w:fldCharType="begin"/>
            <w:instrText xml:space="preserve"> HYPERLINK \l "_r8cjo1h7idb" </w:instrText>
            <w:fldChar w:fldCharType="separate"/>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9d2trmmdqu7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2.3.1 Leadership lens in this incident</w:t>
              <w:tab/>
              <w:t xml:space="preserve">10</w:t>
            </w:r>
          </w:hyperlink>
          <w:r w:rsidDel="00000000" w:rsidR="00000000" w:rsidRPr="00000000">
            <w:fldChar w:fldCharType="begin"/>
            <w:instrText xml:space="preserve"> HYPERLINK \l "_9d2trmmdqu7t" </w:instrText>
            <w:fldChar w:fldCharType="separate"/>
          </w: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a1xl0bp9ikz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 Improvement, and Lessons Learned</w:t>
              <w:tab/>
              <w:t xml:space="preserve">12</w:t>
            </w:r>
          </w:hyperlink>
          <w:r w:rsidDel="00000000" w:rsidR="00000000" w:rsidRPr="00000000">
            <w:fldChar w:fldCharType="begin"/>
            <w:instrText xml:space="preserve"> HYPERLINK \l "_a1xl0bp9ikz6" </w:instrText>
            <w:fldChar w:fldCharType="separate"/>
          </w: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up2pk4ay1dj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2.4.1 Leadership and governance: how the failure happened</w:t>
              <w:tab/>
              <w:t xml:space="preserve">12</w:t>
            </w:r>
          </w:hyperlink>
          <w:r w:rsidDel="00000000" w:rsidR="00000000" w:rsidRPr="00000000">
            <w:fldChar w:fldCharType="begin"/>
            <w:instrText xml:space="preserve"> HYPERLINK \l "_up2pk4ay1djc" </w:instrText>
            <w:fldChar w:fldCharType="separate"/>
          </w: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eb7sp21dd66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2.4.2 Missed opportunities in the pathway</w:t>
              <w:tab/>
              <w:t xml:space="preserve">13</w:t>
            </w:r>
          </w:hyperlink>
          <w:r w:rsidDel="00000000" w:rsidR="00000000" w:rsidRPr="00000000">
            <w:fldChar w:fldCharType="begin"/>
            <w:instrText xml:space="preserve"> HYPERLINK \l "_eb7sp21dd66w" </w:instrText>
            <w:fldChar w:fldCharType="separate"/>
          </w: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owwm2ws5lmc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2.4.3 Evidence-based solutions</w:t>
              <w:tab/>
              <w:t xml:space="preserve">13</w:t>
            </w:r>
          </w:hyperlink>
          <w:r w:rsidDel="00000000" w:rsidR="00000000" w:rsidRPr="00000000">
            <w:fldChar w:fldCharType="begin"/>
            <w:instrText xml:space="preserve"> HYPERLINK \l "_owwm2ws5lmcj" </w:instrText>
            <w:fldChar w:fldCharType="separate"/>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bmiut9joj4l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2.5 Recommendations</w:t>
              <w:tab/>
              <w:t xml:space="preserve">14</w:t>
            </w:r>
          </w:hyperlink>
          <w:r w:rsidDel="00000000" w:rsidR="00000000" w:rsidRPr="00000000">
            <w:fldChar w:fldCharType="begin"/>
            <w:instrText xml:space="preserve"> HYPERLINK \l "_bmiut9joj4l2" </w:instrText>
            <w:fldChar w:fldCharType="separate"/>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3h2dpk1dug7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3.0 Conclusion</w:t>
              <w:tab/>
              <w:t xml:space="preserve">15</w:t>
            </w:r>
          </w:hyperlink>
          <w:r w:rsidDel="00000000" w:rsidR="00000000" w:rsidRPr="00000000">
            <w:fldChar w:fldCharType="begin"/>
            <w:instrText xml:space="preserve"> HYPERLINK \l "_3h2dpk1dug74" </w:instrText>
            <w:fldChar w:fldCharType="separate"/>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xzl39qbw45h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17</w:t>
            </w:r>
          </w:hyperlink>
          <w:r w:rsidDel="00000000" w:rsidR="00000000" w:rsidRPr="00000000">
            <w:fldChar w:fldCharType="begin"/>
            <w:instrText xml:space="preserve"> HYPERLINK \l "_xzl39qbw45ht" </w:instrText>
            <w:fldChar w:fldCharType="separate"/>
          </w:r>
          <w:r w:rsidDel="00000000" w:rsidR="00000000" w:rsidRPr="00000000">
            <w:rPr>
              <w:rtl w:val="0"/>
            </w:rPr>
          </w:r>
        </w:p>
        <w:p w:rsidR="00000000" w:rsidDel="00000000" w:rsidP="00000000" w:rsidRDefault="00000000" w:rsidRPr="00000000" w14:paraId="00000030">
          <w:pPr>
            <w:rPr/>
          </w:pP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1">
      <w:pPr>
        <w:spacing w:line="259" w:lineRule="auto"/>
        <w:jc w:val="left"/>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rPr/>
      </w:pPr>
      <w:bookmarkStart w:colFirst="0" w:colLast="0" w:name="_82eub9ilmy2h" w:id="0"/>
      <w:bookmarkEnd w:id="0"/>
      <w:r w:rsidDel="00000000" w:rsidR="00000000" w:rsidRPr="00000000">
        <w:rPr>
          <w:rtl w:val="0"/>
        </w:rPr>
        <w:t xml:space="preserve">1.0 Introduction</w:t>
      </w:r>
    </w:p>
    <w:p w:rsidR="00000000" w:rsidDel="00000000" w:rsidP="00000000" w:rsidRDefault="00000000" w:rsidRPr="00000000" w14:paraId="00000033">
      <w:pPr>
        <w:rPr/>
      </w:pPr>
      <w:r w:rsidDel="00000000" w:rsidR="00000000" w:rsidRPr="00000000">
        <w:rPr>
          <w:rtl w:val="0"/>
        </w:rPr>
        <w:t xml:space="preserve">Leadership is a key component of health care and social care systems in terms of patient safety, quality of care and how well the system performs as a whole. In these kinds of complicated or high-risk environments (such as health care), leaders have to work with both people and systems to help create common objectives that will be achieved by all involved parties (</w:t>
      </w:r>
      <w:r w:rsidDel="00000000" w:rsidR="00000000" w:rsidRPr="00000000">
        <w:rPr>
          <w:color w:val="222222"/>
          <w:sz w:val="24"/>
          <w:szCs w:val="24"/>
          <w:highlight w:val="white"/>
          <w:rtl w:val="0"/>
        </w:rPr>
        <w:t xml:space="preserve">Välimäki </w:t>
      </w:r>
      <w:r w:rsidDel="00000000" w:rsidR="00000000" w:rsidRPr="00000000">
        <w:rPr>
          <w:i w:val="1"/>
          <w:iCs w:val="1"/>
          <w:color w:val="222222"/>
          <w:sz w:val="24"/>
          <w:szCs w:val="24"/>
          <w:highlight w:val="white"/>
          <w:rtl w:val="0"/>
        </w:rPr>
        <w:t xml:space="preserve">et al., </w:t>
      </w:r>
      <w:r w:rsidDel="00000000" w:rsidR="00000000" w:rsidRPr="00000000">
        <w:rPr>
          <w:color w:val="222222"/>
          <w:sz w:val="24"/>
          <w:szCs w:val="24"/>
          <w:highlight w:val="white"/>
          <w:rtl w:val="0"/>
        </w:rPr>
        <w:t xml:space="preserve">2024)</w:t>
      </w:r>
      <w:r w:rsidDel="00000000" w:rsidR="00000000" w:rsidRPr="00000000">
        <w:rPr>
          <w:rtl w:val="0"/>
        </w:rPr>
        <w:t xml:space="preserve">. The current analysis will discuss case study one.</w:t>
      </w:r>
    </w:p>
    <w:p w:rsidR="00000000" w:rsidDel="00000000" w:rsidP="00000000" w:rsidRDefault="00000000" w:rsidRPr="00000000" w14:paraId="00000034">
      <w:pPr>
        <w:rPr/>
      </w:pPr>
      <w:r w:rsidDel="00000000" w:rsidR="00000000" w:rsidRPr="00000000">
        <w:rPr>
          <w:rtl w:val="0"/>
        </w:rPr>
        <w:t xml:space="preserve">This case study examines a critical medication-safety incident in the North East and Yorkshire NHS region, involving a 4-week-old infant who received morphine sulphate oral solution at a dosage 20 times greater than prescribed, attributable to the incorrect strength being prescribed, dispensed, and administered throughout the care pathway. The baby survived after being given naloxone, but the incident demonstrated that there were issues with communication, medication reconciliation, discharge procedures, and shared accountability between the hospital, general practice, community pharmacy, and parents. This example is important because it shows how one wrong prescription may impact many different groups when their systems aren't operating together and when high-risk pharmaceuticals aren't always treated the same way (NHS, 2023). </w:t>
      </w:r>
    </w:p>
    <w:p w:rsidR="00000000" w:rsidDel="00000000" w:rsidP="00000000" w:rsidRDefault="00000000" w:rsidRPr="00000000" w14:paraId="00000035">
      <w:pPr>
        <w:rPr/>
      </w:pPr>
      <w:r w:rsidDel="00000000" w:rsidR="00000000" w:rsidRPr="00000000">
        <w:rPr>
          <w:rtl w:val="0"/>
        </w:rPr>
        <w:t xml:space="preserve">In health and social care, leadership is persuading people, groups, and organisations to work together to achieve shared goals including increasing quality, keeping patients safe, and giving excellent service. Being a leader does not only mean having authority. It also entails setting objectives, building trust, encouraging learning, and working together with people from other fields. Selecting the appropriate leadership style is crucial, especially in crisis situations where rapid decision-making and clear communication are essential (</w:t>
      </w:r>
      <w:r w:rsidDel="00000000" w:rsidR="00000000" w:rsidRPr="00000000">
        <w:rPr>
          <w:color w:val="222222"/>
          <w:sz w:val="24"/>
          <w:szCs w:val="24"/>
          <w:highlight w:val="white"/>
          <w:rtl w:val="0"/>
        </w:rPr>
        <w:t xml:space="preserve">Välimäki </w:t>
      </w:r>
      <w:r w:rsidDel="00000000" w:rsidR="00000000" w:rsidRPr="00000000">
        <w:rPr>
          <w:i w:val="1"/>
          <w:iCs w:val="1"/>
          <w:color w:val="222222"/>
          <w:sz w:val="24"/>
          <w:szCs w:val="24"/>
          <w:highlight w:val="white"/>
          <w:rtl w:val="0"/>
        </w:rPr>
        <w:t xml:space="preserve">et al., </w:t>
      </w:r>
      <w:r w:rsidDel="00000000" w:rsidR="00000000" w:rsidRPr="00000000">
        <w:rPr>
          <w:color w:val="222222"/>
          <w:sz w:val="24"/>
          <w:szCs w:val="24"/>
          <w:highlight w:val="white"/>
          <w:rtl w:val="0"/>
        </w:rPr>
        <w:t xml:space="preserve">2024)</w:t>
      </w:r>
      <w:r w:rsidDel="00000000" w:rsidR="00000000" w:rsidRPr="00000000">
        <w:rPr>
          <w:rtl w:val="0"/>
        </w:rPr>
        <w:t xml:space="preserve">. Decentralisation implies that people on the front lines are increasingly responsible for making choices, whereas centralisation means that those in higher positions of authority make decisions. Centralisation can assist with control and consistency, whereas decentralisation can help with being responsive, correcting issues where they happen, and giving workers greater power.</w:t>
      </w:r>
    </w:p>
    <w:p w:rsidR="00000000" w:rsidDel="00000000" w:rsidP="00000000" w:rsidRDefault="00000000" w:rsidRPr="00000000" w14:paraId="00000036">
      <w:pPr>
        <w:rPr/>
      </w:pPr>
      <w:r w:rsidDel="00000000" w:rsidR="00000000" w:rsidRPr="00000000">
        <w:rPr>
          <w:rtl w:val="0"/>
        </w:rPr>
        <w:t xml:space="preserve">Few leadership concepts match this circumstance. Transformational leadership inspires employees to improve and adapt. Transactional leadership involves setting norms, enforcing them, and monitoring performance. Situational leadership indicates leaders should adapt to how severe or hard the situation is. While medication safety is at risk, the best leadership may emphasise learning and collaboration with clear standards and responsibility.</w:t>
      </w:r>
    </w:p>
    <w:p w:rsidR="00000000" w:rsidDel="00000000" w:rsidP="00000000" w:rsidRDefault="00000000" w:rsidRPr="00000000" w14:paraId="00000037">
      <w:pPr>
        <w:rPr/>
      </w:pPr>
      <w:r w:rsidDel="00000000" w:rsidR="00000000" w:rsidRPr="00000000">
        <w:rPr>
          <w:rtl w:val="0"/>
        </w:rPr>
        <w:t xml:space="preserve">The study will use systems thinking to assess if the care route was overly centralised or insufficiently coordinated, investigate leadership styles and their effects, and provide safety suggestions.</w:t>
      </w:r>
    </w:p>
    <w:p w:rsidR="00000000" w:rsidDel="00000000" w:rsidP="00000000" w:rsidRDefault="00000000" w:rsidRPr="00000000" w14:paraId="00000038">
      <w:pPr>
        <w:pStyle w:val="Heading1"/>
        <w:rPr/>
      </w:pPr>
      <w:bookmarkStart w:colFirst="0" w:colLast="0" w:name="_4v76mkumie2q" w:id="1"/>
      <w:bookmarkEnd w:id="1"/>
      <w:r w:rsidDel="00000000" w:rsidR="00000000" w:rsidRPr="00000000">
        <w:rPr>
          <w:rtl w:val="0"/>
        </w:rPr>
        <w:t xml:space="preserve">2.0 Main Body</w:t>
      </w:r>
    </w:p>
    <w:p w:rsidR="00000000" w:rsidDel="00000000" w:rsidP="00000000" w:rsidRDefault="00000000" w:rsidRPr="00000000" w14:paraId="00000039">
      <w:pPr>
        <w:pStyle w:val="Heading2"/>
        <w:rPr/>
      </w:pPr>
      <w:bookmarkStart w:colFirst="0" w:colLast="0" w:name="_2lcn5xf6kv27" w:id="2"/>
      <w:bookmarkEnd w:id="2"/>
      <w:r w:rsidDel="00000000" w:rsidR="00000000" w:rsidRPr="00000000">
        <w:rPr>
          <w:rtl w:val="0"/>
        </w:rPr>
        <w:t xml:space="preserve">2.1 Identifying the Problem Using Systems Thinking</w:t>
      </w:r>
    </w:p>
    <w:p w:rsidR="00000000" w:rsidDel="00000000" w:rsidP="00000000" w:rsidRDefault="00000000" w:rsidRPr="00000000" w14:paraId="0000003A">
      <w:pPr>
        <w:pStyle w:val="Heading3"/>
        <w:rPr/>
      </w:pPr>
      <w:bookmarkStart w:colFirst="0" w:colLast="0" w:name="_4vazyrjv1mec" w:id="3"/>
      <w:bookmarkEnd w:id="3"/>
      <w:r w:rsidDel="00000000" w:rsidR="00000000" w:rsidRPr="00000000">
        <w:rPr>
          <w:rtl w:val="0"/>
        </w:rPr>
        <w:t xml:space="preserve">2.1.1 Problem definition</w:t>
      </w:r>
    </w:p>
    <w:p w:rsidR="00000000" w:rsidDel="00000000" w:rsidP="00000000" w:rsidRDefault="00000000" w:rsidRPr="00000000" w14:paraId="0000003B">
      <w:pPr>
        <w:rPr/>
      </w:pPr>
      <w:r w:rsidDel="00000000" w:rsidR="00000000" w:rsidRPr="00000000">
        <w:rPr>
          <w:rtl w:val="0"/>
        </w:rPr>
        <w:t xml:space="preserve">It is important to select the suitable leadership style, especially during times of crisis when healthcare professionals have to make quick decisions and communicate clearly. This case shows that there were system weaknesses in the areas of communication, governance, and adherence to prescribing protocols  (NHS, 2023). The red drug had to be initiated and dispensed by a specialist with restrictions, but this protocol was not adhered to, which is a breakdown of governance mechanisms. This extends beyond one morphine overdose. A high-risk drug slipped several care system obstacles without protections. A 4-week-old North East and Yorkshire infant got 20 times the recommended morphine sulphate oral solution. The hospital gave the wrong strength and gave it to the GP, community pharmacy, and home. Case study indicates handwritten discharge documentation, erroneous "mcg," insufficient medications reconciliation, absence of handover information, and poor strength and quantity monitoring (NHS, 2023).</w:t>
      </w:r>
    </w:p>
    <w:p w:rsidR="00000000" w:rsidDel="00000000" w:rsidP="00000000" w:rsidRDefault="00000000" w:rsidRPr="00000000" w14:paraId="0000003C">
      <w:pPr>
        <w:pStyle w:val="Heading3"/>
        <w:rPr/>
      </w:pPr>
      <w:bookmarkStart w:colFirst="0" w:colLast="0" w:name="_vtx2ucumgs6g" w:id="4"/>
      <w:bookmarkEnd w:id="4"/>
      <w:r w:rsidDel="00000000" w:rsidR="00000000" w:rsidRPr="00000000">
        <w:rPr>
          <w:rtl w:val="0"/>
        </w:rPr>
        <w:t xml:space="preserve">2.1.2 National and international data supporting the issue</w:t>
      </w:r>
    </w:p>
    <w:tbl>
      <w:tblPr>
        <w:tblStyle w:val="Table1"/>
        <w:tblW w:w="924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103"/>
        <w:gridCol w:w="5424"/>
        <w:gridCol w:w="2715"/>
        <w:tblGridChange w:id="0">
          <w:tblGrid>
            <w:gridCol w:w="1103"/>
            <w:gridCol w:w="5424"/>
            <w:gridCol w:w="2715"/>
          </w:tblGrid>
        </w:tblGridChange>
      </w:tblGrid>
      <w:tr>
        <w:trPr>
          <w:cantSplit w:val="0"/>
          <w:trHeight w:val="288"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3D">
            <w:pPr>
              <w:spacing w:after="0" w:lineRule="auto"/>
              <w:jc w:val="center"/>
              <w:rPr>
                <w:b w:val="1"/>
                <w:bCs w:val="1"/>
              </w:rPr>
            </w:pPr>
            <w:r w:rsidDel="00000000" w:rsidR="00000000" w:rsidRPr="00000000">
              <w:rPr>
                <w:b w:val="1"/>
                <w:bCs w:val="1"/>
                <w:rtl w:val="0"/>
              </w:rPr>
              <w:t xml:space="preserve">Source</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3E">
            <w:pPr>
              <w:spacing w:after="0" w:lineRule="auto"/>
              <w:jc w:val="center"/>
              <w:rPr>
                <w:b w:val="1"/>
                <w:bCs w:val="1"/>
              </w:rPr>
            </w:pPr>
            <w:r w:rsidDel="00000000" w:rsidR="00000000" w:rsidRPr="00000000">
              <w:rPr>
                <w:b w:val="1"/>
                <w:bCs w:val="1"/>
                <w:rtl w:val="0"/>
              </w:rPr>
              <w:t xml:space="preserve">Statistic</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3F">
            <w:pPr>
              <w:spacing w:after="0" w:lineRule="auto"/>
              <w:jc w:val="center"/>
              <w:rPr>
                <w:b w:val="1"/>
                <w:bCs w:val="1"/>
              </w:rPr>
            </w:pPr>
            <w:r w:rsidDel="00000000" w:rsidR="00000000" w:rsidRPr="00000000">
              <w:rPr>
                <w:b w:val="1"/>
                <w:bCs w:val="1"/>
                <w:rtl w:val="0"/>
              </w:rPr>
              <w:t xml:space="preserve">Relevance</w:t>
            </w:r>
          </w:p>
        </w:tc>
      </w:tr>
      <w:tr>
        <w:trPr>
          <w:cantSplit w:val="0"/>
          <w:trHeight w:val="288"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40">
            <w:pPr>
              <w:spacing w:after="0" w:lineRule="auto"/>
              <w:rPr/>
            </w:pPr>
            <w:r w:rsidDel="00000000" w:rsidR="00000000" w:rsidRPr="00000000">
              <w:rPr>
                <w:rtl w:val="0"/>
              </w:rPr>
              <w:t xml:space="preserve">WHO</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41">
            <w:pPr>
              <w:spacing w:after="0" w:lineRule="auto"/>
              <w:rPr/>
            </w:pPr>
            <w:r w:rsidDel="00000000" w:rsidR="00000000" w:rsidRPr="00000000">
              <w:rPr>
                <w:rtl w:val="0"/>
              </w:rPr>
              <w:t xml:space="preserve">Around 1 in 10 hospitalized patients is harmed; medication-related harm affects 1 in 30 patients, and half of avoidable harm is medication-related.</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42">
            <w:pPr>
              <w:spacing w:after="0" w:lineRule="auto"/>
              <w:rPr/>
            </w:pPr>
            <w:r w:rsidDel="00000000" w:rsidR="00000000" w:rsidRPr="00000000">
              <w:rPr>
                <w:rtl w:val="0"/>
              </w:rPr>
              <w:t xml:space="preserve">Shows the global scale of medication safety risk (WHO, 2026). </w:t>
            </w:r>
          </w:p>
        </w:tc>
      </w:tr>
      <w:tr>
        <w:trPr>
          <w:cantSplit w:val="0"/>
          <w:trHeight w:val="288"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43">
            <w:pPr>
              <w:spacing w:after="0" w:lineRule="auto"/>
              <w:rPr/>
            </w:pPr>
            <w:r w:rsidDel="00000000" w:rsidR="00000000" w:rsidRPr="00000000">
              <w:rPr>
                <w:rtl w:val="0"/>
              </w:rPr>
              <w:t xml:space="preserve">NHS England</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44">
            <w:pPr>
              <w:spacing w:after="0" w:lineRule="auto"/>
              <w:rPr/>
            </w:pPr>
            <w:r w:rsidDel="00000000" w:rsidR="00000000" w:rsidRPr="00000000">
              <w:rPr>
                <w:rtl w:val="0"/>
              </w:rPr>
              <w:t xml:space="preserve">An estimated 237 million medication errors occur in England every year, and 66 million are clinically significant.</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45">
            <w:pPr>
              <w:spacing w:after="0" w:lineRule="auto"/>
              <w:rPr/>
            </w:pPr>
            <w:r w:rsidDel="00000000" w:rsidR="00000000" w:rsidRPr="00000000">
              <w:rPr>
                <w:rtl w:val="0"/>
              </w:rPr>
              <w:t xml:space="preserve">Shows the scale of systemic medication-safety problems in the NHS (NHS England, 2019). </w:t>
            </w:r>
          </w:p>
        </w:tc>
      </w:tr>
      <w:tr>
        <w:trPr>
          <w:cantSplit w:val="0"/>
          <w:trHeight w:val="288"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46">
            <w:pPr>
              <w:spacing w:after="0" w:lineRule="auto"/>
              <w:rPr/>
            </w:pPr>
            <w:r w:rsidDel="00000000" w:rsidR="00000000" w:rsidRPr="00000000">
              <w:rPr>
                <w:rtl w:val="0"/>
              </w:rPr>
              <w:t xml:space="preserve">BMJ / national estimate</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47">
            <w:pPr>
              <w:spacing w:after="0" w:lineRule="auto"/>
              <w:rPr/>
            </w:pPr>
            <w:r w:rsidDel="00000000" w:rsidR="00000000" w:rsidRPr="00000000">
              <w:rPr>
                <w:rtl w:val="0"/>
              </w:rPr>
              <w:t xml:space="preserve">Around 54% of medication errors occur at administration and about 21% at prescribing.</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48">
            <w:pPr>
              <w:spacing w:after="0" w:lineRule="auto"/>
              <w:rPr/>
            </w:pPr>
            <w:r w:rsidDel="00000000" w:rsidR="00000000" w:rsidRPr="00000000">
              <w:rPr>
                <w:rtl w:val="0"/>
              </w:rPr>
              <w:t xml:space="preserve">Shows where the biggest process failures occur (BMJ, 2020). </w:t>
            </w:r>
          </w:p>
        </w:tc>
      </w:tr>
      <w:tr>
        <w:trPr>
          <w:cantSplit w:val="0"/>
          <w:trHeight w:val="288"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49">
            <w:pPr>
              <w:spacing w:after="0" w:lineRule="auto"/>
              <w:rPr/>
            </w:pPr>
            <w:r w:rsidDel="00000000" w:rsidR="00000000" w:rsidRPr="00000000">
              <w:rPr>
                <w:rtl w:val="0"/>
              </w:rPr>
              <w:t xml:space="preserve">BMJ (widely cited estimate)</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4A">
            <w:pPr>
              <w:spacing w:after="0" w:lineRule="auto"/>
              <w:rPr/>
            </w:pPr>
            <w:r w:rsidDel="00000000" w:rsidR="00000000" w:rsidRPr="00000000">
              <w:rPr>
                <w:rtl w:val="0"/>
              </w:rPr>
              <w:t xml:space="preserve">Medical error has been described as the third leading cause of death in the United States.</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4B">
            <w:pPr>
              <w:spacing w:after="0" w:lineRule="auto"/>
              <w:rPr/>
            </w:pPr>
            <w:r w:rsidDel="00000000" w:rsidR="00000000" w:rsidRPr="00000000">
              <w:rPr>
                <w:rtl w:val="0"/>
              </w:rPr>
              <w:t xml:space="preserve">Emphasises the urgency of leadership, governance, and system redesign (Makary and Daniel, 2016). </w:t>
            </w:r>
          </w:p>
        </w:tc>
      </w:tr>
    </w:tbl>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These numbers show that neonatal overdosing is a local tragedy but a global issue. WHO patient-safety information shows that drug harm is one of the most common avoidable harms in health care, while NHS England provides 237 million prescription mistakes a year, highlighting the issue in English services. The administration and prescription data are relevant since the case had a prescribing mistake and the inability to realise it before administration (NHS England, 2019).</w:t>
      </w:r>
    </w:p>
    <w:p w:rsidR="00000000" w:rsidDel="00000000" w:rsidP="00000000" w:rsidRDefault="00000000" w:rsidRPr="00000000" w14:paraId="0000004E">
      <w:pPr>
        <w:pStyle w:val="Heading3"/>
        <w:rPr/>
      </w:pPr>
      <w:bookmarkStart w:colFirst="0" w:colLast="0" w:name="_gbg65ra6k8fj" w:id="5"/>
      <w:bookmarkEnd w:id="5"/>
      <w:r w:rsidDel="00000000" w:rsidR="00000000" w:rsidRPr="00000000">
        <w:rPr>
          <w:rtl w:val="0"/>
        </w:rPr>
        <w:t xml:space="preserve">2.1.3 System weaknesses revealed by the case</w:t>
      </w:r>
    </w:p>
    <w:p w:rsidR="00000000" w:rsidDel="00000000" w:rsidP="00000000" w:rsidRDefault="00000000" w:rsidRPr="00000000" w14:paraId="0000004F">
      <w:pPr>
        <w:rPr/>
      </w:pPr>
      <w:r w:rsidDel="00000000" w:rsidR="00000000" w:rsidRPr="00000000">
        <w:rPr>
          <w:rtl w:val="0"/>
        </w:rPr>
        <w:t xml:space="preserve">Poor communication is the first flaw. The hospital discharge summary's unclear phrasing and brand name lead the GP and pharmacy to the wrong preparation, but doctors did not explicitly address the pharmacy question. WHO's medication-safety transition program emphasises that settings-to-settings transfers are particularly prone to medication differences owing to missing, delayed, or misread information (World Health Organization, 2019). </w:t>
      </w:r>
    </w:p>
    <w:p w:rsidR="00000000" w:rsidDel="00000000" w:rsidP="00000000" w:rsidRDefault="00000000" w:rsidRPr="00000000" w14:paraId="00000050">
      <w:pPr>
        <w:rPr/>
      </w:pPr>
      <w:r w:rsidDel="00000000" w:rsidR="00000000" w:rsidRPr="00000000">
        <w:rPr>
          <w:rtl w:val="0"/>
        </w:rPr>
        <w:t xml:space="preserve">Failure to account is the second flaw. Individual professionals seem to have followed the proper path. Since organisations were not accountable, there was a typical system failure. The case study shows that the hospital, GP practise, and community pharmacy all had an opportunity to avoid the mistake, but none had route visibility (NHS, 2023). </w:t>
      </w:r>
    </w:p>
    <w:p w:rsidR="00000000" w:rsidDel="00000000" w:rsidP="00000000" w:rsidRDefault="00000000" w:rsidRPr="00000000" w14:paraId="00000051">
      <w:pPr>
        <w:rPr/>
      </w:pPr>
      <w:r w:rsidDel="00000000" w:rsidR="00000000" w:rsidRPr="00000000">
        <w:rPr>
          <w:rtl w:val="0"/>
        </w:rPr>
        <w:t xml:space="preserve">Poor carer support is the third vulnerability. A 2024 randomised clinical study found that inadequate clinician-caregiver communication at discharge increases the likelihood of medication-dosing mistakes in children and that health-literacy-informed discharge communication improves discharge safety. A 2024 research of carer medication mistakes in children's homes found that 68.4% of children experienced at least one error, and a review found that home error rates varied from 30 to 80%. Parents were unprepared to recognise that 1.9 ml of a lesser preparation was detrimental, therefore the latter effects were inevitable (Carroll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52">
      <w:pPr>
        <w:pStyle w:val="Heading3"/>
        <w:rPr/>
      </w:pPr>
      <w:bookmarkStart w:colFirst="0" w:colLast="0" w:name="_kry6j2d3lzkf" w:id="6"/>
      <w:bookmarkEnd w:id="6"/>
      <w:r w:rsidDel="00000000" w:rsidR="00000000" w:rsidRPr="00000000">
        <w:rPr>
          <w:rtl w:val="0"/>
        </w:rPr>
        <w:t xml:space="preserve">2.1.4 Governance level and underlying challenges</w:t>
      </w:r>
    </w:p>
    <w:p w:rsidR="00000000" w:rsidDel="00000000" w:rsidP="00000000" w:rsidRDefault="00000000" w:rsidRPr="00000000" w14:paraId="00000053">
      <w:pPr>
        <w:rPr/>
      </w:pPr>
      <w:r w:rsidDel="00000000" w:rsidR="00000000" w:rsidRPr="00000000">
        <w:rPr>
          <w:rtl w:val="0"/>
        </w:rPr>
        <w:t xml:space="preserve">Governance failed at the municipal, regional, and national levels. Local medicine discharge methods did not prevent danger in handwritten summaries. The regional supply of RED drugs in primary care should have stopped the pipeline, but it proved unreliable (NHS, 2023). Nationally, the NHS patient-safety policy expects governance, reporting, and better care transitions to improve drug safety. This suggests that a limited governance system between the trust, ICB-level prescription control, and national safety requirements caused this occurrence (NHS England, 2019). </w:t>
      </w:r>
    </w:p>
    <w:p w:rsidR="00000000" w:rsidDel="00000000" w:rsidP="00000000" w:rsidRDefault="00000000" w:rsidRPr="00000000" w14:paraId="00000054">
      <w:pPr>
        <w:rPr/>
      </w:pPr>
      <w:r w:rsidDel="00000000" w:rsidR="00000000" w:rsidRPr="00000000">
        <w:rPr>
          <w:rtl w:val="0"/>
        </w:rPr>
        <w:t xml:space="preserve">Important fundamental difficulties exist. Infants and newborns are sensitive because dosage must be translated to microgram-to-millilitre, small-volume measurement and product strength established. A 2024 assessment of newborn medicine safety found that NICU medication mistakes are common and that dosage estimates, dilution, and off-label usage hinder pharmaceutical utilisation. Real-time documentation and improved communication reduce discharge paperwork mistakes, according to a 2024 paediatric discharge safety evaluation. Such findings help explain why the case was high-risk (Canales-Siguero </w:t>
      </w:r>
      <w:r w:rsidDel="00000000" w:rsidR="00000000" w:rsidRPr="00000000">
        <w:rPr>
          <w:i w:val="1"/>
          <w:iCs w:val="1"/>
          <w:rtl w:val="0"/>
        </w:rPr>
        <w:t xml:space="preserve">et al</w:t>
      </w:r>
      <w:r w:rsidDel="00000000" w:rsidR="00000000" w:rsidRPr="00000000">
        <w:rPr>
          <w:rtl w:val="0"/>
        </w:rPr>
        <w:t xml:space="preserve">., 2024). </w:t>
      </w:r>
    </w:p>
    <w:p w:rsidR="00000000" w:rsidDel="00000000" w:rsidP="00000000" w:rsidRDefault="00000000" w:rsidRPr="00000000" w14:paraId="00000055">
      <w:pPr>
        <w:pStyle w:val="Heading3"/>
        <w:rPr/>
      </w:pPr>
      <w:bookmarkStart w:colFirst="0" w:colLast="0" w:name="_by2e06tn3k7f" w:id="7"/>
      <w:bookmarkEnd w:id="7"/>
      <w:r w:rsidDel="00000000" w:rsidR="00000000" w:rsidRPr="00000000">
        <w:rPr>
          <w:rtl w:val="0"/>
        </w:rPr>
        <w:t xml:space="preserve">2.1.5 Linking the problem to a Rich Picture</w:t>
      </w:r>
    </w:p>
    <w:p w:rsidR="00000000" w:rsidDel="00000000" w:rsidP="00000000" w:rsidRDefault="00000000" w:rsidRPr="00000000" w14:paraId="00000056">
      <w:pPr>
        <w:rPr/>
      </w:pPr>
      <w:r w:rsidDel="00000000" w:rsidR="00000000" w:rsidRPr="00000000">
        <w:rPr>
          <w:rtl w:val="0"/>
        </w:rPr>
        <w:t xml:space="preserve">A Rich Picture of this case must center on the baby and parents and include the hospital prescriber, ward pharmacist, GP, community pharmacist, pharmacy technician, receptionist and medications governance leaders. Discharge documentation, prescription, dispensing, counselling, dosage calculation, and query escalation are crucial (BMJ, 2020). The Rich Picture should also have failed feedback loops: no effective electronic flag of the high-risk product, no direct escalation when the pharmacy requested prescription clarification, no strong double-check at dispensing point, and no demonstrable 1 ml syringe at handover. These mistakes correlate with WHO's focus on care transition and NHS statistics showing that most pharmaceutical errors occur during prescription and administration (World Health Organization, 2019). </w:t>
      </w:r>
    </w:p>
    <w:p w:rsidR="00000000" w:rsidDel="00000000" w:rsidP="00000000" w:rsidRDefault="00000000" w:rsidRPr="00000000" w14:paraId="00000057">
      <w:pPr>
        <w:jc w:val="center"/>
        <w:rPr/>
      </w:pPr>
      <w:r w:rsidDel="00000000" w:rsidR="00000000" w:rsidRPr="00000000">
        <w:rPr/>
        <w:drawing>
          <wp:inline distB="0" distT="0" distL="114300" distR="114300">
            <wp:extent cx="5245100" cy="297434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245100" cy="2974340"/>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jc w:val="center"/>
        <w:rPr>
          <w:b w:val="1"/>
          <w:bCs w:val="1"/>
        </w:rPr>
      </w:pPr>
      <w:r w:rsidDel="00000000" w:rsidR="00000000" w:rsidRPr="00000000">
        <w:rPr>
          <w:b w:val="1"/>
          <w:bCs w:val="1"/>
          <w:rtl w:val="0"/>
        </w:rPr>
        <w:t xml:space="preserve">Figure 1: Rich picture for Infant morphine overdose</w:t>
      </w:r>
    </w:p>
    <w:p w:rsidR="00000000" w:rsidDel="00000000" w:rsidP="00000000" w:rsidRDefault="00000000" w:rsidRPr="00000000" w14:paraId="00000059">
      <w:pPr>
        <w:jc w:val="center"/>
        <w:rPr/>
      </w:pPr>
      <w:r w:rsidDel="00000000" w:rsidR="00000000" w:rsidRPr="00000000">
        <w:rPr>
          <w:rtl w:val="0"/>
        </w:rPr>
        <w:t xml:space="preserve">Source: Self-developed</w:t>
      </w:r>
    </w:p>
    <w:p w:rsidR="00000000" w:rsidDel="00000000" w:rsidP="00000000" w:rsidRDefault="00000000" w:rsidRPr="00000000" w14:paraId="0000005A">
      <w:pPr>
        <w:rPr/>
      </w:pPr>
      <w:r w:rsidDel="00000000" w:rsidR="00000000" w:rsidRPr="00000000">
        <w:rPr>
          <w:rtl w:val="0"/>
        </w:rPr>
        <w:t xml:space="preserve">The rich picture demonstrates the healthcare system that was used in the infant morphine overdose case. It demonstrates major participants in the pharmacist process, hospital physicians, nurses, pharmacists, GPs, and parents who take part in the medication process. Processes involved are documentation of hospital discharge, GP prescription under IT systems, dispensing by pharmacy and home administration. There was a communication breakdown between the hospital, GP, and the pharmacy which resulted into a wrong morphine strength being prescribed and dispensed. The diagram further points out the emotional aspects such as the staff concern and fear of parents when the baby fell ill. Policies, electronic systems, and governance structures can be demonstrated, and the feedback loops of incident reporting and training can be used to avoid future medication errors.</w:t>
      </w:r>
    </w:p>
    <w:p w:rsidR="00000000" w:rsidDel="00000000" w:rsidP="00000000" w:rsidRDefault="00000000" w:rsidRPr="00000000" w14:paraId="0000005B">
      <w:pPr>
        <w:pStyle w:val="Heading3"/>
        <w:rPr/>
      </w:pPr>
      <w:bookmarkStart w:colFirst="0" w:colLast="0" w:name="_pvus7iupd3pz" w:id="8"/>
      <w:bookmarkEnd w:id="8"/>
      <w:r w:rsidDel="00000000" w:rsidR="00000000" w:rsidRPr="00000000">
        <w:rPr>
          <w:rtl w:val="0"/>
        </w:rPr>
        <w:t xml:space="preserve">2.1.6 Emotions and system behaviour</w:t>
      </w:r>
    </w:p>
    <w:p w:rsidR="00000000" w:rsidDel="00000000" w:rsidP="00000000" w:rsidRDefault="00000000" w:rsidRPr="00000000" w14:paraId="0000005C">
      <w:pPr>
        <w:rPr/>
      </w:pPr>
      <w:r w:rsidDel="00000000" w:rsidR="00000000" w:rsidRPr="00000000">
        <w:rPr>
          <w:rtl w:val="0"/>
        </w:rPr>
        <w:t xml:space="preserve">The Rich Picture must incorporate emotion since it affects system performance. Staff anxiety, parent perplexity, and chemist ambiguity may reduce speaking up, delay escalation, or encourage premature assurance. The parents in this case seemed persuaded that the dosage was set earlier, hence a better safety precaution was overlooked. Thus, this problem is a communication, governance, and leadership systems issue, not a technological error (NHS, 2023). </w:t>
      </w:r>
    </w:p>
    <w:p w:rsidR="00000000" w:rsidDel="00000000" w:rsidP="00000000" w:rsidRDefault="00000000" w:rsidRPr="00000000" w14:paraId="0000005D">
      <w:pPr>
        <w:rPr/>
      </w:pPr>
      <w:r w:rsidDel="00000000" w:rsidR="00000000" w:rsidRPr="00000000">
        <w:rPr>
          <w:rtl w:val="0"/>
        </w:rPr>
        <w:t xml:space="preserve">The instance indicates that one neonatal medicine error might be more detrimental when propagating across weakly coupled system linkages. WHO and NHS data show that drug harm is prevalent and preventable, however current research suggests that discharge communication, carer knowledge, and neonatal medication complexity are the failures. The newborn morphine overdose is a local and global patient-safety alarm.</w:t>
      </w:r>
    </w:p>
    <w:p w:rsidR="00000000" w:rsidDel="00000000" w:rsidP="00000000" w:rsidRDefault="00000000" w:rsidRPr="00000000" w14:paraId="0000005E">
      <w:pPr>
        <w:pStyle w:val="Heading2"/>
        <w:rPr/>
      </w:pPr>
      <w:bookmarkStart w:colFirst="0" w:colLast="0" w:name="_f2l75123l7jn" w:id="9"/>
      <w:bookmarkEnd w:id="9"/>
      <w:r w:rsidDel="00000000" w:rsidR="00000000" w:rsidRPr="00000000">
        <w:rPr>
          <w:rtl w:val="0"/>
        </w:rPr>
        <w:t xml:space="preserve">2.2 Centralisation or Decentralisation within the Case Study </w:t>
      </w:r>
    </w:p>
    <w:p w:rsidR="00000000" w:rsidDel="00000000" w:rsidP="00000000" w:rsidRDefault="00000000" w:rsidRPr="00000000" w14:paraId="0000005F">
      <w:pPr>
        <w:rPr/>
      </w:pPr>
      <w:r w:rsidDel="00000000" w:rsidR="00000000" w:rsidRPr="00000000">
        <w:rPr>
          <w:rtl w:val="0"/>
        </w:rPr>
        <w:t xml:space="preserve">This case can be viewed as a hybrid system: it was centralised in individual organisations and at the same time, decentralised throughout the care pathway. The Trust and ICB had a centralised rule of governance that morphine sulphate 100 micrograms/ml was a RED / hospital only drug and thus initiation and dispensing should have been left in the secondary care but the actual route that took place was in the general practice, community pharmacy and home environment where there was no central point of control. It was that fragmentation that enabled the handwritten discharge summary, GP prescription, pharmacy dispensing, and parental administration to coordinate around the incorrect strength (NHS, 2023). </w:t>
      </w:r>
    </w:p>
    <w:p w:rsidR="00000000" w:rsidDel="00000000" w:rsidP="00000000" w:rsidRDefault="00000000" w:rsidRPr="00000000" w14:paraId="00000060">
      <w:pPr>
        <w:pStyle w:val="Heading3"/>
        <w:rPr/>
      </w:pPr>
      <w:bookmarkStart w:colFirst="0" w:colLast="0" w:name="_ytabwnsgh7b5" w:id="10"/>
      <w:bookmarkEnd w:id="10"/>
      <w:r w:rsidDel="00000000" w:rsidR="00000000" w:rsidRPr="00000000">
        <w:rPr>
          <w:rtl w:val="0"/>
        </w:rPr>
        <w:t xml:space="preserve">2.2.1 Centralised features in the case</w:t>
      </w:r>
    </w:p>
    <w:p w:rsidR="00000000" w:rsidDel="00000000" w:rsidP="00000000" w:rsidRDefault="00000000" w:rsidRPr="00000000" w14:paraId="00000061">
      <w:pPr>
        <w:rPr/>
      </w:pPr>
      <w:r w:rsidDel="00000000" w:rsidR="00000000" w:rsidRPr="00000000">
        <w:rPr>
          <w:rtl w:val="0"/>
        </w:rPr>
        <w:t xml:space="preserve">The case shows that policy making was centralised. Centralisation standardises, controls, and unifies red-drug usage criteria, which benefits high-risk medications (NHS, 2023). This is important since the neonate received a high-risk opioid, and WHO reports that one in 30 individuals experiences medication-related injury, and over a quarter of such harm is severe or possibly deadly. Centralised risk containment regulations are also appropriate (WHO, 2026). </w:t>
      </w:r>
    </w:p>
    <w:p w:rsidR="00000000" w:rsidDel="00000000" w:rsidP="00000000" w:rsidRDefault="00000000" w:rsidRPr="00000000" w14:paraId="00000062">
      <w:pPr>
        <w:rPr/>
      </w:pPr>
      <w:r w:rsidDel="00000000" w:rsidR="00000000" w:rsidRPr="00000000">
        <w:rPr>
          <w:rtl w:val="0"/>
        </w:rPr>
        <w:t xml:space="preserve">Centralisation helps establish policy boundaries. The RED-drug rule would have been established in the discharge process, hence the system should not have enabled the GP to provide. Central control was in theory, but it was too weak in actuality. The NHS England patient-safety strategy estimates that 237 million medication errors occur annually in England, 66 million of which are clinically significant. Centralised safety rules are insufficient unless they are implemented using usable digital systems and effective handovers (NHS, 2019). The case also bears features of a centralised healthcare system, in which only the higher professionals are supposed to prescribe specialised drugs. Although centralisation implies standardisation as well as less variability, it also may result in the emergence of bottlenecks and the decrease of flexibility in decision-making (NHS, 2019). In this case, the consequences of the neglect of following standardised procedures were unsuitable dispensing without regard of specialists. The benefits of centralised systems include high degree of consistency, well defined accountability, and increased control of regulations. </w:t>
      </w:r>
    </w:p>
    <w:p w:rsidR="00000000" w:rsidDel="00000000" w:rsidP="00000000" w:rsidRDefault="00000000" w:rsidRPr="00000000" w14:paraId="00000063">
      <w:pPr>
        <w:pStyle w:val="Heading3"/>
        <w:rPr/>
      </w:pPr>
      <w:bookmarkStart w:colFirst="0" w:colLast="0" w:name="_imx15pduh27b" w:id="11"/>
      <w:bookmarkEnd w:id="11"/>
      <w:r w:rsidDel="00000000" w:rsidR="00000000" w:rsidRPr="00000000">
        <w:rPr>
          <w:rtl w:val="0"/>
        </w:rPr>
        <w:t xml:space="preserve">2.2.2 Limitations of centralisation</w:t>
      </w:r>
    </w:p>
    <w:p w:rsidR="00000000" w:rsidDel="00000000" w:rsidP="00000000" w:rsidRDefault="00000000" w:rsidRPr="00000000" w14:paraId="00000064">
      <w:pPr>
        <w:rPr/>
      </w:pPr>
      <w:r w:rsidDel="00000000" w:rsidR="00000000" w:rsidRPr="00000000">
        <w:rPr>
          <w:rtl w:val="0"/>
        </w:rPr>
        <w:t xml:space="preserve">Centralization's major weakness was inflexibility. The discharge summary depended on one document being dependable enough to move across institutions, yet it was handwritten and used ambiguous shorthand. After that one failure, the GP and pharmacist followed the original order without re-creating the clinical circumstance. Centralised processes may be efficient, but if an upstream instruction is wrong, downstream experts will become passive instead of challenging the process. The case study shows chain of reliance (NHS, 2023). </w:t>
      </w:r>
    </w:p>
    <w:p w:rsidR="00000000" w:rsidDel="00000000" w:rsidP="00000000" w:rsidRDefault="00000000" w:rsidRPr="00000000" w14:paraId="00000065">
      <w:pPr>
        <w:rPr/>
      </w:pPr>
      <w:r w:rsidDel="00000000" w:rsidR="00000000" w:rsidRPr="00000000">
        <w:rPr>
          <w:rtl w:val="0"/>
        </w:rPr>
        <w:t xml:space="preserve">Discharge-safety studies supports this vulnerability. A 2024 cohort research found that 46.3 percent of patients made a discharge paperwork mistake, and medication modifications documented in whole (33.9 percent) were much less common than those recorded in part (65.8 percent). Centralised discharge documentation can only be protective if it is full, timely, and electronically available to all stakeholders. This was not the case (Kim </w:t>
      </w:r>
      <w:r w:rsidDel="00000000" w:rsidR="00000000" w:rsidRPr="00000000">
        <w:rPr>
          <w:i w:val="1"/>
          <w:iCs w:val="1"/>
          <w:rtl w:val="0"/>
        </w:rPr>
        <w:t xml:space="preserve">et al</w:t>
      </w:r>
      <w:r w:rsidDel="00000000" w:rsidR="00000000" w:rsidRPr="00000000">
        <w:rPr>
          <w:rtl w:val="0"/>
        </w:rPr>
        <w:t xml:space="preserve">., 2024).  </w:t>
      </w:r>
    </w:p>
    <w:p w:rsidR="00000000" w:rsidDel="00000000" w:rsidP="00000000" w:rsidRDefault="00000000" w:rsidRPr="00000000" w14:paraId="00000066">
      <w:pPr>
        <w:pStyle w:val="Heading3"/>
        <w:rPr/>
      </w:pPr>
      <w:bookmarkStart w:colFirst="0" w:colLast="0" w:name="_bbgat96k1nb6" w:id="12"/>
      <w:bookmarkEnd w:id="12"/>
      <w:r w:rsidDel="00000000" w:rsidR="00000000" w:rsidRPr="00000000">
        <w:rPr>
          <w:rtl w:val="0"/>
        </w:rPr>
        <w:t xml:space="preserve">2.2.3 Decentralised features in the case</w:t>
      </w:r>
    </w:p>
    <w:p w:rsidR="00000000" w:rsidDel="00000000" w:rsidP="00000000" w:rsidRDefault="00000000" w:rsidRPr="00000000" w14:paraId="00000067">
      <w:pPr>
        <w:rPr/>
      </w:pPr>
      <w:r w:rsidDel="00000000" w:rsidR="00000000" w:rsidRPr="00000000">
        <w:rPr>
          <w:rtl w:val="0"/>
        </w:rPr>
        <w:t xml:space="preserve">The real care route was very decentralised as a number of independent actors shared some of the power: the hospital prescriber gave out the discharge summary, the GP gave out the EPS prescription, the community pharmacy verified and gave out the prescription, and the parents gave the medicine at home. Decentralised systems bring decision-making nearer to the front line and it can be advantageous since the professionals can identify issues at the front line. A study on decentralized leadership in health care team established that decentralized leadership is able to improve the exchange of knowledge and minimise work hindrance behaviours in cross functional teams but the advantage varies with the quality of relationships and hierarchy. This is quite appropriate in this case since the threat was not caused by the process of decentralization, but a poor coordination among the actors of decentralization (Scheuer </w:t>
      </w:r>
      <w:r w:rsidDel="00000000" w:rsidR="00000000" w:rsidRPr="00000000">
        <w:rPr>
          <w:i w:val="1"/>
          <w:iCs w:val="1"/>
          <w:rtl w:val="0"/>
        </w:rPr>
        <w:t xml:space="preserve">et al</w:t>
      </w:r>
      <w:r w:rsidDel="00000000" w:rsidR="00000000" w:rsidRPr="00000000">
        <w:rPr>
          <w:rtl w:val="0"/>
        </w:rPr>
        <w:t xml:space="preserve">., 2023). </w:t>
      </w:r>
    </w:p>
    <w:p w:rsidR="00000000" w:rsidDel="00000000" w:rsidP="00000000" w:rsidRDefault="00000000" w:rsidRPr="00000000" w14:paraId="00000068">
      <w:pPr>
        <w:rPr/>
      </w:pPr>
      <w:r w:rsidDel="00000000" w:rsidR="00000000" w:rsidRPr="00000000">
        <w:rPr>
          <w:rtl w:val="0"/>
        </w:rPr>
        <w:t xml:space="preserve">The decentralized organization might be an asset during the management of crisis since those working at the front lines are nearer to the risk. Theoretically, the community pharmacist, GP or ward pharmacist could have broken the chain of errors by doubting the strength, the 0.1 ml dose, or impracticality in measuring the 0.1 ml dose. Even the case study itself reveals that the prescription was being questioned by the community pharmacist, which is the evidence that the decentralised professional judgment can raise the alarm at an early moment. However, since the escalation was indirect and fragmented, such a local autonomy was not transformed into the actual crisis intervention (NHS, 2023).</w:t>
      </w:r>
    </w:p>
    <w:p w:rsidR="00000000" w:rsidDel="00000000" w:rsidP="00000000" w:rsidRDefault="00000000" w:rsidRPr="00000000" w14:paraId="00000069">
      <w:pPr>
        <w:rPr/>
      </w:pPr>
      <w:r w:rsidDel="00000000" w:rsidR="00000000" w:rsidRPr="00000000">
        <w:rPr>
          <w:rtl w:val="0"/>
        </w:rPr>
        <w:t xml:space="preserve">Moreover, decentralised system empowers front-line staff, and thus facilitates faster decision making and responsiveness to local demands. There is evidence that the positive effects of decentralised approaches with the help of good governance and training may enhance patient outcomes. </w:t>
      </w:r>
    </w:p>
    <w:p w:rsidR="00000000" w:rsidDel="00000000" w:rsidP="00000000" w:rsidRDefault="00000000" w:rsidRPr="00000000" w14:paraId="0000006A">
      <w:pPr>
        <w:pStyle w:val="Heading3"/>
        <w:rPr/>
      </w:pPr>
      <w:bookmarkStart w:colFirst="0" w:colLast="0" w:name="_7d7clic1ckih" w:id="13"/>
      <w:bookmarkEnd w:id="13"/>
      <w:r w:rsidDel="00000000" w:rsidR="00000000" w:rsidRPr="00000000">
        <w:rPr>
          <w:rtl w:val="0"/>
        </w:rPr>
        <w:t xml:space="preserve">2.2.4 Limitations of decentralisation</w:t>
      </w:r>
    </w:p>
    <w:p w:rsidR="00000000" w:rsidDel="00000000" w:rsidP="00000000" w:rsidRDefault="00000000" w:rsidRPr="00000000" w14:paraId="0000006B">
      <w:pPr>
        <w:rPr/>
      </w:pPr>
      <w:r w:rsidDel="00000000" w:rsidR="00000000" w:rsidRPr="00000000">
        <w:rPr>
          <w:rtl w:val="0"/>
        </w:rPr>
        <w:t xml:space="preserve">Diffused responsibility was a decentralisation vulnerability. Each expert didn't know the full medicine route, therefore it relied on the previous stage. According to WHO, medication safety is a systems problem that requires consistent information transmission during care transition, and NHS England considers transition-related medication mistakes a major national hazard. Decentralised authority without well-coordinated information flows results in weakly linked instead of intelligently dispersed information flows and apparent escalation pathways (Camacho et al., 2024). </w:t>
      </w:r>
    </w:p>
    <w:p w:rsidR="00000000" w:rsidDel="00000000" w:rsidP="00000000" w:rsidRDefault="00000000" w:rsidRPr="00000000" w14:paraId="0000006C">
      <w:pPr>
        <w:rPr/>
      </w:pPr>
      <w:r w:rsidDel="00000000" w:rsidR="00000000" w:rsidRPr="00000000">
        <w:rPr>
          <w:rtl w:val="0"/>
        </w:rPr>
        <w:t xml:space="preserve">Paediatrics and infants need sensitive administration, and carers often make errors despite counselling. A 2024 randomised clinical research found that teach-back and pictograms reduced pharmaceutical administration mistakes by 54.2 to 30.4%. This is crucial since the parents have been asked to provide a very little liquid dosage without a visual presentation or efficient syringe usage (Carroll et al., 2024). Decentralised home management increased risk without stronger communication and validation. Inequality between centralisation and decentralisation in this case helped in the mistake. In as much as policies were centralised, their local implementation was poor. According to the data provided by NHS safety reports, as many as 30 percent of medication errors are attributed to defects in communication between various care levels (NHS England, 2023). The implication of this is that neither centralised nor decentralised systems in their pure form would be adequate but that there should be integrated governance models.</w:t>
      </w:r>
    </w:p>
    <w:p w:rsidR="00000000" w:rsidDel="00000000" w:rsidP="00000000" w:rsidRDefault="00000000" w:rsidRPr="00000000" w14:paraId="0000006D">
      <w:pPr>
        <w:pStyle w:val="Heading3"/>
        <w:rPr/>
      </w:pPr>
      <w:bookmarkStart w:colFirst="0" w:colLast="0" w:name="_x03myhlx6mii" w:id="14"/>
      <w:bookmarkEnd w:id="14"/>
      <w:r w:rsidDel="00000000" w:rsidR="00000000" w:rsidRPr="00000000">
        <w:rPr>
          <w:rtl w:val="0"/>
        </w:rPr>
        <w:t xml:space="preserve">2.2.5 Critical evaluation: crisis management, decision-making, and accountability</w:t>
      </w:r>
    </w:p>
    <w:p w:rsidR="00000000" w:rsidDel="00000000" w:rsidP="00000000" w:rsidRDefault="00000000" w:rsidRPr="00000000" w14:paraId="0000006E">
      <w:pPr>
        <w:rPr/>
      </w:pPr>
      <w:r w:rsidDel="00000000" w:rsidR="00000000" w:rsidRPr="00000000">
        <w:rPr>
          <w:rtl w:val="0"/>
        </w:rPr>
        <w:t xml:space="preserve">Inequality between centralisation and decentralisation in this case helped in the mistake. In as much as policies were centralised, their local implementation was poor. According to the data provided by NHS safety reports, as many as 30 percent of medication errors are attributed to defects in communication between various care levels (NHS England, 2023). The implication of this is that neither centralised nor decentralised systems in their pure form would be adequate but that there should be integrated governance models.</w:t>
      </w:r>
    </w:p>
    <w:p w:rsidR="00000000" w:rsidDel="00000000" w:rsidP="00000000" w:rsidRDefault="00000000" w:rsidRPr="00000000" w14:paraId="0000006F">
      <w:pPr>
        <w:rPr/>
      </w:pPr>
      <w:r w:rsidDel="00000000" w:rsidR="00000000" w:rsidRPr="00000000">
        <w:rPr>
          <w:rtl w:val="0"/>
        </w:rPr>
        <w:t xml:space="preserve">The instance shows that centralisation without operational visibility and decentralisation without shared escalation fail in crises. Centralised RED-drug strategy failed to prevent primary care continuation. Frontline professionals were decentralised and may dispute the prescription, but the questioning channel was not durable. The rule-based system lacked real-time input, hence it failed to handle crises. Medication safety leaders should create a psychologically safe workplace, facilitate communication, and provide timely feedback. The research recommends flat hierarchy, clear communication, and robust reporting. These requirements were lacking here (Moureaud, Hertig and Weber, 2021). </w:t>
      </w:r>
    </w:p>
    <w:p w:rsidR="00000000" w:rsidDel="00000000" w:rsidP="00000000" w:rsidRDefault="00000000" w:rsidRPr="00000000" w14:paraId="00000070">
      <w:pPr>
        <w:rPr/>
      </w:pPr>
      <w:r w:rsidDel="00000000" w:rsidR="00000000" w:rsidRPr="00000000">
        <w:rPr>
          <w:rtl w:val="0"/>
        </w:rPr>
        <w:t xml:space="preserve">The case was operationally decentralised but weakly interconnected, and centralised policy did not move reliably between entities. The safest high-risk newborn medicine design would have central red drug control, technological controls, and decentralised professional controls to dispute, escalate, and stop dangerous prescriptions. Centralisation and decentralisation are not enough to assure patient safety; they must be connected by clear responsibility, information sharing, and quick escalation (Camacho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71">
      <w:pPr>
        <w:pStyle w:val="Heading2"/>
        <w:rPr/>
      </w:pPr>
      <w:bookmarkStart w:colFirst="0" w:colLast="0" w:name="_r8cjo1h7idb" w:id="15"/>
      <w:bookmarkEnd w:id="15"/>
      <w:r w:rsidDel="00000000" w:rsidR="00000000" w:rsidRPr="00000000">
        <w:rPr>
          <w:rtl w:val="0"/>
        </w:rPr>
        <w:t xml:space="preserve">2.3 Leadership Theories and Application to the Case Study </w:t>
      </w:r>
    </w:p>
    <w:p w:rsidR="00000000" w:rsidDel="00000000" w:rsidP="00000000" w:rsidRDefault="00000000" w:rsidRPr="00000000" w14:paraId="00000072">
      <w:pPr>
        <w:pStyle w:val="Heading3"/>
        <w:rPr/>
      </w:pPr>
      <w:bookmarkStart w:colFirst="0" w:colLast="0" w:name="_9d2trmmdqu7t" w:id="16"/>
      <w:bookmarkEnd w:id="16"/>
      <w:r w:rsidDel="00000000" w:rsidR="00000000" w:rsidRPr="00000000">
        <w:rPr>
          <w:rtl w:val="0"/>
        </w:rPr>
        <w:t xml:space="preserve">2.3.1 Leadership lens in this incident</w:t>
      </w:r>
    </w:p>
    <w:p w:rsidR="00000000" w:rsidDel="00000000" w:rsidP="00000000" w:rsidRDefault="00000000" w:rsidRPr="00000000" w14:paraId="00000073">
      <w:pPr>
        <w:rPr/>
      </w:pPr>
      <w:r w:rsidDel="00000000" w:rsidR="00000000" w:rsidRPr="00000000">
        <w:rPr>
          <w:rtl w:val="0"/>
        </w:rPr>
        <w:t xml:space="preserve">Instead of a prescription mistake, the case study is about drug route leadership failure. Hospital discharge, GP prescription, community pharmacy dispensing, and parental administration of the infant's morphine overdose required leadership to act across professional boundaries (NHS, 2023). Since health care is complex, dynamic, and dangerous, effective leaders must have vision, adaptability, emotional intelligence, and ethical integrity, according to recent evaluations. This applies because the situation was cross-boundary and required tight control and coordination (Singh </w:t>
      </w:r>
      <w:r w:rsidDel="00000000" w:rsidR="00000000" w:rsidRPr="00000000">
        <w:rPr>
          <w:i w:val="1"/>
          <w:iCs w:val="1"/>
          <w:rtl w:val="0"/>
        </w:rPr>
        <w:t xml:space="preserve">et al</w:t>
      </w:r>
      <w:r w:rsidDel="00000000" w:rsidR="00000000" w:rsidRPr="00000000">
        <w:rPr>
          <w:rtl w:val="0"/>
        </w:rPr>
        <w:t xml:space="preserve">., 2024). </w:t>
      </w:r>
    </w:p>
    <w:p w:rsidR="00000000" w:rsidDel="00000000" w:rsidP="00000000" w:rsidRDefault="00000000" w:rsidRPr="00000000" w14:paraId="00000074">
      <w:pPr>
        <w:rPr>
          <w:b w:val="1"/>
          <w:bCs w:val="1"/>
        </w:rPr>
      </w:pPr>
      <w:r w:rsidDel="00000000" w:rsidR="00000000" w:rsidRPr="00000000">
        <w:rPr>
          <w:b w:val="1"/>
          <w:bCs w:val="1"/>
          <w:rtl w:val="0"/>
        </w:rPr>
        <w:t xml:space="preserve">2.3.2 Great Man and trait approaches: too heroic for a systems failure</w:t>
      </w:r>
    </w:p>
    <w:p w:rsidR="00000000" w:rsidDel="00000000" w:rsidP="00000000" w:rsidRDefault="00000000" w:rsidRPr="00000000" w14:paraId="00000075">
      <w:pPr>
        <w:rPr/>
      </w:pPr>
      <w:r w:rsidDel="00000000" w:rsidR="00000000" w:rsidRPr="00000000">
        <w:rPr>
          <w:rtl w:val="0"/>
        </w:rPr>
        <w:t xml:space="preserve">Trait and great man theories become fail. They think strength, confidence, decisiveness, and authority are key to leadership success. The fall was shared by many groups, thus no great leader could have saved it. The 2024 healthcare leadership assessment includes Great Man and characteristic theory, but it claims that modern healthcare leadership needs flexibility and ethics rather than a single dominating leader (Singh et al., 2024). It matters because the accident was caused by inadequate communication, escalation, and documentation, not a single unique individual (Sikalgar </w:t>
      </w:r>
      <w:r w:rsidDel="00000000" w:rsidR="00000000" w:rsidRPr="00000000">
        <w:rPr>
          <w:i w:val="1"/>
          <w:iCs w:val="1"/>
          <w:rtl w:val="0"/>
        </w:rPr>
        <w:t xml:space="preserve">et al</w:t>
      </w:r>
      <w:r w:rsidDel="00000000" w:rsidR="00000000" w:rsidRPr="00000000">
        <w:rPr>
          <w:rtl w:val="0"/>
        </w:rPr>
        <w:t xml:space="preserve">., 2025). </w:t>
      </w:r>
    </w:p>
    <w:p w:rsidR="00000000" w:rsidDel="00000000" w:rsidP="00000000" w:rsidRDefault="00000000" w:rsidRPr="00000000" w14:paraId="00000076">
      <w:pPr>
        <w:jc w:val="both"/>
        <w:rPr>
          <w:rFonts w:ascii="SimSun" w:cs="SimSun" w:eastAsia="SimSun" w:hAnsi="SimSun"/>
          <w:sz w:val="24"/>
          <w:szCs w:val="24"/>
        </w:rPr>
      </w:pPr>
      <w:r w:rsidDel="00000000" w:rsidR="00000000" w:rsidRPr="00000000">
        <w:rPr>
          <w:rFonts w:ascii="SimSun" w:cs="SimSun" w:eastAsia="SimSun" w:hAnsi="SimSun"/>
          <w:sz w:val="24"/>
          <w:szCs w:val="24"/>
        </w:rPr>
        <w:drawing>
          <wp:inline distB="0" distT="0" distL="114300" distR="114300">
            <wp:extent cx="5723890" cy="3220085"/>
            <wp:effectExtent b="0" l="0" r="0" t="0"/>
            <wp:docPr descr="IMG_256" id="2" name="image2.png"/>
            <a:graphic>
              <a:graphicData uri="http://schemas.openxmlformats.org/drawingml/2006/picture">
                <pic:pic>
                  <pic:nvPicPr>
                    <pic:cNvPr descr="IMG_256" id="0" name="image2.png"/>
                    <pic:cNvPicPr preferRelativeResize="0"/>
                  </pic:nvPicPr>
                  <pic:blipFill>
                    <a:blip r:embed="rId8"/>
                    <a:srcRect b="0" l="0" r="0" t="0"/>
                    <a:stretch>
                      <a:fillRect/>
                    </a:stretch>
                  </pic:blipFill>
                  <pic:spPr>
                    <a:xfrm>
                      <a:off x="0" y="0"/>
                      <a:ext cx="5723890" cy="3220085"/>
                    </a:xfrm>
                    <a:prstGeom prst="rect"/>
                    <a:ln/>
                  </pic:spPr>
                </pic:pic>
              </a:graphicData>
            </a:graphic>
          </wp:inline>
        </w:drawing>
      </w:r>
      <w:r w:rsidDel="00000000" w:rsidR="00000000" w:rsidRPr="00000000">
        <w:rPr>
          <w:rtl w:val="0"/>
        </w:rPr>
      </w:r>
    </w:p>
    <w:p w:rsidR="00000000" w:rsidDel="00000000" w:rsidP="00000000" w:rsidRDefault="00000000" w:rsidRPr="00000000" w14:paraId="0000007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Figure 2: Great Man theory of leadership</w:t>
      </w:r>
    </w:p>
    <w:p w:rsidR="00000000" w:rsidDel="00000000" w:rsidP="00000000" w:rsidRDefault="00000000" w:rsidRPr="00000000" w14:paraId="000000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w:t>
      </w:r>
      <w:r w:rsidDel="00000000" w:rsidR="00000000" w:rsidRPr="00000000">
        <w:rPr>
          <w:rFonts w:ascii="Arial" w:cs="Arial" w:eastAsia="Arial" w:hAnsi="Arial"/>
          <w:i w:val="0"/>
          <w:iCs w:val="0"/>
          <w:smallCaps w:val="0"/>
          <w:color w:val="000000"/>
          <w:sz w:val="22"/>
          <w:szCs w:val="22"/>
          <w:rtl w:val="0"/>
        </w:rPr>
        <w:t xml:space="preserve">Collidu, 2022)</w:t>
      </w:r>
      <w:r w:rsidDel="00000000" w:rsidR="00000000" w:rsidRPr="00000000">
        <w:rPr>
          <w:rtl w:val="0"/>
        </w:rPr>
      </w:r>
    </w:p>
    <w:p w:rsidR="00000000" w:rsidDel="00000000" w:rsidP="00000000" w:rsidRDefault="00000000" w:rsidRPr="00000000" w14:paraId="00000079">
      <w:pPr>
        <w:rPr>
          <w:b w:val="1"/>
          <w:bCs w:val="1"/>
        </w:rPr>
      </w:pPr>
      <w:r w:rsidDel="00000000" w:rsidR="00000000" w:rsidRPr="00000000">
        <w:rPr>
          <w:b w:val="1"/>
          <w:bCs w:val="1"/>
          <w:rtl w:val="0"/>
        </w:rPr>
        <w:t xml:space="preserve">2.3.3 Behavioural and transactional leadership: necessary, but not enough</w:t>
      </w:r>
    </w:p>
    <w:p w:rsidR="00000000" w:rsidDel="00000000" w:rsidP="00000000" w:rsidRDefault="00000000" w:rsidRPr="00000000" w14:paraId="0000007A">
      <w:pPr>
        <w:rPr/>
      </w:pPr>
      <w:r w:rsidDel="00000000" w:rsidR="00000000" w:rsidRPr="00000000">
        <w:rPr>
          <w:rtl w:val="0"/>
        </w:rPr>
        <w:t xml:space="preserve">The contrast between people-focused and task-focused leadership is explained by behavioural theory. High task-focused, low people-centered checking. The discharge narrative, prescription, and medication were provided, but the human procedures that should have questioned the mismatch failed. A transactional method would have provided immediate control due to its concentration on rules, checks, and compliance. In high-risk medications like morphine, simple recommendations, multiple verifications, and escalation routes should be avoided. Transactional leadership is connected with procedural and short-term error-reduction-oriented safety culture, but less effective at changing basic norms and learning, according to a recent BMC systematic review. This critique exactly fits the current situation: the system has RED drug restrictions, but they weren't enforced (Althobaiti, 2026). </w:t>
      </w:r>
    </w:p>
    <w:p w:rsidR="00000000" w:rsidDel="00000000" w:rsidP="00000000" w:rsidRDefault="00000000" w:rsidRPr="00000000" w14:paraId="0000007B">
      <w:pPr>
        <w:rPr/>
      </w:pPr>
      <w:r w:rsidDel="00000000" w:rsidR="00000000" w:rsidRPr="00000000">
        <w:rPr>
          <w:rtl w:val="0"/>
        </w:rPr>
        <w:t xml:space="preserve">The instance may also indicate reactive leadership. Leaders intervened after the chain of mistakes had evolved. That is in accordance with a command-based strategy that focuses on resolving incidents rather than empowering staff to avoid harmful conduct early on. </w:t>
      </w:r>
    </w:p>
    <w:p w:rsidR="00000000" w:rsidDel="00000000" w:rsidP="00000000" w:rsidRDefault="00000000" w:rsidRPr="00000000" w14:paraId="0000007C">
      <w:pPr>
        <w:rPr>
          <w:b w:val="1"/>
          <w:bCs w:val="1"/>
        </w:rPr>
      </w:pPr>
      <w:r w:rsidDel="00000000" w:rsidR="00000000" w:rsidRPr="00000000">
        <w:rPr>
          <w:b w:val="1"/>
          <w:bCs w:val="1"/>
          <w:rtl w:val="0"/>
        </w:rPr>
        <w:t xml:space="preserve">2.3.4 Transformational, shared, and emotionally intelligent leadership: strongest for improvement</w:t>
      </w:r>
    </w:p>
    <w:p w:rsidR="00000000" w:rsidDel="00000000" w:rsidP="00000000" w:rsidRDefault="00000000" w:rsidRPr="00000000" w14:paraId="0000007D">
      <w:pPr>
        <w:rPr/>
      </w:pPr>
      <w:r w:rsidDel="00000000" w:rsidR="00000000" w:rsidRPr="00000000">
        <w:rPr>
          <w:rtl w:val="0"/>
        </w:rPr>
        <w:t xml:space="preserve">Transformational leadership is best for this case's progress. It emphasises purpose, motivation, empowerment, and a culture where personnel learns from errors rather than hiding them. A systematic assessment of nurse leadership evidence found that transformational leadership improved patient safety culture, collaboration, open communication, organisational learning, and mistake and near miss reporting. Another research found that transformative leadership caused bad patient events and positive nurse-assessed quality of care. This is relevant since the case failed in cooperation, communication, and learning in settings (Ystaas et al., 2023). </w:t>
      </w:r>
    </w:p>
    <w:p w:rsidR="00000000" w:rsidDel="00000000" w:rsidP="00000000" w:rsidRDefault="00000000" w:rsidRPr="00000000" w14:paraId="0000007E">
      <w:pPr>
        <w:jc w:val="center"/>
        <w:rPr>
          <w:rFonts w:ascii="SimSun" w:cs="SimSun" w:eastAsia="SimSun" w:hAnsi="SimSun"/>
          <w:sz w:val="24"/>
          <w:szCs w:val="24"/>
        </w:rPr>
      </w:pPr>
      <w:r w:rsidDel="00000000" w:rsidR="00000000" w:rsidRPr="00000000">
        <w:rPr>
          <w:rFonts w:ascii="SimSun" w:cs="SimSun" w:eastAsia="SimSun" w:hAnsi="SimSun"/>
          <w:sz w:val="24"/>
          <w:szCs w:val="24"/>
        </w:rPr>
        <w:drawing>
          <wp:inline distB="0" distT="0" distL="114300" distR="114300">
            <wp:extent cx="4403725" cy="3248025"/>
            <wp:effectExtent b="0" l="0" r="0" t="0"/>
            <wp:docPr descr="IMG_256" id="4" name="image4.png"/>
            <a:graphic>
              <a:graphicData uri="http://schemas.openxmlformats.org/drawingml/2006/picture">
                <pic:pic>
                  <pic:nvPicPr>
                    <pic:cNvPr descr="IMG_256" id="0" name="image4.png"/>
                    <pic:cNvPicPr preferRelativeResize="0"/>
                  </pic:nvPicPr>
                  <pic:blipFill>
                    <a:blip r:embed="rId9"/>
                    <a:srcRect b="0" l="0" r="0" t="0"/>
                    <a:stretch>
                      <a:fillRect/>
                    </a:stretch>
                  </pic:blipFill>
                  <pic:spPr>
                    <a:xfrm>
                      <a:off x="0" y="0"/>
                      <a:ext cx="4403725" cy="3248025"/>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jc w:val="center"/>
        <w:rPr>
          <w:rFonts w:ascii="Arial" w:cs="Arial" w:eastAsia="Arial" w:hAnsi="Arial"/>
          <w:b w:val="1"/>
          <w:bCs w:val="1"/>
          <w:sz w:val="24"/>
          <w:szCs w:val="24"/>
        </w:rPr>
      </w:pPr>
      <w:bookmarkStart w:colFirst="0" w:colLast="0" w:name="_q828w0a679yi" w:id="17"/>
      <w:bookmarkEnd w:id="17"/>
      <w:r w:rsidDel="00000000" w:rsidR="00000000" w:rsidRPr="00000000">
        <w:rPr>
          <w:rFonts w:ascii="Arial" w:cs="Arial" w:eastAsia="Arial" w:hAnsi="Arial"/>
          <w:b w:val="1"/>
          <w:bCs w:val="1"/>
          <w:sz w:val="24"/>
          <w:szCs w:val="24"/>
          <w:rtl w:val="0"/>
        </w:rPr>
        <w:t xml:space="preserve">Figure </w:t>
      </w:r>
      <w:r w:rsidDel="00000000" w:rsidR="00000000" w:rsidRPr="00000000">
        <w:rPr>
          <w:b w:val="1"/>
          <w:bCs w:val="1"/>
          <w:sz w:val="24"/>
          <w:szCs w:val="24"/>
          <w:rtl w:val="0"/>
        </w:rPr>
        <w:t xml:space="preserve">3</w:t>
      </w:r>
      <w:r w:rsidDel="00000000" w:rsidR="00000000" w:rsidRPr="00000000">
        <w:rPr>
          <w:rFonts w:ascii="Arial" w:cs="Arial" w:eastAsia="Arial" w:hAnsi="Arial"/>
          <w:b w:val="1"/>
          <w:bCs w:val="1"/>
          <w:sz w:val="24"/>
          <w:szCs w:val="24"/>
          <w:rtl w:val="0"/>
        </w:rPr>
        <w:t xml:space="preserve">: Transformational leadeship</w:t>
      </w:r>
    </w:p>
    <w:p w:rsidR="00000000" w:rsidDel="00000000" w:rsidP="00000000" w:rsidRDefault="00000000" w:rsidRPr="00000000" w14:paraId="00000080">
      <w:pPr>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Source: </w:t>
      </w:r>
      <w:r w:rsidDel="00000000" w:rsidR="00000000" w:rsidRPr="00000000">
        <w:rPr>
          <w:sz w:val="24"/>
          <w:szCs w:val="24"/>
          <w:rtl w:val="0"/>
        </w:rPr>
        <w:t xml:space="preserve">(</w:t>
      </w:r>
      <w:r w:rsidDel="00000000" w:rsidR="00000000" w:rsidRPr="00000000">
        <w:rPr>
          <w:rFonts w:ascii="Arial" w:cs="Arial" w:eastAsia="Arial" w:hAnsi="Arial"/>
          <w:i w:val="0"/>
          <w:iCs w:val="0"/>
          <w:smallCaps w:val="0"/>
          <w:color w:val="000000"/>
          <w:sz w:val="24"/>
          <w:szCs w:val="24"/>
          <w:rtl w:val="0"/>
        </w:rPr>
        <w:t xml:space="preserve">Nurse, 2018)</w:t>
      </w: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Since this issue crossed professional boundaries, shared or dispersed leadership is important. In a group of 160 nurses (2024), shared leadership was 3.72 and patient safety activities were 4.28. Shared leadership most affected patient safety activities. That demonstrates that distributing power wisely among specialists motivated to confront, improve, and stop harmful behaviours makes such an event less risky (Kim and Yu, 2024). </w:t>
      </w:r>
    </w:p>
    <w:p w:rsidR="00000000" w:rsidDel="00000000" w:rsidP="00000000" w:rsidRDefault="00000000" w:rsidRPr="00000000" w14:paraId="00000082">
      <w:pPr>
        <w:rPr/>
      </w:pPr>
      <w:r w:rsidDel="00000000" w:rsidR="00000000" w:rsidRPr="00000000">
        <w:rPr>
          <w:rtl w:val="0"/>
        </w:rPr>
        <w:t xml:space="preserve">Emotionally savvy leadership would have helped. In a meta-analysis of 23 studies from 2025, emotional intelligence training was found to improve emotional intelligence (16 trials, 1,155 participants) and reduce stress and improve communication. Emotionally intelligent leadership would have helped workers speak sooner, ask more precise questions, and handle uncertainty without assurances. It especially pertains to parents not being adequately taught to identify strength and volume (Kawashima et al., 2025). </w:t>
      </w:r>
    </w:p>
    <w:p w:rsidR="00000000" w:rsidDel="00000000" w:rsidP="00000000" w:rsidRDefault="00000000" w:rsidRPr="00000000" w14:paraId="00000083">
      <w:pPr>
        <w:rPr/>
      </w:pPr>
      <w:r w:rsidDel="00000000" w:rsidR="00000000" w:rsidRPr="00000000">
        <w:rPr>
          <w:rtl w:val="0"/>
        </w:rPr>
        <w:t xml:space="preserve">The leadership style was unsuitable. A transactional method was needed to immediately regulate a high-risk drug, but not enough. The event shows a reactive system that relies too much on documentation and little on challenge, escalation, and shared accountability. The best response would have been to include situational leadership during the crisis, transformational leadership during learning and change, shared leadership during cross-boundary safety, and emotionally intelligent leadership to improve communication and confidence to speak out.</w:t>
      </w:r>
    </w:p>
    <w:p w:rsidR="00000000" w:rsidDel="00000000" w:rsidP="00000000" w:rsidRDefault="00000000" w:rsidRPr="00000000" w14:paraId="00000084">
      <w:pPr>
        <w:pStyle w:val="Heading2"/>
        <w:rPr/>
      </w:pPr>
      <w:bookmarkStart w:colFirst="0" w:colLast="0" w:name="_a1xl0bp9ikz6" w:id="18"/>
      <w:bookmarkEnd w:id="18"/>
      <w:r w:rsidDel="00000000" w:rsidR="00000000" w:rsidRPr="00000000">
        <w:rPr>
          <w:rtl w:val="0"/>
        </w:rPr>
        <w:t xml:space="preserve">2.4 Improvement, and Lessons Learned</w:t>
      </w:r>
    </w:p>
    <w:p w:rsidR="00000000" w:rsidDel="00000000" w:rsidP="00000000" w:rsidRDefault="00000000" w:rsidRPr="00000000" w14:paraId="00000085">
      <w:pPr>
        <w:pStyle w:val="Heading3"/>
        <w:rPr/>
      </w:pPr>
      <w:bookmarkStart w:colFirst="0" w:colLast="0" w:name="_up2pk4ay1djc" w:id="19"/>
      <w:bookmarkEnd w:id="19"/>
      <w:r w:rsidDel="00000000" w:rsidR="00000000" w:rsidRPr="00000000">
        <w:rPr>
          <w:rtl w:val="0"/>
        </w:rPr>
        <w:t xml:space="preserve">2.4.1 Leadership and governance: how the failure happened</w:t>
      </w:r>
    </w:p>
    <w:p w:rsidR="00000000" w:rsidDel="00000000" w:rsidP="00000000" w:rsidRDefault="00000000" w:rsidRPr="00000000" w14:paraId="00000086">
      <w:pPr>
        <w:rPr/>
      </w:pPr>
      <w:r w:rsidDel="00000000" w:rsidR="00000000" w:rsidRPr="00000000">
        <w:rPr>
          <w:rtl w:val="0"/>
        </w:rPr>
        <w:t xml:space="preserve">The case demonstrates that leadership and governance were in contact with each other in such a manner that enabled a medication error that could have been prevented to flow through the entire care pathway. The governance structure was well on paper in that morphine sulphate 100 micrograms/ml was a RED / only drug in hospitals and the case study clearly indicates that it ought to have been left at secondary care. However, the real system permitted a handwritten discharge summary, GP prescription, community dispensing, and home administration to be in agreement with the wrong strength. It implies that there was governance but it was not leadership that converted into sound front-line controls. </w:t>
      </w:r>
    </w:p>
    <w:p w:rsidR="00000000" w:rsidDel="00000000" w:rsidP="00000000" w:rsidRDefault="00000000" w:rsidRPr="00000000" w14:paraId="00000087">
      <w:pPr>
        <w:rPr/>
      </w:pPr>
      <w:r w:rsidDel="00000000" w:rsidR="00000000" w:rsidRPr="00000000">
        <w:rPr>
          <w:rtl w:val="0"/>
        </w:rPr>
        <w:t xml:space="preserve">There is a larger national and global issue in the case as well. According to WHO, the objective of the Medication Without Harm challenge is to decrease severe preventable medication-related harm by 50 percent, and the transitions of care are one of the important areas of action. The patient safety strategy of NHS England mentions that approximations are 237 million medication errors in England annually, of which 66 million are clinically significant errors (WHO, 2022). Medication safety is an issue of continuous improvement, as explained by the same NHS evidence base, and not an issue of compliance. It implies that the overdose of the infant was not merely a local failure, but a foreseeable form of failure in the system that posed a high risk and was not hardened to the extent where the care was transferred (NHS, 2019). </w:t>
      </w:r>
    </w:p>
    <w:p w:rsidR="00000000" w:rsidDel="00000000" w:rsidP="00000000" w:rsidRDefault="00000000" w:rsidRPr="00000000" w14:paraId="00000088">
      <w:pPr>
        <w:pStyle w:val="Heading3"/>
        <w:rPr/>
      </w:pPr>
      <w:bookmarkStart w:colFirst="0" w:colLast="0" w:name="_eb7sp21dd66w" w:id="20"/>
      <w:bookmarkEnd w:id="20"/>
      <w:r w:rsidDel="00000000" w:rsidR="00000000" w:rsidRPr="00000000">
        <w:rPr>
          <w:rtl w:val="0"/>
        </w:rPr>
        <w:t xml:space="preserve">2.4.2 Missed opportunities in the pathway</w:t>
      </w:r>
    </w:p>
    <w:p w:rsidR="00000000" w:rsidDel="00000000" w:rsidP="00000000" w:rsidRDefault="00000000" w:rsidRPr="00000000" w14:paraId="00000089">
      <w:pPr>
        <w:rPr/>
      </w:pPr>
      <w:r w:rsidDel="00000000" w:rsidR="00000000" w:rsidRPr="00000000">
        <w:rPr>
          <w:rtl w:val="0"/>
        </w:rPr>
        <w:t xml:space="preserve">There are a number of opportunities that are missed. To begin with, the discharge summary was not supposed to be in an electronic format, but should have been standardised and not easily misread. Both WHO and recent transition-of-care literature focus on the fact that medication harm is particularly prone in incomplete or delayed discharge information, and suggest that timely discharge summaries, medication reconciliation, and improved information exchange at transitions. Here, the summary was written by hand, and the branding and abbreviations that were employed only added to the confusion and did not help to decrease it (Elliott </w:t>
      </w:r>
      <w:r w:rsidDel="00000000" w:rsidR="00000000" w:rsidRPr="00000000">
        <w:rPr>
          <w:i w:val="1"/>
          <w:iCs w:val="1"/>
          <w:rtl w:val="0"/>
        </w:rPr>
        <w:t xml:space="preserve">et al</w:t>
      </w:r>
      <w:r w:rsidDel="00000000" w:rsidR="00000000" w:rsidRPr="00000000">
        <w:rPr>
          <w:rtl w:val="0"/>
        </w:rPr>
        <w:t xml:space="preserve">., 2024). </w:t>
      </w:r>
    </w:p>
    <w:p w:rsidR="00000000" w:rsidDel="00000000" w:rsidP="00000000" w:rsidRDefault="00000000" w:rsidRPr="00000000" w14:paraId="0000008A">
      <w:pPr>
        <w:rPr/>
      </w:pPr>
      <w:r w:rsidDel="00000000" w:rsidR="00000000" w:rsidRPr="00000000">
        <w:rPr>
          <w:rtl w:val="0"/>
        </w:rPr>
        <w:t xml:space="preserve">The parents were not properly helped to be able to distinguish between dose strength and volume. According to the case study, no syringe was availed, and the parents proceeded to administer 1.9 ml of medicine although the required dose was much lower. This is precisely the type of mistake that the teach-back and show-back are meant to avoid. The discharge trial provided above is particularly applicable as it involved the demonstration of discharge counselling by liquid medication dosing and structured teach-back/show-back, which was more successful than the conventional discharge counselling (NHS, 2023). This is an indication of the fact that the failure was not only clinical but also educational: the family was not prepared with a safe self-administration model. </w:t>
      </w:r>
    </w:p>
    <w:p w:rsidR="00000000" w:rsidDel="00000000" w:rsidP="00000000" w:rsidRDefault="00000000" w:rsidRPr="00000000" w14:paraId="0000008B">
      <w:pPr>
        <w:pStyle w:val="Heading3"/>
        <w:rPr/>
      </w:pPr>
      <w:bookmarkStart w:colFirst="0" w:colLast="0" w:name="_owwm2ws5lmcj" w:id="21"/>
      <w:bookmarkEnd w:id="21"/>
      <w:r w:rsidDel="00000000" w:rsidR="00000000" w:rsidRPr="00000000">
        <w:rPr>
          <w:rtl w:val="0"/>
        </w:rPr>
        <w:t xml:space="preserve">2.4.3 Evidence-based solutions</w:t>
      </w:r>
    </w:p>
    <w:p w:rsidR="00000000" w:rsidDel="00000000" w:rsidP="00000000" w:rsidRDefault="00000000" w:rsidRPr="00000000" w14:paraId="0000008C">
      <w:pPr>
        <w:rPr/>
      </w:pPr>
      <w:r w:rsidDel="00000000" w:rsidR="00000000" w:rsidRPr="00000000">
        <w:rPr>
          <w:rtl w:val="0"/>
        </w:rPr>
        <w:t xml:space="preserve">The best way out is hybrid safety model: the high-risk rules should be centralised, but the authority to interrupt the process should be decentralised. According to the medication-safety framework provided by WHO, high-risk situations, and transitions of care are the most critical areas in the plan, and this implies that the organisation must have applied an electronic red-drug flag, mandatory pharmacist review, and a hard stop on community continuation of the infant morphine preparation (WHO, 2022). The literature on NHS transition-of-care guidance has also suggested timely and accurate discharges summaries, medication reconciliation during admission and discharge, and cross-sector coordination. These are not idealistic instruments of governance. </w:t>
      </w:r>
    </w:p>
    <w:p w:rsidR="00000000" w:rsidDel="00000000" w:rsidP="00000000" w:rsidRDefault="00000000" w:rsidRPr="00000000" w14:paraId="0000008D">
      <w:pPr>
        <w:rPr/>
      </w:pPr>
      <w:r w:rsidDel="00000000" w:rsidR="00000000" w:rsidRPr="00000000">
        <w:rPr>
          <w:rtl w:val="0"/>
        </w:rPr>
        <w:t xml:space="preserve">The style of leadership should also be altered. The case reveals the command-oriented and reactive culture as opposed to the proactive and learning culture. Recent findings suggest that transformational leadership has a positive relationship with the patient safety culture and practices, whereas the shared leadership endorses patient safety practices since it provides frontline professionals with the authority and the courage to challenge unsafe decisions (Hamdan et al., 2024). This is important here as the community pharmacist was able to identify an issue, but the system failed to give the issue the necessary authority to prevent the prescription. The leadership model would have been more distributed and thus enabled the easy escalation that was less reliant on informal reassurance (Kim and Yu, 2024).</w:t>
      </w:r>
    </w:p>
    <w:p w:rsidR="00000000" w:rsidDel="00000000" w:rsidP="00000000" w:rsidRDefault="00000000" w:rsidRPr="00000000" w14:paraId="0000008E">
      <w:pPr>
        <w:rPr/>
      </w:pPr>
      <w:r w:rsidDel="00000000" w:rsidR="00000000" w:rsidRPr="00000000">
        <w:rPr>
          <w:rtl w:val="0"/>
        </w:rPr>
        <w:t xml:space="preserve">Another enhancement is that of emotionally intelligent leadership. Studies of emotional intelligence and communication in the nursing field demonstrate that emotional intelligence has a strong correlation with the quality of communication, and communication skills are more powerful to achieve patient outcomes. The leadership, in this case, that is emotionally intelligent would have assisted the staff to take their time, pose direct questions, question vague instructions, and assist panic-stricken parents without presuming that they already know the dose. Such leadership is of particular significance to neonatal medicines, where even minor mistakes have enormous consequences (Ghrayeb </w:t>
      </w:r>
      <w:r w:rsidDel="00000000" w:rsidR="00000000" w:rsidRPr="00000000">
        <w:rPr>
          <w:i w:val="1"/>
          <w:iCs w:val="1"/>
          <w:rtl w:val="0"/>
        </w:rPr>
        <w:t xml:space="preserve">et al</w:t>
      </w:r>
      <w:r w:rsidDel="00000000" w:rsidR="00000000" w:rsidRPr="00000000">
        <w:rPr>
          <w:rtl w:val="0"/>
        </w:rPr>
        <w:t xml:space="preserve">., 2025). </w:t>
      </w:r>
    </w:p>
    <w:p w:rsidR="00000000" w:rsidDel="00000000" w:rsidP="00000000" w:rsidRDefault="00000000" w:rsidRPr="00000000" w14:paraId="0000008F">
      <w:pPr>
        <w:pStyle w:val="Heading2"/>
        <w:rPr/>
      </w:pPr>
      <w:bookmarkStart w:colFirst="0" w:colLast="0" w:name="_bmiut9joj4l2" w:id="22"/>
      <w:bookmarkEnd w:id="22"/>
      <w:r w:rsidDel="00000000" w:rsidR="00000000" w:rsidRPr="00000000">
        <w:rPr>
          <w:rtl w:val="0"/>
        </w:rPr>
        <w:t xml:space="preserve">2.5 Recommendations</w:t>
      </w:r>
    </w:p>
    <w:p w:rsidR="00000000" w:rsidDel="00000000" w:rsidP="00000000" w:rsidRDefault="00000000" w:rsidRPr="00000000" w14:paraId="00000090">
      <w:pPr>
        <w:rPr/>
      </w:pPr>
      <w:r w:rsidDel="00000000" w:rsidR="00000000" w:rsidRPr="00000000">
        <w:rPr>
          <w:rtl w:val="0"/>
        </w:rPr>
        <w:t xml:space="preserve">The organisation should implement a system-wide, evidence-based, and improvement approach that incorporates leadership, governance, and clinical practice to avoid the recurrence of the similar medication errors. The initial area of concern is to enhance the medication safety during the transition of care, especially at discharge. Hand written records should be eliminated through handwritten discharge summaries and have to have standardised fields like full drug name, strength, dose in both units (micrograms/mg) and volume (ml), and clear instructions. One should activate automated warnings and prescribing control over high-risk medications like RED drugs so that they cannot be maintained in primary care unless given specific permission by a specialist. This goes directly to the areas of communication and governance gaps that were identified in the case (NHS, 2023).  </w:t>
      </w:r>
    </w:p>
    <w:p w:rsidR="00000000" w:rsidDel="00000000" w:rsidP="00000000" w:rsidRDefault="00000000" w:rsidRPr="00000000" w14:paraId="00000091">
      <w:pPr>
        <w:rPr/>
      </w:pPr>
      <w:r w:rsidDel="00000000" w:rsidR="00000000" w:rsidRPr="00000000">
        <w:rPr>
          <w:rtl w:val="0"/>
        </w:rPr>
        <w:t xml:space="preserve">As regards leadership, blended leadership should be adopted by the organisation, which is transformational, situational, and distributed leadership (Karam, Alderbashi and Salman, 2024). A robust patient safety culture is necessary to be developed with the help of transformational leadership, which prompts the staff to focus on learning, openness, and constant improvement. The responses to a high-risk clinical situation should be guided by situational leadership where one has a clear direction and can make decisions quickly when their safety is at risk. Multi-agency pathways (hospital, GP, pharmacy) are crucial as all professionals can become responsible, challenge decisions, and raise concerns without any hesitations with the help of distributed leadership (Graham </w:t>
      </w:r>
      <w:r w:rsidDel="00000000" w:rsidR="00000000" w:rsidRPr="00000000">
        <w:rPr>
          <w:i w:val="1"/>
          <w:iCs w:val="1"/>
          <w:rtl w:val="0"/>
        </w:rPr>
        <w:t xml:space="preserve">et al</w:t>
      </w:r>
      <w:r w:rsidDel="00000000" w:rsidR="00000000" w:rsidRPr="00000000">
        <w:rPr>
          <w:rtl w:val="0"/>
        </w:rPr>
        <w:t xml:space="preserve">., 2025). This is a combination of control and collaboration.</w:t>
      </w:r>
    </w:p>
    <w:p w:rsidR="00000000" w:rsidDel="00000000" w:rsidP="00000000" w:rsidRDefault="00000000" w:rsidRPr="00000000" w14:paraId="00000092">
      <w:pPr>
        <w:rPr/>
      </w:pPr>
      <w:r w:rsidDel="00000000" w:rsidR="00000000" w:rsidRPr="00000000">
        <w:rPr>
          <w:rtl w:val="0"/>
        </w:rPr>
        <w:t xml:space="preserve">The accountability structures and integrated digital systems should be put in place to strengthen the governance systems. There should be a compulsory medicines reconciliation procedure that takes place at discharge and GP review that is backed by pharmacist-led verifications (Rhamadhani and Edeh, 2024). There should be a standard rather than optional direct communication pathways between the GPs and the pharmacists (e.g. clinician-to-clinician calls when high-risk prescriptions are involved). Also, the clinical decision support systems (CDSS) are to be incorporated into the prescribing systems to indicate inconsistencies in doses, abnormal volumes, or risky drugs.</w:t>
      </w:r>
    </w:p>
    <w:p w:rsidR="00000000" w:rsidDel="00000000" w:rsidP="00000000" w:rsidRDefault="00000000" w:rsidRPr="00000000" w14:paraId="00000093">
      <w:pPr>
        <w:rPr/>
      </w:pPr>
      <w:r w:rsidDel="00000000" w:rsidR="00000000" w:rsidRPr="00000000">
        <w:rPr>
          <w:rtl w:val="0"/>
        </w:rPr>
        <w:t xml:space="preserve">In order to increase technical efficiency, the organisation is advised to invest in the digital prescribing systems, automation and standardized protocols that minimise variability and human error. The allocation of resources to achieve allocative efficiency can be done by providing the right resources, e.g. having trained pharmacists, 1 ml oral syringes when administering medication to the children, and time allocated to counsel patients. These are some of the measures taken to make sure that the resources used are effectively used to maximise the patient safety outcomes.</w:t>
      </w:r>
    </w:p>
    <w:p w:rsidR="00000000" w:rsidDel="00000000" w:rsidP="00000000" w:rsidRDefault="00000000" w:rsidRPr="00000000" w14:paraId="00000094">
      <w:pPr>
        <w:rPr/>
      </w:pPr>
      <w:r w:rsidDel="00000000" w:rsidR="00000000" w:rsidRPr="00000000">
        <w:rPr>
          <w:rtl w:val="0"/>
        </w:rPr>
        <w:t xml:space="preserve">Lastly, co-production and engagement of stakeholders is needed. There should be the participation of the parents and the caregivers by clear counselling, teach-back methods and demonstration of administering the medicine (Vargas </w:t>
      </w:r>
      <w:r w:rsidDel="00000000" w:rsidR="00000000" w:rsidRPr="00000000">
        <w:rPr>
          <w:i w:val="1"/>
          <w:iCs w:val="1"/>
          <w:rtl w:val="0"/>
        </w:rPr>
        <w:t xml:space="preserve">et al</w:t>
      </w:r>
      <w:r w:rsidDel="00000000" w:rsidR="00000000" w:rsidRPr="00000000">
        <w:rPr>
          <w:rtl w:val="0"/>
        </w:rPr>
        <w:t xml:space="preserve">., 2022). The process of involving patients as partners in care enhances the process of getting to know and minimizing the chances of errors when at home.</w:t>
      </w:r>
    </w:p>
    <w:p w:rsidR="00000000" w:rsidDel="00000000" w:rsidP="00000000" w:rsidRDefault="00000000" w:rsidRPr="00000000" w14:paraId="00000095">
      <w:pPr>
        <w:pStyle w:val="Heading1"/>
        <w:rPr/>
      </w:pPr>
      <w:bookmarkStart w:colFirst="0" w:colLast="0" w:name="_3h2dpk1dug74" w:id="23"/>
      <w:bookmarkEnd w:id="23"/>
      <w:r w:rsidDel="00000000" w:rsidR="00000000" w:rsidRPr="00000000">
        <w:rPr>
          <w:rtl w:val="0"/>
        </w:rPr>
        <w:t xml:space="preserve">3.0 Conclusion</w:t>
      </w:r>
    </w:p>
    <w:p w:rsidR="00000000" w:rsidDel="00000000" w:rsidP="00000000" w:rsidRDefault="00000000" w:rsidRPr="00000000" w14:paraId="00000096">
      <w:pPr>
        <w:rPr/>
      </w:pPr>
      <w:r w:rsidDel="00000000" w:rsidR="00000000" w:rsidRPr="00000000">
        <w:rPr>
          <w:rtl w:val="0"/>
        </w:rPr>
        <w:t xml:space="preserve">This case study has also revealed that the infant morphine overdose was not a single clinical error but a system-wide failure of which there were vulnerabilities in communication, governance, leadership, and coordination of various care settings. This analysis revealed that there were policies like RED drug classification, which were not actually being applied in practice and hence the mistake could be passed on between the hospital discharge and the GP prescribing, pharmacy dispensing and parental administration. The systems thinking application showed that fragmented processes, lack of clarity on accountability and broken feedback loops are some of the factors that led to the outcome.</w:t>
      </w:r>
    </w:p>
    <w:p w:rsidR="00000000" w:rsidDel="00000000" w:rsidP="00000000" w:rsidRDefault="00000000" w:rsidRPr="00000000" w14:paraId="00000097">
      <w:pPr>
        <w:rPr/>
      </w:pPr>
      <w:r w:rsidDel="00000000" w:rsidR="00000000" w:rsidRPr="00000000">
        <w:rPr>
          <w:rtl w:val="0"/>
        </w:rPr>
        <w:t xml:space="preserve">Centralisation and decentralisation assessment revealed that decentralised system without a well-developed integration may expose a company to higher risk whereas the leadership analysis revealed that reactive and task-oriented leadership was inadequate to handle high-risk scenarios. Rather, transformational, situational, and distributed leadership should be combined to facilitate proactive decision-making, staff empowerment, and culture of safety.</w:t>
      </w:r>
    </w:p>
    <w:p w:rsidR="00000000" w:rsidDel="00000000" w:rsidP="00000000" w:rsidRDefault="00000000" w:rsidRPr="00000000" w14:paraId="00000098">
      <w:pPr>
        <w:rPr/>
      </w:pPr>
      <w:r w:rsidDel="00000000" w:rsidR="00000000" w:rsidRPr="00000000">
        <w:rPr>
          <w:rtl w:val="0"/>
        </w:rPr>
        <w:t xml:space="preserve">In general, the case highlights that to enhance patient safety, good leadership, strong governance, and systems thinking are essential. Sustainable change needs not only to have clear policies but also effective communication, shared accountability and continuous learning to avoid such incidences and improve the healthcare performance.</w:t>
      </w:r>
    </w:p>
    <w:p w:rsidR="00000000" w:rsidDel="00000000" w:rsidP="00000000" w:rsidRDefault="00000000" w:rsidRPr="00000000" w14:paraId="00000099">
      <w:pPr>
        <w:rPr/>
      </w:pPr>
      <w:r w:rsidDel="00000000" w:rsidR="00000000" w:rsidRPr="00000000">
        <w:rPr>
          <w:rtl w:val="0"/>
        </w:rPr>
        <w:t xml:space="preserve">Moreover, this experience highlights the importance of human factors, stress, assumptions, and poor understanding in error contributing. There is a significant risk reduction guaranteed through effective communication, proper training, and labelling of the medication. By taking a proactive stance to define possible hazards and never-ending development of systems, patient safety and the quality of healthcare overall will be reinforced.</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br w:type="page"/>
      </w:r>
      <w:r w:rsidDel="00000000" w:rsidR="00000000" w:rsidRPr="00000000">
        <w:rPr>
          <w:rtl w:val="0"/>
        </w:rPr>
      </w:r>
    </w:p>
    <w:p w:rsidR="00000000" w:rsidDel="00000000" w:rsidP="00000000" w:rsidRDefault="00000000" w:rsidRPr="00000000" w14:paraId="0000009D">
      <w:pPr>
        <w:pStyle w:val="Heading1"/>
        <w:rPr/>
      </w:pPr>
      <w:bookmarkStart w:colFirst="0" w:colLast="0" w:name="_xzl39qbw45ht" w:id="24"/>
      <w:bookmarkEnd w:id="24"/>
      <w:r w:rsidDel="00000000" w:rsidR="00000000" w:rsidRPr="00000000">
        <w:rPr>
          <w:rtl w:val="0"/>
        </w:rPr>
        <w:t xml:space="preserve">References</w:t>
      </w:r>
    </w:p>
    <w:p w:rsidR="00000000" w:rsidDel="00000000" w:rsidP="00000000" w:rsidRDefault="00000000" w:rsidRPr="00000000" w14:paraId="0000009E">
      <w:pPr>
        <w:rPr/>
      </w:pPr>
      <w:r w:rsidDel="00000000" w:rsidR="00000000" w:rsidRPr="00000000">
        <w:rPr>
          <w:rtl w:val="0"/>
        </w:rPr>
        <w:t xml:space="preserve">Althobaiti, F.M., 2026. The effects of leadership on patient safety culture in health care: a systematic review. </w:t>
      </w:r>
      <w:r w:rsidDel="00000000" w:rsidR="00000000" w:rsidRPr="00000000">
        <w:rPr>
          <w:i w:val="1"/>
          <w:iCs w:val="1"/>
          <w:rtl w:val="0"/>
        </w:rPr>
        <w:t xml:space="preserve">BMC nursing</w:t>
      </w:r>
      <w:r w:rsidDel="00000000" w:rsidR="00000000" w:rsidRPr="00000000">
        <w:rPr>
          <w:rtl w:val="0"/>
        </w:rPr>
        <w:t xml:space="preserve">. </w:t>
      </w:r>
    </w:p>
    <w:p w:rsidR="00000000" w:rsidDel="00000000" w:rsidP="00000000" w:rsidRDefault="00000000" w:rsidRPr="00000000" w14:paraId="0000009F">
      <w:pPr>
        <w:rPr/>
      </w:pPr>
      <w:r w:rsidDel="00000000" w:rsidR="00000000" w:rsidRPr="00000000">
        <w:rPr>
          <w:rtl w:val="0"/>
        </w:rPr>
        <w:t xml:space="preserve">BMJ (2020). </w:t>
      </w:r>
      <w:r w:rsidDel="00000000" w:rsidR="00000000" w:rsidRPr="00000000">
        <w:rPr>
          <w:i w:val="1"/>
          <w:iCs w:val="1"/>
          <w:rtl w:val="0"/>
        </w:rPr>
        <w:t xml:space="preserve">237+ million medication errors made every year in England - BMJ Group</w:t>
      </w:r>
      <w:r w:rsidDel="00000000" w:rsidR="00000000" w:rsidRPr="00000000">
        <w:rPr>
          <w:rtl w:val="0"/>
        </w:rPr>
        <w:t xml:space="preserve">. Available at: </w:t>
      </w:r>
      <w:hyperlink r:id="rId10">
        <w:r w:rsidDel="00000000" w:rsidR="00000000" w:rsidRPr="00000000">
          <w:rPr>
            <w:color w:val="0563c1"/>
            <w:u w:val="single"/>
            <w:rtl w:val="0"/>
          </w:rPr>
          <w:t xml:space="preserve">https://www.bmj.com/company/%20newsroom/237-million-medication-errors-made-every-year-in-england/</w:t>
        </w:r>
      </w:hyperlink>
      <w:r w:rsidDel="00000000" w:rsidR="00000000" w:rsidRPr="00000000">
        <w:rPr>
          <w:rtl w:val="0"/>
        </w:rPr>
        <w:t xml:space="preserve"> [Accessed on: 04.04.2026]</w:t>
      </w:r>
    </w:p>
    <w:p w:rsidR="00000000" w:rsidDel="00000000" w:rsidP="00000000" w:rsidRDefault="00000000" w:rsidRPr="00000000" w14:paraId="000000A0">
      <w:pPr>
        <w:rPr/>
      </w:pPr>
      <w:r w:rsidDel="00000000" w:rsidR="00000000" w:rsidRPr="00000000">
        <w:rPr>
          <w:rtl w:val="0"/>
        </w:rPr>
        <w:t xml:space="preserve">Camacho, E.M., Gavan, S., Keers, R.N., Chuter, A. and Elliott, R.A., 2024. Estimating the impact on patient safety of enabling the digital transfer of patients’ prescription information in the English NHS. </w:t>
      </w:r>
      <w:r w:rsidDel="00000000" w:rsidR="00000000" w:rsidRPr="00000000">
        <w:rPr>
          <w:i w:val="1"/>
          <w:iCs w:val="1"/>
          <w:rtl w:val="0"/>
        </w:rPr>
        <w:t xml:space="preserve">BMJ quality &amp; safety</w:t>
      </w:r>
      <w:r w:rsidDel="00000000" w:rsidR="00000000" w:rsidRPr="00000000">
        <w:rPr>
          <w:rtl w:val="0"/>
        </w:rPr>
        <w:t xml:space="preserve">, </w:t>
      </w:r>
      <w:r w:rsidDel="00000000" w:rsidR="00000000" w:rsidRPr="00000000">
        <w:rPr>
          <w:i w:val="1"/>
          <w:iCs w:val="1"/>
          <w:rtl w:val="0"/>
        </w:rPr>
        <w:t xml:space="preserve">33</w:t>
      </w:r>
      <w:r w:rsidDel="00000000" w:rsidR="00000000" w:rsidRPr="00000000">
        <w:rPr>
          <w:rtl w:val="0"/>
        </w:rPr>
        <w:t xml:space="preserve">(11), pp.726-737.  </w:t>
      </w:r>
    </w:p>
    <w:p w:rsidR="00000000" w:rsidDel="00000000" w:rsidP="00000000" w:rsidRDefault="00000000" w:rsidRPr="00000000" w14:paraId="000000A1">
      <w:pPr>
        <w:spacing w:line="360" w:lineRule="auto"/>
        <w:rPr>
          <w:rFonts w:ascii="Arial" w:cs="Arial" w:eastAsia="Arial" w:hAnsi="Arial"/>
          <w:sz w:val="22"/>
          <w:szCs w:val="22"/>
        </w:rPr>
      </w:pPr>
      <w:r w:rsidDel="00000000" w:rsidR="00000000" w:rsidRPr="00000000">
        <w:rPr>
          <w:rtl w:val="0"/>
        </w:rPr>
        <w:t xml:space="preserve">Canales-Siguero, M.D., García-Muñoz, C., C</w:t>
      </w:r>
      <w:r w:rsidDel="00000000" w:rsidR="00000000" w:rsidRPr="00000000">
        <w:rPr>
          <w:rFonts w:ascii="Arial" w:cs="Arial" w:eastAsia="Arial" w:hAnsi="Arial"/>
          <w:sz w:val="22"/>
          <w:szCs w:val="22"/>
          <w:rtl w:val="0"/>
        </w:rPr>
        <w:t xml:space="preserve">aro-Teller, J.M., Piris-Borregas, S., Martin-Aragon, S., Ferrari-Piquero, J.M., Moral-Pumarega, M.T. and Pallás-Alonso, C.R., 2024. Impact of pharmaceutical validation on prescribing errors in a neonatal intensive care unit. Randomised and controlled study. </w:t>
      </w:r>
      <w:r w:rsidDel="00000000" w:rsidR="00000000" w:rsidRPr="00000000">
        <w:rPr>
          <w:rFonts w:ascii="Arial" w:cs="Arial" w:eastAsia="Arial" w:hAnsi="Arial"/>
          <w:i w:val="1"/>
          <w:iCs w:val="1"/>
          <w:sz w:val="22"/>
          <w:szCs w:val="22"/>
          <w:rtl w:val="0"/>
        </w:rPr>
        <w:t xml:space="preserve">Frontiers in Pediatrics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12</w:t>
      </w:r>
      <w:r w:rsidDel="00000000" w:rsidR="00000000" w:rsidRPr="00000000">
        <w:rPr>
          <w:rFonts w:ascii="Arial" w:cs="Arial" w:eastAsia="Arial" w:hAnsi="Arial"/>
          <w:sz w:val="22"/>
          <w:szCs w:val="22"/>
          <w:rtl w:val="0"/>
        </w:rPr>
        <w:t xml:space="preserve">, p.1346090. </w:t>
      </w:r>
    </w:p>
    <w:p w:rsidR="00000000" w:rsidDel="00000000" w:rsidP="00000000" w:rsidRDefault="00000000" w:rsidRPr="00000000" w14:paraId="000000A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Carroll, A.R., Johnson, J.A., Stassun, J.C., Greevy, R.A., Mixon, A.S. and Williams, D.J., 2024. Health literacy–informed communication to reduce discharge medication errors in hospitalized children: A randomized clinical trial. </w:t>
      </w:r>
      <w:r w:rsidDel="00000000" w:rsidR="00000000" w:rsidRPr="00000000">
        <w:rPr>
          <w:rFonts w:ascii="Arial" w:cs="Arial" w:eastAsia="Arial" w:hAnsi="Arial"/>
          <w:i w:val="1"/>
          <w:iCs w:val="1"/>
          <w:sz w:val="22"/>
          <w:szCs w:val="22"/>
          <w:rtl w:val="0"/>
        </w:rPr>
        <w:t xml:space="preserve">JAMA Network Open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7</w:t>
      </w:r>
      <w:r w:rsidDel="00000000" w:rsidR="00000000" w:rsidRPr="00000000">
        <w:rPr>
          <w:rFonts w:ascii="Arial" w:cs="Arial" w:eastAsia="Arial" w:hAnsi="Arial"/>
          <w:sz w:val="22"/>
          <w:szCs w:val="22"/>
          <w:rtl w:val="0"/>
        </w:rPr>
        <w:t xml:space="preserve">(1), p.e2350969. </w:t>
      </w:r>
    </w:p>
    <w:p w:rsidR="00000000" w:rsidDel="00000000" w:rsidP="00000000" w:rsidRDefault="00000000" w:rsidRPr="00000000" w14:paraId="000000A3">
      <w:pPr>
        <w:keepNext w:val="0"/>
        <w:keepLines w:val="0"/>
        <w:widowControl w:val="1"/>
        <w:spacing w:after="210" w:before="0" w:line="360" w:lineRule="auto"/>
        <w:ind w:left="0" w:firstLine="0"/>
        <w:jc w:val="left"/>
        <w:rPr>
          <w:rFonts w:ascii="Arial" w:cs="Arial" w:eastAsia="Arial" w:hAnsi="Arial"/>
          <w:sz w:val="22"/>
          <w:szCs w:val="22"/>
        </w:rPr>
      </w:pPr>
      <w:r w:rsidDel="00000000" w:rsidR="00000000" w:rsidRPr="00000000">
        <w:rPr>
          <w:rFonts w:ascii="Arial" w:cs="Arial" w:eastAsia="Arial" w:hAnsi="Arial"/>
          <w:i w:val="0"/>
          <w:iCs w:val="0"/>
          <w:smallCaps w:val="0"/>
          <w:color w:val="000000"/>
          <w:sz w:val="22"/>
          <w:szCs w:val="22"/>
          <w:rtl w:val="0"/>
        </w:rPr>
        <w:t xml:space="preserve">Collidu (2022). </w:t>
      </w:r>
      <w:r w:rsidDel="00000000" w:rsidR="00000000" w:rsidRPr="00000000">
        <w:rPr>
          <w:rFonts w:ascii="Arial" w:cs="Arial" w:eastAsia="Arial" w:hAnsi="Arial"/>
          <w:i w:val="1"/>
          <w:iCs w:val="1"/>
          <w:smallCaps w:val="0"/>
          <w:color w:val="000000"/>
          <w:sz w:val="22"/>
          <w:szCs w:val="22"/>
          <w:rtl w:val="0"/>
        </w:rPr>
        <w:t xml:space="preserve">Great Man Theory</w:t>
      </w:r>
      <w:r w:rsidDel="00000000" w:rsidR="00000000" w:rsidRPr="00000000">
        <w:rPr>
          <w:rFonts w:ascii="Arial" w:cs="Arial" w:eastAsia="Arial" w:hAnsi="Arial"/>
          <w:i w:val="0"/>
          <w:iCs w:val="0"/>
          <w:smallCaps w:val="0"/>
          <w:color w:val="000000"/>
          <w:sz w:val="22"/>
          <w:szCs w:val="22"/>
          <w:rtl w:val="0"/>
        </w:rPr>
        <w:t xml:space="preserve">. Available at: https://www.collidu.com/presentation-great-man-theory [Accessed 20 Apr. 2026].</w:t>
      </w:r>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Elliott, R.A., Angley, M., Criddle, D.T., Emadi, F., Liu, S. and Penm, J., 2024. Achieving safe medication management during transitions of care from hospital: time for a stewardship approach. </w:t>
      </w:r>
      <w:r w:rsidDel="00000000" w:rsidR="00000000" w:rsidRPr="00000000">
        <w:rPr>
          <w:i w:val="1"/>
          <w:iCs w:val="1"/>
          <w:rtl w:val="0"/>
        </w:rPr>
        <w:t xml:space="preserve">Australian prescriber</w:t>
      </w:r>
      <w:r w:rsidDel="00000000" w:rsidR="00000000" w:rsidRPr="00000000">
        <w:rPr>
          <w:rtl w:val="0"/>
        </w:rPr>
        <w:t xml:space="preserve">, </w:t>
      </w:r>
      <w:r w:rsidDel="00000000" w:rsidR="00000000" w:rsidRPr="00000000">
        <w:rPr>
          <w:i w:val="1"/>
          <w:iCs w:val="1"/>
          <w:rtl w:val="0"/>
        </w:rPr>
        <w:t xml:space="preserve">47</w:t>
      </w:r>
      <w:r w:rsidDel="00000000" w:rsidR="00000000" w:rsidRPr="00000000">
        <w:rPr>
          <w:rtl w:val="0"/>
        </w:rPr>
        <w:t xml:space="preserve">(4), p.106. </w:t>
      </w:r>
    </w:p>
    <w:p w:rsidR="00000000" w:rsidDel="00000000" w:rsidP="00000000" w:rsidRDefault="00000000" w:rsidRPr="00000000" w14:paraId="000000A5">
      <w:pPr>
        <w:rPr/>
      </w:pPr>
      <w:r w:rsidDel="00000000" w:rsidR="00000000" w:rsidRPr="00000000">
        <w:rPr>
          <w:rtl w:val="0"/>
        </w:rPr>
        <w:t xml:space="preserve">Ghrayeb, F., Zaben, K., Haddad, R.H., Ghrayeb, N., Barhoush, M., Zuraikat, N. and Abuejheisheh, A.J., 2025. Exploring the relationship between emotional intelligence and communication skills in nurses: a cross-sectional study. </w:t>
      </w:r>
      <w:r w:rsidDel="00000000" w:rsidR="00000000" w:rsidRPr="00000000">
        <w:rPr>
          <w:i w:val="1"/>
          <w:iCs w:val="1"/>
          <w:rtl w:val="0"/>
        </w:rPr>
        <w:t xml:space="preserve">BMC nursing</w:t>
      </w:r>
      <w:r w:rsidDel="00000000" w:rsidR="00000000" w:rsidRPr="00000000">
        <w:rPr>
          <w:rtl w:val="0"/>
        </w:rPr>
        <w:t xml:space="preserve">, </w:t>
      </w:r>
      <w:r w:rsidDel="00000000" w:rsidR="00000000" w:rsidRPr="00000000">
        <w:rPr>
          <w:i w:val="1"/>
          <w:iCs w:val="1"/>
          <w:rtl w:val="0"/>
        </w:rPr>
        <w:t xml:space="preserve">24</w:t>
      </w:r>
      <w:r w:rsidDel="00000000" w:rsidR="00000000" w:rsidRPr="00000000">
        <w:rPr>
          <w:rtl w:val="0"/>
        </w:rPr>
        <w:t xml:space="preserve">(1), p.1002. </w:t>
      </w:r>
    </w:p>
    <w:p w:rsidR="00000000" w:rsidDel="00000000" w:rsidP="00000000" w:rsidRDefault="00000000" w:rsidRPr="00000000" w14:paraId="000000A6">
      <w:pPr>
        <w:rPr/>
      </w:pPr>
      <w:r w:rsidDel="00000000" w:rsidR="00000000" w:rsidRPr="00000000">
        <w:rPr>
          <w:rtl w:val="0"/>
        </w:rPr>
        <w:t xml:space="preserve">Graham, F., Mafrici, B., Perry, S. and Saynor, Z., 2025. A multi-professional workforce plan for adults and children with kidney disease: updated in 2025 by the professional groups affiliated with the UK Kidney Association. </w:t>
      </w:r>
    </w:p>
    <w:p w:rsidR="00000000" w:rsidDel="00000000" w:rsidP="00000000" w:rsidRDefault="00000000" w:rsidRPr="00000000" w14:paraId="000000A7">
      <w:pPr>
        <w:rPr/>
      </w:pPr>
      <w:r w:rsidDel="00000000" w:rsidR="00000000" w:rsidRPr="00000000">
        <w:rPr>
          <w:rtl w:val="0"/>
        </w:rPr>
        <w:t xml:space="preserve">Hamdan, M., Jaaffar, A.H., Khraisat, O., Issa, M.R. and Jarrar, M.T., 2024. The association of transformational leadership on safety practices among nurses: the mediating role of patient safety culture. </w:t>
      </w:r>
      <w:r w:rsidDel="00000000" w:rsidR="00000000" w:rsidRPr="00000000">
        <w:rPr>
          <w:i w:val="1"/>
          <w:iCs w:val="1"/>
          <w:rtl w:val="0"/>
        </w:rPr>
        <w:t xml:space="preserve">Risk Management and Healthcare Policy</w:t>
      </w:r>
      <w:r w:rsidDel="00000000" w:rsidR="00000000" w:rsidRPr="00000000">
        <w:rPr>
          <w:rtl w:val="0"/>
        </w:rPr>
        <w:t xml:space="preserve">, pp.1687-1700. </w:t>
      </w:r>
    </w:p>
    <w:p w:rsidR="00000000" w:rsidDel="00000000" w:rsidP="00000000" w:rsidRDefault="00000000" w:rsidRPr="00000000" w14:paraId="000000A8">
      <w:pPr>
        <w:rPr/>
      </w:pPr>
      <w:r w:rsidDel="00000000" w:rsidR="00000000" w:rsidRPr="00000000">
        <w:rPr>
          <w:rtl w:val="0"/>
        </w:rPr>
        <w:t xml:space="preserve">Karam, A.A., Alderbashi, K.Y. and Salman, D.A., 2024. Exploring the online leadership effect on blended learning in educational institutions: Post-COVID-19 learning context. </w:t>
      </w:r>
      <w:r w:rsidDel="00000000" w:rsidR="00000000" w:rsidRPr="00000000">
        <w:rPr>
          <w:i w:val="1"/>
          <w:iCs w:val="1"/>
          <w:rtl w:val="0"/>
        </w:rPr>
        <w:t xml:space="preserve">International Journal of Technology Innovation and Management (IJTIM)</w:t>
      </w:r>
      <w:r w:rsidDel="00000000" w:rsidR="00000000" w:rsidRPr="00000000">
        <w:rPr>
          <w:rtl w:val="0"/>
        </w:rPr>
        <w:t xml:space="preserve">, </w:t>
      </w:r>
      <w:r w:rsidDel="00000000" w:rsidR="00000000" w:rsidRPr="00000000">
        <w:rPr>
          <w:i w:val="1"/>
          <w:iCs w:val="1"/>
          <w:rtl w:val="0"/>
        </w:rPr>
        <w:t xml:space="preserve">4</w:t>
      </w:r>
      <w:r w:rsidDel="00000000" w:rsidR="00000000" w:rsidRPr="00000000">
        <w:rPr>
          <w:rtl w:val="0"/>
        </w:rPr>
        <w:t xml:space="preserve">(1), pp.32-46. </w:t>
      </w:r>
    </w:p>
    <w:p w:rsidR="00000000" w:rsidDel="00000000" w:rsidP="00000000" w:rsidRDefault="00000000" w:rsidRPr="00000000" w14:paraId="000000A9">
      <w:pPr>
        <w:rPr/>
      </w:pPr>
      <w:r w:rsidDel="00000000" w:rsidR="00000000" w:rsidRPr="00000000">
        <w:rPr>
          <w:rtl w:val="0"/>
        </w:rPr>
        <w:t xml:space="preserve">Kawashima, T., Ota, Y., Aikawa, G., Watanabe, M., Ashida, K. and Sakuramoto, H., 2025. Effectiveness of emotional intelligence training on nurses' and nursing students' emotional intelligence, resilience, stress, and communication skills: a systematic review and meta-analysis. </w:t>
      </w:r>
      <w:r w:rsidDel="00000000" w:rsidR="00000000" w:rsidRPr="00000000">
        <w:rPr>
          <w:i w:val="1"/>
          <w:iCs w:val="1"/>
          <w:rtl w:val="0"/>
        </w:rPr>
        <w:t xml:space="preserve">Nurse education today</w:t>
      </w:r>
      <w:r w:rsidDel="00000000" w:rsidR="00000000" w:rsidRPr="00000000">
        <w:rPr>
          <w:rtl w:val="0"/>
        </w:rPr>
        <w:t xml:space="preserve">, </w:t>
      </w:r>
      <w:r w:rsidDel="00000000" w:rsidR="00000000" w:rsidRPr="00000000">
        <w:rPr>
          <w:i w:val="1"/>
          <w:iCs w:val="1"/>
          <w:rtl w:val="0"/>
        </w:rPr>
        <w:t xml:space="preserve">151</w:t>
      </w:r>
      <w:r w:rsidDel="00000000" w:rsidR="00000000" w:rsidRPr="00000000">
        <w:rPr>
          <w:rtl w:val="0"/>
        </w:rPr>
        <w:t xml:space="preserve">, p.106743.  </w:t>
      </w:r>
    </w:p>
    <w:p w:rsidR="00000000" w:rsidDel="00000000" w:rsidP="00000000" w:rsidRDefault="00000000" w:rsidRPr="00000000" w14:paraId="000000AA">
      <w:pPr>
        <w:rPr/>
      </w:pPr>
      <w:r w:rsidDel="00000000" w:rsidR="00000000" w:rsidRPr="00000000">
        <w:rPr>
          <w:rtl w:val="0"/>
        </w:rPr>
        <w:t xml:space="preserve">Kim, B. and Yu, S., 2024. Factors affecting the patient safety activities of hospital nurses: A cross-sectional study focusing on shared leadership. </w:t>
      </w:r>
      <w:r w:rsidDel="00000000" w:rsidR="00000000" w:rsidRPr="00000000">
        <w:rPr>
          <w:i w:val="1"/>
          <w:iCs w:val="1"/>
          <w:rtl w:val="0"/>
        </w:rPr>
        <w:t xml:space="preserve">Safety science</w:t>
      </w:r>
      <w:r w:rsidDel="00000000" w:rsidR="00000000" w:rsidRPr="00000000">
        <w:rPr>
          <w:rtl w:val="0"/>
        </w:rPr>
        <w:t xml:space="preserve">, </w:t>
      </w:r>
      <w:r w:rsidDel="00000000" w:rsidR="00000000" w:rsidRPr="00000000">
        <w:rPr>
          <w:i w:val="1"/>
          <w:iCs w:val="1"/>
          <w:rtl w:val="0"/>
        </w:rPr>
        <w:t xml:space="preserve">174</w:t>
      </w:r>
      <w:r w:rsidDel="00000000" w:rsidR="00000000" w:rsidRPr="00000000">
        <w:rPr>
          <w:rtl w:val="0"/>
        </w:rPr>
        <w:t xml:space="preserve">, p.106460.</w:t>
      </w:r>
    </w:p>
    <w:p w:rsidR="00000000" w:rsidDel="00000000" w:rsidP="00000000" w:rsidRDefault="00000000" w:rsidRPr="00000000" w14:paraId="000000AB">
      <w:pPr>
        <w:rPr/>
      </w:pPr>
      <w:r w:rsidDel="00000000" w:rsidR="00000000" w:rsidRPr="00000000">
        <w:rPr>
          <w:rtl w:val="0"/>
        </w:rPr>
        <w:t xml:space="preserve">Kim, W.Y., Baek, A., Kim, Y., Suh, Y., Lee, E., Lee, E.E., Lee, J.Y., Lee, J., Park, H.S., Kim, E.S. and Lim, Y., 2024. The impact of real-time documentation of In-Hospital medication changes on preventing undocumented discrepancies at discharge and improving physician-pharmacist communication: a Retrospective Cohort Study and Survey. </w:t>
      </w:r>
      <w:r w:rsidDel="00000000" w:rsidR="00000000" w:rsidRPr="00000000">
        <w:rPr>
          <w:i w:val="1"/>
          <w:iCs w:val="1"/>
          <w:rtl w:val="0"/>
        </w:rPr>
        <w:t xml:space="preserve">Journal of Multidisciplinary Healthcare</w:t>
      </w:r>
      <w:r w:rsidDel="00000000" w:rsidR="00000000" w:rsidRPr="00000000">
        <w:rPr>
          <w:rtl w:val="0"/>
        </w:rPr>
        <w:t xml:space="preserve">, pp.2999-3010. </w:t>
      </w:r>
    </w:p>
    <w:p w:rsidR="00000000" w:rsidDel="00000000" w:rsidP="00000000" w:rsidRDefault="00000000" w:rsidRPr="00000000" w14:paraId="000000AC">
      <w:pPr>
        <w:rPr/>
      </w:pPr>
      <w:r w:rsidDel="00000000" w:rsidR="00000000" w:rsidRPr="00000000">
        <w:rPr>
          <w:rtl w:val="0"/>
        </w:rPr>
        <w:t xml:space="preserve">Makary, M.A. and Daniel, M., 2016. Medical error—the third leading cause of death in the US. </w:t>
      </w:r>
      <w:r w:rsidDel="00000000" w:rsidR="00000000" w:rsidRPr="00000000">
        <w:rPr>
          <w:i w:val="1"/>
          <w:iCs w:val="1"/>
          <w:rtl w:val="0"/>
        </w:rPr>
        <w:t xml:space="preserve">Bmj</w:t>
      </w:r>
      <w:r w:rsidDel="00000000" w:rsidR="00000000" w:rsidRPr="00000000">
        <w:rPr>
          <w:rtl w:val="0"/>
        </w:rPr>
        <w:t xml:space="preserve">, </w:t>
      </w:r>
      <w:r w:rsidDel="00000000" w:rsidR="00000000" w:rsidRPr="00000000">
        <w:rPr>
          <w:i w:val="1"/>
          <w:iCs w:val="1"/>
          <w:rtl w:val="0"/>
        </w:rPr>
        <w:t xml:space="preserve">353</w:t>
      </w:r>
      <w:r w:rsidDel="00000000" w:rsidR="00000000" w:rsidRPr="00000000">
        <w:rPr>
          <w:rtl w:val="0"/>
        </w:rPr>
        <w:t xml:space="preserve">. </w:t>
      </w:r>
    </w:p>
    <w:p w:rsidR="00000000" w:rsidDel="00000000" w:rsidP="00000000" w:rsidRDefault="00000000" w:rsidRPr="00000000" w14:paraId="000000AD">
      <w:pPr>
        <w:rPr/>
      </w:pPr>
      <w:r w:rsidDel="00000000" w:rsidR="00000000" w:rsidRPr="00000000">
        <w:rPr>
          <w:rtl w:val="0"/>
        </w:rPr>
        <w:t xml:space="preserve">Moureaud, C., Hertig, J.B. and Weber, R.J., 2021. Guidelines for leading a safe medication error reporting culture. </w:t>
      </w:r>
      <w:r w:rsidDel="00000000" w:rsidR="00000000" w:rsidRPr="00000000">
        <w:rPr>
          <w:i w:val="1"/>
          <w:iCs w:val="1"/>
          <w:rtl w:val="0"/>
        </w:rPr>
        <w:t xml:space="preserve">Hospital pharmacy</w:t>
      </w:r>
      <w:r w:rsidDel="00000000" w:rsidR="00000000" w:rsidRPr="00000000">
        <w:rPr>
          <w:rtl w:val="0"/>
        </w:rPr>
        <w:t xml:space="preserve">, </w:t>
      </w:r>
      <w:r w:rsidDel="00000000" w:rsidR="00000000" w:rsidRPr="00000000">
        <w:rPr>
          <w:i w:val="1"/>
          <w:iCs w:val="1"/>
          <w:rtl w:val="0"/>
        </w:rPr>
        <w:t xml:space="preserve">56</w:t>
      </w:r>
      <w:r w:rsidDel="00000000" w:rsidR="00000000" w:rsidRPr="00000000">
        <w:rPr>
          <w:rtl w:val="0"/>
        </w:rPr>
        <w:t xml:space="preserve">(5), pp.604-609. </w:t>
      </w:r>
    </w:p>
    <w:p w:rsidR="00000000" w:rsidDel="00000000" w:rsidP="00000000" w:rsidRDefault="00000000" w:rsidRPr="00000000" w14:paraId="000000AE">
      <w:pPr>
        <w:rPr/>
      </w:pPr>
      <w:r w:rsidDel="00000000" w:rsidR="00000000" w:rsidRPr="00000000">
        <w:rPr>
          <w:rtl w:val="0"/>
        </w:rPr>
        <w:t xml:space="preserve">NHS (2023). </w:t>
      </w:r>
      <w:r w:rsidDel="00000000" w:rsidR="00000000" w:rsidRPr="00000000">
        <w:rPr>
          <w:i w:val="1"/>
          <w:iCs w:val="1"/>
          <w:rtl w:val="0"/>
        </w:rPr>
        <w:t xml:space="preserve">Serious Incident Case Study: Infant Morphine Overdose Investigation Summary &amp; Learning</w:t>
      </w:r>
      <w:r w:rsidDel="00000000" w:rsidR="00000000" w:rsidRPr="00000000">
        <w:rPr>
          <w:rtl w:val="0"/>
        </w:rPr>
        <w:t xml:space="preserve">. Available at: </w:t>
      </w:r>
      <w:hyperlink r:id="rId11">
        <w:r w:rsidDel="00000000" w:rsidR="00000000" w:rsidRPr="00000000">
          <w:rPr>
            <w:color w:val="0563c1"/>
            <w:u w:val="single"/>
            <w:rtl w:val="0"/>
          </w:rPr>
          <w:t xml:space="preserve">https://northyorkshireccg.nhs.uk/wp-content/uploads/2023/07/July-2023-NHS-NEY-INFANT-MORPHINE-OVERDOSE-CASE-STUDY.pdf?UNLID=193374120245125844</w:t>
        </w:r>
      </w:hyperlink>
      <w:r w:rsidDel="00000000" w:rsidR="00000000" w:rsidRPr="00000000">
        <w:rPr>
          <w:rtl w:val="0"/>
        </w:rPr>
        <w:t xml:space="preserve"> [Accessed on: 04.04.2026]</w:t>
      </w:r>
    </w:p>
    <w:p w:rsidR="00000000" w:rsidDel="00000000" w:rsidP="00000000" w:rsidRDefault="00000000" w:rsidRPr="00000000" w14:paraId="000000AF">
      <w:pPr>
        <w:spacing w:line="360" w:lineRule="auto"/>
        <w:rPr>
          <w:rFonts w:ascii="Arial" w:cs="Arial" w:eastAsia="Arial" w:hAnsi="Arial"/>
          <w:sz w:val="24"/>
          <w:szCs w:val="24"/>
        </w:rPr>
      </w:pPr>
      <w:r w:rsidDel="00000000" w:rsidR="00000000" w:rsidRPr="00000000">
        <w:rPr>
          <w:rtl w:val="0"/>
        </w:rPr>
        <w:t xml:space="preserve">NHS England (2019). </w:t>
      </w:r>
      <w:r w:rsidDel="00000000" w:rsidR="00000000" w:rsidRPr="00000000">
        <w:rPr>
          <w:i w:val="1"/>
          <w:iCs w:val="1"/>
          <w:rtl w:val="0"/>
        </w:rPr>
        <w:t xml:space="preserve">The NHS Patient Safety</w:t>
      </w:r>
      <w:r w:rsidDel="00000000" w:rsidR="00000000" w:rsidRPr="00000000">
        <w:rPr>
          <w:rFonts w:ascii="Arial" w:cs="Arial" w:eastAsia="Arial" w:hAnsi="Arial"/>
          <w:i w:val="1"/>
          <w:iCs w:val="1"/>
          <w:sz w:val="24"/>
          <w:szCs w:val="24"/>
          <w:rtl w:val="0"/>
        </w:rPr>
        <w:t xml:space="preserve"> Strategy Safer culture, Safer systems, Safer Patients NHS England and NHS Improvement</w:t>
      </w:r>
      <w:r w:rsidDel="00000000" w:rsidR="00000000" w:rsidRPr="00000000">
        <w:rPr>
          <w:rFonts w:ascii="Arial" w:cs="Arial" w:eastAsia="Arial" w:hAnsi="Arial"/>
          <w:sz w:val="24"/>
          <w:szCs w:val="24"/>
          <w:rtl w:val="0"/>
        </w:rPr>
        <w:t xml:space="preserve">. Available at: </w:t>
      </w:r>
      <w:hyperlink r:id="rId12">
        <w:r w:rsidDel="00000000" w:rsidR="00000000" w:rsidRPr="00000000">
          <w:rPr>
            <w:rFonts w:ascii="Arial" w:cs="Arial" w:eastAsia="Arial" w:hAnsi="Arial"/>
            <w:color w:val="0563c1"/>
            <w:sz w:val="24"/>
            <w:szCs w:val="24"/>
            <w:u w:val="single"/>
            <w:rtl w:val="0"/>
          </w:rPr>
          <w:t xml:space="preserve">https://www.england.nhs.uk/wp-content/uploads/2020/08/190708_Patient_Safety_Strategy_for_website_v4.pdf</w:t>
        </w:r>
      </w:hyperlink>
      <w:r w:rsidDel="00000000" w:rsidR="00000000" w:rsidRPr="00000000">
        <w:rPr>
          <w:rFonts w:ascii="Arial" w:cs="Arial" w:eastAsia="Arial" w:hAnsi="Arial"/>
          <w:sz w:val="24"/>
          <w:szCs w:val="24"/>
          <w:rtl w:val="0"/>
        </w:rPr>
        <w:t xml:space="preserve"> [Accessed on: 04.04.2026]</w:t>
      </w:r>
    </w:p>
    <w:p w:rsidR="00000000" w:rsidDel="00000000" w:rsidP="00000000" w:rsidRDefault="00000000" w:rsidRPr="00000000" w14:paraId="000000B0">
      <w:pPr>
        <w:keepNext w:val="0"/>
        <w:keepLines w:val="0"/>
        <w:widowControl w:val="1"/>
        <w:spacing w:after="210" w:before="0" w:line="360" w:lineRule="auto"/>
        <w:ind w:left="0" w:firstLine="0"/>
        <w:jc w:val="both"/>
        <w:rPr>
          <w:rFonts w:ascii="Arial" w:cs="Arial" w:eastAsia="Arial" w:hAnsi="Arial"/>
          <w:sz w:val="24"/>
          <w:szCs w:val="24"/>
        </w:rPr>
      </w:pPr>
      <w:r w:rsidDel="00000000" w:rsidR="00000000" w:rsidRPr="00000000">
        <w:rPr>
          <w:rFonts w:ascii="Arial" w:cs="Arial" w:eastAsia="Arial" w:hAnsi="Arial"/>
          <w:i w:val="0"/>
          <w:iCs w:val="0"/>
          <w:smallCaps w:val="0"/>
          <w:color w:val="000000"/>
          <w:sz w:val="24"/>
          <w:szCs w:val="24"/>
          <w:rtl w:val="0"/>
        </w:rPr>
        <w:t xml:space="preserve">Nurse, A. (2018). </w:t>
      </w:r>
      <w:r w:rsidDel="00000000" w:rsidR="00000000" w:rsidRPr="00000000">
        <w:rPr>
          <w:rFonts w:ascii="Arial" w:cs="Arial" w:eastAsia="Arial" w:hAnsi="Arial"/>
          <w:i w:val="1"/>
          <w:iCs w:val="1"/>
          <w:smallCaps w:val="0"/>
          <w:color w:val="000000"/>
          <w:sz w:val="24"/>
          <w:szCs w:val="24"/>
          <w:rtl w:val="0"/>
        </w:rPr>
        <w:t xml:space="preserve">Inspire others through transformational leadership</w:t>
      </w:r>
      <w:r w:rsidDel="00000000" w:rsidR="00000000" w:rsidRPr="00000000">
        <w:rPr>
          <w:rFonts w:ascii="Arial" w:cs="Arial" w:eastAsia="Arial" w:hAnsi="Arial"/>
          <w:i w:val="0"/>
          <w:iCs w:val="0"/>
          <w:smallCaps w:val="0"/>
          <w:color w:val="000000"/>
          <w:sz w:val="24"/>
          <w:szCs w:val="24"/>
          <w:rtl w:val="0"/>
        </w:rPr>
        <w:t xml:space="preserve">. Available at: </w:t>
      </w:r>
      <w:hyperlink r:id="rId13">
        <w:r w:rsidDel="00000000" w:rsidR="00000000" w:rsidRPr="00000000">
          <w:rPr>
            <w:rFonts w:ascii="Arial" w:cs="Arial" w:eastAsia="Arial" w:hAnsi="Arial"/>
            <w:i w:val="0"/>
            <w:iCs w:val="0"/>
            <w:smallCaps w:val="0"/>
            <w:color w:val="0563c1"/>
            <w:sz w:val="24"/>
            <w:szCs w:val="24"/>
            <w:u w:val="single"/>
            <w:rtl w:val="0"/>
          </w:rPr>
          <w:t xml:space="preserve">https://www.myamericannurse.com/inspire-transformational-leadership/</w:t>
        </w:r>
      </w:hyperlink>
      <w:r w:rsidDel="00000000" w:rsidR="00000000" w:rsidRPr="00000000">
        <w:rPr>
          <w:rFonts w:ascii="Arial" w:cs="Arial" w:eastAsia="Arial" w:hAnsi="Arial"/>
          <w:i w:val="0"/>
          <w:iCs w:val="0"/>
          <w:smallCaps w:val="0"/>
          <w:color w:val="000000"/>
          <w:sz w:val="24"/>
          <w:szCs w:val="24"/>
          <w:rtl w:val="0"/>
        </w:rPr>
        <w:t xml:space="preserve">  [Accessed 20 Apr. 2026].</w:t>
      </w: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Rhamadhani, R.F. and Edeh, F.O., 2024. Citizen Participation and Digital Governance in Public Sector Accountability. </w:t>
      </w:r>
      <w:r w:rsidDel="00000000" w:rsidR="00000000" w:rsidRPr="00000000">
        <w:rPr>
          <w:i w:val="1"/>
          <w:iCs w:val="1"/>
          <w:rtl w:val="0"/>
        </w:rPr>
        <w:t xml:space="preserve">Sinergi International Journal of Accounting and Taxation</w:t>
      </w:r>
      <w:r w:rsidDel="00000000" w:rsidR="00000000" w:rsidRPr="00000000">
        <w:rPr>
          <w:rtl w:val="0"/>
        </w:rPr>
        <w:t xml:space="preserve">, </w:t>
      </w:r>
      <w:r w:rsidDel="00000000" w:rsidR="00000000" w:rsidRPr="00000000">
        <w:rPr>
          <w:i w:val="1"/>
          <w:iCs w:val="1"/>
          <w:rtl w:val="0"/>
        </w:rPr>
        <w:t xml:space="preserve">2</w:t>
      </w:r>
      <w:r w:rsidDel="00000000" w:rsidR="00000000" w:rsidRPr="00000000">
        <w:rPr>
          <w:rtl w:val="0"/>
        </w:rPr>
        <w:t xml:space="preserve">(4), pp.200-210. </w:t>
      </w:r>
    </w:p>
    <w:p w:rsidR="00000000" w:rsidDel="00000000" w:rsidP="00000000" w:rsidRDefault="00000000" w:rsidRPr="00000000" w14:paraId="000000B2">
      <w:pPr>
        <w:rPr/>
      </w:pPr>
      <w:r w:rsidDel="00000000" w:rsidR="00000000" w:rsidRPr="00000000">
        <w:rPr>
          <w:rtl w:val="0"/>
        </w:rPr>
        <w:t xml:space="preserve">Sabblah, G.T., van Hunsel, F., Taxis, K., Duwiejua, M., Seaneke, S.K. and van Puijenbroek, E., 2024. Medication errors by caregivers in the homes of children discharged from a pediatric department in Ghana. </w:t>
      </w:r>
      <w:r w:rsidDel="00000000" w:rsidR="00000000" w:rsidRPr="00000000">
        <w:rPr>
          <w:i w:val="1"/>
          <w:iCs w:val="1"/>
          <w:rtl w:val="0"/>
        </w:rPr>
        <w:t xml:space="preserve">Therapeutic advances in drug safety</w:t>
      </w:r>
      <w:r w:rsidDel="00000000" w:rsidR="00000000" w:rsidRPr="00000000">
        <w:rPr>
          <w:rtl w:val="0"/>
        </w:rPr>
        <w:t xml:space="preserve">, </w:t>
      </w:r>
      <w:r w:rsidDel="00000000" w:rsidR="00000000" w:rsidRPr="00000000">
        <w:rPr>
          <w:i w:val="1"/>
          <w:iCs w:val="1"/>
          <w:rtl w:val="0"/>
        </w:rPr>
        <w:t xml:space="preserve">15</w:t>
      </w:r>
      <w:r w:rsidDel="00000000" w:rsidR="00000000" w:rsidRPr="00000000">
        <w:rPr>
          <w:rtl w:val="0"/>
        </w:rPr>
        <w:t xml:space="preserve">, p.20420986231225850. </w:t>
      </w:r>
    </w:p>
    <w:p w:rsidR="00000000" w:rsidDel="00000000" w:rsidP="00000000" w:rsidRDefault="00000000" w:rsidRPr="00000000" w14:paraId="000000B3">
      <w:pPr>
        <w:rPr/>
      </w:pPr>
      <w:r w:rsidDel="00000000" w:rsidR="00000000" w:rsidRPr="00000000">
        <w:rPr>
          <w:rtl w:val="0"/>
        </w:rPr>
        <w:t xml:space="preserve">Scheuer, C.L., Voltan, A., Kumanan, K. and Chakraborty, S., 2023. Exploring the impact of decentralized leadership on knowledge sharing and work hindrance networks in healthcare teams. </w:t>
      </w:r>
      <w:r w:rsidDel="00000000" w:rsidR="00000000" w:rsidRPr="00000000">
        <w:rPr>
          <w:i w:val="1"/>
          <w:iCs w:val="1"/>
          <w:rtl w:val="0"/>
        </w:rPr>
        <w:t xml:space="preserve">Journal of Management &amp; Organization</w:t>
      </w:r>
      <w:r w:rsidDel="00000000" w:rsidR="00000000" w:rsidRPr="00000000">
        <w:rPr>
          <w:rtl w:val="0"/>
        </w:rPr>
        <w:t xml:space="preserve">, </w:t>
      </w:r>
      <w:r w:rsidDel="00000000" w:rsidR="00000000" w:rsidRPr="00000000">
        <w:rPr>
          <w:i w:val="1"/>
          <w:iCs w:val="1"/>
          <w:rtl w:val="0"/>
        </w:rPr>
        <w:t xml:space="preserve">29</w:t>
      </w:r>
      <w:r w:rsidDel="00000000" w:rsidR="00000000" w:rsidRPr="00000000">
        <w:rPr>
          <w:rtl w:val="0"/>
        </w:rPr>
        <w:t xml:space="preserve">(1), pp.139-158.  </w:t>
      </w:r>
    </w:p>
    <w:p w:rsidR="00000000" w:rsidDel="00000000" w:rsidP="00000000" w:rsidRDefault="00000000" w:rsidRPr="00000000" w14:paraId="000000B4">
      <w:pPr>
        <w:rPr/>
      </w:pPr>
      <w:r w:rsidDel="00000000" w:rsidR="00000000" w:rsidRPr="00000000">
        <w:rPr>
          <w:rtl w:val="0"/>
        </w:rPr>
        <w:t xml:space="preserve">Sikalgar, F.R., Bangera, D., Kumar, M.P., Paul, Y. and Muralidharan, S., 2025. A review of leadership theories in healthcare. </w:t>
      </w:r>
      <w:r w:rsidDel="00000000" w:rsidR="00000000" w:rsidRPr="00000000">
        <w:rPr>
          <w:i w:val="1"/>
          <w:iCs w:val="1"/>
          <w:rtl w:val="0"/>
        </w:rPr>
        <w:t xml:space="preserve">Journal of Pharmacy and Bioallied Sciences</w:t>
      </w:r>
      <w:r w:rsidDel="00000000" w:rsidR="00000000" w:rsidRPr="00000000">
        <w:rPr>
          <w:rtl w:val="0"/>
        </w:rPr>
        <w:t xml:space="preserve">, </w:t>
      </w:r>
      <w:r w:rsidDel="00000000" w:rsidR="00000000" w:rsidRPr="00000000">
        <w:rPr>
          <w:i w:val="1"/>
          <w:iCs w:val="1"/>
          <w:rtl w:val="0"/>
        </w:rPr>
        <w:t xml:space="preserve">17</w:t>
      </w:r>
      <w:r w:rsidDel="00000000" w:rsidR="00000000" w:rsidRPr="00000000">
        <w:rPr>
          <w:rtl w:val="0"/>
        </w:rPr>
        <w:t xml:space="preserve">(Suppl 1), pp.S163-S165. </w:t>
      </w:r>
    </w:p>
    <w:p w:rsidR="00000000" w:rsidDel="00000000" w:rsidP="00000000" w:rsidRDefault="00000000" w:rsidRPr="00000000" w14:paraId="000000B5">
      <w:pPr>
        <w:rPr>
          <w:sz w:val="24"/>
          <w:szCs w:val="24"/>
        </w:rPr>
      </w:pPr>
      <w:r w:rsidDel="00000000" w:rsidR="00000000" w:rsidRPr="00000000">
        <w:rPr>
          <w:rtl w:val="0"/>
        </w:rPr>
        <w:t xml:space="preserve">Singh, P.K., Singh, S., Kumari, V. and Tiwari, M., 2024. Navigating healthcare leadership: Theories, challenges, and practical insig</w:t>
      </w:r>
      <w:r w:rsidDel="00000000" w:rsidR="00000000" w:rsidRPr="00000000">
        <w:rPr>
          <w:sz w:val="24"/>
          <w:szCs w:val="24"/>
          <w:rtl w:val="0"/>
        </w:rPr>
        <w:t xml:space="preserve">hts for the future. </w:t>
      </w:r>
      <w:r w:rsidDel="00000000" w:rsidR="00000000" w:rsidRPr="00000000">
        <w:rPr>
          <w:i w:val="1"/>
          <w:iCs w:val="1"/>
          <w:sz w:val="24"/>
          <w:szCs w:val="24"/>
          <w:rtl w:val="0"/>
        </w:rPr>
        <w:t xml:space="preserve">Journal of postgraduate medicine</w:t>
      </w:r>
      <w:r w:rsidDel="00000000" w:rsidR="00000000" w:rsidRPr="00000000">
        <w:rPr>
          <w:sz w:val="24"/>
          <w:szCs w:val="24"/>
          <w:rtl w:val="0"/>
        </w:rPr>
        <w:t xml:space="preserve">, </w:t>
      </w:r>
      <w:r w:rsidDel="00000000" w:rsidR="00000000" w:rsidRPr="00000000">
        <w:rPr>
          <w:i w:val="1"/>
          <w:iCs w:val="1"/>
          <w:sz w:val="24"/>
          <w:szCs w:val="24"/>
          <w:rtl w:val="0"/>
        </w:rPr>
        <w:t xml:space="preserve">70</w:t>
      </w:r>
      <w:r w:rsidDel="00000000" w:rsidR="00000000" w:rsidRPr="00000000">
        <w:rPr>
          <w:sz w:val="24"/>
          <w:szCs w:val="24"/>
          <w:rtl w:val="0"/>
        </w:rPr>
        <w:t xml:space="preserve">(4), pp.232-241. </w:t>
      </w:r>
    </w:p>
    <w:p w:rsidR="00000000" w:rsidDel="00000000" w:rsidP="00000000" w:rsidRDefault="00000000" w:rsidRPr="00000000" w14:paraId="000000B6">
      <w:pPr>
        <w:rPr>
          <w:sz w:val="24"/>
          <w:szCs w:val="24"/>
        </w:rPr>
      </w:pPr>
      <w:r w:rsidDel="00000000" w:rsidR="00000000" w:rsidRPr="00000000">
        <w:rPr>
          <w:color w:val="222222"/>
          <w:sz w:val="24"/>
          <w:szCs w:val="24"/>
          <w:highlight w:val="white"/>
          <w:rtl w:val="0"/>
        </w:rPr>
        <w:t xml:space="preserve">Välimäki, M., Hu, S., Lantta, T., Hipp, K., Varpula, J., Chen, J., Liu, G., Tang, Y., Chen, W. and Li, X., 2024. The impact of evidence-based nursing leadership in healthcare settings: a mixed methods systematic review. </w:t>
      </w:r>
      <w:r w:rsidDel="00000000" w:rsidR="00000000" w:rsidRPr="00000000">
        <w:rPr>
          <w:i w:val="1"/>
          <w:iCs w:val="1"/>
          <w:color w:val="222222"/>
          <w:sz w:val="24"/>
          <w:szCs w:val="24"/>
          <w:highlight w:val="white"/>
          <w:rtl w:val="0"/>
        </w:rPr>
        <w:t xml:space="preserve">BMC nursing</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23</w:t>
      </w:r>
      <w:r w:rsidDel="00000000" w:rsidR="00000000" w:rsidRPr="00000000">
        <w:rPr>
          <w:color w:val="222222"/>
          <w:sz w:val="24"/>
          <w:szCs w:val="24"/>
          <w:highlight w:val="white"/>
          <w:rtl w:val="0"/>
        </w:rPr>
        <w:t xml:space="preserve">(1), p.452.</w:t>
      </w:r>
      <w:r w:rsidDel="00000000" w:rsidR="00000000" w:rsidRPr="00000000">
        <w:rPr>
          <w:rtl w:val="0"/>
        </w:rPr>
      </w:r>
    </w:p>
    <w:p w:rsidR="00000000" w:rsidDel="00000000" w:rsidP="00000000" w:rsidRDefault="00000000" w:rsidRPr="00000000" w14:paraId="000000B7">
      <w:pPr>
        <w:rPr/>
      </w:pPr>
      <w:r w:rsidDel="00000000" w:rsidR="00000000" w:rsidRPr="00000000">
        <w:rPr>
          <w:rtl w:val="0"/>
        </w:rPr>
        <w:t xml:space="preserve">Vargas, C., Whelan, J., Brimblecombe, J. and Allender, S., 2022. Co-creation, co-design, co-production for public health–a perspective on definitions and distinctions. </w:t>
      </w:r>
      <w:r w:rsidDel="00000000" w:rsidR="00000000" w:rsidRPr="00000000">
        <w:rPr>
          <w:i w:val="1"/>
          <w:iCs w:val="1"/>
          <w:rtl w:val="0"/>
        </w:rPr>
        <w:t xml:space="preserve">Public Health Research and Practice</w:t>
      </w:r>
      <w:r w:rsidDel="00000000" w:rsidR="00000000" w:rsidRPr="00000000">
        <w:rPr>
          <w:rtl w:val="0"/>
        </w:rPr>
        <w:t xml:space="preserve">, </w:t>
      </w:r>
      <w:r w:rsidDel="00000000" w:rsidR="00000000" w:rsidRPr="00000000">
        <w:rPr>
          <w:i w:val="1"/>
          <w:iCs w:val="1"/>
          <w:rtl w:val="0"/>
        </w:rPr>
        <w:t xml:space="preserve">32</w:t>
      </w:r>
      <w:r w:rsidDel="00000000" w:rsidR="00000000" w:rsidRPr="00000000">
        <w:rPr>
          <w:rtl w:val="0"/>
        </w:rPr>
        <w:t xml:space="preserve">(2), p.e3222211. </w:t>
      </w:r>
    </w:p>
    <w:p w:rsidR="00000000" w:rsidDel="00000000" w:rsidP="00000000" w:rsidRDefault="00000000" w:rsidRPr="00000000" w14:paraId="000000B8">
      <w:pPr>
        <w:rPr/>
      </w:pPr>
      <w:r w:rsidDel="00000000" w:rsidR="00000000" w:rsidRPr="00000000">
        <w:rPr>
          <w:rtl w:val="0"/>
        </w:rPr>
        <w:t xml:space="preserve">WHO (2022). </w:t>
      </w:r>
      <w:r w:rsidDel="00000000" w:rsidR="00000000" w:rsidRPr="00000000">
        <w:rPr>
          <w:i w:val="1"/>
          <w:iCs w:val="1"/>
          <w:rtl w:val="0"/>
        </w:rPr>
        <w:t xml:space="preserve">Medication without harm</w:t>
      </w:r>
      <w:r w:rsidDel="00000000" w:rsidR="00000000" w:rsidRPr="00000000">
        <w:rPr>
          <w:rtl w:val="0"/>
        </w:rPr>
        <w:t xml:space="preserve">. Available at: </w:t>
      </w:r>
      <w:hyperlink r:id="rId14">
        <w:r w:rsidDel="00000000" w:rsidR="00000000" w:rsidRPr="00000000">
          <w:rPr>
            <w:color w:val="0563c1"/>
            <w:u w:val="single"/>
            <w:rtl w:val="0"/>
          </w:rPr>
          <w:t xml:space="preserve">https://www.who.int/initiatives/medication-without-harm</w:t>
        </w:r>
      </w:hyperlink>
      <w:r w:rsidDel="00000000" w:rsidR="00000000" w:rsidRPr="00000000">
        <w:rPr>
          <w:rtl w:val="0"/>
        </w:rPr>
        <w:t xml:space="preserve"> [Accessed on: 04.04.2026]</w:t>
      </w:r>
    </w:p>
    <w:p w:rsidR="00000000" w:rsidDel="00000000" w:rsidP="00000000" w:rsidRDefault="00000000" w:rsidRPr="00000000" w14:paraId="000000B9">
      <w:pPr>
        <w:rPr/>
      </w:pPr>
      <w:r w:rsidDel="00000000" w:rsidR="00000000" w:rsidRPr="00000000">
        <w:rPr>
          <w:rtl w:val="0"/>
        </w:rPr>
        <w:t xml:space="preserve">WHO (2026). </w:t>
      </w:r>
      <w:r w:rsidDel="00000000" w:rsidR="00000000" w:rsidRPr="00000000">
        <w:rPr>
          <w:i w:val="1"/>
          <w:iCs w:val="1"/>
          <w:rtl w:val="0"/>
        </w:rPr>
        <w:t xml:space="preserve">Patient safety</w:t>
      </w:r>
      <w:r w:rsidDel="00000000" w:rsidR="00000000" w:rsidRPr="00000000">
        <w:rPr>
          <w:rtl w:val="0"/>
        </w:rPr>
        <w:t xml:space="preserve">. Available at: </w:t>
      </w:r>
      <w:hyperlink r:id="rId15">
        <w:r w:rsidDel="00000000" w:rsidR="00000000" w:rsidRPr="00000000">
          <w:rPr>
            <w:color w:val="0563c1"/>
            <w:u w:val="single"/>
            <w:rtl w:val="0"/>
          </w:rPr>
          <w:t xml:space="preserve">https://www.who.int/health-topics/patient-safety</w:t>
        </w:r>
      </w:hyperlink>
      <w:r w:rsidDel="00000000" w:rsidR="00000000" w:rsidRPr="00000000">
        <w:rPr>
          <w:rtl w:val="0"/>
        </w:rPr>
        <w:t xml:space="preserve"> [Accessed on: 04.04.2026]</w:t>
      </w:r>
    </w:p>
    <w:p w:rsidR="00000000" w:rsidDel="00000000" w:rsidP="00000000" w:rsidRDefault="00000000" w:rsidRPr="00000000" w14:paraId="000000BA">
      <w:pPr>
        <w:rPr/>
      </w:pPr>
      <w:r w:rsidDel="00000000" w:rsidR="00000000" w:rsidRPr="00000000">
        <w:rPr>
          <w:rtl w:val="0"/>
        </w:rPr>
        <w:t xml:space="preserve">World Health Organization (2019). </w:t>
      </w:r>
      <w:r w:rsidDel="00000000" w:rsidR="00000000" w:rsidRPr="00000000">
        <w:rPr>
          <w:i w:val="1"/>
          <w:iCs w:val="1"/>
          <w:rtl w:val="0"/>
        </w:rPr>
        <w:t xml:space="preserve">Medication safety in transitions of care</w:t>
      </w:r>
      <w:r w:rsidDel="00000000" w:rsidR="00000000" w:rsidRPr="00000000">
        <w:rPr>
          <w:rtl w:val="0"/>
        </w:rPr>
        <w:t xml:space="preserve">. Available at: </w:t>
      </w:r>
      <w:hyperlink r:id="rId16">
        <w:r w:rsidDel="00000000" w:rsidR="00000000" w:rsidRPr="00000000">
          <w:rPr>
            <w:color w:val="0563c1"/>
            <w:u w:val="single"/>
            <w:rtl w:val="0"/>
          </w:rPr>
          <w:t xml:space="preserve">https://www.who.int/publications/i/item/WHO-UHC-SDS-2019.9</w:t>
        </w:r>
      </w:hyperlink>
      <w:r w:rsidDel="00000000" w:rsidR="00000000" w:rsidRPr="00000000">
        <w:rPr>
          <w:rtl w:val="0"/>
        </w:rPr>
        <w:t xml:space="preserve"> [Accessed on: 04.04.2026]</w:t>
      </w:r>
    </w:p>
    <w:p w:rsidR="00000000" w:rsidDel="00000000" w:rsidP="00000000" w:rsidRDefault="00000000" w:rsidRPr="00000000" w14:paraId="000000BB">
      <w:pPr>
        <w:rPr/>
      </w:pPr>
      <w:r w:rsidDel="00000000" w:rsidR="00000000" w:rsidRPr="00000000">
        <w:rPr>
          <w:rtl w:val="0"/>
        </w:rPr>
        <w:t xml:space="preserve">Ystaas, L.M.K., Nikitara, M., Ghobrial, S., Latzourakis, E., Polychronis, G. and Constantinou, C.S., 2023. The impact of transformational leadership in the nursing work environment and patients’ outcomes: a systematic review. </w:t>
      </w:r>
      <w:r w:rsidDel="00000000" w:rsidR="00000000" w:rsidRPr="00000000">
        <w:rPr>
          <w:i w:val="1"/>
          <w:iCs w:val="1"/>
          <w:rtl w:val="0"/>
        </w:rPr>
        <w:t xml:space="preserve">Nursing Reports</w:t>
      </w:r>
      <w:r w:rsidDel="00000000" w:rsidR="00000000" w:rsidRPr="00000000">
        <w:rPr>
          <w:rtl w:val="0"/>
        </w:rPr>
        <w:t xml:space="preserve">, </w:t>
      </w:r>
      <w:r w:rsidDel="00000000" w:rsidR="00000000" w:rsidRPr="00000000">
        <w:rPr>
          <w:i w:val="1"/>
          <w:iCs w:val="1"/>
          <w:rtl w:val="0"/>
        </w:rPr>
        <w:t xml:space="preserve">13</w:t>
      </w:r>
      <w:r w:rsidDel="00000000" w:rsidR="00000000" w:rsidRPr="00000000">
        <w:rPr>
          <w:rtl w:val="0"/>
        </w:rPr>
        <w:t xml:space="preserve">(3), pp.1271-1290. </w:t>
      </w:r>
    </w:p>
    <w:p w:rsidR="00000000" w:rsidDel="00000000" w:rsidP="00000000" w:rsidRDefault="00000000" w:rsidRPr="00000000" w14:paraId="000000BC">
      <w:pPr>
        <w:rPr/>
      </w:pPr>
      <w:r w:rsidDel="00000000" w:rsidR="00000000" w:rsidRPr="00000000">
        <w:rPr>
          <w:rtl w:val="0"/>
        </w:rPr>
      </w:r>
    </w:p>
    <w:sectPr>
      <w:footerReference r:id="rId17"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SimSu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Page |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b w:val="1"/>
      <w:bCs w:val="1"/>
      <w:sz w:val="28"/>
      <w:szCs w:val="28"/>
    </w:rPr>
  </w:style>
  <w:style w:type="paragraph" w:styleId="Heading2">
    <w:name w:val="heading 2"/>
    <w:basedOn w:val="Normal"/>
    <w:next w:val="Normal"/>
    <w:pPr>
      <w:keepNext w:val="1"/>
      <w:keepLines w:val="1"/>
      <w:spacing w:after="0" w:before="40" w:lineRule="auto"/>
    </w:pPr>
    <w:rPr>
      <w:b w:val="1"/>
      <w:bCs w:val="1"/>
    </w:rPr>
  </w:style>
  <w:style w:type="paragraph" w:styleId="Heading3">
    <w:name w:val="heading 3"/>
    <w:basedOn w:val="Normal"/>
    <w:next w:val="Normal"/>
    <w:pPr>
      <w:keepNext w:val="1"/>
      <w:keepLines w:val="1"/>
      <w:spacing w:after="0" w:before="40" w:lineRule="auto"/>
    </w:pPr>
    <w:rPr>
      <w:b w:val="1"/>
      <w:bCs w:val="1"/>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color w:val="000000"/>
      <w:sz w:val="56"/>
      <w:szCs w:val="56"/>
    </w:rPr>
  </w:style>
  <w:style w:type="paragraph" w:styleId="Subtitle">
    <w:name w:val="Subtitle"/>
    <w:basedOn w:val="Normal"/>
    <w:next w:val="Normal"/>
    <w:pPr/>
    <w:rPr>
      <w:rFonts w:ascii="Calibri" w:cs="Calibri" w:eastAsia="Calibri" w:hAnsi="Calibri"/>
      <w:color w:val="595959"/>
      <w:sz w:val="28"/>
      <w:szCs w:val="28"/>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northyorkshireccg.nhs.uk/wp-content/uploads/2023/07/July-2023-NHS-NEY-INFANT-MORPHINE-OVERDOSE-CASE-STUDY.pdf?UNLID=193374120245125844" TargetMode="External"/><Relationship Id="rId10" Type="http://schemas.openxmlformats.org/officeDocument/2006/relationships/hyperlink" Target="https://www.bmj.com/company/%20newsroom/237-million-medication-errors-made-every-year-in-england/" TargetMode="External"/><Relationship Id="rId13" Type="http://schemas.openxmlformats.org/officeDocument/2006/relationships/hyperlink" Target="https://www.myamericannurse.com/inspire-transformational-leadership/" TargetMode="External"/><Relationship Id="rId12" Type="http://schemas.openxmlformats.org/officeDocument/2006/relationships/hyperlink" Target="https://www.england.nhs.uk/wp-content/uploads/2020/08/190708_Patient_Safety_Strategy_for_website_v4.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hyperlink" Target="https://www.who.int/health-topics/patient-safety" TargetMode="External"/><Relationship Id="rId14" Type="http://schemas.openxmlformats.org/officeDocument/2006/relationships/hyperlink" Target="https://www.who.int/initiatives/medication-without-harm" TargetMode="External"/><Relationship Id="rId17" Type="http://schemas.openxmlformats.org/officeDocument/2006/relationships/footer" Target="footer1.xml"/><Relationship Id="rId16" Type="http://schemas.openxmlformats.org/officeDocument/2006/relationships/hyperlink" Target="https://www.who.int/publications/i/item/WHO-UHC-SDS-2019.9"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