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891659" w:rsidRDefault="00891659">
      <w:pPr>
        <w:spacing w:line="360" w:lineRule="auto"/>
        <w:jc w:val="both"/>
        <w:rPr>
          <w:rFonts w:ascii="Times New Roman" w:eastAsia="Times New Roman" w:hAnsi="Times New Roman" w:cs="Times New Roman"/>
          <w:sz w:val="24"/>
          <w:szCs w:val="24"/>
        </w:rPr>
      </w:pPr>
    </w:p>
    <w:p w14:paraId="00000002" w14:textId="77777777" w:rsidR="00891659" w:rsidRDefault="008D682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LCHS4003 Introduction to Health and Social Care</w:t>
      </w:r>
    </w:p>
    <w:p w14:paraId="00000003" w14:textId="0288BC0D" w:rsidR="00891659" w:rsidRDefault="008D682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w:t>
      </w:r>
      <w:r w:rsidR="008943D0">
        <w:rPr>
          <w:rFonts w:ascii="Times New Roman" w:eastAsia="Times New Roman" w:hAnsi="Times New Roman" w:cs="Times New Roman"/>
          <w:b/>
          <w:bCs/>
          <w:sz w:val="24"/>
          <w:szCs w:val="24"/>
        </w:rPr>
        <w:t xml:space="preserve"> </w:t>
      </w:r>
      <w:r w:rsidR="008943D0" w:rsidRPr="00B9058F">
        <w:rPr>
          <w:rFonts w:ascii="Times New Roman" w:eastAsia="Times New Roman" w:hAnsi="Times New Roman" w:cs="Times New Roman"/>
          <w:sz w:val="24"/>
          <w:szCs w:val="24"/>
        </w:rPr>
        <w:t>Fairuj Haque Prome</w:t>
      </w:r>
    </w:p>
    <w:p w14:paraId="00000004" w14:textId="35FB7FFD" w:rsidR="00891659" w:rsidRDefault="008D682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Number:</w:t>
      </w:r>
      <w:r w:rsidR="00683E05">
        <w:rPr>
          <w:rFonts w:ascii="Times New Roman" w:eastAsia="Times New Roman" w:hAnsi="Times New Roman" w:cs="Times New Roman"/>
          <w:b/>
          <w:bCs/>
          <w:sz w:val="24"/>
          <w:szCs w:val="24"/>
        </w:rPr>
        <w:t xml:space="preserve"> </w:t>
      </w:r>
      <w:r w:rsidR="00C203CB">
        <w:rPr>
          <w:rFonts w:ascii="Times New Roman" w:eastAsia="Times New Roman" w:hAnsi="Times New Roman" w:cs="Times New Roman"/>
          <w:b/>
          <w:bCs/>
          <w:sz w:val="24"/>
          <w:szCs w:val="24"/>
        </w:rPr>
        <w:t>2436596</w:t>
      </w:r>
    </w:p>
    <w:p w14:paraId="00000005" w14:textId="77777777" w:rsidR="00891659" w:rsidRDefault="008D682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Programme: Certificate of Higher Education Skills for the Workplace (Health &amp; Social Care)</w:t>
      </w:r>
    </w:p>
    <w:p w14:paraId="00000006" w14:textId="40BBD007" w:rsidR="000F66FD" w:rsidRDefault="008D682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Lecturer’s Name: Muhammad Aliyu</w:t>
      </w:r>
    </w:p>
    <w:p w14:paraId="002875B6" w14:textId="49726087" w:rsidR="000F66FD" w:rsidRPr="00343A5D" w:rsidRDefault="000F66FD" w:rsidP="00343A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br w:type="page"/>
      </w:r>
    </w:p>
    <w:sdt>
      <w:sdtPr>
        <w:rPr>
          <w:rFonts w:ascii="Arial" w:eastAsia="Arial" w:hAnsi="Arial" w:cs="Arial"/>
          <w:color w:val="auto"/>
          <w:sz w:val="22"/>
          <w:szCs w:val="22"/>
          <w:lang w:val="en-GB" w:eastAsia="en-IN" w:bidi="bn-IN"/>
        </w:rPr>
        <w:id w:val="-372541632"/>
        <w:docPartObj>
          <w:docPartGallery w:val="Table of Contents"/>
          <w:docPartUnique/>
        </w:docPartObj>
      </w:sdtPr>
      <w:sdtEndPr>
        <w:rPr>
          <w:b/>
          <w:bCs/>
          <w:noProof/>
        </w:rPr>
      </w:sdtEndPr>
      <w:sdtContent>
        <w:p w14:paraId="289FDB3C" w14:textId="1B8FC0DA" w:rsidR="00DE7E9E" w:rsidRPr="00DE7E9E" w:rsidRDefault="00DE7E9E" w:rsidP="00DE7E9E">
          <w:pPr>
            <w:pStyle w:val="TOCHeading"/>
            <w:spacing w:line="360" w:lineRule="auto"/>
            <w:jc w:val="center"/>
            <w:rPr>
              <w:rFonts w:ascii="Times New Roman" w:hAnsi="Times New Roman" w:cs="Times New Roman"/>
              <w:b/>
              <w:bCs/>
              <w:color w:val="000000" w:themeColor="text1"/>
              <w:sz w:val="24"/>
              <w:szCs w:val="24"/>
            </w:rPr>
          </w:pPr>
          <w:r w:rsidRPr="00DE7E9E">
            <w:rPr>
              <w:rFonts w:ascii="Times New Roman" w:hAnsi="Times New Roman" w:cs="Times New Roman"/>
              <w:b/>
              <w:bCs/>
              <w:color w:val="000000" w:themeColor="text1"/>
              <w:sz w:val="24"/>
              <w:szCs w:val="24"/>
            </w:rPr>
            <w:t>Table of Contents</w:t>
          </w:r>
        </w:p>
        <w:p w14:paraId="23B67B8A" w14:textId="6FBA3DE8" w:rsidR="00DE7E9E" w:rsidRPr="00DE7E9E" w:rsidRDefault="00DE7E9E" w:rsidP="00DE7E9E">
          <w:pPr>
            <w:pStyle w:val="TOC1"/>
            <w:tabs>
              <w:tab w:val="right" w:leader="dot" w:pos="9019"/>
            </w:tabs>
            <w:spacing w:line="360" w:lineRule="auto"/>
            <w:jc w:val="both"/>
            <w:rPr>
              <w:rFonts w:ascii="Times New Roman" w:hAnsi="Times New Roman" w:cs="Times New Roman"/>
              <w:noProof/>
              <w:sz w:val="24"/>
              <w:szCs w:val="32"/>
            </w:rPr>
          </w:pPr>
          <w:r w:rsidRPr="00DE7E9E">
            <w:rPr>
              <w:rFonts w:ascii="Times New Roman" w:hAnsi="Times New Roman" w:cs="Times New Roman"/>
              <w:sz w:val="24"/>
              <w:szCs w:val="32"/>
            </w:rPr>
            <w:fldChar w:fldCharType="begin"/>
          </w:r>
          <w:r w:rsidRPr="00DE7E9E">
            <w:rPr>
              <w:rFonts w:ascii="Times New Roman" w:hAnsi="Times New Roman" w:cs="Times New Roman"/>
              <w:sz w:val="24"/>
              <w:szCs w:val="32"/>
            </w:rPr>
            <w:instrText xml:space="preserve"> TOC \o "1-3" \h \z \u </w:instrText>
          </w:r>
          <w:r w:rsidRPr="00DE7E9E">
            <w:rPr>
              <w:rFonts w:ascii="Times New Roman" w:hAnsi="Times New Roman" w:cs="Times New Roman"/>
              <w:sz w:val="24"/>
              <w:szCs w:val="32"/>
            </w:rPr>
            <w:fldChar w:fldCharType="separate"/>
          </w:r>
          <w:hyperlink w:anchor="_Toc227098402" w:history="1">
            <w:r w:rsidRPr="00DE7E9E">
              <w:rPr>
                <w:rStyle w:val="Hyperlink"/>
                <w:rFonts w:ascii="Times New Roman" w:hAnsi="Times New Roman" w:cs="Times New Roman"/>
                <w:noProof/>
                <w:sz w:val="24"/>
                <w:szCs w:val="32"/>
              </w:rPr>
              <w:t>Task 1: Poster on Community Mental Health Services</w:t>
            </w:r>
            <w:r w:rsidRPr="00DE7E9E">
              <w:rPr>
                <w:rFonts w:ascii="Times New Roman" w:hAnsi="Times New Roman" w:cs="Times New Roman"/>
                <w:noProof/>
                <w:webHidden/>
                <w:sz w:val="24"/>
                <w:szCs w:val="32"/>
              </w:rPr>
              <w:tab/>
            </w:r>
            <w:r w:rsidRPr="00DE7E9E">
              <w:rPr>
                <w:rFonts w:ascii="Times New Roman" w:hAnsi="Times New Roman" w:cs="Times New Roman"/>
                <w:noProof/>
                <w:webHidden/>
                <w:sz w:val="24"/>
                <w:szCs w:val="32"/>
              </w:rPr>
              <w:fldChar w:fldCharType="begin"/>
            </w:r>
            <w:r w:rsidRPr="00DE7E9E">
              <w:rPr>
                <w:rFonts w:ascii="Times New Roman" w:hAnsi="Times New Roman" w:cs="Times New Roman"/>
                <w:noProof/>
                <w:webHidden/>
                <w:sz w:val="24"/>
                <w:szCs w:val="32"/>
              </w:rPr>
              <w:instrText xml:space="preserve"> PAGEREF _Toc227098402 \h </w:instrText>
            </w:r>
            <w:r w:rsidRPr="00DE7E9E">
              <w:rPr>
                <w:rFonts w:ascii="Times New Roman" w:hAnsi="Times New Roman" w:cs="Times New Roman"/>
                <w:noProof/>
                <w:webHidden/>
                <w:sz w:val="24"/>
                <w:szCs w:val="32"/>
              </w:rPr>
            </w:r>
            <w:r w:rsidRPr="00DE7E9E">
              <w:rPr>
                <w:rFonts w:ascii="Times New Roman" w:hAnsi="Times New Roman" w:cs="Times New Roman"/>
                <w:noProof/>
                <w:webHidden/>
                <w:sz w:val="24"/>
                <w:szCs w:val="32"/>
              </w:rPr>
              <w:fldChar w:fldCharType="separate"/>
            </w:r>
            <w:r w:rsidRPr="00DE7E9E">
              <w:rPr>
                <w:rFonts w:ascii="Times New Roman" w:hAnsi="Times New Roman" w:cs="Times New Roman"/>
                <w:noProof/>
                <w:webHidden/>
                <w:sz w:val="24"/>
                <w:szCs w:val="32"/>
              </w:rPr>
              <w:t>2</w:t>
            </w:r>
            <w:r w:rsidRPr="00DE7E9E">
              <w:rPr>
                <w:rFonts w:ascii="Times New Roman" w:hAnsi="Times New Roman" w:cs="Times New Roman"/>
                <w:noProof/>
                <w:webHidden/>
                <w:sz w:val="24"/>
                <w:szCs w:val="32"/>
              </w:rPr>
              <w:fldChar w:fldCharType="end"/>
            </w:r>
          </w:hyperlink>
        </w:p>
        <w:p w14:paraId="2AAE2D02" w14:textId="4D7E43AC" w:rsidR="00DE7E9E" w:rsidRPr="00DE7E9E" w:rsidRDefault="00DE7E9E" w:rsidP="00DE7E9E">
          <w:pPr>
            <w:pStyle w:val="TOC1"/>
            <w:tabs>
              <w:tab w:val="right" w:leader="dot" w:pos="9019"/>
            </w:tabs>
            <w:spacing w:line="360" w:lineRule="auto"/>
            <w:jc w:val="both"/>
            <w:rPr>
              <w:rFonts w:ascii="Times New Roman" w:hAnsi="Times New Roman" w:cs="Times New Roman"/>
              <w:noProof/>
              <w:sz w:val="24"/>
              <w:szCs w:val="32"/>
            </w:rPr>
          </w:pPr>
          <w:hyperlink w:anchor="_Toc227098403" w:history="1">
            <w:r w:rsidRPr="00DE7E9E">
              <w:rPr>
                <w:rStyle w:val="Hyperlink"/>
                <w:rFonts w:ascii="Times New Roman" w:hAnsi="Times New Roman" w:cs="Times New Roman"/>
                <w:noProof/>
                <w:sz w:val="24"/>
                <w:szCs w:val="32"/>
              </w:rPr>
              <w:t>Task 2: Essay on Community antenatal midwifery services</w:t>
            </w:r>
            <w:r w:rsidRPr="00DE7E9E">
              <w:rPr>
                <w:rFonts w:ascii="Times New Roman" w:hAnsi="Times New Roman" w:cs="Times New Roman"/>
                <w:noProof/>
                <w:webHidden/>
                <w:sz w:val="24"/>
                <w:szCs w:val="32"/>
              </w:rPr>
              <w:tab/>
            </w:r>
            <w:r w:rsidRPr="00DE7E9E">
              <w:rPr>
                <w:rFonts w:ascii="Times New Roman" w:hAnsi="Times New Roman" w:cs="Times New Roman"/>
                <w:noProof/>
                <w:webHidden/>
                <w:sz w:val="24"/>
                <w:szCs w:val="32"/>
              </w:rPr>
              <w:fldChar w:fldCharType="begin"/>
            </w:r>
            <w:r w:rsidRPr="00DE7E9E">
              <w:rPr>
                <w:rFonts w:ascii="Times New Roman" w:hAnsi="Times New Roman" w:cs="Times New Roman"/>
                <w:noProof/>
                <w:webHidden/>
                <w:sz w:val="24"/>
                <w:szCs w:val="32"/>
              </w:rPr>
              <w:instrText xml:space="preserve"> PAGEREF _Toc227098403 \h </w:instrText>
            </w:r>
            <w:r w:rsidRPr="00DE7E9E">
              <w:rPr>
                <w:rFonts w:ascii="Times New Roman" w:hAnsi="Times New Roman" w:cs="Times New Roman"/>
                <w:noProof/>
                <w:webHidden/>
                <w:sz w:val="24"/>
                <w:szCs w:val="32"/>
              </w:rPr>
            </w:r>
            <w:r w:rsidRPr="00DE7E9E">
              <w:rPr>
                <w:rFonts w:ascii="Times New Roman" w:hAnsi="Times New Roman" w:cs="Times New Roman"/>
                <w:noProof/>
                <w:webHidden/>
                <w:sz w:val="24"/>
                <w:szCs w:val="32"/>
              </w:rPr>
              <w:fldChar w:fldCharType="separate"/>
            </w:r>
            <w:r w:rsidRPr="00DE7E9E">
              <w:rPr>
                <w:rFonts w:ascii="Times New Roman" w:hAnsi="Times New Roman" w:cs="Times New Roman"/>
                <w:noProof/>
                <w:webHidden/>
                <w:sz w:val="24"/>
                <w:szCs w:val="32"/>
              </w:rPr>
              <w:t>5</w:t>
            </w:r>
            <w:r w:rsidRPr="00DE7E9E">
              <w:rPr>
                <w:rFonts w:ascii="Times New Roman" w:hAnsi="Times New Roman" w:cs="Times New Roman"/>
                <w:noProof/>
                <w:webHidden/>
                <w:sz w:val="24"/>
                <w:szCs w:val="32"/>
              </w:rPr>
              <w:fldChar w:fldCharType="end"/>
            </w:r>
          </w:hyperlink>
        </w:p>
        <w:p w14:paraId="77017154" w14:textId="42BCC2D4" w:rsidR="00DE7E9E" w:rsidRPr="00DE7E9E" w:rsidRDefault="00DE7E9E" w:rsidP="00DE7E9E">
          <w:pPr>
            <w:pStyle w:val="TOC1"/>
            <w:tabs>
              <w:tab w:val="right" w:leader="dot" w:pos="9019"/>
            </w:tabs>
            <w:spacing w:line="360" w:lineRule="auto"/>
            <w:jc w:val="both"/>
            <w:rPr>
              <w:rFonts w:ascii="Times New Roman" w:hAnsi="Times New Roman" w:cs="Times New Roman"/>
              <w:noProof/>
              <w:sz w:val="24"/>
              <w:szCs w:val="32"/>
            </w:rPr>
          </w:pPr>
          <w:hyperlink w:anchor="_Toc227098404" w:history="1">
            <w:r w:rsidRPr="00DE7E9E">
              <w:rPr>
                <w:rStyle w:val="Hyperlink"/>
                <w:rFonts w:ascii="Times New Roman" w:hAnsi="Times New Roman" w:cs="Times New Roman"/>
                <w:noProof/>
                <w:sz w:val="24"/>
                <w:szCs w:val="32"/>
              </w:rPr>
              <w:t>References</w:t>
            </w:r>
            <w:r w:rsidRPr="00DE7E9E">
              <w:rPr>
                <w:rFonts w:ascii="Times New Roman" w:hAnsi="Times New Roman" w:cs="Times New Roman"/>
                <w:noProof/>
                <w:webHidden/>
                <w:sz w:val="24"/>
                <w:szCs w:val="32"/>
              </w:rPr>
              <w:tab/>
            </w:r>
            <w:r w:rsidRPr="00DE7E9E">
              <w:rPr>
                <w:rFonts w:ascii="Times New Roman" w:hAnsi="Times New Roman" w:cs="Times New Roman"/>
                <w:noProof/>
                <w:webHidden/>
                <w:sz w:val="24"/>
                <w:szCs w:val="32"/>
              </w:rPr>
              <w:fldChar w:fldCharType="begin"/>
            </w:r>
            <w:r w:rsidRPr="00DE7E9E">
              <w:rPr>
                <w:rFonts w:ascii="Times New Roman" w:hAnsi="Times New Roman" w:cs="Times New Roman"/>
                <w:noProof/>
                <w:webHidden/>
                <w:sz w:val="24"/>
                <w:szCs w:val="32"/>
              </w:rPr>
              <w:instrText xml:space="preserve"> PAGEREF _Toc227098404 \h </w:instrText>
            </w:r>
            <w:r w:rsidRPr="00DE7E9E">
              <w:rPr>
                <w:rFonts w:ascii="Times New Roman" w:hAnsi="Times New Roman" w:cs="Times New Roman"/>
                <w:noProof/>
                <w:webHidden/>
                <w:sz w:val="24"/>
                <w:szCs w:val="32"/>
              </w:rPr>
            </w:r>
            <w:r w:rsidRPr="00DE7E9E">
              <w:rPr>
                <w:rFonts w:ascii="Times New Roman" w:hAnsi="Times New Roman" w:cs="Times New Roman"/>
                <w:noProof/>
                <w:webHidden/>
                <w:sz w:val="24"/>
                <w:szCs w:val="32"/>
              </w:rPr>
              <w:fldChar w:fldCharType="separate"/>
            </w:r>
            <w:r w:rsidRPr="00DE7E9E">
              <w:rPr>
                <w:rFonts w:ascii="Times New Roman" w:hAnsi="Times New Roman" w:cs="Times New Roman"/>
                <w:noProof/>
                <w:webHidden/>
                <w:sz w:val="24"/>
                <w:szCs w:val="32"/>
              </w:rPr>
              <w:t>7</w:t>
            </w:r>
            <w:r w:rsidRPr="00DE7E9E">
              <w:rPr>
                <w:rFonts w:ascii="Times New Roman" w:hAnsi="Times New Roman" w:cs="Times New Roman"/>
                <w:noProof/>
                <w:webHidden/>
                <w:sz w:val="24"/>
                <w:szCs w:val="32"/>
              </w:rPr>
              <w:fldChar w:fldCharType="end"/>
            </w:r>
          </w:hyperlink>
        </w:p>
        <w:p w14:paraId="37D2E765" w14:textId="77777777" w:rsidR="00385F74" w:rsidRDefault="00DE7E9E">
          <w:pPr>
            <w:spacing w:line="360" w:lineRule="auto"/>
            <w:jc w:val="both"/>
            <w:rPr>
              <w:b/>
              <w:bCs/>
              <w:noProof/>
            </w:rPr>
          </w:pPr>
          <w:r w:rsidRPr="00DE7E9E">
            <w:rPr>
              <w:rFonts w:ascii="Times New Roman" w:hAnsi="Times New Roman" w:cs="Times New Roman"/>
              <w:b/>
              <w:bCs/>
              <w:noProof/>
              <w:sz w:val="24"/>
              <w:szCs w:val="24"/>
            </w:rPr>
            <w:fldChar w:fldCharType="end"/>
          </w:r>
        </w:p>
      </w:sdtContent>
    </w:sdt>
    <w:p w14:paraId="00000007" w14:textId="6768BACB" w:rsidR="00891659" w:rsidRPr="00385F74" w:rsidRDefault="008D682A">
      <w:pPr>
        <w:spacing w:line="360" w:lineRule="auto"/>
        <w:jc w:val="both"/>
      </w:pPr>
      <w:r>
        <w:br w:type="page"/>
      </w:r>
    </w:p>
    <w:p w14:paraId="00000008" w14:textId="77777777" w:rsidR="00891659" w:rsidRDefault="008D682A" w:rsidP="000F66FD">
      <w:pPr>
        <w:pStyle w:val="Heading1"/>
      </w:pPr>
      <w:bookmarkStart w:id="0" w:name="_Toc227098402"/>
      <w:r>
        <w:lastRenderedPageBreak/>
        <w:t xml:space="preserve">Task 1: </w:t>
      </w:r>
      <w:r w:rsidRPr="000F66FD">
        <w:t>Poster</w:t>
      </w:r>
      <w:r>
        <w:t xml:space="preserve"> on Community Mental Health Services</w:t>
      </w:r>
      <w:bookmarkEnd w:id="0"/>
    </w:p>
    <w:p w14:paraId="66B47A5D" w14:textId="3A93F196" w:rsidR="00354245" w:rsidRDefault="00783D64" w:rsidP="00354245">
      <w:pPr>
        <w:spacing w:line="360" w:lineRule="auto"/>
        <w:jc w:val="center"/>
        <w:rPr>
          <w:rFonts w:ascii="Times New Roman" w:eastAsia="Times New Roman" w:hAnsi="Times New Roman" w:cs="Times New Roman"/>
          <w:b/>
          <w:bCs/>
          <w:sz w:val="24"/>
          <w:szCs w:val="24"/>
        </w:rPr>
      </w:pPr>
      <w:r w:rsidRPr="00783D64">
        <w:rPr>
          <w:rFonts w:ascii="Times New Roman" w:eastAsia="Times New Roman" w:hAnsi="Times New Roman" w:cs="Times New Roman"/>
          <w:b/>
          <w:bCs/>
          <w:noProof/>
          <w:sz w:val="24"/>
          <w:szCs w:val="24"/>
        </w:rPr>
        <w:drawing>
          <wp:inline distT="0" distB="0" distL="0" distR="0" wp14:anchorId="58A7E60D" wp14:editId="1AF1E86A">
            <wp:extent cx="5733415" cy="3234690"/>
            <wp:effectExtent l="19050" t="19050" r="19685" b="22860"/>
            <wp:docPr id="1044786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786150" name=""/>
                    <pic:cNvPicPr/>
                  </pic:nvPicPr>
                  <pic:blipFill>
                    <a:blip r:embed="rId8"/>
                    <a:stretch>
                      <a:fillRect/>
                    </a:stretch>
                  </pic:blipFill>
                  <pic:spPr>
                    <a:xfrm>
                      <a:off x="0" y="0"/>
                      <a:ext cx="5733415" cy="3234690"/>
                    </a:xfrm>
                    <a:prstGeom prst="rect">
                      <a:avLst/>
                    </a:prstGeom>
                    <a:ln>
                      <a:solidFill>
                        <a:schemeClr val="tx1"/>
                      </a:solidFill>
                    </a:ln>
                  </pic:spPr>
                </pic:pic>
              </a:graphicData>
            </a:graphic>
          </wp:inline>
        </w:drawing>
      </w:r>
    </w:p>
    <w:p w14:paraId="00000009"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Introduction</w:t>
      </w:r>
    </w:p>
    <w:p w14:paraId="0000000A"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Mental Health Services (CMHS) are essential parts of the health and social care system, which offer services to the victims of mental health in their local communities. These services are aimed at encouraging recovery, independence, and social inclusion through providing care beyond the hospital. CMHS involves a variety of services that consist of assessment, treatment, counselling and rehabilitation provided by multidisciplinary teams (Dada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They can use the person-centred approach to make sure that they provide individuals with specific care depending on their needs. In general, Community Mental Health Services are important to promote a better well-being and quality of life among the service users.</w:t>
      </w:r>
    </w:p>
    <w:p w14:paraId="0000000B"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Explanation of the Service</w:t>
      </w:r>
    </w:p>
    <w:p w14:paraId="0000000C"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Mental Health Services (CMHS) are the social care services needed to assist individuals with mental problems in their communities instead of institutions like hospitals. These services are intended to facilitate recovery, independence, and general well-being and help them to stay a part of society. CMHS offer extensive services which are assessment, diagnosis, treatment, rehabilitation and further care of individuals with mental illnesses like depression, anxiety disorders, schizophrenia and bipolar disorders (Matthews and Stanhope, 2026). The services are usually provided by multidisciplinary teams that comprise psychiatrists, psychologists, social workers, nurses and occupational therapists. One of the main characteristics of CMHS is their person-centred approach, which is aimed at addressing </w:t>
      </w:r>
      <w:r>
        <w:rPr>
          <w:rFonts w:ascii="Times New Roman" w:eastAsia="Times New Roman" w:hAnsi="Times New Roman" w:cs="Times New Roman"/>
          <w:sz w:val="24"/>
          <w:szCs w:val="24"/>
        </w:rPr>
        <w:lastRenderedPageBreak/>
        <w:t>the needs of each individual. This incorporates engagement of service users in making decisions concerning their treatment and also promoting self-management and empowerment.</w:t>
      </w:r>
    </w:p>
    <w:p w14:paraId="0000000D"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Brief History of Community Mental Health Services</w:t>
      </w:r>
    </w:p>
    <w:p w14:paraId="0000000E" w14:textId="2DB6F670"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Mental Health Services development could be traced back to the key alterations in mental health care in the 20th century. Prior to this time, patients with mental illnesses were commonly housed in huge institutions or asylum where the treatment was usually substandard and confining. In the mid-20th century, especially after World War II, the criticism of institutional care grew because of </w:t>
      </w:r>
      <w:r w:rsidR="000F66FD">
        <w:rPr>
          <w:rFonts w:ascii="Times New Roman" w:eastAsia="Times New Roman" w:hAnsi="Times New Roman" w:cs="Times New Roman"/>
          <w:sz w:val="24"/>
          <w:szCs w:val="24"/>
        </w:rPr>
        <w:t>unfavourable</w:t>
      </w:r>
      <w:r>
        <w:rPr>
          <w:rFonts w:ascii="Times New Roman" w:eastAsia="Times New Roman" w:hAnsi="Times New Roman" w:cs="Times New Roman"/>
          <w:sz w:val="24"/>
          <w:szCs w:val="24"/>
        </w:rPr>
        <w:t xml:space="preserve"> living conditions and absence of efficient treatment (Martin, 2025). This resulted in the deinstitutionalisation process whereby patients were slowly transferred out of psychiatric hospitals into community-based care.</w:t>
      </w:r>
    </w:p>
    <w:p w14:paraId="0000000F"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National Health Service (NHS) was introduced in the UK in 1948, and this initiative was instrumental in transforming mental health care (Snow and Whitecross, 2022). The subsequent policies, including the Care in the Community policy (1980s1990s) added to the significance of helping people in their communities and not in hospitals. CMHS have also been modified over the years to incorporate specialised services like crisis intervention teams, early intervention services and community rehabilitation programs. The developments are an indication of a trend of more human, accessible, and effective mental health care.</w:t>
      </w:r>
    </w:p>
    <w:p w14:paraId="00000010"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Current Functioning of Community Mental Health Services</w:t>
      </w:r>
    </w:p>
    <w:p w14:paraId="00000011" w14:textId="70CF66F4"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Mental Health Services today are an important component of the health and social care system. They specialize in delivering convenient, adaptable and combined care to patients in their households or community </w:t>
      </w:r>
      <w:r w:rsidR="000F66FD">
        <w:rPr>
          <w:rFonts w:ascii="Times New Roman" w:eastAsia="Times New Roman" w:hAnsi="Times New Roman" w:cs="Times New Roman"/>
          <w:sz w:val="24"/>
          <w:szCs w:val="24"/>
        </w:rPr>
        <w:t>centres</w:t>
      </w:r>
      <w:r>
        <w:rPr>
          <w:rFonts w:ascii="Times New Roman" w:eastAsia="Times New Roman" w:hAnsi="Times New Roman" w:cs="Times New Roman"/>
          <w:sz w:val="24"/>
          <w:szCs w:val="24"/>
        </w:rPr>
        <w:t>.</w:t>
      </w:r>
    </w:p>
    <w:p w14:paraId="00000012" w14:textId="77777777" w:rsidR="00891659" w:rsidRDefault="008D682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Key Functions:</w:t>
      </w:r>
    </w:p>
    <w:p w14:paraId="00000013" w14:textId="77777777" w:rsidR="00891659" w:rsidRDefault="008D68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Assessment and Diagnosis: Primary screening of mental health conditions by the professionals.</w:t>
      </w:r>
    </w:p>
    <w:p w14:paraId="00000014" w14:textId="77777777" w:rsidR="00891659" w:rsidRDefault="008D68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Treatment and Therapy: This involves medication management, counselling, cognitive behavioural therapy (CBT) and other psychological treatments (Susanti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00000015" w14:textId="77777777" w:rsidR="00891659" w:rsidRDefault="008D68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Crisis Support: Emergency support of severely mentally ill people.</w:t>
      </w:r>
    </w:p>
    <w:p w14:paraId="00000016" w14:textId="77777777" w:rsidR="00891659" w:rsidRDefault="008D68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Rehabilitation: Assistance to enable people to gain skills and autonomy.</w:t>
      </w:r>
    </w:p>
    <w:p w14:paraId="00000017" w14:textId="77777777" w:rsidR="00891659" w:rsidRDefault="008D68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Continued Care: Long-term care and follow-ups.</w:t>
      </w:r>
    </w:p>
    <w:p w14:paraId="00000018" w14:textId="77777777" w:rsidR="00891659" w:rsidRDefault="008D68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Person-Centred Care: Modern CMHS emphasise dignity, respect, and inclusion. The service users are engaged in their care plans, which enhances their engagement and results.</w:t>
      </w:r>
    </w:p>
    <w:p w14:paraId="00000019"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Challenges Faced by Community Mental Health Services</w:t>
      </w:r>
    </w:p>
    <w:p w14:paraId="0000001A" w14:textId="77777777" w:rsidR="00891659" w:rsidRDefault="008D682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Challenge 1: Lack of funding and resources</w:t>
      </w:r>
    </w:p>
    <w:p w14:paraId="0000001B"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Lack of resources and funding is one of the biggest problems that CMHS is encountering. The growing need of mental health services has put the system under a lot of strain, which in most cases resulted in long queues and less access to healthcare (Adu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There are also problems of staff shortage. The untrained mental health practitioners may lead to workload, burnout, and decline in the quality of care. This may be detrimental to service users, particularly those in urgent need of support.</w:t>
      </w:r>
    </w:p>
    <w:p w14:paraId="0000001C" w14:textId="77777777" w:rsidR="00891659" w:rsidRDefault="008D682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Impact:</w:t>
      </w:r>
    </w:p>
    <w:p w14:paraId="0000001D" w14:textId="77777777" w:rsidR="00891659" w:rsidRDefault="008D682A">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Delayed treatment</w:t>
      </w:r>
    </w:p>
    <w:p w14:paraId="0000001E" w14:textId="77777777" w:rsidR="00891659" w:rsidRDefault="008D682A">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Heightened risk of mental illness</w:t>
      </w:r>
    </w:p>
    <w:p w14:paraId="0000001F" w14:textId="77777777" w:rsidR="00891659" w:rsidRDefault="008D682A">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service delivery</w:t>
      </w:r>
    </w:p>
    <w:p w14:paraId="00000020" w14:textId="77777777" w:rsidR="00891659" w:rsidRDefault="008D682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Challenge 2: Stigma and Social Barriers</w:t>
      </w:r>
    </w:p>
    <w:p w14:paraId="00000021"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spite of increased awareness, mental health stigma continues to be a major challenge in accessing mental health services in the community. Numerous people might find themselves ashamed, judged or misunderstood and unable to get help (Esposito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People may also be discouraged to use such services due to cultural beliefs, ignorance and fear of discrimination. This results in unattended mental illnesses, which may deteriorate in the long run and influence the quality of life of individuals.</w:t>
      </w:r>
    </w:p>
    <w:p w14:paraId="00000022" w14:textId="77777777" w:rsidR="00891659" w:rsidRDefault="008D682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Impact:</w:t>
      </w:r>
    </w:p>
    <w:p w14:paraId="00000023" w14:textId="77777777" w:rsidR="00891659" w:rsidRDefault="008D68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service utilisation</w:t>
      </w:r>
    </w:p>
    <w:p w14:paraId="00000024" w14:textId="77777777" w:rsidR="00891659" w:rsidRDefault="008D68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Late intervention and diagnosis</w:t>
      </w:r>
    </w:p>
    <w:p w14:paraId="00000025" w14:textId="77777777" w:rsidR="00891659" w:rsidRDefault="008D68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exclusion and isolation</w:t>
      </w:r>
    </w:p>
    <w:p w14:paraId="00000026"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Conclusion</w:t>
      </w:r>
    </w:p>
    <w:p w14:paraId="00000027"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CMHCs are important in enhancing a better quality of life of people living with mental illnesses. These services can help individuals gain independence, minimize hospital admissions, and increase social inclusion through offering care in the community. They also assist in the early intervention, which allows them to avoid the development of mental health problems. This does not only have positive effects on individuals but also minimizes the total burden on health care systems.</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Community Mental Health Services are an inseparable component of contemporaneous health and social care. They are a departure of institutional care to the more humane community-based treatment that focuses on the needs and well-being of individuals. Although challenges such as limited resources and stigma persist, CMHS continues to play a vital role in supporting mental health and enhancing quality of life.</w:t>
      </w:r>
      <w:r>
        <w:br w:type="page"/>
      </w:r>
    </w:p>
    <w:p w14:paraId="00000028" w14:textId="77777777" w:rsidR="00891659" w:rsidRDefault="008D682A" w:rsidP="000F66FD">
      <w:pPr>
        <w:pStyle w:val="Heading1"/>
      </w:pPr>
      <w:bookmarkStart w:id="1" w:name="_Toc227098403"/>
      <w:r>
        <w:lastRenderedPageBreak/>
        <w:t>Task 2: Essay on Community antenatal midwifery services</w:t>
      </w:r>
      <w:bookmarkEnd w:id="1"/>
      <w:r>
        <w:t xml:space="preserve"> </w:t>
      </w:r>
    </w:p>
    <w:p w14:paraId="00000029"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Origins and Historical Development of Community Antenatal Midwifery Services</w:t>
      </w:r>
    </w:p>
    <w:p w14:paraId="0000002A"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antenatal midwifery services have developed as one of the vital elements of maternal healthcare aimed at offering services to pregnant women in their communities. They can be traced back to the late 19th and early 20th centuries when the mortality rates of mothers and babies were very high because of low hygiene, medical ignorance, and the unavailability of trained healthcare professionals. In most of the countries, childbirth usually happened at home where untrained birth attendants often attended. The emergence of health-related movements among the people and the awareness of safer childbirth practice resulted in the official training and certification of midwives. Governments started enacting policies to standardize midwifery practice, including the Midwives Act of 1902 in the United Kingdom, which led to the professionalization of midwifery and its incorporation into the healthcare system (Sannomiya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Industrialization, urbanization, and increasing awareness of women's rights to their health were some of the factors that influenced the historical context that shaped these services. With the increase in populations and the development of cities, the necessity of conveniently available healthcare services heightened. Community-based care was a measure to curb the divide between the hospital and the home, so that even the patients in remote or underserved regions could be able to have the necessary antenatal care. With time, the role of community antenatal services was further reinforced through the development of medical science, increased training and integration of the midwives into multidisciplinary healthcare teams.</w:t>
      </w:r>
    </w:p>
    <w:p w14:paraId="0000002B"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Critical Evaluation of the Current Functioning of the Service</w:t>
      </w:r>
    </w:p>
    <w:p w14:paraId="0000002C" w14:textId="0E0D281B"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antenatal midwifery services today play an important role in the primary healthcare systems in many countries across the globe. The services offered by midwives are very diverse and they include routine check-ups, </w:t>
      </w:r>
      <w:proofErr w:type="spellStart"/>
      <w:r>
        <w:rPr>
          <w:rFonts w:ascii="Times New Roman" w:eastAsia="Times New Roman" w:hAnsi="Times New Roman" w:cs="Times New Roman"/>
          <w:sz w:val="24"/>
          <w:szCs w:val="24"/>
        </w:rPr>
        <w:t>fetal</w:t>
      </w:r>
      <w:proofErr w:type="spellEnd"/>
      <w:r>
        <w:rPr>
          <w:rFonts w:ascii="Times New Roman" w:eastAsia="Times New Roman" w:hAnsi="Times New Roman" w:cs="Times New Roman"/>
          <w:sz w:val="24"/>
          <w:szCs w:val="24"/>
        </w:rPr>
        <w:t xml:space="preserve"> care, nutrition guidance, screening and education of the expectant mothers </w:t>
      </w:r>
      <w:r w:rsidR="00D332F3">
        <w:rPr>
          <w:rFonts w:ascii="Times New Roman" w:eastAsia="Times New Roman" w:hAnsi="Times New Roman" w:cs="Times New Roman"/>
          <w:sz w:val="24"/>
          <w:szCs w:val="24"/>
        </w:rPr>
        <w:t>about</w:t>
      </w:r>
      <w:r>
        <w:rPr>
          <w:rFonts w:ascii="Times New Roman" w:eastAsia="Times New Roman" w:hAnsi="Times New Roman" w:cs="Times New Roman"/>
          <w:sz w:val="24"/>
          <w:szCs w:val="24"/>
        </w:rPr>
        <w:t xml:space="preserve"> childbirth and postnatal support (Andersen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They usually collaborate with obstetricians and general practitioners among other health professionals to provide holistic care. Notably, these services are aimed at being accessible, sensitive, culturally sensitive, and personal often by home visits, community clinics, or outreach programs.</w:t>
      </w:r>
    </w:p>
    <w:p w14:paraId="0000002D" w14:textId="77777777"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as much as the present system possesses numerous merits, it has its challenges. In other areas, trained midwives are in short supply which translates to more work and less quality care. Also, the role of midwives has been at times undermined by the medicalization of childbirth in some healthcare systems, restricting midwives and their area of practice. </w:t>
      </w:r>
      <w:r>
        <w:rPr>
          <w:rFonts w:ascii="Times New Roman" w:eastAsia="Times New Roman" w:hAnsi="Times New Roman" w:cs="Times New Roman"/>
          <w:sz w:val="24"/>
          <w:szCs w:val="24"/>
        </w:rPr>
        <w:lastRenderedPageBreak/>
        <w:t>Irrespective of these problems, community antenatal midwifery services are still affordable and effective in terms of delivering maternal care especially when they are well incorporated in mainstream healthcare systems.</w:t>
      </w:r>
    </w:p>
    <w:p w14:paraId="0000002E" w14:textId="77777777" w:rsidR="00891659" w:rsidRDefault="008D68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Significance in Enhancing the Quality of Life of Service Users</w:t>
      </w:r>
    </w:p>
    <w:p w14:paraId="0000002F" w14:textId="11A19D6D"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such services to the quality of life of service users cannot be overstated. Through personalized and continuous care, midwives </w:t>
      </w:r>
      <w:r w:rsidR="00D332F3">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develop strong and trusting relationships with the pregnant mothers, giving them a feeling of safety and assurance during pregnancy. This support can decrease anxiety and increase confidence so that women feel more in control of their health. Timely intervention can be promoted through early detection of possible complications, which enhances the overall maternal and neonatal outcomes. Moreover, improved maternal education and emotional support promote a more healthful lifestyle, improved birth preparation, and postnatal well-being of the mother and infant.</w:t>
      </w:r>
    </w:p>
    <w:p w14:paraId="00000030" w14:textId="5EE03075" w:rsidR="00891659" w:rsidRDefault="008D68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midwifery services in antenatal care have evolved as a reaction to high maternal mortality to a foundation of contemporary maternal care (</w:t>
      </w:r>
      <w:proofErr w:type="spellStart"/>
      <w:r>
        <w:rPr>
          <w:rFonts w:ascii="Times New Roman" w:eastAsia="Times New Roman" w:hAnsi="Times New Roman" w:cs="Times New Roman"/>
          <w:sz w:val="24"/>
          <w:szCs w:val="24"/>
        </w:rPr>
        <w:t>Buwono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Risanty</w:t>
      </w:r>
      <w:proofErr w:type="spellEnd"/>
      <w:r>
        <w:rPr>
          <w:rFonts w:ascii="Times New Roman" w:eastAsia="Times New Roman" w:hAnsi="Times New Roman" w:cs="Times New Roman"/>
          <w:sz w:val="24"/>
          <w:szCs w:val="24"/>
        </w:rPr>
        <w:t>, 2026). Although they continue to face difficulties, their contribution to access to holistic, patient-</w:t>
      </w:r>
      <w:r w:rsidR="000F66FD">
        <w:rPr>
          <w:rFonts w:ascii="Times New Roman" w:eastAsia="Times New Roman" w:hAnsi="Times New Roman" w:cs="Times New Roman"/>
          <w:sz w:val="24"/>
          <w:szCs w:val="24"/>
        </w:rPr>
        <w:t>centred</w:t>
      </w:r>
      <w:r>
        <w:rPr>
          <w:rFonts w:ascii="Times New Roman" w:eastAsia="Times New Roman" w:hAnsi="Times New Roman" w:cs="Times New Roman"/>
          <w:sz w:val="24"/>
          <w:szCs w:val="24"/>
        </w:rPr>
        <w:t>, and accessible care has a profound positive impact on the quality of life and well-being of pregnant women and their families.</w:t>
      </w:r>
      <w:r>
        <w:br w:type="page"/>
      </w:r>
    </w:p>
    <w:p w14:paraId="00000031" w14:textId="77777777" w:rsidR="00891659" w:rsidRDefault="008D682A" w:rsidP="000F66FD">
      <w:pPr>
        <w:pStyle w:val="Heading1"/>
      </w:pPr>
      <w:bookmarkStart w:id="2" w:name="_Toc227098404"/>
      <w:r>
        <w:lastRenderedPageBreak/>
        <w:t>References</w:t>
      </w:r>
      <w:bookmarkEnd w:id="2"/>
    </w:p>
    <w:p w14:paraId="00000032" w14:textId="77777777" w:rsidR="00891659" w:rsidRDefault="008D682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Poster</w:t>
      </w:r>
    </w:p>
    <w:p w14:paraId="4D69218B"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Adu, M.K., da Luz Dias, R., </w:t>
      </w:r>
      <w:proofErr w:type="spellStart"/>
      <w:r>
        <w:rPr>
          <w:rFonts w:ascii="Times New Roman" w:eastAsia="Times New Roman" w:hAnsi="Times New Roman" w:cs="Times New Roman"/>
          <w:sz w:val="24"/>
          <w:szCs w:val="24"/>
        </w:rPr>
        <w:t>Obuobi</w:t>
      </w:r>
      <w:proofErr w:type="spellEnd"/>
      <w:r>
        <w:rPr>
          <w:rFonts w:ascii="Times New Roman" w:eastAsia="Times New Roman" w:hAnsi="Times New Roman" w:cs="Times New Roman"/>
          <w:sz w:val="24"/>
          <w:szCs w:val="24"/>
        </w:rPr>
        <w:t xml:space="preserve">-Donkor, G., Ezeanozie, N., Sridharan, S., Morrison, J., Simon, P., Taylor, B., MacKinnon, M., Gossen, S. and Awara, M., 2024. Reducing wait times and avoiding unnecessary use of high-cost mental health services through a Rapid Access and Stabilization Program: protocol for a program evaluation study. </w:t>
      </w:r>
      <w:r>
        <w:rPr>
          <w:rFonts w:ascii="Times New Roman" w:eastAsia="Times New Roman" w:hAnsi="Times New Roman" w:cs="Times New Roman"/>
          <w:i/>
          <w:iCs/>
          <w:sz w:val="24"/>
          <w:szCs w:val="24"/>
        </w:rPr>
        <w:t>BMC Health Services Research, 24</w:t>
      </w:r>
      <w:r>
        <w:rPr>
          <w:rFonts w:ascii="Times New Roman" w:eastAsia="Times New Roman" w:hAnsi="Times New Roman" w:cs="Times New Roman"/>
          <w:sz w:val="24"/>
          <w:szCs w:val="24"/>
        </w:rPr>
        <w:t xml:space="preserve">(1), p.247. </w:t>
      </w:r>
      <w:hyperlink r:id="rId9">
        <w:r>
          <w:rPr>
            <w:rFonts w:ascii="Times New Roman" w:eastAsia="Times New Roman" w:hAnsi="Times New Roman" w:cs="Times New Roman"/>
            <w:color w:val="1155CC"/>
            <w:sz w:val="24"/>
            <w:szCs w:val="24"/>
            <w:u w:val="single"/>
          </w:rPr>
          <w:t>https://link.springer.com/content/pdf/10.1186/s12913-024-10697-7.pdf</w:t>
        </w:r>
      </w:hyperlink>
      <w:r>
        <w:rPr>
          <w:rFonts w:ascii="Times New Roman" w:eastAsia="Times New Roman" w:hAnsi="Times New Roman" w:cs="Times New Roman"/>
          <w:sz w:val="24"/>
          <w:szCs w:val="24"/>
        </w:rPr>
        <w:t xml:space="preserve"> </w:t>
      </w:r>
    </w:p>
    <w:p w14:paraId="5538ADBB"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Dada, O.D., Amankwaa, I. and Brownie, S., 2025. Perspectives of community mental health nurses as care coordinators within a multidisciplinary team: A systematic review. </w:t>
      </w:r>
      <w:r>
        <w:rPr>
          <w:rFonts w:ascii="Times New Roman" w:eastAsia="Times New Roman" w:hAnsi="Times New Roman" w:cs="Times New Roman"/>
          <w:i/>
          <w:iCs/>
          <w:sz w:val="24"/>
          <w:szCs w:val="24"/>
        </w:rPr>
        <w:t>Journal of Interprofessional Care, 39</w:t>
      </w:r>
      <w:r>
        <w:rPr>
          <w:rFonts w:ascii="Times New Roman" w:eastAsia="Times New Roman" w:hAnsi="Times New Roman" w:cs="Times New Roman"/>
          <w:sz w:val="24"/>
          <w:szCs w:val="24"/>
        </w:rPr>
        <w:t xml:space="preserve">(3), pp.499-509. </w:t>
      </w:r>
      <w:hyperlink r:id="rId10">
        <w:r>
          <w:rPr>
            <w:rFonts w:ascii="Times New Roman" w:eastAsia="Times New Roman" w:hAnsi="Times New Roman" w:cs="Times New Roman"/>
            <w:color w:val="1155CC"/>
            <w:sz w:val="24"/>
            <w:szCs w:val="24"/>
            <w:u w:val="single"/>
          </w:rPr>
          <w:t>https://www.tandfonline.com/doi/abs/10.1080/13561820.2025.2487032</w:t>
        </w:r>
      </w:hyperlink>
      <w:r>
        <w:rPr>
          <w:rFonts w:ascii="Times New Roman" w:eastAsia="Times New Roman" w:hAnsi="Times New Roman" w:cs="Times New Roman"/>
          <w:sz w:val="24"/>
          <w:szCs w:val="24"/>
        </w:rPr>
        <w:t xml:space="preserve"> </w:t>
      </w:r>
    </w:p>
    <w:p w14:paraId="7A6DCFC6" w14:textId="77777777" w:rsidR="0088044B" w:rsidRDefault="0088044B">
      <w:pPr>
        <w:spacing w:line="360" w:lineRule="auto"/>
        <w:jc w:val="both"/>
        <w:rPr>
          <w:rFonts w:ascii="Times New Roman" w:eastAsia="Times New Roman" w:hAnsi="Times New Roman" w:cs="Times New Roman"/>
          <w:sz w:val="24"/>
          <w:szCs w:val="24"/>
        </w:rPr>
      </w:pPr>
      <w:r w:rsidRPr="00A66C03">
        <w:rPr>
          <w:rFonts w:ascii="Times New Roman" w:eastAsia="Times New Roman" w:hAnsi="Times New Roman" w:cs="Times New Roman"/>
          <w:sz w:val="24"/>
          <w:szCs w:val="24"/>
          <w:lang w:val="it-IT"/>
        </w:rPr>
        <w:t xml:space="preserve">Esposito, C.M., Mancini, M., Estradé, A., Rosfort, R., Fusar-Poli, P. and Stanghellini, G., 2024. </w:t>
      </w:r>
      <w:r>
        <w:rPr>
          <w:rFonts w:ascii="Times New Roman" w:eastAsia="Times New Roman" w:hAnsi="Times New Roman" w:cs="Times New Roman"/>
          <w:sz w:val="24"/>
          <w:szCs w:val="24"/>
        </w:rPr>
        <w:t xml:space="preserve">How do depressed people feel perceived by others? A qualitative study from the patient's perspective. </w:t>
      </w:r>
      <w:r>
        <w:rPr>
          <w:rFonts w:ascii="Times New Roman" w:eastAsia="Times New Roman" w:hAnsi="Times New Roman" w:cs="Times New Roman"/>
          <w:i/>
          <w:iCs/>
          <w:sz w:val="24"/>
          <w:szCs w:val="24"/>
        </w:rPr>
        <w:t>Journal of Affective Disorders Reports, 16</w:t>
      </w:r>
      <w:r>
        <w:rPr>
          <w:rFonts w:ascii="Times New Roman" w:eastAsia="Times New Roman" w:hAnsi="Times New Roman" w:cs="Times New Roman"/>
          <w:sz w:val="24"/>
          <w:szCs w:val="24"/>
        </w:rPr>
        <w:t xml:space="preserve">, p.100776. </w:t>
      </w:r>
      <w:hyperlink r:id="rId11">
        <w:r>
          <w:rPr>
            <w:rFonts w:ascii="Times New Roman" w:eastAsia="Times New Roman" w:hAnsi="Times New Roman" w:cs="Times New Roman"/>
            <w:color w:val="1155CC"/>
            <w:sz w:val="24"/>
            <w:szCs w:val="24"/>
            <w:u w:val="single"/>
          </w:rPr>
          <w:t>https://www.sciencedirect.com/science/article/pii/S2666915324000623</w:t>
        </w:r>
      </w:hyperlink>
    </w:p>
    <w:p w14:paraId="61C8CDE6"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 B., 2025. The Culture of Care in Britain Since the Second World War. In The Culture of Care in Britain Since the Second World War. Bristol University Press. </w:t>
      </w:r>
      <w:hyperlink r:id="rId12">
        <w:r>
          <w:rPr>
            <w:rFonts w:ascii="Times New Roman" w:eastAsia="Times New Roman" w:hAnsi="Times New Roman" w:cs="Times New Roman"/>
            <w:color w:val="1155CC"/>
            <w:sz w:val="24"/>
            <w:szCs w:val="24"/>
            <w:u w:val="single"/>
          </w:rPr>
          <w:t>https://bristoluniversitypressdigital.com/monobook/book/9781529248197/9781529248197.xml</w:t>
        </w:r>
      </w:hyperlink>
      <w:r>
        <w:rPr>
          <w:rFonts w:ascii="Times New Roman" w:eastAsia="Times New Roman" w:hAnsi="Times New Roman" w:cs="Times New Roman"/>
          <w:sz w:val="24"/>
          <w:szCs w:val="24"/>
        </w:rPr>
        <w:t xml:space="preserve"> </w:t>
      </w:r>
    </w:p>
    <w:p w14:paraId="6F8FCAD7"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Matthews, E.B. and Stanhope, V., 2026. Enhanced Service Capacity for Severe Mental Illness: A Comparative Analysis of Certified Community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Health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Community Mental Health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and Federally Qualified Health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Health Services Research, 61</w:t>
      </w:r>
      <w:r>
        <w:rPr>
          <w:rFonts w:ascii="Times New Roman" w:eastAsia="Times New Roman" w:hAnsi="Times New Roman" w:cs="Times New Roman"/>
          <w:sz w:val="24"/>
          <w:szCs w:val="24"/>
        </w:rPr>
        <w:t xml:space="preserve">(1), p.e70010. </w:t>
      </w:r>
      <w:hyperlink r:id="rId13">
        <w:r>
          <w:rPr>
            <w:rFonts w:ascii="Times New Roman" w:eastAsia="Times New Roman" w:hAnsi="Times New Roman" w:cs="Times New Roman"/>
            <w:color w:val="1155CC"/>
            <w:sz w:val="24"/>
            <w:szCs w:val="24"/>
            <w:u w:val="single"/>
          </w:rPr>
          <w:t>https://onlinelibrary.wiley.com/doi/abs/10.1111/1475-6773.70010</w:t>
        </w:r>
      </w:hyperlink>
      <w:r>
        <w:rPr>
          <w:rFonts w:ascii="Times New Roman" w:eastAsia="Times New Roman" w:hAnsi="Times New Roman" w:cs="Times New Roman"/>
          <w:sz w:val="24"/>
          <w:szCs w:val="24"/>
        </w:rPr>
        <w:t xml:space="preserve"> </w:t>
      </w:r>
    </w:p>
    <w:p w14:paraId="7A659596"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Snow, S.J. and Whitecross, A.F., 2022. Making history together: the UK’s National Health Service and the story of our lives since 1948. </w:t>
      </w:r>
      <w:r>
        <w:rPr>
          <w:rFonts w:ascii="Times New Roman" w:eastAsia="Times New Roman" w:hAnsi="Times New Roman" w:cs="Times New Roman"/>
          <w:i/>
          <w:iCs/>
          <w:sz w:val="24"/>
          <w:szCs w:val="24"/>
        </w:rPr>
        <w:t>Contemporary British History, 36</w:t>
      </w:r>
      <w:r>
        <w:rPr>
          <w:rFonts w:ascii="Times New Roman" w:eastAsia="Times New Roman" w:hAnsi="Times New Roman" w:cs="Times New Roman"/>
          <w:sz w:val="24"/>
          <w:szCs w:val="24"/>
        </w:rPr>
        <w:t xml:space="preserve">(3), pp.403-429. </w:t>
      </w:r>
      <w:hyperlink r:id="rId14">
        <w:r>
          <w:rPr>
            <w:rFonts w:ascii="Times New Roman" w:eastAsia="Times New Roman" w:hAnsi="Times New Roman" w:cs="Times New Roman"/>
            <w:color w:val="1155CC"/>
            <w:sz w:val="24"/>
            <w:szCs w:val="24"/>
            <w:u w:val="single"/>
          </w:rPr>
          <w:t>https://www.tandfonline.com/doi/abs/10.1080/13619462.2022.2045199</w:t>
        </w:r>
      </w:hyperlink>
      <w:r>
        <w:rPr>
          <w:rFonts w:ascii="Times New Roman" w:eastAsia="Times New Roman" w:hAnsi="Times New Roman" w:cs="Times New Roman"/>
          <w:sz w:val="24"/>
          <w:szCs w:val="24"/>
        </w:rPr>
        <w:t xml:space="preserve"> </w:t>
      </w:r>
    </w:p>
    <w:p w14:paraId="26288285"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Susanti, H., Brooks, H., Yulia, I., </w:t>
      </w:r>
      <w:proofErr w:type="spellStart"/>
      <w:r>
        <w:rPr>
          <w:rFonts w:ascii="Times New Roman" w:eastAsia="Times New Roman" w:hAnsi="Times New Roman" w:cs="Times New Roman"/>
          <w:sz w:val="24"/>
          <w:szCs w:val="24"/>
        </w:rPr>
        <w:t>Windarwati</w:t>
      </w:r>
      <w:proofErr w:type="spellEnd"/>
      <w:r>
        <w:rPr>
          <w:rFonts w:ascii="Times New Roman" w:eastAsia="Times New Roman" w:hAnsi="Times New Roman" w:cs="Times New Roman"/>
          <w:sz w:val="24"/>
          <w:szCs w:val="24"/>
        </w:rPr>
        <w:t xml:space="preserve">, H.D., </w:t>
      </w:r>
      <w:proofErr w:type="spellStart"/>
      <w:r>
        <w:rPr>
          <w:rFonts w:ascii="Times New Roman" w:eastAsia="Times New Roman" w:hAnsi="Times New Roman" w:cs="Times New Roman"/>
          <w:sz w:val="24"/>
          <w:szCs w:val="24"/>
        </w:rPr>
        <w:t>Yuliastuti</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Hasniah</w:t>
      </w:r>
      <w:proofErr w:type="spellEnd"/>
      <w:r>
        <w:rPr>
          <w:rFonts w:ascii="Times New Roman" w:eastAsia="Times New Roman" w:hAnsi="Times New Roman" w:cs="Times New Roman"/>
          <w:sz w:val="24"/>
          <w:szCs w:val="24"/>
        </w:rPr>
        <w:t xml:space="preserve">, H. and </w:t>
      </w:r>
      <w:proofErr w:type="spellStart"/>
      <w:r>
        <w:rPr>
          <w:rFonts w:ascii="Times New Roman" w:eastAsia="Times New Roman" w:hAnsi="Times New Roman" w:cs="Times New Roman"/>
          <w:sz w:val="24"/>
          <w:szCs w:val="24"/>
        </w:rPr>
        <w:t>Keliat</w:t>
      </w:r>
      <w:proofErr w:type="spellEnd"/>
      <w:r>
        <w:rPr>
          <w:rFonts w:ascii="Times New Roman" w:eastAsia="Times New Roman" w:hAnsi="Times New Roman" w:cs="Times New Roman"/>
          <w:sz w:val="24"/>
          <w:szCs w:val="24"/>
        </w:rPr>
        <w:t xml:space="preserve">, B.A., 2024. An exploration of the Indonesian lay mental health workers’(cadres) experiences in performing their roles in community mental health services: a qualitative study. </w:t>
      </w:r>
      <w:r>
        <w:rPr>
          <w:rFonts w:ascii="Times New Roman" w:eastAsia="Times New Roman" w:hAnsi="Times New Roman" w:cs="Times New Roman"/>
          <w:i/>
          <w:iCs/>
          <w:sz w:val="24"/>
          <w:szCs w:val="24"/>
        </w:rPr>
        <w:t>International Journal of Mental Health Systems, 18</w:t>
      </w:r>
      <w:r>
        <w:rPr>
          <w:rFonts w:ascii="Times New Roman" w:eastAsia="Times New Roman" w:hAnsi="Times New Roman" w:cs="Times New Roman"/>
          <w:sz w:val="24"/>
          <w:szCs w:val="24"/>
        </w:rPr>
        <w:t xml:space="preserve">(1), p.3. </w:t>
      </w:r>
      <w:hyperlink r:id="rId15">
        <w:r>
          <w:rPr>
            <w:rFonts w:ascii="Times New Roman" w:eastAsia="Times New Roman" w:hAnsi="Times New Roman" w:cs="Times New Roman"/>
            <w:color w:val="1155CC"/>
            <w:sz w:val="24"/>
            <w:szCs w:val="24"/>
            <w:u w:val="single"/>
          </w:rPr>
          <w:t>https://link.springer.com/content/pdf/10.1186/s13033-024-00622-0.pdf</w:t>
        </w:r>
      </w:hyperlink>
      <w:r>
        <w:rPr>
          <w:rFonts w:ascii="Times New Roman" w:eastAsia="Times New Roman" w:hAnsi="Times New Roman" w:cs="Times New Roman"/>
          <w:sz w:val="24"/>
          <w:szCs w:val="24"/>
        </w:rPr>
        <w:t xml:space="preserve"> </w:t>
      </w:r>
    </w:p>
    <w:p w14:paraId="0000003A" w14:textId="77777777" w:rsidR="00891659" w:rsidRDefault="008D682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Essay</w:t>
      </w:r>
    </w:p>
    <w:p w14:paraId="08B49F0A"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Andersen, C.G., Thomsen, L.L.H., Gram, P. and Overgaard, C., 2023. ‘It's about developing a trustful relationship’: A Realist Evaluation of midwives’ relational competencies and confidence in a Danish antenatal psychosocial assessment programme. </w:t>
      </w:r>
      <w:r>
        <w:rPr>
          <w:rFonts w:ascii="Times New Roman" w:eastAsia="Times New Roman" w:hAnsi="Times New Roman" w:cs="Times New Roman"/>
          <w:i/>
          <w:iCs/>
          <w:sz w:val="24"/>
          <w:szCs w:val="24"/>
        </w:rPr>
        <w:t>Midwifery, 122</w:t>
      </w:r>
      <w:r>
        <w:rPr>
          <w:rFonts w:ascii="Times New Roman" w:eastAsia="Times New Roman" w:hAnsi="Times New Roman" w:cs="Times New Roman"/>
          <w:sz w:val="24"/>
          <w:szCs w:val="24"/>
        </w:rPr>
        <w:t xml:space="preserve">, p.103675. </w:t>
      </w:r>
      <w:hyperlink r:id="rId16">
        <w:r>
          <w:rPr>
            <w:rFonts w:ascii="Times New Roman" w:eastAsia="Times New Roman" w:hAnsi="Times New Roman" w:cs="Times New Roman"/>
            <w:color w:val="1155CC"/>
            <w:sz w:val="24"/>
            <w:szCs w:val="24"/>
            <w:u w:val="single"/>
          </w:rPr>
          <w:t>https://www.sciencedirect.com/science/article/pii/S0266613823000785</w:t>
        </w:r>
      </w:hyperlink>
      <w:r>
        <w:rPr>
          <w:rFonts w:ascii="Times New Roman" w:eastAsia="Times New Roman" w:hAnsi="Times New Roman" w:cs="Times New Roman"/>
          <w:sz w:val="24"/>
          <w:szCs w:val="24"/>
        </w:rPr>
        <w:t xml:space="preserve"> </w:t>
      </w:r>
    </w:p>
    <w:p w14:paraId="1445EBB2" w14:textId="77777777" w:rsidR="0088044B" w:rsidRDefault="0088044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Buwono</w:t>
      </w:r>
      <w:proofErr w:type="spellEnd"/>
      <w:r>
        <w:rPr>
          <w:rFonts w:ascii="Times New Roman" w:eastAsia="Times New Roman" w:hAnsi="Times New Roman" w:cs="Times New Roman"/>
          <w:sz w:val="24"/>
          <w:szCs w:val="24"/>
        </w:rPr>
        <w:t xml:space="preserve">, H.K. and </w:t>
      </w:r>
      <w:proofErr w:type="spellStart"/>
      <w:r>
        <w:rPr>
          <w:rFonts w:ascii="Times New Roman" w:eastAsia="Times New Roman" w:hAnsi="Times New Roman" w:cs="Times New Roman"/>
          <w:sz w:val="24"/>
          <w:szCs w:val="24"/>
        </w:rPr>
        <w:t>Risanty</w:t>
      </w:r>
      <w:proofErr w:type="spellEnd"/>
      <w:r>
        <w:rPr>
          <w:rFonts w:ascii="Times New Roman" w:eastAsia="Times New Roman" w:hAnsi="Times New Roman" w:cs="Times New Roman"/>
          <w:sz w:val="24"/>
          <w:szCs w:val="24"/>
        </w:rPr>
        <w:t xml:space="preserve">, R.D., 2026. THE EFFECTIVENESS OF THE CONTINUITY OF CARE MODEL IN IMPROVING MATERNAL AND NEONATAL SAFETY IN COMMUNITY-BASED MIDWIFERY SERVICES. </w:t>
      </w:r>
      <w:r>
        <w:rPr>
          <w:rFonts w:ascii="Times New Roman" w:eastAsia="Times New Roman" w:hAnsi="Times New Roman" w:cs="Times New Roman"/>
          <w:i/>
          <w:iCs/>
          <w:sz w:val="24"/>
          <w:szCs w:val="24"/>
        </w:rPr>
        <w:t xml:space="preserve">Journal of Sanitas Et </w:t>
      </w:r>
      <w:proofErr w:type="spellStart"/>
      <w:r>
        <w:rPr>
          <w:rFonts w:ascii="Times New Roman" w:eastAsia="Times New Roman" w:hAnsi="Times New Roman" w:cs="Times New Roman"/>
          <w:i/>
          <w:iCs/>
          <w:sz w:val="24"/>
          <w:szCs w:val="24"/>
        </w:rPr>
        <w:t>Salutem</w:t>
      </w:r>
      <w:proofErr w:type="spellEnd"/>
      <w:r>
        <w:rPr>
          <w:rFonts w:ascii="Times New Roman" w:eastAsia="Times New Roman" w:hAnsi="Times New Roman" w:cs="Times New Roman"/>
          <w:i/>
          <w:iCs/>
          <w:sz w:val="24"/>
          <w:szCs w:val="24"/>
        </w:rPr>
        <w:t>, 1</w:t>
      </w:r>
      <w:r>
        <w:rPr>
          <w:rFonts w:ascii="Times New Roman" w:eastAsia="Times New Roman" w:hAnsi="Times New Roman" w:cs="Times New Roman"/>
          <w:sz w:val="24"/>
          <w:szCs w:val="24"/>
        </w:rPr>
        <w:t xml:space="preserve">(1), pp.1-17. </w:t>
      </w:r>
      <w:hyperlink r:id="rId17">
        <w:r>
          <w:rPr>
            <w:rFonts w:ascii="Times New Roman" w:eastAsia="Times New Roman" w:hAnsi="Times New Roman" w:cs="Times New Roman"/>
            <w:color w:val="1155CC"/>
            <w:sz w:val="24"/>
            <w:szCs w:val="24"/>
            <w:u w:val="single"/>
          </w:rPr>
          <w:t>https://ejournal.grafindoscience.com/jss/article/download/57/92</w:t>
        </w:r>
      </w:hyperlink>
      <w:r>
        <w:rPr>
          <w:rFonts w:ascii="Times New Roman" w:eastAsia="Times New Roman" w:hAnsi="Times New Roman" w:cs="Times New Roman"/>
          <w:sz w:val="24"/>
          <w:szCs w:val="24"/>
        </w:rPr>
        <w:t xml:space="preserve">  </w:t>
      </w:r>
    </w:p>
    <w:p w14:paraId="596FD3D2" w14:textId="77777777" w:rsidR="0088044B" w:rsidRDefault="00880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Sannomiya, M., Morie, K., Kubota, A. and Kanai‐Pak, M., 2023. The evaluation of men introduced in midwifery in the United Kingdom: A gender perspective. </w:t>
      </w:r>
      <w:r>
        <w:rPr>
          <w:rFonts w:ascii="Times New Roman" w:eastAsia="Times New Roman" w:hAnsi="Times New Roman" w:cs="Times New Roman"/>
          <w:i/>
          <w:iCs/>
          <w:sz w:val="24"/>
          <w:szCs w:val="24"/>
        </w:rPr>
        <w:t>Sexuality, Gender &amp; Policy, 6</w:t>
      </w:r>
      <w:r>
        <w:rPr>
          <w:rFonts w:ascii="Times New Roman" w:eastAsia="Times New Roman" w:hAnsi="Times New Roman" w:cs="Times New Roman"/>
          <w:sz w:val="24"/>
          <w:szCs w:val="24"/>
        </w:rPr>
        <w:t xml:space="preserve">(4), pp.180-197. </w:t>
      </w:r>
      <w:hyperlink r:id="rId18">
        <w:r>
          <w:rPr>
            <w:rFonts w:ascii="Times New Roman" w:eastAsia="Times New Roman" w:hAnsi="Times New Roman" w:cs="Times New Roman"/>
            <w:color w:val="1155CC"/>
            <w:sz w:val="24"/>
            <w:szCs w:val="24"/>
            <w:u w:val="single"/>
          </w:rPr>
          <w:t>https://onlinelibrary.wiley.com/doi/pdfdirect/10.1002/sgp2.12076?utm_source=consensus</w:t>
        </w:r>
      </w:hyperlink>
      <w:r>
        <w:rPr>
          <w:rFonts w:ascii="Times New Roman" w:eastAsia="Times New Roman" w:hAnsi="Times New Roman" w:cs="Times New Roman"/>
          <w:sz w:val="24"/>
          <w:szCs w:val="24"/>
        </w:rPr>
        <w:t xml:space="preserve"> </w:t>
      </w:r>
    </w:p>
    <w:sectPr w:rsidR="0088044B" w:rsidSect="000F66FD">
      <w:footerReference w:type="default" r:id="rId1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B5C88" w14:textId="77777777" w:rsidR="00A12FB4" w:rsidRDefault="00A12FB4" w:rsidP="000F66FD">
      <w:pPr>
        <w:spacing w:line="240" w:lineRule="auto"/>
      </w:pPr>
      <w:r>
        <w:separator/>
      </w:r>
    </w:p>
  </w:endnote>
  <w:endnote w:type="continuationSeparator" w:id="0">
    <w:p w14:paraId="588AAC74" w14:textId="77777777" w:rsidR="00A12FB4" w:rsidRDefault="00A12FB4" w:rsidP="000F66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B72FF38-9FAE-4819-8269-FE42B14E39C3}"/>
  </w:font>
  <w:font w:name="Vrinda">
    <w:panose1 w:val="00000400000000000000"/>
    <w:charset w:val="00"/>
    <w:family w:val="swiss"/>
    <w:pitch w:val="variable"/>
    <w:sig w:usb0="00010003" w:usb1="00000000" w:usb2="00000000" w:usb3="00000000" w:csb0="00000001" w:csb1="00000000"/>
    <w:embedRegular r:id="rId2" w:fontKey="{89AAD59D-0B1C-4D32-9DEF-7034A833A532}"/>
  </w:font>
  <w:font w:name="Cambria">
    <w:panose1 w:val="02040503050406030204"/>
    <w:charset w:val="00"/>
    <w:family w:val="roman"/>
    <w:pitch w:val="variable"/>
    <w:sig w:usb0="E00006FF" w:usb1="420024FF" w:usb2="02000000" w:usb3="00000000" w:csb0="0000019F" w:csb1="00000000"/>
    <w:embedRegular r:id="rId3" w:fontKey="{2FA9BD33-18E0-4164-A913-12A177783E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119535"/>
      <w:docPartObj>
        <w:docPartGallery w:val="Page Numbers (Bottom of Page)"/>
        <w:docPartUnique/>
      </w:docPartObj>
    </w:sdtPr>
    <w:sdtEndPr>
      <w:rPr>
        <w:rFonts w:ascii="Times New Roman" w:hAnsi="Times New Roman" w:cs="Times New Roman"/>
        <w:noProof/>
        <w:sz w:val="20"/>
        <w:szCs w:val="24"/>
      </w:rPr>
    </w:sdtEndPr>
    <w:sdtContent>
      <w:p w14:paraId="5FF86926" w14:textId="0CEDAE68" w:rsidR="000F66FD" w:rsidRPr="000F66FD" w:rsidRDefault="000F66FD" w:rsidP="000F66FD">
        <w:pPr>
          <w:pStyle w:val="Footer"/>
          <w:spacing w:line="360" w:lineRule="auto"/>
          <w:jc w:val="right"/>
          <w:rPr>
            <w:rFonts w:ascii="Times New Roman" w:hAnsi="Times New Roman" w:cs="Times New Roman"/>
            <w:sz w:val="20"/>
            <w:szCs w:val="24"/>
          </w:rPr>
        </w:pPr>
        <w:r w:rsidRPr="000F66FD">
          <w:rPr>
            <w:rFonts w:ascii="Times New Roman" w:hAnsi="Times New Roman" w:cs="Times New Roman"/>
            <w:sz w:val="20"/>
            <w:szCs w:val="24"/>
          </w:rPr>
          <w:fldChar w:fldCharType="begin"/>
        </w:r>
        <w:r w:rsidRPr="000F66FD">
          <w:rPr>
            <w:rFonts w:ascii="Times New Roman" w:hAnsi="Times New Roman" w:cs="Times New Roman"/>
            <w:sz w:val="20"/>
            <w:szCs w:val="24"/>
          </w:rPr>
          <w:instrText xml:space="preserve"> PAGE   \* MERGEFORMAT </w:instrText>
        </w:r>
        <w:r w:rsidRPr="000F66FD">
          <w:rPr>
            <w:rFonts w:ascii="Times New Roman" w:hAnsi="Times New Roman" w:cs="Times New Roman"/>
            <w:sz w:val="20"/>
            <w:szCs w:val="24"/>
          </w:rPr>
          <w:fldChar w:fldCharType="separate"/>
        </w:r>
        <w:r w:rsidRPr="000F66FD">
          <w:rPr>
            <w:rFonts w:ascii="Times New Roman" w:hAnsi="Times New Roman" w:cs="Times New Roman"/>
            <w:noProof/>
            <w:sz w:val="20"/>
            <w:szCs w:val="24"/>
          </w:rPr>
          <w:t>2</w:t>
        </w:r>
        <w:r w:rsidRPr="000F66FD">
          <w:rPr>
            <w:rFonts w:ascii="Times New Roman" w:hAnsi="Times New Roman" w:cs="Times New Roman"/>
            <w:noProof/>
            <w:sz w:val="20"/>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27411" w14:textId="77777777" w:rsidR="00A12FB4" w:rsidRDefault="00A12FB4" w:rsidP="000F66FD">
      <w:pPr>
        <w:spacing w:line="240" w:lineRule="auto"/>
      </w:pPr>
      <w:r>
        <w:separator/>
      </w:r>
    </w:p>
  </w:footnote>
  <w:footnote w:type="continuationSeparator" w:id="0">
    <w:p w14:paraId="16CC2DC6" w14:textId="77777777" w:rsidR="00A12FB4" w:rsidRDefault="00A12FB4" w:rsidP="000F66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6BE3"/>
    <w:multiLevelType w:val="multilevel"/>
    <w:tmpl w:val="04A219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687CF7"/>
    <w:multiLevelType w:val="multilevel"/>
    <w:tmpl w:val="E1700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674019"/>
    <w:multiLevelType w:val="multilevel"/>
    <w:tmpl w:val="92BCC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1885509">
    <w:abstractNumId w:val="0"/>
  </w:num>
  <w:num w:numId="2" w16cid:durableId="624045349">
    <w:abstractNumId w:val="1"/>
  </w:num>
  <w:num w:numId="3" w16cid:durableId="1098722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1659"/>
    <w:rsid w:val="000F45A0"/>
    <w:rsid w:val="000F66FD"/>
    <w:rsid w:val="00301869"/>
    <w:rsid w:val="00335D6A"/>
    <w:rsid w:val="00343A5D"/>
    <w:rsid w:val="00354245"/>
    <w:rsid w:val="00385F74"/>
    <w:rsid w:val="00683E05"/>
    <w:rsid w:val="00783D64"/>
    <w:rsid w:val="00827129"/>
    <w:rsid w:val="0088044B"/>
    <w:rsid w:val="00891659"/>
    <w:rsid w:val="008943D0"/>
    <w:rsid w:val="008D682A"/>
    <w:rsid w:val="00A12FB4"/>
    <w:rsid w:val="00A66C03"/>
    <w:rsid w:val="00B9058F"/>
    <w:rsid w:val="00C203CB"/>
    <w:rsid w:val="00C239F3"/>
    <w:rsid w:val="00CA4CCE"/>
    <w:rsid w:val="00CF3F71"/>
    <w:rsid w:val="00D332F3"/>
    <w:rsid w:val="00D71F3A"/>
    <w:rsid w:val="00DE7E9E"/>
    <w:rsid w:val="00E37605"/>
    <w:rsid w:val="00F14DB0"/>
    <w:rsid w:val="00F70B6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2803B"/>
  <w15:docId w15:val="{5490D75F-5719-404F-AD7B-30825BB35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F66FD"/>
    <w:pPr>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F66FD"/>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0F66FD"/>
    <w:rPr>
      <w:szCs w:val="28"/>
    </w:rPr>
  </w:style>
  <w:style w:type="paragraph" w:styleId="Footer">
    <w:name w:val="footer"/>
    <w:basedOn w:val="Normal"/>
    <w:link w:val="FooterChar"/>
    <w:uiPriority w:val="99"/>
    <w:unhideWhenUsed/>
    <w:rsid w:val="000F66FD"/>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0F66FD"/>
    <w:rPr>
      <w:szCs w:val="28"/>
    </w:rPr>
  </w:style>
  <w:style w:type="paragraph" w:styleId="TOCHeading">
    <w:name w:val="TOC Heading"/>
    <w:basedOn w:val="Heading1"/>
    <w:next w:val="Normal"/>
    <w:uiPriority w:val="39"/>
    <w:unhideWhenUsed/>
    <w:qFormat/>
    <w:rsid w:val="00DE7E9E"/>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DE7E9E"/>
    <w:pPr>
      <w:spacing w:after="100"/>
    </w:pPr>
    <w:rPr>
      <w:szCs w:val="28"/>
    </w:rPr>
  </w:style>
  <w:style w:type="character" w:styleId="Hyperlink">
    <w:name w:val="Hyperlink"/>
    <w:basedOn w:val="DefaultParagraphFont"/>
    <w:uiPriority w:val="99"/>
    <w:unhideWhenUsed/>
    <w:rsid w:val="00DE7E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abs/10.1111/1475-6773.70010" TargetMode="External"/><Relationship Id="rId18" Type="http://schemas.openxmlformats.org/officeDocument/2006/relationships/hyperlink" Target="https://onlinelibrary.wiley.com/doi/pdfdirect/10.1002/sgp2.12076?utm_source=consensu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ristoluniversitypressdigital.com/monobook/book/9781529248197/9781529248197.xml" TargetMode="External"/><Relationship Id="rId17" Type="http://schemas.openxmlformats.org/officeDocument/2006/relationships/hyperlink" Target="https://ejournal.grafindoscience.com/jss/article/download/57/92" TargetMode="External"/><Relationship Id="rId2" Type="http://schemas.openxmlformats.org/officeDocument/2006/relationships/numbering" Target="numbering.xml"/><Relationship Id="rId16" Type="http://schemas.openxmlformats.org/officeDocument/2006/relationships/hyperlink" Target="https://www.sciencedirect.com/science/article/pii/S026661382300078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666915324000623" TargetMode="External"/><Relationship Id="rId5" Type="http://schemas.openxmlformats.org/officeDocument/2006/relationships/webSettings" Target="webSettings.xml"/><Relationship Id="rId15" Type="http://schemas.openxmlformats.org/officeDocument/2006/relationships/hyperlink" Target="https://link.springer.com/content/pdf/10.1186/s13033-024-00622-0.pdf" TargetMode="External"/><Relationship Id="rId10" Type="http://schemas.openxmlformats.org/officeDocument/2006/relationships/hyperlink" Target="https://www.tandfonline.com/doi/abs/10.1080/13561820.2025.2487032"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nk.springer.com/content/pdf/10.1186/s12913-024-10697-7.pdf" TargetMode="External"/><Relationship Id="rId14" Type="http://schemas.openxmlformats.org/officeDocument/2006/relationships/hyperlink" Target="https://www.tandfonline.com/doi/abs/10.1080/13619462.2022.204519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77789-BF3B-460D-B39D-77DA4E885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2284</Words>
  <Characters>13023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Fairuj Prome</cp:lastModifiedBy>
  <cp:revision>4</cp:revision>
  <dcterms:created xsi:type="dcterms:W3CDTF">2026-04-17T09:52:00Z</dcterms:created>
  <dcterms:modified xsi:type="dcterms:W3CDTF">2026-04-17T10:03:00Z</dcterms:modified>
</cp:coreProperties>
</file>