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D4BA981" w14:textId="019EAA95" w:rsidR="00E216FD" w:rsidRDefault="00DD5969" w:rsidP="00DD5969">
      <w:pPr>
        <w:spacing w:before="3"/>
        <w:rPr>
          <w:rFonts w:ascii="Arial"/>
          <w:b/>
          <w:sz w:val="48"/>
          <w:szCs w:val="48"/>
        </w:rPr>
      </w:pPr>
      <w:r w:rsidRPr="00DD5969">
        <w:rPr>
          <w:rFonts w:ascii="Arial"/>
          <w:b/>
          <w:sz w:val="48"/>
          <w:szCs w:val="48"/>
        </w:rPr>
        <w:t>STUDENT NAME:</w:t>
      </w:r>
      <w:r w:rsidR="00E216FD">
        <w:rPr>
          <w:rFonts w:ascii="Arial"/>
          <w:b/>
          <w:sz w:val="48"/>
          <w:szCs w:val="48"/>
        </w:rPr>
        <w:t xml:space="preserve"> Megan Howard</w:t>
      </w:r>
    </w:p>
    <w:p w14:paraId="0D16D138" w14:textId="77777777" w:rsidR="00DD5969" w:rsidRPr="00DD5969" w:rsidRDefault="00DD5969" w:rsidP="00DD5969">
      <w:pPr>
        <w:spacing w:before="3"/>
        <w:rPr>
          <w:rFonts w:ascii="Arial"/>
          <w:b/>
          <w:sz w:val="48"/>
          <w:szCs w:val="48"/>
        </w:rPr>
      </w:pPr>
    </w:p>
    <w:p w14:paraId="18107AFF" w14:textId="5707D8A6"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E216FD">
        <w:rPr>
          <w:rFonts w:ascii="Arial"/>
          <w:b/>
          <w:sz w:val="48"/>
          <w:szCs w:val="48"/>
        </w:rPr>
        <w:t xml:space="preserve"> 2304259</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EE20A6B" w14:textId="2BBB5E1A" w:rsidR="00E243A8" w:rsidRPr="00E216FD" w:rsidRDefault="00B103B9" w:rsidP="00E243A8">
      <w:pPr>
        <w:rPr>
          <w:u w:val="single"/>
        </w:rPr>
      </w:pPr>
      <w:r w:rsidRPr="00E216FD">
        <w:rPr>
          <w:u w:val="single"/>
        </w:rPr>
        <w:lastRenderedPageBreak/>
        <w:t>AI Acknowledgement</w:t>
      </w:r>
    </w:p>
    <w:p w14:paraId="768557CB" w14:textId="77777777" w:rsidR="00C2550A" w:rsidRPr="00E216FD" w:rsidRDefault="00E243A8" w:rsidP="00E243A8">
      <w:pPr>
        <w:rPr>
          <w:sz w:val="22"/>
          <w:szCs w:val="22"/>
        </w:rPr>
      </w:pPr>
      <w:r w:rsidRPr="00E216FD">
        <w:rPr>
          <w:sz w:val="22"/>
          <w:szCs w:val="22"/>
        </w:rPr>
        <w:t xml:space="preserve">I confirm that I have not presented any AI generated materials as my own work. </w:t>
      </w:r>
    </w:p>
    <w:p w14:paraId="061710D3" w14:textId="4E15C943" w:rsidR="00E10797" w:rsidRPr="00E216FD" w:rsidRDefault="00E243A8" w:rsidP="00DD5969">
      <w:pPr>
        <w:rPr>
          <w:sz w:val="22"/>
          <w:szCs w:val="22"/>
        </w:rPr>
      </w:pPr>
      <w:r w:rsidRPr="00E216FD">
        <w:rPr>
          <w:sz w:val="22"/>
          <w:szCs w:val="22"/>
        </w:rPr>
        <w:t xml:space="preserve">I confirm </w:t>
      </w:r>
      <w:r w:rsidR="00C2550A" w:rsidRPr="00E216FD">
        <w:rPr>
          <w:sz w:val="22"/>
          <w:szCs w:val="22"/>
        </w:rPr>
        <w:t xml:space="preserve">that </w:t>
      </w:r>
      <w:r w:rsidRPr="00E216FD">
        <w:rPr>
          <w:sz w:val="22"/>
          <w:szCs w:val="22"/>
        </w:rPr>
        <w:t>I have copies of my drafts, notes, and other resources I used, which I may be asked to provide in evidence.</w:t>
      </w:r>
    </w:p>
    <w:p w14:paraId="502BB6BD" w14:textId="3996987B" w:rsidR="00DD5969" w:rsidRPr="00E216FD" w:rsidRDefault="00DD5969" w:rsidP="00DD5969">
      <w:pPr>
        <w:rPr>
          <w:sz w:val="22"/>
          <w:szCs w:val="22"/>
        </w:rPr>
      </w:pPr>
      <w:r w:rsidRPr="00E216FD">
        <w:rPr>
          <w:sz w:val="22"/>
          <w:szCs w:val="22"/>
        </w:rPr>
        <w:t xml:space="preserve">I acknowledge the use of ChatGPT (https://chatgpt.com/) on </w:t>
      </w:r>
      <w:r w:rsidR="00E216FD" w:rsidRPr="00E216FD">
        <w:rPr>
          <w:sz w:val="22"/>
          <w:szCs w:val="22"/>
        </w:rPr>
        <w:t>8th</w:t>
      </w:r>
      <w:r w:rsidRPr="00E216FD">
        <w:rPr>
          <w:sz w:val="22"/>
          <w:szCs w:val="22"/>
        </w:rPr>
        <w:t xml:space="preserve"> April 2024 to </w:t>
      </w:r>
      <w:r w:rsidR="00E216FD" w:rsidRPr="00E216FD">
        <w:rPr>
          <w:sz w:val="22"/>
          <w:szCs w:val="22"/>
        </w:rPr>
        <w:t>discover even more resources and websites that may be relevant to my work</w:t>
      </w:r>
    </w:p>
    <w:p w14:paraId="631251D2" w14:textId="074F7BDC" w:rsidR="00E216FD" w:rsidRPr="00E216FD" w:rsidRDefault="00E216FD" w:rsidP="00E216FD">
      <w:pPr>
        <w:pStyle w:val="ListParagraph"/>
        <w:numPr>
          <w:ilvl w:val="0"/>
          <w:numId w:val="1"/>
        </w:numPr>
        <w:rPr>
          <w:sz w:val="22"/>
          <w:szCs w:val="22"/>
        </w:rPr>
      </w:pPr>
      <w:r w:rsidRPr="00E216FD">
        <w:rPr>
          <w:sz w:val="22"/>
          <w:szCs w:val="22"/>
        </w:rPr>
        <w:t xml:space="preserve">help me find further research on poverty in Wales and how it may affect children </w:t>
      </w:r>
    </w:p>
    <w:p w14:paraId="2F521E63" w14:textId="739598D4" w:rsidR="0000375B" w:rsidRPr="00E216FD" w:rsidRDefault="00E216FD" w:rsidP="00E216FD">
      <w:pPr>
        <w:pStyle w:val="ListParagraph"/>
        <w:numPr>
          <w:ilvl w:val="0"/>
          <w:numId w:val="1"/>
        </w:numPr>
        <w:rPr>
          <w:sz w:val="22"/>
          <w:szCs w:val="22"/>
        </w:rPr>
      </w:pPr>
      <w:r w:rsidRPr="00E216FD">
        <w:rPr>
          <w:sz w:val="22"/>
          <w:szCs w:val="22"/>
        </w:rPr>
        <w:t>what websites explain about barriers may children who live in poverty face</w:t>
      </w: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29DE7F38" w:rsidR="0000375B" w:rsidRPr="00E216FD" w:rsidRDefault="00E216FD" w:rsidP="00DD5969">
            <w:pPr>
              <w:rPr>
                <w:sz w:val="22"/>
                <w:szCs w:val="22"/>
              </w:rPr>
            </w:pPr>
            <w:r w:rsidRPr="00E216FD">
              <w:rPr>
                <w:rFonts w:ascii="Roboto" w:hAnsi="Roboto"/>
                <w:color w:val="283041"/>
                <w:sz w:val="22"/>
                <w:szCs w:val="22"/>
                <w:shd w:val="clear" w:color="auto" w:fill="FFFFFF"/>
              </w:rPr>
              <w:t xml:space="preserve">Revise Harvard referencing guidelines (e.g. surname only when citing in text, </w:t>
            </w:r>
            <w:proofErr w:type="spellStart"/>
            <w:r w:rsidRPr="00E216FD">
              <w:rPr>
                <w:rFonts w:ascii="Roboto" w:hAnsi="Roboto"/>
                <w:color w:val="283041"/>
                <w:sz w:val="22"/>
                <w:szCs w:val="22"/>
                <w:shd w:val="clear" w:color="auto" w:fill="FFFFFF"/>
              </w:rPr>
              <w:t>e.</w:t>
            </w:r>
            <w:proofErr w:type="gramStart"/>
            <w:r w:rsidRPr="00E216FD">
              <w:rPr>
                <w:rFonts w:ascii="Roboto" w:hAnsi="Roboto"/>
                <w:color w:val="283041"/>
                <w:sz w:val="22"/>
                <w:szCs w:val="22"/>
                <w:shd w:val="clear" w:color="auto" w:fill="FFFFFF"/>
              </w:rPr>
              <w:t>g.Jones</w:t>
            </w:r>
            <w:proofErr w:type="spellEnd"/>
            <w:proofErr w:type="gramEnd"/>
            <w:r w:rsidRPr="00E216FD">
              <w:rPr>
                <w:rFonts w:ascii="Roboto" w:hAnsi="Roboto"/>
                <w:color w:val="283041"/>
                <w:sz w:val="22"/>
                <w:szCs w:val="22"/>
                <w:shd w:val="clear" w:color="auto" w:fill="FFFFFF"/>
              </w:rPr>
              <w:t xml:space="preserve"> 2024).</w:t>
            </w:r>
          </w:p>
          <w:p w14:paraId="0EDC9850" w14:textId="77777777" w:rsidR="0000375B" w:rsidRDefault="0000375B" w:rsidP="00DD5969">
            <w:pPr>
              <w:rPr>
                <w:sz w:val="16"/>
                <w:szCs w:val="16"/>
              </w:rPr>
            </w:pPr>
          </w:p>
        </w:tc>
        <w:tc>
          <w:tcPr>
            <w:tcW w:w="4508" w:type="dxa"/>
          </w:tcPr>
          <w:p w14:paraId="3FCBF01B" w14:textId="5A0C1A71" w:rsidR="0000375B" w:rsidRPr="00E216FD" w:rsidRDefault="00E216FD" w:rsidP="00DD5969">
            <w:pPr>
              <w:rPr>
                <w:sz w:val="22"/>
                <w:szCs w:val="22"/>
              </w:rPr>
            </w:pPr>
            <w:r w:rsidRPr="00E216FD">
              <w:rPr>
                <w:sz w:val="22"/>
                <w:szCs w:val="22"/>
              </w:rPr>
              <w:t xml:space="preserve">I have looked back at the Harvard referencing guide and checked through my references throughout my work </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70CC015F" w:rsidR="0000375B" w:rsidRDefault="00E216FD" w:rsidP="00DD5969">
            <w:pPr>
              <w:rPr>
                <w:sz w:val="16"/>
                <w:szCs w:val="16"/>
              </w:rPr>
            </w:pPr>
            <w:r>
              <w:rPr>
                <w:rFonts w:ascii="Roboto" w:hAnsi="Roboto"/>
                <w:color w:val="283041"/>
                <w:sz w:val="21"/>
                <w:szCs w:val="21"/>
                <w:shd w:val="clear" w:color="auto" w:fill="FFFFFF"/>
              </w:rPr>
              <w:t>Continue to develop your criticality skills by engaging more deeply with conflicting perspectives and theoretical aspects.</w:t>
            </w:r>
          </w:p>
          <w:p w14:paraId="2A59CA2F" w14:textId="77777777" w:rsidR="0000375B" w:rsidRDefault="0000375B" w:rsidP="00DD5969">
            <w:pPr>
              <w:rPr>
                <w:sz w:val="16"/>
                <w:szCs w:val="16"/>
              </w:rPr>
            </w:pPr>
          </w:p>
        </w:tc>
        <w:tc>
          <w:tcPr>
            <w:tcW w:w="4508" w:type="dxa"/>
          </w:tcPr>
          <w:p w14:paraId="51AE3AC6" w14:textId="2322FC06" w:rsidR="0000375B" w:rsidRPr="00E216FD" w:rsidRDefault="00E216FD" w:rsidP="00DD5969">
            <w:pPr>
              <w:rPr>
                <w:sz w:val="22"/>
                <w:szCs w:val="22"/>
              </w:rPr>
            </w:pPr>
            <w:r w:rsidRPr="00E216FD">
              <w:rPr>
                <w:sz w:val="22"/>
                <w:szCs w:val="22"/>
              </w:rPr>
              <w:t xml:space="preserve">I have further researched the opportunities and threats throughout my community research. </w:t>
            </w:r>
          </w:p>
        </w:tc>
      </w:tr>
      <w:tr w:rsidR="0000375B" w14:paraId="7E9C0FF5" w14:textId="77777777" w:rsidTr="0000375B">
        <w:tc>
          <w:tcPr>
            <w:tcW w:w="4508" w:type="dxa"/>
          </w:tcPr>
          <w:p w14:paraId="31E1404E" w14:textId="77777777" w:rsidR="0000375B" w:rsidRDefault="0000375B" w:rsidP="00DD5969">
            <w:pPr>
              <w:rPr>
                <w:sz w:val="16"/>
                <w:szCs w:val="16"/>
              </w:rPr>
            </w:pPr>
          </w:p>
          <w:p w14:paraId="49C39DFD" w14:textId="3D50ED0D" w:rsidR="0000375B" w:rsidRDefault="00E216FD" w:rsidP="00DD5969">
            <w:pPr>
              <w:rPr>
                <w:sz w:val="16"/>
                <w:szCs w:val="16"/>
              </w:rPr>
            </w:pPr>
            <w:r>
              <w:rPr>
                <w:rFonts w:ascii="Roboto" w:hAnsi="Roboto"/>
                <w:color w:val="283041"/>
                <w:sz w:val="21"/>
                <w:szCs w:val="21"/>
                <w:shd w:val="clear" w:color="auto" w:fill="FFFFFF"/>
              </w:rPr>
              <w:t>Pay close attention to grammar and punctuation to ensure clarity and precision in academic writing. Proofreading would enhance the overall quality.</w:t>
            </w:r>
          </w:p>
          <w:p w14:paraId="540BFA50" w14:textId="77777777" w:rsidR="0000375B" w:rsidRDefault="0000375B" w:rsidP="00DD5969">
            <w:pPr>
              <w:rPr>
                <w:sz w:val="16"/>
                <w:szCs w:val="16"/>
              </w:rPr>
            </w:pPr>
          </w:p>
        </w:tc>
        <w:tc>
          <w:tcPr>
            <w:tcW w:w="4508" w:type="dxa"/>
          </w:tcPr>
          <w:p w14:paraId="6A8EAD52" w14:textId="7E1C598A" w:rsidR="0000375B" w:rsidRPr="00E216FD" w:rsidRDefault="00E216FD" w:rsidP="00DD5969">
            <w:pPr>
              <w:rPr>
                <w:sz w:val="22"/>
                <w:szCs w:val="22"/>
              </w:rPr>
            </w:pPr>
            <w:r w:rsidRPr="00E216FD">
              <w:rPr>
                <w:sz w:val="22"/>
                <w:szCs w:val="22"/>
              </w:rPr>
              <w:t xml:space="preserve">I have proofread my work and reviewed my grammar. </w:t>
            </w:r>
          </w:p>
        </w:tc>
      </w:tr>
    </w:tbl>
    <w:p w14:paraId="7F589502" w14:textId="77777777" w:rsidR="000C541C" w:rsidRDefault="000C541C" w:rsidP="00DD5969">
      <w:pPr>
        <w:rPr>
          <w:sz w:val="16"/>
          <w:szCs w:val="16"/>
        </w:rPr>
      </w:pPr>
    </w:p>
    <w:p w14:paraId="7F696FFD" w14:textId="77777777" w:rsidR="00E216FD" w:rsidRDefault="00E216FD" w:rsidP="00DD5969">
      <w:pPr>
        <w:rPr>
          <w:sz w:val="16"/>
          <w:szCs w:val="16"/>
        </w:rPr>
      </w:pPr>
    </w:p>
    <w:p w14:paraId="3EA260B7" w14:textId="77777777" w:rsidR="00E216FD" w:rsidRDefault="00E216FD" w:rsidP="00DD5969">
      <w:pPr>
        <w:rPr>
          <w:sz w:val="16"/>
          <w:szCs w:val="16"/>
        </w:rPr>
      </w:pPr>
    </w:p>
    <w:p w14:paraId="1F56E22A" w14:textId="77777777" w:rsidR="00E216FD" w:rsidRDefault="00E216FD" w:rsidP="00DD5969">
      <w:pPr>
        <w:rPr>
          <w:sz w:val="16"/>
          <w:szCs w:val="16"/>
        </w:rPr>
      </w:pPr>
    </w:p>
    <w:p w14:paraId="23C01459" w14:textId="77777777" w:rsidR="00E216FD" w:rsidRDefault="00E216FD" w:rsidP="00DD5969">
      <w:pPr>
        <w:rPr>
          <w:sz w:val="16"/>
          <w:szCs w:val="16"/>
        </w:rPr>
      </w:pPr>
    </w:p>
    <w:p w14:paraId="1DE10BFE" w14:textId="77777777" w:rsidR="00E216FD" w:rsidRDefault="00E216FD" w:rsidP="00DD5969">
      <w:pPr>
        <w:rPr>
          <w:sz w:val="16"/>
          <w:szCs w:val="16"/>
        </w:rPr>
      </w:pPr>
    </w:p>
    <w:p w14:paraId="59C3DEBA" w14:textId="77777777" w:rsidR="00E216FD" w:rsidRDefault="00E216FD" w:rsidP="00DD5969">
      <w:pPr>
        <w:rPr>
          <w:sz w:val="16"/>
          <w:szCs w:val="16"/>
        </w:rPr>
      </w:pPr>
    </w:p>
    <w:p w14:paraId="3B5AD8D6" w14:textId="77777777" w:rsidR="00E216FD" w:rsidRDefault="00E216FD" w:rsidP="00DD5969">
      <w:pPr>
        <w:rPr>
          <w:sz w:val="16"/>
          <w:szCs w:val="16"/>
        </w:rPr>
      </w:pPr>
    </w:p>
    <w:p w14:paraId="771CB414" w14:textId="77777777" w:rsidR="00E216FD" w:rsidRDefault="00E216FD" w:rsidP="00DD5969">
      <w:pPr>
        <w:rPr>
          <w:sz w:val="16"/>
          <w:szCs w:val="16"/>
        </w:rPr>
      </w:pPr>
    </w:p>
    <w:p w14:paraId="4E533116" w14:textId="77777777" w:rsidR="00E216FD" w:rsidRDefault="00E216FD" w:rsidP="00DD5969">
      <w:pPr>
        <w:rPr>
          <w:sz w:val="16"/>
          <w:szCs w:val="16"/>
        </w:rPr>
      </w:pPr>
    </w:p>
    <w:p w14:paraId="50F7F0AD" w14:textId="77777777" w:rsidR="00E216FD" w:rsidRDefault="00E216FD" w:rsidP="00DD5969">
      <w:pPr>
        <w:rPr>
          <w:sz w:val="16"/>
          <w:szCs w:val="16"/>
        </w:rPr>
      </w:pPr>
    </w:p>
    <w:p w14:paraId="6ACF94D6" w14:textId="77777777" w:rsidR="00E216FD" w:rsidRDefault="00E216FD" w:rsidP="00DD5969">
      <w:pPr>
        <w:rPr>
          <w:sz w:val="16"/>
          <w:szCs w:val="16"/>
        </w:rPr>
      </w:pPr>
    </w:p>
    <w:p w14:paraId="32E86703" w14:textId="77777777" w:rsidR="00E216FD" w:rsidRDefault="00E216FD" w:rsidP="00DD5969">
      <w:pPr>
        <w:rPr>
          <w:sz w:val="16"/>
          <w:szCs w:val="16"/>
        </w:rPr>
      </w:pPr>
    </w:p>
    <w:p w14:paraId="40D47EE5" w14:textId="77777777" w:rsidR="00E216FD" w:rsidRDefault="00E216FD" w:rsidP="00E216FD">
      <w:pPr>
        <w:spacing w:line="276" w:lineRule="auto"/>
        <w:rPr>
          <w:sz w:val="16"/>
          <w:szCs w:val="16"/>
        </w:rPr>
      </w:pPr>
    </w:p>
    <w:p w14:paraId="6CFD4066" w14:textId="77777777" w:rsidR="00E216FD" w:rsidRDefault="00E216FD" w:rsidP="00E216FD">
      <w:pPr>
        <w:spacing w:line="276" w:lineRule="auto"/>
      </w:pPr>
      <w:r>
        <w:lastRenderedPageBreak/>
        <w:t xml:space="preserve">5013 </w:t>
      </w:r>
    </w:p>
    <w:p w14:paraId="4A9C807D" w14:textId="77777777" w:rsidR="00E216FD" w:rsidRDefault="00E216FD" w:rsidP="00E216FD">
      <w:pPr>
        <w:spacing w:line="276" w:lineRule="auto"/>
      </w:pPr>
      <w:r>
        <w:t>Using your knowledge of teaching 7–11-year-olds, write a proposal for a school community project. 2750 words</w:t>
      </w:r>
    </w:p>
    <w:p w14:paraId="4821A67D" w14:textId="73652E60" w:rsidR="00E216FD" w:rsidRPr="009D5D52" w:rsidRDefault="00E216FD" w:rsidP="00E216FD">
      <w:pPr>
        <w:spacing w:before="100" w:beforeAutospacing="1" w:after="100" w:afterAutospacing="1" w:line="276" w:lineRule="auto"/>
        <w:rPr>
          <w:rFonts w:eastAsia="Times New Roman" w:cs="Times New Roman"/>
          <w:color w:val="000000"/>
          <w:kern w:val="0"/>
          <w:sz w:val="22"/>
          <w:szCs w:val="22"/>
          <w:lang w:eastAsia="en-GB"/>
          <w14:ligatures w14:val="none"/>
        </w:rPr>
      </w:pPr>
      <w:r w:rsidRPr="009D5D52">
        <w:rPr>
          <w:rFonts w:eastAsia="Times New Roman" w:cs="Times New Roman"/>
          <w:color w:val="000000"/>
          <w:kern w:val="0"/>
          <w:sz w:val="22"/>
          <w:szCs w:val="22"/>
          <w:lang w:eastAsia="en-GB"/>
          <w14:ligatures w14:val="none"/>
        </w:rPr>
        <w:t>This proposal outlines a community-based project designed for a Key Stage 2 classroom, aimed at enhancing relationships between families, communities, and schools while fostering a sense of belonging and future-oriented motivation among students. The initiative, titled ‘The Life Lab,’ will offer students the opportunity to engage in practical, real-life skills such as cooking, financial management, basic first aid, and problem-solving. Life skills are essential abilities that allow individuals to adapt positively and effectively manage the demands and challenges of everyday life (World Health Organization, 1997).</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The Life Lab project aligns with the Welsh Government’s Well-being of Future Generations (Wales) Act 2015, which emphasizes the importance of developing children’s well-being through the acquisition of life skills and fostering their personal and social development (Welsh Government, 2015). By engaging students and their families in after-school activities, the project promotes shared learning and equips children with practical knowledge that extends beyond the classroom.</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 xml:space="preserve">The project directly addresses areas identified for improvement in </w:t>
      </w:r>
      <w:r w:rsidRPr="00E216FD">
        <w:rPr>
          <w:rFonts w:eastAsia="Times New Roman" w:cs="Times New Roman"/>
          <w:color w:val="000000"/>
          <w:kern w:val="0"/>
          <w:sz w:val="22"/>
          <w:szCs w:val="22"/>
          <w:lang w:eastAsia="en-GB"/>
          <w14:ligatures w14:val="none"/>
        </w:rPr>
        <w:t xml:space="preserve">school A’s </w:t>
      </w:r>
      <w:r w:rsidRPr="009D5D52">
        <w:rPr>
          <w:rFonts w:eastAsia="Times New Roman" w:cs="Times New Roman"/>
          <w:color w:val="000000"/>
          <w:kern w:val="0"/>
          <w:sz w:val="22"/>
          <w:szCs w:val="22"/>
          <w:lang w:eastAsia="en-GB"/>
          <w14:ligatures w14:val="none"/>
        </w:rPr>
        <w:t>Estyn inspection report (2022), which noted that teaching and learning practices, particularly in Years 3 to 6, have not sufficiently challenged or supported students to reach their full potential. The report also emphasized the need for the curriculum to better support the progressive development of pupils'</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 xml:space="preserve">skills (Estyn, 2022). The Life Lab could therefore play a </w:t>
      </w:r>
      <w:r w:rsidRPr="00E216FD">
        <w:rPr>
          <w:rFonts w:eastAsia="Times New Roman" w:cs="Times New Roman"/>
          <w:color w:val="000000"/>
          <w:kern w:val="0"/>
          <w:sz w:val="22"/>
          <w:szCs w:val="22"/>
          <w:lang w:eastAsia="en-GB"/>
          <w14:ligatures w14:val="none"/>
        </w:rPr>
        <w:t xml:space="preserve">vast </w:t>
      </w:r>
      <w:r w:rsidRPr="009D5D52">
        <w:rPr>
          <w:rFonts w:eastAsia="Times New Roman" w:cs="Times New Roman"/>
          <w:color w:val="000000"/>
          <w:kern w:val="0"/>
          <w:sz w:val="22"/>
          <w:szCs w:val="22"/>
          <w:lang w:eastAsia="en-GB"/>
          <w14:ligatures w14:val="none"/>
        </w:rPr>
        <w:t xml:space="preserve">role in enhancing </w:t>
      </w:r>
      <w:r w:rsidRPr="00E216FD">
        <w:rPr>
          <w:rFonts w:eastAsia="Times New Roman" w:cs="Times New Roman"/>
          <w:color w:val="000000"/>
          <w:kern w:val="0"/>
          <w:sz w:val="22"/>
          <w:szCs w:val="22"/>
          <w:lang w:eastAsia="en-GB"/>
          <w14:ligatures w14:val="none"/>
        </w:rPr>
        <w:t xml:space="preserve">student’s </w:t>
      </w:r>
      <w:r w:rsidRPr="009D5D52">
        <w:rPr>
          <w:rFonts w:eastAsia="Times New Roman" w:cs="Times New Roman"/>
          <w:color w:val="000000"/>
          <w:kern w:val="0"/>
          <w:sz w:val="22"/>
          <w:szCs w:val="22"/>
          <w:lang w:eastAsia="en-GB"/>
          <w14:ligatures w14:val="none"/>
        </w:rPr>
        <w:t>educational experiences by fostering important life skills, including teamwork, problem-solving, and empathy.</w:t>
      </w:r>
      <w:r w:rsidRPr="00E216FD">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 xml:space="preserve">School </w:t>
      </w:r>
      <w:proofErr w:type="gramStart"/>
      <w:r w:rsidRPr="00E216FD">
        <w:rPr>
          <w:rFonts w:eastAsia="Times New Roman" w:cs="Times New Roman"/>
          <w:color w:val="000000"/>
          <w:kern w:val="0"/>
          <w:sz w:val="22"/>
          <w:szCs w:val="22"/>
          <w:lang w:eastAsia="en-GB"/>
          <w14:ligatures w14:val="none"/>
        </w:rPr>
        <w:t>A</w:t>
      </w:r>
      <w:proofErr w:type="gramEnd"/>
      <w:r w:rsidRPr="00E216FD">
        <w:rPr>
          <w:rFonts w:eastAsia="Times New Roman" w:cs="Times New Roman"/>
          <w:color w:val="000000"/>
          <w:kern w:val="0"/>
          <w:sz w:val="22"/>
          <w:szCs w:val="22"/>
          <w:lang w:eastAsia="en-GB"/>
          <w14:ligatures w14:val="none"/>
        </w:rPr>
        <w:t xml:space="preserve"> which is located in </w:t>
      </w:r>
      <w:r w:rsidRPr="009D5D52">
        <w:rPr>
          <w:rFonts w:eastAsia="Times New Roman" w:cs="Times New Roman"/>
          <w:color w:val="000000"/>
          <w:kern w:val="0"/>
          <w:sz w:val="22"/>
          <w:szCs w:val="22"/>
          <w:lang w:eastAsia="en-GB"/>
          <w14:ligatures w14:val="none"/>
        </w:rPr>
        <w:t>a deprived area, faces challenges related to economic hardship. By participating in the Life Lab, students will not only develop academic knowledge but also social and emotional skills that will benefit them in all areas of life. The initiative will help build student</w:t>
      </w:r>
      <w:r w:rsidRPr="00E216FD">
        <w:rPr>
          <w:rFonts w:eastAsia="Times New Roman" w:cs="Times New Roman"/>
          <w:color w:val="000000"/>
          <w:kern w:val="0"/>
          <w:sz w:val="22"/>
          <w:szCs w:val="22"/>
          <w:lang w:eastAsia="en-GB"/>
          <w14:ligatures w14:val="none"/>
        </w:rPr>
        <w:t>’s</w:t>
      </w:r>
      <w:r w:rsidRPr="009D5D52">
        <w:rPr>
          <w:rFonts w:eastAsia="Times New Roman" w:cs="Times New Roman"/>
          <w:color w:val="000000"/>
          <w:kern w:val="0"/>
          <w:sz w:val="22"/>
          <w:szCs w:val="22"/>
          <w:lang w:eastAsia="en-GB"/>
          <w14:ligatures w14:val="none"/>
        </w:rPr>
        <w:t xml:space="preserve"> confidence, emotional intelligence, and a sense of responsibility, which are essential for both their personal growth and</w:t>
      </w:r>
      <w:r w:rsidRPr="00E216FD">
        <w:rPr>
          <w:rFonts w:eastAsia="Times New Roman" w:cs="Times New Roman"/>
          <w:color w:val="000000"/>
          <w:kern w:val="0"/>
          <w:sz w:val="22"/>
          <w:szCs w:val="22"/>
          <w:lang w:eastAsia="en-GB"/>
          <w14:ligatures w14:val="none"/>
        </w:rPr>
        <w:t xml:space="preserve"> a successful future. </w:t>
      </w:r>
      <w:r w:rsidRPr="009D5D52">
        <w:rPr>
          <w:rFonts w:eastAsia="Times New Roman" w:cs="Times New Roman"/>
          <w:color w:val="000000"/>
          <w:kern w:val="0"/>
          <w:sz w:val="22"/>
          <w:szCs w:val="22"/>
          <w:lang w:eastAsia="en-GB"/>
          <w14:ligatures w14:val="none"/>
        </w:rPr>
        <w:t>In line with the school’s ethos, which values the role of family and community, the Life Lab places equal emphasis on the development of academic knowledge and practical life skills. This community-based approach, combined with a focus on future-oriented skills, ensures that students gain both the confidence and practical experience they need to thrive</w:t>
      </w:r>
      <w:r w:rsidRPr="00E216FD">
        <w:rPr>
          <w:rFonts w:eastAsia="Times New Roman" w:cs="Times New Roman"/>
          <w:color w:val="000000"/>
          <w:kern w:val="0"/>
          <w:sz w:val="22"/>
          <w:szCs w:val="22"/>
          <w:lang w:eastAsia="en-GB"/>
          <w14:ligatures w14:val="none"/>
        </w:rPr>
        <w:t xml:space="preserve"> in school and life beyond. </w:t>
      </w:r>
    </w:p>
    <w:p w14:paraId="77177D68" w14:textId="1EFD8303" w:rsidR="00E216FD" w:rsidRPr="009D5D52" w:rsidRDefault="00E216FD" w:rsidP="00E216FD">
      <w:pPr>
        <w:spacing w:before="100" w:beforeAutospacing="1" w:after="100" w:afterAutospacing="1" w:line="276" w:lineRule="auto"/>
        <w:rPr>
          <w:rFonts w:eastAsia="Times New Roman" w:cs="Times New Roman"/>
          <w:color w:val="000000"/>
          <w:kern w:val="0"/>
          <w:sz w:val="22"/>
          <w:szCs w:val="22"/>
          <w:lang w:eastAsia="en-GB"/>
          <w14:ligatures w14:val="none"/>
        </w:rPr>
      </w:pPr>
      <w:r w:rsidRPr="009D5D52">
        <w:rPr>
          <w:rFonts w:eastAsia="Times New Roman" w:cs="Times New Roman"/>
          <w:color w:val="000000"/>
          <w:kern w:val="0"/>
          <w:sz w:val="22"/>
          <w:szCs w:val="22"/>
          <w:lang w:eastAsia="en-GB"/>
          <w14:ligatures w14:val="none"/>
        </w:rPr>
        <w:t>This project aims to equip children with essential life skills, such as cooking, problem-solving, and first aid, to help them thrive and build a positive future. In line with the Well-being of Future Generations (Wales) Act 2015, the proposal contributes to the Welsh Government’s goals of fostering resilience, well-being, and personal development (Welsh Government, 2015). It focuses on equipping children with practical skills, promoting personal growth, and preparing them for future challenges.</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 xml:space="preserve">The project aligns with the Curriculum for Wales, which links classroom learning to real-life skills, enhancing student engagement and preparing them for life beyond school (Welsh Government, 2023). </w:t>
      </w:r>
      <w:r w:rsidRPr="00E216FD">
        <w:rPr>
          <w:color w:val="000000"/>
          <w:sz w:val="22"/>
          <w:szCs w:val="22"/>
        </w:rPr>
        <w:t xml:space="preserve">The project </w:t>
      </w:r>
      <w:r w:rsidRPr="00E216FD">
        <w:rPr>
          <w:color w:val="000000"/>
          <w:sz w:val="22"/>
          <w:szCs w:val="22"/>
        </w:rPr>
        <w:t>supports the</w:t>
      </w:r>
      <w:r w:rsidRPr="00E216FD">
        <w:rPr>
          <w:rStyle w:val="apple-converted-space"/>
          <w:color w:val="000000"/>
          <w:sz w:val="22"/>
          <w:szCs w:val="22"/>
        </w:rPr>
        <w:t> </w:t>
      </w:r>
      <w:r w:rsidRPr="00E216FD">
        <w:rPr>
          <w:rStyle w:val="Strong"/>
          <w:b w:val="0"/>
          <w:bCs w:val="0"/>
          <w:color w:val="000000"/>
          <w:sz w:val="22"/>
          <w:szCs w:val="22"/>
        </w:rPr>
        <w:t xml:space="preserve">Health and Well-being </w:t>
      </w:r>
      <w:proofErr w:type="spellStart"/>
      <w:r w:rsidRPr="00E216FD">
        <w:rPr>
          <w:rStyle w:val="Strong"/>
          <w:b w:val="0"/>
          <w:bCs w:val="0"/>
          <w:color w:val="000000"/>
          <w:sz w:val="22"/>
          <w:szCs w:val="22"/>
        </w:rPr>
        <w:t>AoLE</w:t>
      </w:r>
      <w:proofErr w:type="spellEnd"/>
      <w:r w:rsidRPr="00E216FD">
        <w:rPr>
          <w:b/>
          <w:bCs/>
          <w:color w:val="000000"/>
          <w:sz w:val="22"/>
          <w:szCs w:val="22"/>
        </w:rPr>
        <w:t xml:space="preserve">, </w:t>
      </w:r>
      <w:r w:rsidRPr="00E216FD">
        <w:rPr>
          <w:color w:val="000000"/>
          <w:sz w:val="22"/>
          <w:szCs w:val="22"/>
        </w:rPr>
        <w:t>which is key to helping learners manage personal and social challenges (Welsh Government, 2022), while promoting their overall well-being in a supportive environment.</w:t>
      </w:r>
    </w:p>
    <w:p w14:paraId="5B32EB0D" w14:textId="7D556FE4" w:rsidR="00E216FD" w:rsidRPr="009D5D52" w:rsidRDefault="00E216FD" w:rsidP="00E216FD">
      <w:pPr>
        <w:spacing w:before="100" w:beforeAutospacing="1" w:after="100" w:afterAutospacing="1" w:line="276" w:lineRule="auto"/>
        <w:rPr>
          <w:rFonts w:eastAsia="Times New Roman" w:cs="Times New Roman"/>
          <w:color w:val="000000"/>
          <w:kern w:val="0"/>
          <w:sz w:val="22"/>
          <w:szCs w:val="22"/>
          <w:lang w:eastAsia="en-GB"/>
          <w14:ligatures w14:val="none"/>
        </w:rPr>
      </w:pPr>
      <w:r w:rsidRPr="009D5D52">
        <w:rPr>
          <w:rFonts w:eastAsia="Times New Roman" w:cs="Times New Roman"/>
          <w:color w:val="000000"/>
          <w:kern w:val="0"/>
          <w:sz w:val="22"/>
          <w:szCs w:val="22"/>
          <w:lang w:eastAsia="en-GB"/>
          <w14:ligatures w14:val="none"/>
        </w:rPr>
        <w:lastRenderedPageBreak/>
        <w:t>Montacute, Holt-White,</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and Carter (2024) highlight that 96% of teachers in Wales agree that life skills are just as important as academic qualifications. These skills play a key role in young people's success in adulthood. The project aims to foster resilience, emotional intelligence, and overall health, contributing to students' comprehensive development and future success (Welsh Government, 2022).</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The initiative also promotes community cohesion, creating a society where people share a common vision, value diversity, and foster strong relationships across schools and communities (Welsh Government, no date). The project empowers children to reach their full potential, strengthening community ties.</w:t>
      </w:r>
    </w:p>
    <w:p w14:paraId="2BFBA5B0" w14:textId="3B27B66E" w:rsidR="00E216FD" w:rsidRPr="009D5D52" w:rsidRDefault="00E216FD" w:rsidP="00E216FD">
      <w:pPr>
        <w:spacing w:before="100" w:beforeAutospacing="1" w:after="100" w:afterAutospacing="1" w:line="276" w:lineRule="auto"/>
        <w:rPr>
          <w:rFonts w:eastAsia="Times New Roman" w:cs="Times New Roman"/>
          <w:color w:val="000000"/>
          <w:kern w:val="0"/>
          <w:sz w:val="22"/>
          <w:szCs w:val="22"/>
          <w:lang w:eastAsia="en-GB"/>
          <w14:ligatures w14:val="none"/>
        </w:rPr>
      </w:pPr>
      <w:r w:rsidRPr="00E216FD">
        <w:rPr>
          <w:color w:val="000000"/>
          <w:sz w:val="22"/>
          <w:szCs w:val="22"/>
        </w:rPr>
        <w:t>In developing this proposal, a relevant example is</w:t>
      </w:r>
      <w:r w:rsidRPr="00E216FD">
        <w:rPr>
          <w:rStyle w:val="apple-converted-space"/>
          <w:color w:val="000000"/>
          <w:sz w:val="22"/>
          <w:szCs w:val="22"/>
        </w:rPr>
        <w:t> </w:t>
      </w:r>
      <w:proofErr w:type="spellStart"/>
      <w:r w:rsidRPr="00E216FD">
        <w:rPr>
          <w:rStyle w:val="Strong"/>
          <w:b w:val="0"/>
          <w:bCs w:val="0"/>
          <w:color w:val="000000"/>
          <w:sz w:val="22"/>
          <w:szCs w:val="22"/>
        </w:rPr>
        <w:t>Craigfelen</w:t>
      </w:r>
      <w:proofErr w:type="spellEnd"/>
      <w:r w:rsidRPr="00E216FD">
        <w:rPr>
          <w:rStyle w:val="Strong"/>
          <w:b w:val="0"/>
          <w:bCs w:val="0"/>
          <w:color w:val="000000"/>
          <w:sz w:val="22"/>
          <w:szCs w:val="22"/>
        </w:rPr>
        <w:t xml:space="preserve"> Primary School</w:t>
      </w:r>
      <w:r w:rsidRPr="00E216FD">
        <w:rPr>
          <w:b/>
          <w:bCs/>
          <w:color w:val="000000"/>
          <w:sz w:val="22"/>
          <w:szCs w:val="22"/>
        </w:rPr>
        <w:t>,</w:t>
      </w:r>
      <w:r w:rsidRPr="00E216FD">
        <w:rPr>
          <w:color w:val="000000"/>
          <w:sz w:val="22"/>
          <w:szCs w:val="22"/>
        </w:rPr>
        <w:t xml:space="preserve"> which successfully implemented a similar approach to improving both the school environment and its connection with the wider </w:t>
      </w:r>
      <w:r w:rsidRPr="00E216FD">
        <w:rPr>
          <w:color w:val="000000"/>
          <w:sz w:val="22"/>
          <w:szCs w:val="22"/>
        </w:rPr>
        <w:t>community.</w:t>
      </w:r>
      <w:r w:rsidRPr="009D5D52">
        <w:rPr>
          <w:rFonts w:eastAsia="Times New Roman" w:cs="Times New Roman"/>
          <w:color w:val="000000"/>
          <w:kern w:val="0"/>
          <w:sz w:val="22"/>
          <w:szCs w:val="22"/>
          <w:lang w:eastAsia="en-GB"/>
          <w14:ligatures w14:val="none"/>
        </w:rPr>
        <w:t xml:space="preserve"> The school transformed a building into a community hub, offering activities such as health classes, cooking sessions, and arts workshops, all based on feedback from the community. This initiative not only helped students develop practical skills but also fostered a strong sense of community, with plans for future community-led management (Welsh Government, 2023). This case study illustrates how such initiatives can positively impact both schools and the wider community, emphasizing how my proposed project similarly offers an inclusive, hands-on approach that meets the diverse needs of learners. It aligns with the school's curriculum goals,</w:t>
      </w:r>
      <w:r w:rsidRPr="00E216FD">
        <w:rPr>
          <w:rFonts w:eastAsia="Times New Roman" w:cs="Times New Roman"/>
          <w:color w:val="000000"/>
          <w:kern w:val="0"/>
          <w:sz w:val="22"/>
          <w:szCs w:val="22"/>
          <w:lang w:eastAsia="en-GB"/>
          <w14:ligatures w14:val="none"/>
        </w:rPr>
        <w:t xml:space="preserve"> to</w:t>
      </w:r>
      <w:r w:rsidRPr="009D5D52">
        <w:rPr>
          <w:rFonts w:eastAsia="Times New Roman" w:cs="Times New Roman"/>
          <w:color w:val="000000"/>
          <w:kern w:val="0"/>
          <w:sz w:val="22"/>
          <w:szCs w:val="22"/>
          <w:lang w:eastAsia="en-GB"/>
          <w14:ligatures w14:val="none"/>
        </w:rPr>
        <w:t xml:space="preserve"> promotes community engagement, and </w:t>
      </w:r>
      <w:r w:rsidRPr="00E216FD">
        <w:rPr>
          <w:rFonts w:eastAsia="Times New Roman" w:cs="Times New Roman"/>
          <w:color w:val="000000"/>
          <w:kern w:val="0"/>
          <w:sz w:val="22"/>
          <w:szCs w:val="22"/>
          <w:lang w:eastAsia="en-GB"/>
          <w14:ligatures w14:val="none"/>
        </w:rPr>
        <w:t>promote</w:t>
      </w:r>
      <w:r w:rsidRPr="009D5D52">
        <w:rPr>
          <w:rFonts w:eastAsia="Times New Roman" w:cs="Times New Roman"/>
          <w:color w:val="000000"/>
          <w:kern w:val="0"/>
          <w:sz w:val="22"/>
          <w:szCs w:val="22"/>
          <w:lang w:eastAsia="en-GB"/>
          <w14:ligatures w14:val="none"/>
        </w:rPr>
        <w:t xml:space="preserve"> personal and social development.</w:t>
      </w:r>
      <w:r>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Further supporting this initiative, a 2019 report from the Welsh Youth Parliament revealed that nearly 50% of students</w:t>
      </w:r>
      <w:r w:rsidRPr="00E216FD">
        <w:rPr>
          <w:rFonts w:eastAsia="Times New Roman" w:cs="Times New Roman"/>
          <w:color w:val="000000"/>
          <w:kern w:val="0"/>
          <w:sz w:val="22"/>
          <w:szCs w:val="22"/>
          <w:lang w:eastAsia="en-GB"/>
          <w14:ligatures w14:val="none"/>
        </w:rPr>
        <w:t xml:space="preserve"> only</w:t>
      </w:r>
      <w:r w:rsidRPr="009D5D52">
        <w:rPr>
          <w:rFonts w:eastAsia="Times New Roman" w:cs="Times New Roman"/>
          <w:color w:val="000000"/>
          <w:kern w:val="0"/>
          <w:sz w:val="22"/>
          <w:szCs w:val="22"/>
          <w:lang w:eastAsia="en-GB"/>
          <w14:ligatures w14:val="none"/>
        </w:rPr>
        <w:t xml:space="preserve"> receive life skills education only once a year, highlighting significant gaps in preparing students for real-life challenges (News, 2019). A survey by the West Wales Chronicle (2021) found that 75% of parents in Wales felt that schools were not adequately preparing young people for real-life situations (Rowe, 2021</w:t>
      </w:r>
      <w:r w:rsidRPr="00E216FD">
        <w:rPr>
          <w:rFonts w:eastAsia="Times New Roman" w:cs="Times New Roman"/>
          <w:color w:val="000000"/>
          <w:kern w:val="0"/>
          <w:sz w:val="22"/>
          <w:szCs w:val="22"/>
          <w:lang w:eastAsia="en-GB"/>
          <w14:ligatures w14:val="none"/>
        </w:rPr>
        <w:t xml:space="preserve">). </w:t>
      </w:r>
      <w:r w:rsidRPr="00E216FD">
        <w:rPr>
          <w:color w:val="000000"/>
          <w:sz w:val="22"/>
          <w:szCs w:val="22"/>
        </w:rPr>
        <w:t>This highlights the value of projects like The Life Lab, which can benefit students, their families, and the wider community</w:t>
      </w:r>
      <w:r w:rsidRPr="00E216FD">
        <w:rPr>
          <w:b/>
          <w:bCs/>
          <w:color w:val="000000"/>
          <w:sz w:val="22"/>
          <w:szCs w:val="22"/>
        </w:rPr>
        <w:t>.</w:t>
      </w:r>
      <w:r w:rsidRPr="00E216FD">
        <w:rPr>
          <w:rStyle w:val="apple-converted-space"/>
          <w:b/>
          <w:bCs/>
          <w:color w:val="000000"/>
          <w:sz w:val="22"/>
          <w:szCs w:val="22"/>
        </w:rPr>
        <w:t> </w:t>
      </w:r>
      <w:r w:rsidRPr="00E216FD">
        <w:rPr>
          <w:rStyle w:val="Strong"/>
          <w:b w:val="0"/>
          <w:bCs w:val="0"/>
          <w:color w:val="000000"/>
          <w:sz w:val="22"/>
          <w:szCs w:val="22"/>
        </w:rPr>
        <w:t>Estyn (2020)</w:t>
      </w:r>
      <w:r w:rsidRPr="00E216FD">
        <w:rPr>
          <w:rStyle w:val="apple-converted-space"/>
          <w:color w:val="000000"/>
          <w:sz w:val="22"/>
          <w:szCs w:val="22"/>
        </w:rPr>
        <w:t> </w:t>
      </w:r>
      <w:r w:rsidRPr="00E216FD">
        <w:rPr>
          <w:color w:val="000000"/>
          <w:sz w:val="22"/>
          <w:szCs w:val="22"/>
        </w:rPr>
        <w:t>highlights the importance of strong family partnerships to support pupil well-being and achievement. Schools are encouraged to develop clear strategies for working closely with families and the community.</w:t>
      </w:r>
      <w:r>
        <w:rPr>
          <w:rFonts w:eastAsia="Times New Roman" w:cs="Times New Roman"/>
          <w:color w:val="000000"/>
          <w:kern w:val="0"/>
          <w:sz w:val="22"/>
          <w:szCs w:val="22"/>
          <w:lang w:eastAsia="en-GB"/>
          <w14:ligatures w14:val="none"/>
        </w:rPr>
        <w:t xml:space="preserve"> </w:t>
      </w:r>
      <w:r w:rsidRPr="00E216FD">
        <w:rPr>
          <w:color w:val="000000"/>
          <w:sz w:val="22"/>
          <w:szCs w:val="22"/>
        </w:rPr>
        <w:t>This approach aligns with</w:t>
      </w:r>
      <w:r w:rsidRPr="00E216FD">
        <w:rPr>
          <w:rStyle w:val="apple-converted-space"/>
          <w:color w:val="000000"/>
          <w:sz w:val="22"/>
          <w:szCs w:val="22"/>
        </w:rPr>
        <w:t> </w:t>
      </w:r>
      <w:r w:rsidRPr="00E216FD">
        <w:rPr>
          <w:rStyle w:val="Strong"/>
          <w:b w:val="0"/>
          <w:bCs w:val="0"/>
          <w:color w:val="000000"/>
          <w:sz w:val="22"/>
          <w:szCs w:val="22"/>
        </w:rPr>
        <w:t>Bronfenbrenner’s Ecological Systems Theory</w:t>
      </w:r>
      <w:r w:rsidRPr="00E216FD">
        <w:rPr>
          <w:rStyle w:val="apple-converted-space"/>
          <w:color w:val="000000"/>
          <w:sz w:val="22"/>
          <w:szCs w:val="22"/>
        </w:rPr>
        <w:t> </w:t>
      </w:r>
      <w:r w:rsidRPr="00E216FD">
        <w:rPr>
          <w:color w:val="000000"/>
          <w:sz w:val="22"/>
          <w:szCs w:val="22"/>
        </w:rPr>
        <w:t>(1979), which suggests that a child’s development is shaped by interactions within and between different environments, such as family, school, and the wider community. The Life Lab reflects this by encouraging strong links between home and school, creating a connected support system that promotes social and emotional well-being. This also supports the aims of the</w:t>
      </w:r>
      <w:r w:rsidRPr="00E216FD">
        <w:rPr>
          <w:rStyle w:val="apple-converted-space"/>
          <w:color w:val="000000"/>
          <w:sz w:val="22"/>
          <w:szCs w:val="22"/>
        </w:rPr>
        <w:t> </w:t>
      </w:r>
      <w:r w:rsidRPr="00E216FD">
        <w:rPr>
          <w:rStyle w:val="Strong"/>
          <w:b w:val="0"/>
          <w:bCs w:val="0"/>
          <w:color w:val="000000"/>
          <w:sz w:val="22"/>
          <w:szCs w:val="22"/>
        </w:rPr>
        <w:t>Curriculum for Wales</w:t>
      </w:r>
      <w:r w:rsidRPr="00E216FD">
        <w:rPr>
          <w:color w:val="000000"/>
          <w:sz w:val="22"/>
          <w:szCs w:val="22"/>
        </w:rPr>
        <w:t>, which emphasises the importance of belonging, relationships, and well-being in children’s development (Welsh Government, 2022</w:t>
      </w:r>
      <w:r w:rsidRPr="009D5D52">
        <w:rPr>
          <w:rFonts w:eastAsia="Times New Roman" w:cs="Times New Roman"/>
          <w:color w:val="000000"/>
          <w:kern w:val="0"/>
          <w:sz w:val="22"/>
          <w:szCs w:val="22"/>
          <w:lang w:eastAsia="en-GB"/>
          <w14:ligatures w14:val="none"/>
        </w:rPr>
        <w:t>). The Life Lab</w:t>
      </w:r>
      <w:r w:rsidRPr="00E216FD">
        <w:rPr>
          <w:rFonts w:eastAsia="Times New Roman" w:cs="Times New Roman"/>
          <w:color w:val="000000"/>
          <w:kern w:val="0"/>
          <w:sz w:val="22"/>
          <w:szCs w:val="22"/>
          <w:lang w:eastAsia="en-GB"/>
          <w14:ligatures w14:val="none"/>
        </w:rPr>
        <w:t xml:space="preserve"> demonstrates</w:t>
      </w:r>
      <w:r w:rsidRPr="009D5D52">
        <w:rPr>
          <w:rFonts w:eastAsia="Times New Roman" w:cs="Times New Roman"/>
          <w:color w:val="000000"/>
          <w:kern w:val="0"/>
          <w:sz w:val="22"/>
          <w:szCs w:val="22"/>
          <w:lang w:eastAsia="en-GB"/>
          <w14:ligatures w14:val="none"/>
        </w:rPr>
        <w:t xml:space="preserve"> inclusivity by connecting students to their community and culture, ensuring they feel secure and prepared for the future. The project also promotes social justice by providing equal access to life skills education, empowering families with financial literacy, and amplifying voices within the community, thus contributing to fairness and active participation in building a just society (Bentley-Henson, 2019).</w:t>
      </w:r>
    </w:p>
    <w:p w14:paraId="70102A79" w14:textId="77777777" w:rsidR="00E216FD" w:rsidRPr="00E216FD" w:rsidRDefault="00E216FD" w:rsidP="00E216FD">
      <w:pPr>
        <w:spacing w:line="276" w:lineRule="auto"/>
        <w:rPr>
          <w:color w:val="000000"/>
          <w:sz w:val="22"/>
          <w:szCs w:val="22"/>
        </w:rPr>
      </w:pPr>
    </w:p>
    <w:p w14:paraId="373A667C" w14:textId="3E5409B7" w:rsidR="00E216FD" w:rsidRPr="00E216FD" w:rsidRDefault="00E216FD" w:rsidP="00E216FD">
      <w:pPr>
        <w:spacing w:line="276" w:lineRule="auto"/>
        <w:rPr>
          <w:color w:val="000000"/>
          <w:sz w:val="22"/>
          <w:szCs w:val="22"/>
        </w:rPr>
      </w:pPr>
      <w:r w:rsidRPr="00E216FD">
        <w:rPr>
          <w:color w:val="000000"/>
          <w:sz w:val="22"/>
          <w:szCs w:val="22"/>
        </w:rPr>
        <w:t>Maslow’s Hierarchy of Needs</w:t>
      </w:r>
      <w:r w:rsidRPr="00E216FD">
        <w:rPr>
          <w:color w:val="000000"/>
          <w:sz w:val="22"/>
          <w:szCs w:val="22"/>
        </w:rPr>
        <w:t xml:space="preserve"> may also support my proposal</w:t>
      </w:r>
      <w:r w:rsidRPr="00E216FD">
        <w:rPr>
          <w:color w:val="000000"/>
          <w:sz w:val="22"/>
          <w:szCs w:val="22"/>
        </w:rPr>
        <w:t xml:space="preserve">, </w:t>
      </w:r>
      <w:r w:rsidRPr="00E216FD">
        <w:rPr>
          <w:color w:val="000000"/>
          <w:sz w:val="22"/>
          <w:szCs w:val="22"/>
        </w:rPr>
        <w:t>the theory</w:t>
      </w:r>
      <w:r w:rsidRPr="00E216FD">
        <w:rPr>
          <w:color w:val="000000"/>
          <w:sz w:val="22"/>
          <w:szCs w:val="22"/>
        </w:rPr>
        <w:t xml:space="preserve"> suggests that individuals must first satisfy basic physiological and safety needs before they can focus on </w:t>
      </w:r>
      <w:r w:rsidRPr="00E216FD">
        <w:rPr>
          <w:color w:val="000000"/>
          <w:sz w:val="22"/>
          <w:szCs w:val="22"/>
        </w:rPr>
        <w:lastRenderedPageBreak/>
        <w:t>higher-level needs such as self-esteem and love (</w:t>
      </w:r>
      <w:proofErr w:type="spellStart"/>
      <w:r w:rsidRPr="00E216FD">
        <w:rPr>
          <w:color w:val="000000"/>
          <w:sz w:val="22"/>
          <w:szCs w:val="22"/>
        </w:rPr>
        <w:t>Skelsey</w:t>
      </w:r>
      <w:proofErr w:type="spellEnd"/>
      <w:r w:rsidRPr="00E216FD">
        <w:rPr>
          <w:color w:val="000000"/>
          <w:sz w:val="22"/>
          <w:szCs w:val="22"/>
        </w:rPr>
        <w:t>, 2014</w:t>
      </w:r>
      <w:r w:rsidRPr="00E216FD">
        <w:rPr>
          <w:color w:val="000000"/>
          <w:sz w:val="22"/>
          <w:szCs w:val="22"/>
        </w:rPr>
        <w:t xml:space="preserve">). However </w:t>
      </w:r>
      <w:r w:rsidRPr="00E216FD">
        <w:rPr>
          <w:color w:val="000000"/>
          <w:sz w:val="22"/>
          <w:szCs w:val="22"/>
        </w:rPr>
        <w:t>(Dittman and Blankenship, 1991) argues that there is insufficient evidence to support the order of the theory. They suggest people may need higher needs such as belonging or self-esteem, even though more basic safety needs are not fully satisfied The L</w:t>
      </w:r>
      <w:r w:rsidRPr="00E216FD">
        <w:rPr>
          <w:color w:val="000000"/>
          <w:sz w:val="22"/>
          <w:szCs w:val="22"/>
        </w:rPr>
        <w:t xml:space="preserve">ife </w:t>
      </w:r>
      <w:r w:rsidRPr="00E216FD">
        <w:rPr>
          <w:color w:val="000000"/>
          <w:sz w:val="22"/>
          <w:szCs w:val="22"/>
        </w:rPr>
        <w:t>Lab provides a safe, inclusive space for children</w:t>
      </w:r>
      <w:r w:rsidRPr="00E216FD">
        <w:rPr>
          <w:color w:val="000000"/>
          <w:sz w:val="22"/>
          <w:szCs w:val="22"/>
        </w:rPr>
        <w:t xml:space="preserve"> and families to address needs and gain a sense of belonging within the community. </w:t>
      </w:r>
      <w:r w:rsidRPr="00E216FD">
        <w:rPr>
          <w:color w:val="000000"/>
          <w:sz w:val="22"/>
          <w:szCs w:val="22"/>
        </w:rPr>
        <w:t>By focusing on life skills, the project helps support well-being and equips children for future success. This aligns with Graham Donaldson’s</w:t>
      </w:r>
      <w:r w:rsidRPr="00E216FD">
        <w:rPr>
          <w:rStyle w:val="apple-converted-space"/>
          <w:color w:val="000000"/>
          <w:sz w:val="22"/>
          <w:szCs w:val="22"/>
        </w:rPr>
        <w:t> </w:t>
      </w:r>
      <w:r w:rsidRPr="00E216FD">
        <w:rPr>
          <w:rStyle w:val="Emphasis"/>
          <w:i w:val="0"/>
          <w:iCs w:val="0"/>
          <w:color w:val="000000"/>
          <w:sz w:val="22"/>
          <w:szCs w:val="22"/>
        </w:rPr>
        <w:t>Successful Futures</w:t>
      </w:r>
      <w:r w:rsidRPr="00E216FD">
        <w:rPr>
          <w:color w:val="000000"/>
          <w:sz w:val="22"/>
          <w:szCs w:val="22"/>
        </w:rPr>
        <w:t>, which highlights that ensuring a child’s well-being and safety is essential before they can truly thrive academically and personally (Donaldson, 2015)</w:t>
      </w:r>
      <w:r w:rsidRPr="00E216FD">
        <w:rPr>
          <w:rFonts w:ascii="-webkit-standard" w:hAnsi="-webkit-standard"/>
          <w:color w:val="000000"/>
          <w:sz w:val="22"/>
          <w:szCs w:val="22"/>
        </w:rPr>
        <w:t>.</w:t>
      </w:r>
      <w:r w:rsidRPr="00E216FD">
        <w:rPr>
          <w:color w:val="E97132" w:themeColor="accent2"/>
          <w:sz w:val="22"/>
          <w:szCs w:val="22"/>
        </w:rPr>
        <w:t xml:space="preserve"> </w:t>
      </w:r>
    </w:p>
    <w:p w14:paraId="7466A79B" w14:textId="1A605DB9" w:rsidR="00E216FD" w:rsidRPr="00E216FD" w:rsidRDefault="00E216FD" w:rsidP="00E216FD">
      <w:pPr>
        <w:spacing w:line="276" w:lineRule="auto"/>
        <w:rPr>
          <w:sz w:val="22"/>
          <w:szCs w:val="22"/>
        </w:rPr>
      </w:pPr>
      <w:r w:rsidRPr="00E216FD">
        <w:rPr>
          <w:color w:val="000000"/>
          <w:sz w:val="22"/>
          <w:szCs w:val="22"/>
        </w:rPr>
        <w:t>The Life Lab project aims to teach life skills to children, parents, and the wider community.</w:t>
      </w:r>
      <w:r w:rsidRPr="00E216FD">
        <w:rPr>
          <w:rStyle w:val="apple-converted-space"/>
          <w:color w:val="000000"/>
          <w:sz w:val="22"/>
          <w:szCs w:val="22"/>
        </w:rPr>
        <w:t> </w:t>
      </w:r>
      <w:r w:rsidRPr="00E216FD">
        <w:rPr>
          <w:rStyle w:val="Strong"/>
          <w:b w:val="0"/>
          <w:bCs w:val="0"/>
          <w:color w:val="000000"/>
          <w:sz w:val="22"/>
          <w:szCs w:val="22"/>
        </w:rPr>
        <w:t>Estyn (2020)</w:t>
      </w:r>
      <w:r w:rsidRPr="00E216FD">
        <w:rPr>
          <w:rStyle w:val="apple-converted-space"/>
          <w:color w:val="000000"/>
          <w:sz w:val="22"/>
          <w:szCs w:val="22"/>
        </w:rPr>
        <w:t> </w:t>
      </w:r>
      <w:r w:rsidRPr="00E216FD">
        <w:rPr>
          <w:color w:val="000000"/>
          <w:sz w:val="22"/>
          <w:szCs w:val="22"/>
        </w:rPr>
        <w:t xml:space="preserve">emphasizes how important it is for schools, families, and communities to work together to support student well-being and academic </w:t>
      </w:r>
      <w:r w:rsidRPr="00E216FD">
        <w:rPr>
          <w:color w:val="000000"/>
          <w:sz w:val="22"/>
          <w:szCs w:val="22"/>
        </w:rPr>
        <w:t>success.</w:t>
      </w:r>
      <w:r w:rsidRPr="00E216FD">
        <w:rPr>
          <w:sz w:val="22"/>
          <w:szCs w:val="22"/>
        </w:rPr>
        <w:t xml:space="preserve"> The</w:t>
      </w:r>
      <w:r w:rsidRPr="00E216FD">
        <w:rPr>
          <w:sz w:val="22"/>
          <w:szCs w:val="22"/>
        </w:rPr>
        <w:t xml:space="preserve"> Life Lab facilitates these partnerships through shared learning experiences. The project will be led by a designated teacher, supported by teaching assistants, external experts (e.g., first aid instructors, nutritionists), and community volunteers. The budget will cover materials, external services, and community outreach, with additional funding from local grants, business partnerships, and fundraising efforts.</w:t>
      </w:r>
      <w:r>
        <w:rPr>
          <w:sz w:val="22"/>
          <w:szCs w:val="22"/>
        </w:rPr>
        <w:t xml:space="preserve"> </w:t>
      </w:r>
      <w:r w:rsidRPr="00E216FD">
        <w:rPr>
          <w:color w:val="000000"/>
          <w:sz w:val="22"/>
          <w:szCs w:val="22"/>
        </w:rPr>
        <w:t>The Life Lab aligns with the</w:t>
      </w:r>
      <w:r w:rsidRPr="00E216FD">
        <w:rPr>
          <w:rStyle w:val="apple-converted-space"/>
          <w:color w:val="000000"/>
          <w:sz w:val="22"/>
          <w:szCs w:val="22"/>
        </w:rPr>
        <w:t> </w:t>
      </w:r>
      <w:r w:rsidRPr="00E216FD">
        <w:rPr>
          <w:rStyle w:val="Strong"/>
          <w:b w:val="0"/>
          <w:bCs w:val="0"/>
          <w:color w:val="000000"/>
          <w:sz w:val="22"/>
          <w:szCs w:val="22"/>
        </w:rPr>
        <w:t>Curriculum for Wales</w:t>
      </w:r>
      <w:r w:rsidRPr="00E216FD">
        <w:rPr>
          <w:color w:val="000000"/>
          <w:sz w:val="22"/>
          <w:szCs w:val="22"/>
        </w:rPr>
        <w:t>, especially the</w:t>
      </w:r>
      <w:r w:rsidRPr="00E216FD">
        <w:rPr>
          <w:rStyle w:val="apple-converted-space"/>
          <w:color w:val="000000"/>
          <w:sz w:val="22"/>
          <w:szCs w:val="22"/>
        </w:rPr>
        <w:t> </w:t>
      </w:r>
      <w:r w:rsidRPr="00E216FD">
        <w:rPr>
          <w:rStyle w:val="Strong"/>
          <w:b w:val="0"/>
          <w:bCs w:val="0"/>
          <w:color w:val="000000"/>
          <w:sz w:val="22"/>
          <w:szCs w:val="22"/>
        </w:rPr>
        <w:t>Health and Well-being Area of Learning and Experience (AOLE)</w:t>
      </w:r>
      <w:r w:rsidRPr="00E216FD">
        <w:rPr>
          <w:color w:val="000000"/>
          <w:sz w:val="22"/>
          <w:szCs w:val="22"/>
        </w:rPr>
        <w:t>, by focusing on developing well-rounded individuals who can navigate personal and social challenges. As mentioned earlier, the project covers key life skills like cooking, financial management, problem-solving, and first aid, all of which support student well-</w:t>
      </w:r>
      <w:r w:rsidRPr="00E216FD">
        <w:rPr>
          <w:color w:val="000000"/>
          <w:sz w:val="22"/>
          <w:szCs w:val="22"/>
        </w:rPr>
        <w:t>being.</w:t>
      </w:r>
      <w:r w:rsidRPr="00E216FD">
        <w:rPr>
          <w:sz w:val="22"/>
          <w:szCs w:val="22"/>
        </w:rPr>
        <w:t xml:space="preserve"> The</w:t>
      </w:r>
      <w:r w:rsidRPr="00E216FD">
        <w:rPr>
          <w:sz w:val="22"/>
          <w:szCs w:val="22"/>
        </w:rPr>
        <w:t xml:space="preserve"> Curriculum for Wales (2022) further supports this by ensuring every student has equal access to life skills education, fostering both personal growth and academic success. The University of Bolton (2023) emphasizes how inclusive education equips students for challenges beyond school, preparing them to thrive in society.</w:t>
      </w:r>
      <w:r>
        <w:rPr>
          <w:sz w:val="22"/>
          <w:szCs w:val="22"/>
        </w:rPr>
        <w:t xml:space="preserve"> </w:t>
      </w:r>
      <w:r w:rsidRPr="00E216FD">
        <w:rPr>
          <w:sz w:val="22"/>
          <w:szCs w:val="22"/>
        </w:rPr>
        <w:t xml:space="preserve">The Life Lab considers the needs of marginalized groups, including Black, Asian, and global majority communities. According to the 2023 Estyn report, 13.2% of students in school A have English as an additional language, facing unique challenges in their </w:t>
      </w:r>
      <w:r w:rsidRPr="00E216FD">
        <w:rPr>
          <w:color w:val="000000" w:themeColor="text1"/>
          <w:sz w:val="22"/>
          <w:szCs w:val="22"/>
        </w:rPr>
        <w:t>learning</w:t>
      </w:r>
      <w:r w:rsidRPr="00E216FD">
        <w:rPr>
          <w:color w:val="000000" w:themeColor="text1"/>
          <w:sz w:val="22"/>
          <w:szCs w:val="22"/>
        </w:rPr>
        <w:t xml:space="preserve"> (ESTYN, 2018).</w:t>
      </w:r>
      <w:r w:rsidRPr="00E216FD">
        <w:rPr>
          <w:color w:val="000000" w:themeColor="text1"/>
          <w:sz w:val="22"/>
          <w:szCs w:val="22"/>
        </w:rPr>
        <w:t xml:space="preserve"> </w:t>
      </w:r>
      <w:r w:rsidRPr="00E216FD">
        <w:rPr>
          <w:sz w:val="22"/>
          <w:szCs w:val="22"/>
        </w:rPr>
        <w:t>Life Lab addresses these challenges by offering accessible, relevant life skills education, promoting inclusion and equal opportunities. The Welsh Government’s Anti-Racist Wales Action Plan (2024) supports these efforts, aiming for an inclusive society where every individual can succeed regardless of their background.</w:t>
      </w:r>
    </w:p>
    <w:p w14:paraId="2138E510" w14:textId="1D8A88E0" w:rsidR="00E216FD" w:rsidRPr="00E216FD" w:rsidRDefault="00E216FD" w:rsidP="00E216FD">
      <w:pPr>
        <w:spacing w:line="276" w:lineRule="auto"/>
        <w:rPr>
          <w:sz w:val="22"/>
          <w:szCs w:val="22"/>
        </w:rPr>
      </w:pPr>
      <w:r w:rsidRPr="00E216FD">
        <w:rPr>
          <w:sz w:val="22"/>
          <w:szCs w:val="22"/>
        </w:rPr>
        <w:t>The project is particularly relevant in areas of high deprivation. Estyn (2020) reports that although many Welsh schools focus on reducing the impact of poverty, students eligible for free school meals (</w:t>
      </w:r>
      <w:proofErr w:type="spellStart"/>
      <w:r w:rsidRPr="00E216FD">
        <w:rPr>
          <w:sz w:val="22"/>
          <w:szCs w:val="22"/>
        </w:rPr>
        <w:t>eFSM</w:t>
      </w:r>
      <w:proofErr w:type="spellEnd"/>
      <w:r w:rsidRPr="00E216FD">
        <w:rPr>
          <w:sz w:val="22"/>
          <w:szCs w:val="22"/>
        </w:rPr>
        <w:t>) still underperform compared to their peers. The Life Lab seeks to close this gap by providing</w:t>
      </w:r>
      <w:r w:rsidRPr="00E216FD">
        <w:rPr>
          <w:sz w:val="22"/>
          <w:szCs w:val="22"/>
        </w:rPr>
        <w:t xml:space="preserve"> </w:t>
      </w:r>
      <w:r w:rsidRPr="00E216FD">
        <w:rPr>
          <w:sz w:val="22"/>
          <w:szCs w:val="22"/>
        </w:rPr>
        <w:t xml:space="preserve">students with access to essential life skills </w:t>
      </w:r>
      <w:r w:rsidRPr="00E216FD">
        <w:rPr>
          <w:sz w:val="22"/>
          <w:szCs w:val="22"/>
        </w:rPr>
        <w:t xml:space="preserve">that may </w:t>
      </w:r>
      <w:r w:rsidRPr="00E216FD">
        <w:rPr>
          <w:sz w:val="22"/>
          <w:szCs w:val="22"/>
        </w:rPr>
        <w:t xml:space="preserve">not always </w:t>
      </w:r>
      <w:r w:rsidRPr="00E216FD">
        <w:rPr>
          <w:sz w:val="22"/>
          <w:szCs w:val="22"/>
        </w:rPr>
        <w:t xml:space="preserve">be </w:t>
      </w:r>
      <w:r w:rsidRPr="00E216FD">
        <w:rPr>
          <w:sz w:val="22"/>
          <w:szCs w:val="22"/>
        </w:rPr>
        <w:t>available in</w:t>
      </w:r>
      <w:r w:rsidRPr="00E216FD">
        <w:rPr>
          <w:sz w:val="22"/>
          <w:szCs w:val="22"/>
        </w:rPr>
        <w:t xml:space="preserve"> school</w:t>
      </w:r>
      <w:r w:rsidRPr="00E216FD">
        <w:rPr>
          <w:sz w:val="22"/>
          <w:szCs w:val="22"/>
        </w:rPr>
        <w:t xml:space="preserve">. UK Parliament (2021) notes that funding for deprived schools fell by 1.2% between 2018 and 2021, further highlighting the financial challenges these schools face. The Life Lab project could bridge this gap by </w:t>
      </w:r>
      <w:r w:rsidRPr="00E216FD">
        <w:rPr>
          <w:sz w:val="22"/>
          <w:szCs w:val="22"/>
        </w:rPr>
        <w:t xml:space="preserve">collaborating and supporting </w:t>
      </w:r>
      <w:r w:rsidRPr="00E216FD">
        <w:rPr>
          <w:sz w:val="22"/>
          <w:szCs w:val="22"/>
        </w:rPr>
        <w:t>schools, families, and local organizations.</w:t>
      </w:r>
    </w:p>
    <w:p w14:paraId="1EB8651D" w14:textId="09F32629" w:rsidR="00E216FD" w:rsidRPr="00E216FD" w:rsidRDefault="00E216FD" w:rsidP="00E216FD">
      <w:pPr>
        <w:spacing w:line="276" w:lineRule="auto"/>
        <w:rPr>
          <w:sz w:val="22"/>
          <w:szCs w:val="22"/>
        </w:rPr>
      </w:pPr>
      <w:r w:rsidRPr="00E216FD">
        <w:rPr>
          <w:color w:val="000000" w:themeColor="text1"/>
          <w:sz w:val="22"/>
          <w:szCs w:val="22"/>
        </w:rPr>
        <w:t xml:space="preserve">Parental engagement </w:t>
      </w:r>
      <w:r w:rsidRPr="00E216FD">
        <w:rPr>
          <w:sz w:val="22"/>
          <w:szCs w:val="22"/>
        </w:rPr>
        <w:t xml:space="preserve">may pose a challenge </w:t>
      </w:r>
      <w:r w:rsidRPr="00E216FD">
        <w:rPr>
          <w:sz w:val="22"/>
          <w:szCs w:val="22"/>
        </w:rPr>
        <w:t xml:space="preserve">within my project </w:t>
      </w:r>
      <w:r w:rsidRPr="00E216FD">
        <w:rPr>
          <w:sz w:val="22"/>
          <w:szCs w:val="22"/>
        </w:rPr>
        <w:t>due to work commitments or language barriers.</w:t>
      </w:r>
      <w:r w:rsidRPr="00E216FD">
        <w:rPr>
          <w:sz w:val="22"/>
          <w:szCs w:val="22"/>
        </w:rPr>
        <w:t xml:space="preserve"> The </w:t>
      </w:r>
      <w:r w:rsidRPr="00E216FD">
        <w:rPr>
          <w:sz w:val="22"/>
          <w:szCs w:val="22"/>
        </w:rPr>
        <w:t xml:space="preserve">Education Endowment Foundation (2021) </w:t>
      </w:r>
      <w:r w:rsidRPr="00E216FD">
        <w:rPr>
          <w:sz w:val="22"/>
          <w:szCs w:val="22"/>
        </w:rPr>
        <w:t>highlights</w:t>
      </w:r>
      <w:r w:rsidRPr="00E216FD">
        <w:rPr>
          <w:sz w:val="22"/>
          <w:szCs w:val="22"/>
        </w:rPr>
        <w:t xml:space="preserve"> the</w:t>
      </w:r>
      <w:r w:rsidRPr="00E216FD">
        <w:rPr>
          <w:sz w:val="22"/>
          <w:szCs w:val="22"/>
        </w:rPr>
        <w:t xml:space="preserve"> positive</w:t>
      </w:r>
      <w:r w:rsidRPr="00E216FD">
        <w:rPr>
          <w:sz w:val="22"/>
          <w:szCs w:val="22"/>
        </w:rPr>
        <w:t xml:space="preserve"> impact of parental involvement in boosting student progress by 5 months. To overcome this</w:t>
      </w:r>
      <w:r w:rsidRPr="00E216FD">
        <w:rPr>
          <w:sz w:val="22"/>
          <w:szCs w:val="22"/>
        </w:rPr>
        <w:t xml:space="preserve"> challenge</w:t>
      </w:r>
      <w:r w:rsidRPr="00E216FD">
        <w:rPr>
          <w:sz w:val="22"/>
          <w:szCs w:val="22"/>
        </w:rPr>
        <w:t xml:space="preserve">, the Life Lab will offer flexible engagement options such as multilingual materials, after-school </w:t>
      </w:r>
      <w:r w:rsidRPr="00E216FD">
        <w:rPr>
          <w:sz w:val="22"/>
          <w:szCs w:val="22"/>
        </w:rPr>
        <w:lastRenderedPageBreak/>
        <w:t>events, and childcare during meetings, ensuring all families can participate. Community engagement is another potential barrier. A case study from Weston Academy illustrates how a lack of integration between school and community efforts can undermine initiatives (The University of Manchester, 2025). To address this, the Life Lab will prioritize transparent communication, regular feedback, and family involvement in decision-making. The Welsh Government (2023)</w:t>
      </w:r>
      <w:r w:rsidRPr="00E216FD">
        <w:rPr>
          <w:sz w:val="22"/>
          <w:szCs w:val="22"/>
        </w:rPr>
        <w:t xml:space="preserve"> states</w:t>
      </w:r>
      <w:r w:rsidRPr="00E216FD">
        <w:rPr>
          <w:sz w:val="22"/>
          <w:szCs w:val="22"/>
        </w:rPr>
        <w:t xml:space="preserve"> the importance of communication and collaboration in building trust within communities, especially those facing economic challenges,</w:t>
      </w:r>
      <w:r w:rsidRPr="00E216FD">
        <w:rPr>
          <w:sz w:val="22"/>
          <w:szCs w:val="22"/>
        </w:rPr>
        <w:t xml:space="preserve"> </w:t>
      </w:r>
      <w:r w:rsidRPr="00E216FD">
        <w:rPr>
          <w:sz w:val="22"/>
          <w:szCs w:val="22"/>
        </w:rPr>
        <w:t>creating a more inclusive and supportive environment for all.</w:t>
      </w:r>
    </w:p>
    <w:p w14:paraId="3986A7A3" w14:textId="37278120" w:rsidR="00E216FD" w:rsidRPr="002E7B7F" w:rsidRDefault="00E216FD" w:rsidP="00E216FD">
      <w:pPr>
        <w:spacing w:before="100" w:beforeAutospacing="1" w:after="100" w:afterAutospacing="1" w:line="276" w:lineRule="auto"/>
        <w:rPr>
          <w:rFonts w:eastAsia="Times New Roman" w:cs="Times New Roman"/>
          <w:color w:val="000000"/>
          <w:kern w:val="0"/>
          <w:sz w:val="22"/>
          <w:szCs w:val="22"/>
          <w:lang w:eastAsia="en-GB"/>
          <w14:ligatures w14:val="none"/>
        </w:rPr>
      </w:pPr>
      <w:r w:rsidRPr="002E7B7F">
        <w:rPr>
          <w:rFonts w:eastAsia="Times New Roman" w:cs="Times New Roman"/>
          <w:color w:val="000000"/>
          <w:kern w:val="0"/>
          <w:sz w:val="22"/>
          <w:szCs w:val="22"/>
          <w:lang w:eastAsia="en-GB"/>
          <w14:ligatures w14:val="none"/>
        </w:rPr>
        <w:t xml:space="preserve">I propose launching the program over one term, which will provide a focused period to evaluate </w:t>
      </w:r>
      <w:r w:rsidRPr="00E216FD">
        <w:rPr>
          <w:rFonts w:eastAsia="Times New Roman" w:cs="Times New Roman"/>
          <w:color w:val="000000"/>
          <w:kern w:val="0"/>
          <w:sz w:val="22"/>
          <w:szCs w:val="22"/>
          <w:lang w:eastAsia="en-GB"/>
          <w14:ligatures w14:val="none"/>
        </w:rPr>
        <w:t>the</w:t>
      </w:r>
      <w:r w:rsidRPr="002E7B7F">
        <w:rPr>
          <w:rFonts w:eastAsia="Times New Roman" w:cs="Times New Roman"/>
          <w:color w:val="000000"/>
          <w:kern w:val="0"/>
          <w:sz w:val="22"/>
          <w:szCs w:val="22"/>
          <w:lang w:eastAsia="en-GB"/>
          <w14:ligatures w14:val="none"/>
        </w:rPr>
        <w:t xml:space="preserve"> impact on key areas such as life skills development, emotional wellbeing</w:t>
      </w:r>
      <w:r w:rsidRPr="00E216FD">
        <w:rPr>
          <w:rFonts w:eastAsia="Times New Roman" w:cs="Times New Roman"/>
          <w:color w:val="000000"/>
          <w:kern w:val="0"/>
          <w:sz w:val="22"/>
          <w:szCs w:val="22"/>
          <w:lang w:eastAsia="en-GB"/>
          <w14:ligatures w14:val="none"/>
        </w:rPr>
        <w:t xml:space="preserve"> community</w:t>
      </w:r>
      <w:r w:rsidRPr="002E7B7F">
        <w:rPr>
          <w:rFonts w:eastAsia="Times New Roman" w:cs="Times New Roman"/>
          <w:color w:val="000000"/>
          <w:kern w:val="0"/>
          <w:sz w:val="22"/>
          <w:szCs w:val="22"/>
          <w:lang w:eastAsia="en-GB"/>
          <w14:ligatures w14:val="none"/>
        </w:rPr>
        <w:t xml:space="preserve"> engagement among students. Before starting, I will distribute a questionnaire to students, parents, and the community to gather input on what they would like to learn and where they'd like to improve their knowledge. This will help tailor the program to meet their needs while aligning with the Wellbeing of Future Generations (Wales) Act 2015</w:t>
      </w:r>
      <w:r w:rsidRPr="00E216FD">
        <w:rPr>
          <w:rFonts w:eastAsia="Times New Roman" w:cs="Times New Roman"/>
          <w:color w:val="000000"/>
          <w:kern w:val="0"/>
          <w:sz w:val="22"/>
          <w:szCs w:val="22"/>
          <w:lang w:eastAsia="en-GB"/>
          <w14:ligatures w14:val="none"/>
        </w:rPr>
        <w:t xml:space="preserve"> </w:t>
      </w:r>
      <w:r w:rsidRPr="00E216FD">
        <w:rPr>
          <w:color w:val="000000"/>
          <w:sz w:val="22"/>
          <w:szCs w:val="22"/>
        </w:rPr>
        <w:t xml:space="preserve">which promotes the long-term well-being of communities, encourages collaboration, and ensures that actions taken today contribute positively to future </w:t>
      </w:r>
      <w:r w:rsidRPr="00E216FD">
        <w:rPr>
          <w:color w:val="000000"/>
          <w:sz w:val="22"/>
          <w:szCs w:val="22"/>
        </w:rPr>
        <w:t>generations.</w:t>
      </w:r>
      <w:r w:rsidRPr="00E216FD">
        <w:rPr>
          <w:rFonts w:eastAsia="Times New Roman" w:cs="Times New Roman"/>
          <w:color w:val="000000"/>
          <w:kern w:val="0"/>
          <w:sz w:val="22"/>
          <w:szCs w:val="22"/>
          <w:lang w:eastAsia="en-GB"/>
          <w14:ligatures w14:val="none"/>
        </w:rPr>
        <w:t xml:space="preserve"> After</w:t>
      </w:r>
      <w:r w:rsidRPr="002E7B7F">
        <w:rPr>
          <w:rFonts w:eastAsia="Times New Roman" w:cs="Times New Roman"/>
          <w:color w:val="000000"/>
          <w:kern w:val="0"/>
          <w:sz w:val="22"/>
          <w:szCs w:val="22"/>
          <w:lang w:eastAsia="en-GB"/>
          <w14:ligatures w14:val="none"/>
        </w:rPr>
        <w:t xml:space="preserve"> the term ends, I will send a follow-up questionnaire to assess improvements and determine if there have been any lasting changes in behaviour or skills.</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 xml:space="preserve">The feedback from the questionnaires will be carefully reviewed to highlight both successes and areas for improvement. A relevant case study from Ysgol </w:t>
      </w:r>
      <w:proofErr w:type="spellStart"/>
      <w:r w:rsidRPr="00E216FD">
        <w:rPr>
          <w:rFonts w:eastAsia="Times New Roman" w:cs="Times New Roman"/>
          <w:color w:val="000000"/>
          <w:kern w:val="0"/>
          <w:sz w:val="22"/>
          <w:szCs w:val="22"/>
          <w:lang w:eastAsia="en-GB"/>
          <w14:ligatures w14:val="none"/>
        </w:rPr>
        <w:t>Trefonnen</w:t>
      </w:r>
      <w:proofErr w:type="spellEnd"/>
      <w:r w:rsidRPr="00E216FD">
        <w:rPr>
          <w:rFonts w:eastAsia="Times New Roman" w:cs="Times New Roman"/>
          <w:color w:val="000000"/>
          <w:kern w:val="0"/>
          <w:sz w:val="22"/>
          <w:szCs w:val="22"/>
          <w:lang w:eastAsia="en-GB"/>
          <w14:ligatures w14:val="none"/>
        </w:rPr>
        <w:t xml:space="preserve"> Church Community </w:t>
      </w:r>
      <w:r w:rsidRPr="00E216FD">
        <w:rPr>
          <w:rFonts w:eastAsia="Times New Roman" w:cs="Times New Roman"/>
          <w:color w:val="000000"/>
          <w:kern w:val="0"/>
          <w:sz w:val="22"/>
          <w:szCs w:val="22"/>
          <w:lang w:eastAsia="en-GB"/>
          <w14:ligatures w14:val="none"/>
        </w:rPr>
        <w:t>Primary in</w:t>
      </w:r>
      <w:r w:rsidRPr="00E216FD">
        <w:rPr>
          <w:rFonts w:eastAsia="Times New Roman" w:cs="Times New Roman"/>
          <w:color w:val="000000"/>
          <w:kern w:val="0"/>
          <w:sz w:val="22"/>
          <w:szCs w:val="22"/>
          <w:lang w:eastAsia="en-GB"/>
          <w14:ligatures w14:val="none"/>
        </w:rPr>
        <w:t xml:space="preserve"> Wales, focused on parent and community engagement. The school offered workshops on mental health and life skills to enhance student achievement, particularly for disadvantaged students,</w:t>
      </w:r>
      <w:r w:rsidRPr="00E216FD">
        <w:rPr>
          <w:rFonts w:eastAsia="Times New Roman" w:cs="Times New Roman"/>
          <w:color w:val="000000"/>
          <w:kern w:val="0"/>
          <w:sz w:val="22"/>
          <w:szCs w:val="22"/>
          <w:lang w:eastAsia="en-GB"/>
          <w14:ligatures w14:val="none"/>
        </w:rPr>
        <w:t xml:space="preserve"> similarly to </w:t>
      </w:r>
      <w:r w:rsidRPr="00E216FD">
        <w:rPr>
          <w:rFonts w:eastAsia="Times New Roman" w:cs="Times New Roman"/>
          <w:color w:val="000000"/>
          <w:kern w:val="0"/>
          <w:sz w:val="22"/>
          <w:szCs w:val="22"/>
          <w:lang w:eastAsia="en-GB"/>
          <w14:ligatures w14:val="none"/>
        </w:rPr>
        <w:t xml:space="preserve">the aims of the Life Lab. Success was measured through parent surveys, tracking student progress, and conducting focus groups to collect qualitative data on the effectiveness of these initiatives. Incorporating focus groups into the Life Lab will provide valuable insights into the program's impact and help refine it for future. </w:t>
      </w:r>
      <w:r w:rsidRPr="002E7B7F">
        <w:rPr>
          <w:rFonts w:eastAsia="Times New Roman" w:cs="Times New Roman"/>
          <w:color w:val="000000"/>
          <w:kern w:val="0"/>
          <w:sz w:val="22"/>
          <w:szCs w:val="22"/>
          <w:lang w:eastAsia="en-GB"/>
          <w14:ligatures w14:val="none"/>
        </w:rPr>
        <w:t>Additionally, the Estyn (2018) case study on supporting pupils in need in disadvantaged areas emphasizes the importance of strong relationships with families and the community. The study used parent and pupil feedback to evaluate project success, which aligns with my approach of using questionnaires to assess impact. After reviewing these case studies, I feel that conducting post-program questionnaires and focus groups will allow for detailed feedback, helping to adapt the program as needed.</w:t>
      </w:r>
    </w:p>
    <w:p w14:paraId="7DD9E935" w14:textId="37FAEF99" w:rsidR="00E216FD" w:rsidRPr="002E7B7F" w:rsidRDefault="00E216FD" w:rsidP="00E216FD">
      <w:pPr>
        <w:spacing w:before="100" w:beforeAutospacing="1" w:after="100" w:afterAutospacing="1" w:line="276" w:lineRule="auto"/>
        <w:rPr>
          <w:rFonts w:eastAsia="Times New Roman" w:cs="Times New Roman"/>
          <w:color w:val="000000"/>
          <w:kern w:val="0"/>
          <w:sz w:val="22"/>
          <w:szCs w:val="22"/>
          <w:lang w:eastAsia="en-GB"/>
          <w14:ligatures w14:val="none"/>
        </w:rPr>
      </w:pPr>
      <w:r w:rsidRPr="002E7B7F">
        <w:rPr>
          <w:rFonts w:eastAsia="Times New Roman" w:cs="Times New Roman"/>
          <w:color w:val="000000"/>
          <w:kern w:val="0"/>
          <w:sz w:val="22"/>
          <w:szCs w:val="22"/>
          <w:lang w:eastAsia="en-GB"/>
          <w14:ligatures w14:val="none"/>
        </w:rPr>
        <w:t>Attainment can also be measured through feedback from the teachers or teaching assistants leading the sessions. High attendance rates will indicate the project’s success in engaging students, while low rates will signal areas for improvement. The Estyn 2020 report highlights the importance of regular reviews to assess outcomes. These reviews will ensure that the Life Lab aligns with the Curriculum for Wales, which emphasizes both individual and community involvement in students' development.</w:t>
      </w:r>
      <w:r w:rsidRPr="00E216FD">
        <w:rPr>
          <w:rFonts w:eastAsia="Times New Roman" w:cs="Times New Roman"/>
          <w:color w:val="000000"/>
          <w:kern w:val="0"/>
          <w:sz w:val="22"/>
          <w:szCs w:val="22"/>
          <w:lang w:eastAsia="en-GB"/>
          <w14:ligatures w14:val="none"/>
        </w:rPr>
        <w:t xml:space="preserve"> </w:t>
      </w:r>
      <w:r w:rsidRPr="002E7B7F">
        <w:rPr>
          <w:rFonts w:eastAsia="Times New Roman" w:cs="Times New Roman"/>
          <w:color w:val="000000"/>
          <w:kern w:val="0"/>
          <w:sz w:val="22"/>
          <w:szCs w:val="22"/>
          <w:lang w:eastAsia="en-GB"/>
          <w14:ligatures w14:val="none"/>
        </w:rPr>
        <w:t xml:space="preserve">In addition to the post-program questionnaires and focus groups, I will track specific </w:t>
      </w:r>
      <w:r w:rsidRPr="00E216FD">
        <w:rPr>
          <w:rFonts w:eastAsia="Times New Roman" w:cs="Times New Roman"/>
          <w:color w:val="000000"/>
          <w:kern w:val="0"/>
          <w:sz w:val="22"/>
          <w:szCs w:val="22"/>
          <w:lang w:eastAsia="en-GB"/>
          <w14:ligatures w14:val="none"/>
        </w:rPr>
        <w:t>features</w:t>
      </w:r>
      <w:r w:rsidRPr="002E7B7F">
        <w:rPr>
          <w:rFonts w:eastAsia="Times New Roman" w:cs="Times New Roman"/>
          <w:color w:val="000000"/>
          <w:kern w:val="0"/>
          <w:sz w:val="22"/>
          <w:szCs w:val="22"/>
          <w:lang w:eastAsia="en-GB"/>
          <w14:ligatures w14:val="none"/>
        </w:rPr>
        <w:t xml:space="preserve"> such as improvements in life skills, emotional wellbeing, and community involvement. Feedback from teachers and teaching assistants will help assess students' learning outcomes. Regular communication with parents and the community through newsletters and meetings will ensure ongoing involvement and feedback.</w:t>
      </w:r>
    </w:p>
    <w:p w14:paraId="17A520C5" w14:textId="64014C62" w:rsidR="00E216FD" w:rsidRPr="00E216FD" w:rsidRDefault="00E216FD" w:rsidP="00E216FD">
      <w:pPr>
        <w:spacing w:line="276" w:lineRule="auto"/>
        <w:rPr>
          <w:color w:val="000000"/>
          <w:sz w:val="22"/>
          <w:szCs w:val="22"/>
        </w:rPr>
      </w:pPr>
      <w:r w:rsidRPr="00E216FD">
        <w:rPr>
          <w:color w:val="000000"/>
          <w:sz w:val="22"/>
          <w:szCs w:val="22"/>
        </w:rPr>
        <w:lastRenderedPageBreak/>
        <w:t>Throughout this assignment, I have used a SWOT analysis to assess the strengths and weaknesses of my project. A SWOT analysis is a "planning tool used to understand key factors</w:t>
      </w:r>
      <w:r w:rsidRPr="00E216FD">
        <w:rPr>
          <w:color w:val="000000"/>
          <w:sz w:val="22"/>
          <w:szCs w:val="22"/>
        </w:rPr>
        <w:t>-</w:t>
      </w:r>
      <w:r w:rsidRPr="00E216FD">
        <w:rPr>
          <w:color w:val="000000"/>
          <w:sz w:val="22"/>
          <w:szCs w:val="22"/>
        </w:rPr>
        <w:t>strengths, weaknesses, opportunities, and threats</w:t>
      </w:r>
      <w:r w:rsidRPr="00E216FD">
        <w:rPr>
          <w:color w:val="000000"/>
          <w:sz w:val="22"/>
          <w:szCs w:val="22"/>
        </w:rPr>
        <w:t>-</w:t>
      </w:r>
      <w:r w:rsidRPr="00E216FD">
        <w:rPr>
          <w:color w:val="000000"/>
          <w:sz w:val="22"/>
          <w:szCs w:val="22"/>
        </w:rPr>
        <w:t xml:space="preserve">associated with a project or organization" (CIPD, 2025). </w:t>
      </w:r>
    </w:p>
    <w:p w14:paraId="5211CCA6" w14:textId="77777777" w:rsidR="00E216FD" w:rsidRPr="00E216FD" w:rsidRDefault="00E216FD" w:rsidP="00E216FD">
      <w:pPr>
        <w:spacing w:before="100" w:beforeAutospacing="1" w:after="100" w:afterAutospacing="1" w:line="276" w:lineRule="auto"/>
        <w:rPr>
          <w:rFonts w:eastAsia="Times New Roman" w:cs="Times New Roman"/>
          <w:color w:val="000000"/>
          <w:kern w:val="0"/>
          <w:sz w:val="22"/>
          <w:szCs w:val="22"/>
          <w:lang w:eastAsia="en-GB"/>
          <w14:ligatures w14:val="none"/>
        </w:rPr>
      </w:pPr>
      <w:r w:rsidRPr="009D5D52">
        <w:rPr>
          <w:rFonts w:eastAsia="Times New Roman" w:cs="Times New Roman"/>
          <w:color w:val="000000"/>
          <w:kern w:val="0"/>
          <w:sz w:val="22"/>
          <w:szCs w:val="22"/>
          <w:lang w:eastAsia="en-GB"/>
          <w14:ligatures w14:val="none"/>
        </w:rPr>
        <w:t xml:space="preserve">As </w:t>
      </w:r>
      <w:r w:rsidRPr="00E216FD">
        <w:rPr>
          <w:rFonts w:eastAsia="Times New Roman" w:cs="Times New Roman"/>
          <w:color w:val="000000"/>
          <w:kern w:val="0"/>
          <w:sz w:val="22"/>
          <w:szCs w:val="22"/>
          <w:lang w:eastAsia="en-GB"/>
          <w14:ligatures w14:val="none"/>
        </w:rPr>
        <w:t xml:space="preserve">mentioned, </w:t>
      </w:r>
      <w:r w:rsidRPr="009D5D52">
        <w:rPr>
          <w:rFonts w:eastAsia="Times New Roman" w:cs="Times New Roman"/>
          <w:color w:val="000000"/>
          <w:kern w:val="0"/>
          <w:sz w:val="22"/>
          <w:szCs w:val="22"/>
          <w:lang w:eastAsia="en-GB"/>
          <w14:ligatures w14:val="none"/>
        </w:rPr>
        <w:t xml:space="preserve">School </w:t>
      </w:r>
      <w:r w:rsidRPr="00E216FD">
        <w:rPr>
          <w:rFonts w:eastAsia="Times New Roman" w:cs="Times New Roman"/>
          <w:color w:val="000000"/>
          <w:kern w:val="0"/>
          <w:sz w:val="22"/>
          <w:szCs w:val="22"/>
          <w:lang w:eastAsia="en-GB"/>
          <w14:ligatures w14:val="none"/>
        </w:rPr>
        <w:t>A is in</w:t>
      </w:r>
      <w:r w:rsidRPr="009D5D52">
        <w:rPr>
          <w:rFonts w:eastAsia="Times New Roman" w:cs="Times New Roman"/>
          <w:color w:val="000000"/>
          <w:kern w:val="0"/>
          <w:sz w:val="22"/>
          <w:szCs w:val="22"/>
          <w:lang w:eastAsia="en-GB"/>
          <w14:ligatures w14:val="none"/>
        </w:rPr>
        <w:t xml:space="preserve"> a disadvantaged area. </w:t>
      </w:r>
      <w:r w:rsidRPr="00E216FD">
        <w:rPr>
          <w:rFonts w:eastAsia="Times New Roman" w:cs="Times New Roman"/>
          <w:color w:val="000000"/>
          <w:kern w:val="0"/>
          <w:sz w:val="22"/>
          <w:szCs w:val="22"/>
          <w:lang w:eastAsia="en-GB"/>
          <w14:ligatures w14:val="none"/>
        </w:rPr>
        <w:t xml:space="preserve">A </w:t>
      </w:r>
      <w:r w:rsidRPr="009D5D52">
        <w:rPr>
          <w:rFonts w:eastAsia="Times New Roman" w:cs="Times New Roman"/>
          <w:color w:val="000000"/>
          <w:kern w:val="0"/>
          <w:sz w:val="22"/>
          <w:szCs w:val="22"/>
          <w:lang w:eastAsia="en-GB"/>
          <w14:ligatures w14:val="none"/>
        </w:rPr>
        <w:t>key strength</w:t>
      </w:r>
      <w:r w:rsidRPr="00E216FD">
        <w:rPr>
          <w:rFonts w:eastAsia="Times New Roman" w:cs="Times New Roman"/>
          <w:color w:val="000000"/>
          <w:kern w:val="0"/>
          <w:sz w:val="22"/>
          <w:szCs w:val="22"/>
          <w:lang w:eastAsia="en-GB"/>
          <w14:ligatures w14:val="none"/>
        </w:rPr>
        <w:t xml:space="preserve"> of the project</w:t>
      </w:r>
      <w:r w:rsidRPr="009D5D52">
        <w:rPr>
          <w:rFonts w:eastAsia="Times New Roman" w:cs="Times New Roman"/>
          <w:color w:val="000000"/>
          <w:kern w:val="0"/>
          <w:sz w:val="22"/>
          <w:szCs w:val="22"/>
          <w:lang w:eastAsia="en-GB"/>
          <w14:ligatures w14:val="none"/>
        </w:rPr>
        <w:t xml:space="preserve"> is the promotion of social and emotional development, which is essential in communities where children face increased stress due to poverty and limited resources. According to the Children’s Assessment Centre (CAC, 2023), such circumstances can have a negative impact on children's mental health. This is further supported by the Child Poverty Action Group (2024), who reported that 65% of children from low-income families said they could not participate in school activities, highlighting the exclusion and emotional impact that poverty </w:t>
      </w:r>
      <w:r w:rsidRPr="00E216FD">
        <w:rPr>
          <w:rFonts w:eastAsia="Times New Roman" w:cs="Times New Roman"/>
          <w:color w:val="000000"/>
          <w:kern w:val="0"/>
          <w:sz w:val="22"/>
          <w:szCs w:val="22"/>
          <w:lang w:eastAsia="en-GB"/>
          <w14:ligatures w14:val="none"/>
        </w:rPr>
        <w:t>creates. The</w:t>
      </w:r>
      <w:r w:rsidRPr="009D5D52">
        <w:rPr>
          <w:rFonts w:eastAsia="Times New Roman" w:cs="Times New Roman"/>
          <w:color w:val="000000"/>
          <w:kern w:val="0"/>
          <w:sz w:val="22"/>
          <w:szCs w:val="22"/>
          <w:lang w:eastAsia="en-GB"/>
          <w14:ligatures w14:val="none"/>
        </w:rPr>
        <w:t> Life Lab project could play a vital role in supporting both children and adults by promoting social and emotional development within the community. Disadvantaged areas like the one surrounding School A often lack access to educational opportunities and social support systems, which can lead some individuals to engage in crime as a means of survival. This cycle of deprivation and exclusion is c</w:t>
      </w:r>
      <w:r w:rsidRPr="00E216FD">
        <w:rPr>
          <w:rFonts w:eastAsia="Times New Roman" w:cs="Times New Roman"/>
          <w:color w:val="000000"/>
          <w:kern w:val="0"/>
          <w:sz w:val="22"/>
          <w:szCs w:val="22"/>
          <w:lang w:eastAsia="en-GB"/>
          <w14:ligatures w14:val="none"/>
        </w:rPr>
        <w:t>reated</w:t>
      </w:r>
      <w:r w:rsidRPr="009D5D52">
        <w:rPr>
          <w:rFonts w:eastAsia="Times New Roman" w:cs="Times New Roman"/>
          <w:color w:val="000000"/>
          <w:kern w:val="0"/>
          <w:sz w:val="22"/>
          <w:szCs w:val="22"/>
          <w:lang w:eastAsia="en-GB"/>
          <w14:ligatures w14:val="none"/>
        </w:rPr>
        <w:t xml:space="preserve"> by the lack of positive interventions. According to the Welsh Government (2024), low educational involvement is strongly linked to a higher risk of criminal behaviour and ongoing poverty.</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 xml:space="preserve">Recent findings from Revolving Doors (2022) revealed that 65% of the public believe poverty, mental health issues, and substance abuse are the main drivers of non-violent, low-level crimes. By providing practical learning opportunities and life skills training, the Life Lab has the potential to </w:t>
      </w:r>
      <w:r w:rsidRPr="00E216FD">
        <w:rPr>
          <w:rFonts w:eastAsia="Times New Roman" w:cs="Times New Roman"/>
          <w:color w:val="000000"/>
          <w:kern w:val="0"/>
          <w:sz w:val="22"/>
          <w:szCs w:val="22"/>
          <w:lang w:eastAsia="en-GB"/>
          <w14:ligatures w14:val="none"/>
        </w:rPr>
        <w:t xml:space="preserve">stop </w:t>
      </w:r>
      <w:r w:rsidRPr="009D5D52">
        <w:rPr>
          <w:rFonts w:eastAsia="Times New Roman" w:cs="Times New Roman"/>
          <w:color w:val="000000"/>
          <w:kern w:val="0"/>
          <w:sz w:val="22"/>
          <w:szCs w:val="22"/>
          <w:lang w:eastAsia="en-GB"/>
          <w14:ligatures w14:val="none"/>
        </w:rPr>
        <w:t>this cycle and support the creation of a more resilient and empowered community.</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Supporting this approach, the Centre for Social Justice (CSJ, 2020) highlights the importance of tackling the root causes of poverty</w:t>
      </w:r>
      <w:r w:rsidRPr="00E216FD">
        <w:rPr>
          <w:rFonts w:eastAsia="Times New Roman" w:cs="Times New Roman"/>
          <w:color w:val="000000"/>
          <w:kern w:val="0"/>
          <w:sz w:val="22"/>
          <w:szCs w:val="22"/>
          <w:lang w:eastAsia="en-GB"/>
          <w14:ligatures w14:val="none"/>
        </w:rPr>
        <w:t xml:space="preserve">, </w:t>
      </w:r>
      <w:r w:rsidRPr="009D5D52">
        <w:rPr>
          <w:rFonts w:eastAsia="Times New Roman" w:cs="Times New Roman"/>
          <w:color w:val="000000"/>
          <w:kern w:val="0"/>
          <w:sz w:val="22"/>
          <w:szCs w:val="22"/>
          <w:lang w:eastAsia="en-GB"/>
          <w14:ligatures w14:val="none"/>
        </w:rPr>
        <w:t>such as unemployment, poor housing, and limited access to education. Their work emphasizes the value of building emotional resilience, teaching essential life skills, and offering mental health and addiction support. Through initiatives like Life Lab, individuals can be equipped with the tools they need to overcome challenges, build stronger relationships, and contribute positively to their communities</w:t>
      </w:r>
      <w:r w:rsidRPr="00E216FD">
        <w:rPr>
          <w:rFonts w:eastAsia="Times New Roman" w:cs="Times New Roman"/>
          <w:color w:val="000000"/>
          <w:kern w:val="0"/>
          <w:sz w:val="22"/>
          <w:szCs w:val="22"/>
          <w:lang w:eastAsia="en-GB"/>
          <w14:ligatures w14:val="none"/>
        </w:rPr>
        <w:t>.</w:t>
      </w:r>
    </w:p>
    <w:p w14:paraId="48F8CB34" w14:textId="01DEB170" w:rsidR="00E216FD" w:rsidRPr="00E216FD" w:rsidRDefault="00E216FD" w:rsidP="00E216FD">
      <w:pPr>
        <w:spacing w:before="100" w:beforeAutospacing="1" w:after="100" w:afterAutospacing="1" w:line="240" w:lineRule="auto"/>
        <w:rPr>
          <w:rFonts w:eastAsia="Times New Roman" w:cs="Times New Roman"/>
          <w:color w:val="000000"/>
          <w:kern w:val="0"/>
          <w:sz w:val="22"/>
          <w:szCs w:val="22"/>
          <w:lang w:eastAsia="en-GB"/>
          <w14:ligatures w14:val="none"/>
        </w:rPr>
      </w:pPr>
      <w:r w:rsidRPr="00E216FD">
        <w:rPr>
          <w:rFonts w:eastAsia="Times New Roman" w:cs="Times New Roman"/>
          <w:color w:val="000000"/>
          <w:kern w:val="0"/>
          <w:sz w:val="22"/>
          <w:szCs w:val="22"/>
          <w:lang w:eastAsia="en-GB"/>
          <w14:ligatures w14:val="none"/>
        </w:rPr>
        <w:t>During my SWOT analysis, one of the key threats identified was limited resources and fundin</w:t>
      </w:r>
      <w:r>
        <w:rPr>
          <w:rFonts w:eastAsia="Times New Roman" w:cs="Times New Roman"/>
          <w:color w:val="000000"/>
          <w:kern w:val="0"/>
          <w:sz w:val="22"/>
          <w:szCs w:val="22"/>
          <w:lang w:eastAsia="en-GB"/>
          <w14:ligatures w14:val="none"/>
        </w:rPr>
        <w:t>g</w:t>
      </w:r>
      <w:r w:rsidRPr="00E216FD">
        <w:rPr>
          <w:rFonts w:eastAsia="Times New Roman" w:cs="Times New Roman"/>
          <w:color w:val="000000"/>
          <w:kern w:val="0"/>
          <w:sz w:val="22"/>
          <w:szCs w:val="22"/>
          <w:lang w:eastAsia="en-GB"/>
          <w14:ligatures w14:val="none"/>
        </w:rPr>
        <w:t>. According to the Local Government Association (2020), ongoing cuts to council budgets have forced many to prioritise essential services, often leaving little room for community-based initiatives like the Life Lab. Without sufficient funding, it becomes harder to tailor activities to individual needs or provide a range of resources to support diverse learning style</w:t>
      </w:r>
      <w:r>
        <w:rPr>
          <w:rFonts w:eastAsia="Times New Roman" w:cs="Times New Roman"/>
          <w:color w:val="000000"/>
          <w:kern w:val="0"/>
          <w:sz w:val="22"/>
          <w:szCs w:val="22"/>
          <w:lang w:eastAsia="en-GB"/>
          <w14:ligatures w14:val="none"/>
        </w:rPr>
        <w:t xml:space="preserve"> which may be essential for</w:t>
      </w:r>
      <w:r w:rsidRPr="00E216FD">
        <w:rPr>
          <w:rFonts w:eastAsia="Times New Roman" w:cs="Times New Roman"/>
          <w:color w:val="000000"/>
          <w:kern w:val="0"/>
          <w:sz w:val="22"/>
          <w:szCs w:val="22"/>
          <w:lang w:eastAsia="en-GB"/>
          <w14:ligatures w14:val="none"/>
        </w:rPr>
        <w:t xml:space="preserve"> effective education.</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 xml:space="preserve">Limited resources also impact support for multilingual learners. The British Council (2019) highlights how a lack of EAL materials can affect engagement and inclusion, while Ruiz de </w:t>
      </w:r>
      <w:proofErr w:type="spellStart"/>
      <w:r w:rsidRPr="00E216FD">
        <w:rPr>
          <w:rFonts w:eastAsia="Times New Roman" w:cs="Times New Roman"/>
          <w:color w:val="000000"/>
          <w:kern w:val="0"/>
          <w:sz w:val="22"/>
          <w:szCs w:val="22"/>
          <w:lang w:eastAsia="en-GB"/>
          <w14:ligatures w14:val="none"/>
        </w:rPr>
        <w:t>Zarobe</w:t>
      </w:r>
      <w:proofErr w:type="spellEnd"/>
      <w:r w:rsidRPr="00E216FD">
        <w:rPr>
          <w:rFonts w:eastAsia="Times New Roman" w:cs="Times New Roman"/>
          <w:color w:val="000000"/>
          <w:kern w:val="0"/>
          <w:sz w:val="22"/>
          <w:szCs w:val="22"/>
          <w:lang w:eastAsia="en-GB"/>
          <w14:ligatures w14:val="none"/>
        </w:rPr>
        <w:t xml:space="preserve"> and Querol-Julián (2025) emphasise that without proper language support, barriers to learning grow significantly for these students. If the Life Lab is to maintain an inclusive environment, these needs must be addressed.</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To overcome these financial challenges, the Life Lab could build partnerships with local charities or community organisations focused on education and well-being. The National Council for Voluntary Organisations (NCVO, 2017)</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 xml:space="preserve">notes that collaboration can reduce costs, improve sustainability, and </w:t>
      </w:r>
      <w:r w:rsidRPr="00E216FD">
        <w:rPr>
          <w:rFonts w:eastAsia="Times New Roman" w:cs="Times New Roman"/>
          <w:color w:val="000000"/>
          <w:kern w:val="0"/>
          <w:sz w:val="22"/>
          <w:szCs w:val="22"/>
          <w:lang w:eastAsia="en-GB"/>
          <w14:ligatures w14:val="none"/>
        </w:rPr>
        <w:t>open</w:t>
      </w:r>
      <w:r w:rsidRPr="00E216FD">
        <w:rPr>
          <w:rFonts w:eastAsia="Times New Roman" w:cs="Times New Roman"/>
          <w:color w:val="000000"/>
          <w:kern w:val="0"/>
          <w:sz w:val="22"/>
          <w:szCs w:val="22"/>
          <w:lang w:eastAsia="en-GB"/>
          <w14:ligatures w14:val="none"/>
        </w:rPr>
        <w:t xml:space="preserve"> access to funding and resources. Hosting community fundraising events is another practical option. These not only raise awareness and essential </w:t>
      </w:r>
      <w:r w:rsidRPr="00E216FD">
        <w:rPr>
          <w:rFonts w:eastAsia="Times New Roman" w:cs="Times New Roman"/>
          <w:color w:val="000000"/>
          <w:kern w:val="0"/>
          <w:sz w:val="22"/>
          <w:szCs w:val="22"/>
          <w:lang w:eastAsia="en-GB"/>
          <w14:ligatures w14:val="none"/>
        </w:rPr>
        <w:t>funds but</w:t>
      </w:r>
      <w:r w:rsidRPr="00E216FD">
        <w:rPr>
          <w:rFonts w:eastAsia="Times New Roman" w:cs="Times New Roman"/>
          <w:color w:val="000000"/>
          <w:kern w:val="0"/>
          <w:sz w:val="22"/>
          <w:szCs w:val="22"/>
          <w:lang w:eastAsia="en-GB"/>
          <w14:ligatures w14:val="none"/>
        </w:rPr>
        <w:t xml:space="preserve"> also provide learning opportunities for young people</w:t>
      </w:r>
      <w:r>
        <w:rPr>
          <w:rFonts w:eastAsia="Times New Roman" w:cs="Times New Roman"/>
          <w:color w:val="000000"/>
          <w:kern w:val="0"/>
          <w:sz w:val="22"/>
          <w:szCs w:val="22"/>
          <w:lang w:eastAsia="en-GB"/>
          <w14:ligatures w14:val="none"/>
        </w:rPr>
        <w:t>. T</w:t>
      </w:r>
      <w:r w:rsidRPr="00E216FD">
        <w:rPr>
          <w:rFonts w:eastAsia="Times New Roman" w:cs="Times New Roman"/>
          <w:color w:val="000000"/>
          <w:kern w:val="0"/>
          <w:sz w:val="22"/>
          <w:szCs w:val="22"/>
          <w:lang w:eastAsia="en-GB"/>
          <w14:ligatures w14:val="none"/>
        </w:rPr>
        <w:t xml:space="preserve">eaching responsibility and encouraging them to contribute to meaningful causes. Ahmed and Baxter (2021) also found that inclusive </w:t>
      </w:r>
      <w:r w:rsidRPr="00E216FD">
        <w:rPr>
          <w:rFonts w:eastAsia="Times New Roman" w:cs="Times New Roman"/>
          <w:color w:val="000000"/>
          <w:kern w:val="0"/>
          <w:sz w:val="22"/>
          <w:szCs w:val="22"/>
          <w:lang w:eastAsia="en-GB"/>
          <w14:ligatures w14:val="none"/>
        </w:rPr>
        <w:lastRenderedPageBreak/>
        <w:t>fundraising involving diverse community members can build stronger social bonds and promote equality.</w:t>
      </w:r>
    </w:p>
    <w:p w14:paraId="70C0C865" w14:textId="71B4E9F7" w:rsidR="00E216FD" w:rsidRPr="00E216FD" w:rsidRDefault="00E216FD" w:rsidP="00E216FD">
      <w:pPr>
        <w:spacing w:before="100" w:beforeAutospacing="1" w:after="100" w:afterAutospacing="1" w:line="240" w:lineRule="auto"/>
        <w:rPr>
          <w:rFonts w:eastAsia="Times New Roman" w:cs="Times New Roman"/>
          <w:color w:val="000000"/>
          <w:kern w:val="0"/>
          <w:sz w:val="22"/>
          <w:szCs w:val="22"/>
          <w:lang w:eastAsia="en-GB"/>
          <w14:ligatures w14:val="none"/>
        </w:rPr>
      </w:pPr>
      <w:r w:rsidRPr="00E216FD">
        <w:rPr>
          <w:rFonts w:eastAsia="Times New Roman" w:cs="Times New Roman"/>
          <w:color w:val="000000"/>
          <w:kern w:val="0"/>
          <w:sz w:val="22"/>
          <w:szCs w:val="22"/>
          <w:lang w:eastAsia="en-GB"/>
          <w14:ligatures w14:val="none"/>
        </w:rPr>
        <w:t>One of the Life Lab’s main strengths is the inclusive environment it creates. Key features include removing barriers</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such as language</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and ensuring that all voices are heard and respected. According to the Alliance for Inclusive Education (ALLFIE, 2017), diversity strengthens communities, and inclusive spaces help foster connection and belonging. Similarly, the Brookings Institution (2023) reports that schools are more likely to see improved learning outcomes when students feel valued and included.</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By strengthening home</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school</w:t>
      </w:r>
      <w:r>
        <w:rPr>
          <w:rFonts w:eastAsia="Times New Roman" w:cs="Times New Roman"/>
          <w:color w:val="000000"/>
          <w:kern w:val="0"/>
          <w:sz w:val="22"/>
          <w:szCs w:val="22"/>
          <w:lang w:eastAsia="en-GB"/>
          <w14:ligatures w14:val="none"/>
        </w:rPr>
        <w:t xml:space="preserve"> </w:t>
      </w:r>
      <w:r w:rsidRPr="00E216FD">
        <w:rPr>
          <w:rFonts w:eastAsia="Times New Roman" w:cs="Times New Roman"/>
          <w:color w:val="000000"/>
          <w:kern w:val="0"/>
          <w:sz w:val="22"/>
          <w:szCs w:val="22"/>
          <w:lang w:eastAsia="en-GB"/>
          <w14:ligatures w14:val="none"/>
        </w:rPr>
        <w:t>community links, the Life Lab also lays a solid foundation for long-term success. As Taylor-West (2025) suggests, meaningful involvement builds empathy and helps young people connect with wider community needs. Despite financial limitations, these connections and partnerships can help the Life Lab thrive, keeping inclusion and student well-being at the heart of its success.</w:t>
      </w:r>
    </w:p>
    <w:p w14:paraId="5A82B275" w14:textId="2945CF7F" w:rsidR="00E216FD" w:rsidRDefault="00E216FD" w:rsidP="00E216FD">
      <w:pPr>
        <w:spacing w:line="276" w:lineRule="auto"/>
        <w:rPr>
          <w:color w:val="000000"/>
          <w:sz w:val="22"/>
          <w:szCs w:val="22"/>
        </w:rPr>
      </w:pPr>
      <w:r w:rsidRPr="00E216FD">
        <w:rPr>
          <w:color w:val="000000"/>
          <w:sz w:val="22"/>
          <w:szCs w:val="22"/>
        </w:rPr>
        <w:t>In conclusion, this project proposal highlights both the advantages and challenges of community projects in Wales, focusing on overcoming barriers such as poverty and inclusivity. The findings show that when schools and communities collaborate, outcomes are often positive and effective. As supported by the Independent School Council (2025), collaboration between schools and communities enhances student outcomes by providing support, resources, and real-world learning opportunities, fostering a more inclusive environment. My project promotes an accessible curriculum by offering life skills that cater to diverse needs, ensuring equal learning opportunities for all students. It aligns with the Welsh QTS standard by supporting learners’ safety, well-being, and development through life skills education, ensuring every student is supported in their learning journey (Welsh Government, 2019). My next steps involve refining the project to ensure its inclusive and accessible, while addressing resource limitations. This project has influenced my practice by emphasizing the importance of community engagement and integrating life skills education into the curriculum to support holistic development for all students.</w:t>
      </w:r>
    </w:p>
    <w:p w14:paraId="0362D211" w14:textId="77777777" w:rsidR="00E216FD" w:rsidRDefault="00E216FD" w:rsidP="00E216FD">
      <w:pPr>
        <w:spacing w:line="276" w:lineRule="auto"/>
        <w:rPr>
          <w:color w:val="000000"/>
          <w:sz w:val="22"/>
          <w:szCs w:val="22"/>
        </w:rPr>
      </w:pPr>
    </w:p>
    <w:p w14:paraId="4751C70C" w14:textId="77777777" w:rsidR="00E216FD" w:rsidRDefault="00E216FD" w:rsidP="00E216FD">
      <w:pPr>
        <w:spacing w:after="240" w:line="540" w:lineRule="atLeast"/>
        <w:outlineLvl w:val="0"/>
        <w:rPr>
          <w:color w:val="000000"/>
          <w:sz w:val="22"/>
          <w:szCs w:val="22"/>
        </w:rPr>
      </w:pPr>
    </w:p>
    <w:p w14:paraId="44F2115B" w14:textId="77777777" w:rsidR="00E216FD" w:rsidRDefault="00E216FD" w:rsidP="00E216FD">
      <w:pPr>
        <w:spacing w:after="240" w:line="540" w:lineRule="atLeast"/>
        <w:outlineLvl w:val="0"/>
        <w:rPr>
          <w:color w:val="000000"/>
          <w:sz w:val="22"/>
          <w:szCs w:val="22"/>
        </w:rPr>
      </w:pPr>
    </w:p>
    <w:p w14:paraId="6AEC618D" w14:textId="77777777" w:rsidR="00E216FD" w:rsidRDefault="00E216FD" w:rsidP="00E216FD">
      <w:pPr>
        <w:spacing w:after="240" w:line="540" w:lineRule="atLeast"/>
        <w:outlineLvl w:val="0"/>
        <w:rPr>
          <w:color w:val="000000"/>
          <w:sz w:val="22"/>
          <w:szCs w:val="22"/>
        </w:rPr>
      </w:pPr>
    </w:p>
    <w:p w14:paraId="4EDD211B" w14:textId="77777777" w:rsidR="00E216FD" w:rsidRDefault="00E216FD" w:rsidP="00E216FD">
      <w:pPr>
        <w:spacing w:after="240" w:line="540" w:lineRule="atLeast"/>
        <w:outlineLvl w:val="0"/>
        <w:rPr>
          <w:rFonts w:eastAsia="Times New Roman" w:cs="Times New Roman"/>
          <w:color w:val="000000"/>
          <w:kern w:val="36"/>
          <w:sz w:val="22"/>
          <w:szCs w:val="22"/>
          <w:lang w:eastAsia="en-GB"/>
          <w14:ligatures w14:val="none"/>
        </w:rPr>
      </w:pPr>
    </w:p>
    <w:p w14:paraId="45B6F66C" w14:textId="77777777" w:rsidR="00E216FD" w:rsidRDefault="00E216FD" w:rsidP="00E216FD">
      <w:pPr>
        <w:spacing w:after="240" w:line="540" w:lineRule="atLeast"/>
        <w:outlineLvl w:val="0"/>
        <w:rPr>
          <w:rFonts w:eastAsia="Times New Roman" w:cs="Times New Roman"/>
          <w:color w:val="000000"/>
          <w:kern w:val="36"/>
          <w:sz w:val="22"/>
          <w:szCs w:val="22"/>
          <w:lang w:eastAsia="en-GB"/>
          <w14:ligatures w14:val="none"/>
        </w:rPr>
      </w:pPr>
    </w:p>
    <w:p w14:paraId="1E5F53C4" w14:textId="77777777" w:rsidR="00E216FD" w:rsidRDefault="00E216FD" w:rsidP="00E216FD">
      <w:pPr>
        <w:spacing w:after="240" w:line="540" w:lineRule="atLeast"/>
        <w:outlineLvl w:val="0"/>
        <w:rPr>
          <w:rFonts w:eastAsia="Times New Roman" w:cs="Times New Roman"/>
          <w:color w:val="000000"/>
          <w:kern w:val="36"/>
          <w:sz w:val="22"/>
          <w:szCs w:val="22"/>
          <w:lang w:eastAsia="en-GB"/>
          <w14:ligatures w14:val="none"/>
        </w:rPr>
      </w:pPr>
    </w:p>
    <w:p w14:paraId="1A8A2147" w14:textId="77777777" w:rsidR="00E216FD" w:rsidRDefault="00E216FD" w:rsidP="00E216FD">
      <w:pPr>
        <w:spacing w:after="240" w:line="540" w:lineRule="atLeast"/>
        <w:outlineLvl w:val="0"/>
        <w:rPr>
          <w:rFonts w:ascii="Times New Roman" w:eastAsia="Times New Roman" w:hAnsi="Times New Roman" w:cs="Times New Roman"/>
          <w:color w:val="000000"/>
          <w:kern w:val="0"/>
          <w:sz w:val="22"/>
          <w:szCs w:val="22"/>
          <w:lang w:eastAsia="en-GB"/>
          <w14:ligatures w14:val="none"/>
        </w:rPr>
      </w:pPr>
      <w:r w:rsidRPr="00E216FD">
        <w:rPr>
          <w:rFonts w:eastAsia="Times New Roman" w:cs="Times New Roman"/>
          <w:color w:val="000000"/>
          <w:kern w:val="36"/>
          <w:sz w:val="22"/>
          <w:szCs w:val="22"/>
          <w:lang w:eastAsia="en-GB"/>
          <w14:ligatures w14:val="none"/>
        </w:rPr>
        <w:lastRenderedPageBreak/>
        <w:t>Reference list</w:t>
      </w:r>
    </w:p>
    <w:p w14:paraId="62206BD7"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ALLFIE (2017). </w:t>
      </w:r>
      <w:r w:rsidRPr="00E216FD">
        <w:rPr>
          <w:rFonts w:ascii="Times New Roman" w:eastAsia="Times New Roman" w:hAnsi="Times New Roman" w:cs="Times New Roman"/>
          <w:i/>
          <w:iCs/>
          <w:color w:val="000000"/>
          <w:kern w:val="0"/>
          <w:sz w:val="22"/>
          <w:szCs w:val="22"/>
          <w:lang w:eastAsia="en-GB"/>
          <w14:ligatures w14:val="none"/>
        </w:rPr>
        <w:t>Our principles - The Alliance for Inclusive Education</w:t>
      </w:r>
      <w:r w:rsidRPr="00E216FD">
        <w:rPr>
          <w:rFonts w:ascii="Times New Roman" w:eastAsia="Times New Roman" w:hAnsi="Times New Roman" w:cs="Times New Roman"/>
          <w:color w:val="000000"/>
          <w:kern w:val="0"/>
          <w:sz w:val="22"/>
          <w:szCs w:val="22"/>
          <w:lang w:eastAsia="en-GB"/>
          <w14:ligatures w14:val="none"/>
        </w:rPr>
        <w:t>. [online] ALLFIE. Available at: https://www.allfie.org.uk/about-us/our-principles [Accessed 6 May 2025].</w:t>
      </w:r>
    </w:p>
    <w:p w14:paraId="10D60A46" w14:textId="144BE93F"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Barton, A., Ziegler, L., Mahsa Ershadi and Winthrop, R. (2021). </w:t>
      </w:r>
      <w:r w:rsidRPr="00E216FD">
        <w:rPr>
          <w:rFonts w:ascii="Times New Roman" w:eastAsia="Times New Roman" w:hAnsi="Times New Roman" w:cs="Times New Roman"/>
          <w:i/>
          <w:iCs/>
          <w:color w:val="000000"/>
          <w:kern w:val="0"/>
          <w:sz w:val="22"/>
          <w:szCs w:val="22"/>
          <w:lang w:eastAsia="en-GB"/>
          <w14:ligatures w14:val="none"/>
        </w:rPr>
        <w:t>Collaborating to transform and improve education systems: A playbook for family-school engagement</w:t>
      </w:r>
      <w:r w:rsidRPr="00E216FD">
        <w:rPr>
          <w:rFonts w:ascii="Times New Roman" w:eastAsia="Times New Roman" w:hAnsi="Times New Roman" w:cs="Times New Roman"/>
          <w:color w:val="000000"/>
          <w:kern w:val="0"/>
          <w:sz w:val="22"/>
          <w:szCs w:val="22"/>
          <w:lang w:eastAsia="en-GB"/>
          <w14:ligatures w14:val="none"/>
        </w:rPr>
        <w:t>. [online] Brookings. Available at: https://www.brookings.edu/articles/collaborating-to-transform-and-improve-education-systems-a-playbook-for-family-school-engagement</w:t>
      </w:r>
    </w:p>
    <w:p w14:paraId="7E54D9DF"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Bentley-Henson, A. (2019). </w:t>
      </w:r>
      <w:r w:rsidRPr="00E216FD">
        <w:rPr>
          <w:rFonts w:ascii="Times New Roman" w:eastAsia="Times New Roman" w:hAnsi="Times New Roman" w:cs="Times New Roman"/>
          <w:i/>
          <w:iCs/>
          <w:color w:val="000000"/>
          <w:kern w:val="0"/>
          <w:sz w:val="22"/>
          <w:szCs w:val="22"/>
          <w:lang w:eastAsia="en-GB"/>
          <w14:ligatures w14:val="none"/>
        </w:rPr>
        <w:t>Issues &amp; Definition of Social Justice in Education - Video &amp; Lesson Transcript | Study.com</w:t>
      </w:r>
      <w:r w:rsidRPr="00E216FD">
        <w:rPr>
          <w:rFonts w:ascii="Times New Roman" w:eastAsia="Times New Roman" w:hAnsi="Times New Roman" w:cs="Times New Roman"/>
          <w:color w:val="000000"/>
          <w:kern w:val="0"/>
          <w:sz w:val="22"/>
          <w:szCs w:val="22"/>
          <w:lang w:eastAsia="en-GB"/>
          <w14:ligatures w14:val="none"/>
        </w:rPr>
        <w:t>. [online] Study.com. Available at: https://study.com/academy/lesson/issues-definition-of-social-justice-in-education.html.</w:t>
      </w:r>
    </w:p>
    <w:p w14:paraId="183733EE"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BERA (2018). </w:t>
      </w:r>
      <w:r w:rsidRPr="00E216FD">
        <w:rPr>
          <w:rFonts w:ascii="Times New Roman" w:eastAsia="Times New Roman" w:hAnsi="Times New Roman" w:cs="Times New Roman"/>
          <w:i/>
          <w:iCs/>
          <w:color w:val="000000"/>
          <w:kern w:val="0"/>
          <w:sz w:val="22"/>
          <w:szCs w:val="22"/>
          <w:lang w:eastAsia="en-GB"/>
          <w14:ligatures w14:val="none"/>
        </w:rPr>
        <w:t>Ethical Guidelines for Educational Research, Fourth Edition (2018)</w:t>
      </w:r>
      <w:r w:rsidRPr="00E216FD">
        <w:rPr>
          <w:rFonts w:ascii="Times New Roman" w:eastAsia="Times New Roman" w:hAnsi="Times New Roman" w:cs="Times New Roman"/>
          <w:color w:val="000000"/>
          <w:kern w:val="0"/>
          <w:sz w:val="22"/>
          <w:szCs w:val="22"/>
          <w:lang w:eastAsia="en-GB"/>
          <w14:ligatures w14:val="none"/>
        </w:rPr>
        <w:t>. [online] BERA. Available at: https://www.bera.ac.uk/publication/ethical-guidelines-for-educational-research-2018-online.</w:t>
      </w:r>
    </w:p>
    <w:p w14:paraId="18CFE4F0"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BERA (2024). </w:t>
      </w:r>
      <w:r w:rsidRPr="00E216FD">
        <w:rPr>
          <w:rFonts w:ascii="Times New Roman" w:eastAsia="Times New Roman" w:hAnsi="Times New Roman" w:cs="Times New Roman"/>
          <w:i/>
          <w:iCs/>
          <w:color w:val="000000"/>
          <w:kern w:val="0"/>
          <w:sz w:val="22"/>
          <w:szCs w:val="22"/>
          <w:lang w:eastAsia="en-GB"/>
          <w14:ligatures w14:val="none"/>
        </w:rPr>
        <w:t xml:space="preserve">Research Ethics Case Studies 2024: Negotiating power, participation and dissent with </w:t>
      </w:r>
      <w:proofErr w:type="gramStart"/>
      <w:r w:rsidRPr="00E216FD">
        <w:rPr>
          <w:rFonts w:ascii="Times New Roman" w:eastAsia="Times New Roman" w:hAnsi="Times New Roman" w:cs="Times New Roman"/>
          <w:i/>
          <w:iCs/>
          <w:color w:val="000000"/>
          <w:kern w:val="0"/>
          <w:sz w:val="22"/>
          <w:szCs w:val="22"/>
          <w:lang w:eastAsia="en-GB"/>
          <w14:ligatures w14:val="none"/>
        </w:rPr>
        <w:t>young-researchers</w:t>
      </w:r>
      <w:proofErr w:type="gramEnd"/>
      <w:r w:rsidRPr="00E216FD">
        <w:rPr>
          <w:rFonts w:ascii="Times New Roman" w:eastAsia="Times New Roman" w:hAnsi="Times New Roman" w:cs="Times New Roman"/>
          <w:i/>
          <w:iCs/>
          <w:color w:val="000000"/>
          <w:kern w:val="0"/>
          <w:sz w:val="22"/>
          <w:szCs w:val="22"/>
          <w:lang w:eastAsia="en-GB"/>
          <w14:ligatures w14:val="none"/>
        </w:rPr>
        <w:t xml:space="preserve"> in community dissemination</w:t>
      </w:r>
      <w:r w:rsidRPr="00E216FD">
        <w:rPr>
          <w:rFonts w:ascii="Times New Roman" w:eastAsia="Times New Roman" w:hAnsi="Times New Roman" w:cs="Times New Roman"/>
          <w:color w:val="000000"/>
          <w:kern w:val="0"/>
          <w:sz w:val="22"/>
          <w:szCs w:val="22"/>
          <w:lang w:eastAsia="en-GB"/>
          <w14:ligatures w14:val="none"/>
        </w:rPr>
        <w:t>. [online] Bera.ac.uk. Available at: https://www.bera.ac.uk/publication/research-ethics-case-studies-2024-negotiating-power-participation-and-dissent-with-young-researchers-in-community-dissemination.</w:t>
      </w:r>
    </w:p>
    <w:p w14:paraId="7A8E9CDB"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British Council (2019). </w:t>
      </w:r>
      <w:r w:rsidRPr="00E216FD">
        <w:rPr>
          <w:rFonts w:ascii="Times New Roman" w:eastAsia="Times New Roman" w:hAnsi="Times New Roman" w:cs="Times New Roman"/>
          <w:i/>
          <w:iCs/>
          <w:color w:val="000000"/>
          <w:kern w:val="0"/>
          <w:sz w:val="22"/>
          <w:szCs w:val="22"/>
          <w:lang w:eastAsia="en-GB"/>
          <w14:ligatures w14:val="none"/>
        </w:rPr>
        <w:t>Developing multilingualism in primary schools in Wales: an impact study | British Council</w:t>
      </w:r>
      <w:r w:rsidRPr="00E216FD">
        <w:rPr>
          <w:rFonts w:ascii="Times New Roman" w:eastAsia="Times New Roman" w:hAnsi="Times New Roman" w:cs="Times New Roman"/>
          <w:color w:val="000000"/>
          <w:kern w:val="0"/>
          <w:sz w:val="22"/>
          <w:szCs w:val="22"/>
          <w:lang w:eastAsia="en-GB"/>
          <w14:ligatures w14:val="none"/>
        </w:rPr>
        <w:t>. [online] Britishcouncil.org. Available at: https://wales.britishcouncil.org/en/programmes/education/developing-multilingualism-primary-schools-wales-impact-study.</w:t>
      </w:r>
    </w:p>
    <w:p w14:paraId="4C247D50"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Bronfenbrenner, U. (1979). </w:t>
      </w:r>
      <w:r w:rsidRPr="00E216FD">
        <w:rPr>
          <w:rFonts w:ascii="Times New Roman" w:eastAsia="Times New Roman" w:hAnsi="Times New Roman" w:cs="Times New Roman"/>
          <w:i/>
          <w:iCs/>
          <w:color w:val="000000"/>
          <w:kern w:val="0"/>
          <w:sz w:val="22"/>
          <w:szCs w:val="22"/>
          <w:lang w:eastAsia="en-GB"/>
          <w14:ligatures w14:val="none"/>
        </w:rPr>
        <w:t>The Ecology of Human Development</w:t>
      </w:r>
      <w:r w:rsidRPr="00E216FD">
        <w:rPr>
          <w:rFonts w:ascii="Times New Roman" w:eastAsia="Times New Roman" w:hAnsi="Times New Roman" w:cs="Times New Roman"/>
          <w:color w:val="000000"/>
          <w:kern w:val="0"/>
          <w:sz w:val="22"/>
          <w:szCs w:val="22"/>
          <w:lang w:eastAsia="en-GB"/>
          <w14:ligatures w14:val="none"/>
        </w:rPr>
        <w:t>. [online] Available at: https://khoerulanwarbk.files.wordpress.com/2015/08/urie_bronfenbrenner_the_ecology_of_human_developbokos-z1.pdf.</w:t>
      </w:r>
    </w:p>
    <w:p w14:paraId="2EE8345D" w14:textId="39224778"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CAC (2023). </w:t>
      </w:r>
      <w:r w:rsidRPr="00E216FD">
        <w:rPr>
          <w:rFonts w:ascii="Times New Roman" w:eastAsia="Times New Roman" w:hAnsi="Times New Roman" w:cs="Times New Roman"/>
          <w:i/>
          <w:iCs/>
          <w:color w:val="000000"/>
          <w:kern w:val="0"/>
          <w:sz w:val="22"/>
          <w:szCs w:val="22"/>
          <w:lang w:eastAsia="en-GB"/>
          <w14:ligatures w14:val="none"/>
        </w:rPr>
        <w:t>The psychological and physical effects of poverty on children - Child Appeal Charity</w:t>
      </w:r>
      <w:r w:rsidRPr="00E216FD">
        <w:rPr>
          <w:rFonts w:ascii="Times New Roman" w:eastAsia="Times New Roman" w:hAnsi="Times New Roman" w:cs="Times New Roman"/>
          <w:color w:val="000000"/>
          <w:kern w:val="0"/>
          <w:sz w:val="22"/>
          <w:szCs w:val="22"/>
          <w:lang w:eastAsia="en-GB"/>
          <w14:ligatures w14:val="none"/>
        </w:rPr>
        <w:t xml:space="preserve">. [online] Child Appeal Charity - A safe childhood for a promising future. Available at: </w:t>
      </w:r>
      <w:hyperlink r:id="rId6" w:history="1">
        <w:r w:rsidRPr="00E216FD">
          <w:rPr>
            <w:rStyle w:val="Hyperlink"/>
            <w:rFonts w:ascii="Times New Roman" w:eastAsia="Times New Roman" w:hAnsi="Times New Roman" w:cs="Times New Roman"/>
            <w:kern w:val="0"/>
            <w:sz w:val="22"/>
            <w:szCs w:val="22"/>
            <w:lang w:eastAsia="en-GB"/>
            <w14:ligatures w14:val="none"/>
          </w:rPr>
          <w:t>https://child-appeal.org/the-psychological-and-physical-effects-of-poverty-on-children</w:t>
        </w:r>
      </w:hyperlink>
      <w:r>
        <w:rPr>
          <w:rFonts w:ascii="Times New Roman" w:eastAsia="Times New Roman" w:hAnsi="Times New Roman" w:cs="Times New Roman"/>
          <w:color w:val="000000"/>
          <w:kern w:val="0"/>
          <w:sz w:val="22"/>
          <w:szCs w:val="22"/>
          <w:lang w:eastAsia="en-GB"/>
          <w14:ligatures w14:val="none"/>
        </w:rPr>
        <w:t xml:space="preserve"> </w:t>
      </w:r>
      <w:r w:rsidRPr="00E216FD">
        <w:rPr>
          <w:rFonts w:ascii="Times New Roman" w:eastAsia="Times New Roman" w:hAnsi="Times New Roman" w:cs="Times New Roman"/>
          <w:color w:val="000000"/>
          <w:kern w:val="0"/>
          <w:sz w:val="22"/>
          <w:szCs w:val="22"/>
          <w:lang w:eastAsia="en-GB"/>
          <w14:ligatures w14:val="none"/>
        </w:rPr>
        <w:t xml:space="preserve"> [Accessed 11 Apr. 2025].</w:t>
      </w:r>
    </w:p>
    <w:p w14:paraId="1D2DA682"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Child Poverty Action group (2024). </w:t>
      </w:r>
      <w:r w:rsidRPr="00E216FD">
        <w:rPr>
          <w:rFonts w:ascii="Times New Roman" w:eastAsia="Times New Roman" w:hAnsi="Times New Roman" w:cs="Times New Roman"/>
          <w:i/>
          <w:iCs/>
          <w:color w:val="000000"/>
          <w:kern w:val="0"/>
          <w:sz w:val="22"/>
          <w:szCs w:val="22"/>
          <w:lang w:eastAsia="en-GB"/>
          <w14:ligatures w14:val="none"/>
        </w:rPr>
        <w:t>The Effects of Poverty</w:t>
      </w:r>
      <w:r w:rsidRPr="00E216FD">
        <w:rPr>
          <w:rFonts w:ascii="Times New Roman" w:eastAsia="Times New Roman" w:hAnsi="Times New Roman" w:cs="Times New Roman"/>
          <w:color w:val="000000"/>
          <w:kern w:val="0"/>
          <w:sz w:val="22"/>
          <w:szCs w:val="22"/>
          <w:lang w:eastAsia="en-GB"/>
          <w14:ligatures w14:val="none"/>
        </w:rPr>
        <w:t>. [online] Child Poverty Action Group. Available at: https://cpag.org.uk/child-poverty/effects-poverty.</w:t>
      </w:r>
    </w:p>
    <w:p w14:paraId="7B599114"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CIPD (2025). </w:t>
      </w:r>
      <w:r w:rsidRPr="00E216FD">
        <w:rPr>
          <w:rFonts w:ascii="Times New Roman" w:eastAsia="Times New Roman" w:hAnsi="Times New Roman" w:cs="Times New Roman"/>
          <w:i/>
          <w:iCs/>
          <w:color w:val="000000"/>
          <w:kern w:val="0"/>
          <w:sz w:val="22"/>
          <w:szCs w:val="22"/>
          <w:lang w:eastAsia="en-GB"/>
          <w14:ligatures w14:val="none"/>
        </w:rPr>
        <w:t>SWOT Analysis</w:t>
      </w:r>
      <w:r w:rsidRPr="00E216FD">
        <w:rPr>
          <w:rFonts w:ascii="Times New Roman" w:eastAsia="Times New Roman" w:hAnsi="Times New Roman" w:cs="Times New Roman"/>
          <w:color w:val="000000"/>
          <w:kern w:val="0"/>
          <w:sz w:val="22"/>
          <w:szCs w:val="22"/>
          <w:lang w:eastAsia="en-GB"/>
          <w14:ligatures w14:val="none"/>
        </w:rPr>
        <w:t>. [online] CIPD. Available at: https://www.cipd.org/uk/knowledge/factsheets/swot-analysis-factsheet/.</w:t>
      </w:r>
    </w:p>
    <w:p w14:paraId="361FB3E3"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lastRenderedPageBreak/>
        <w:t>Donaldson, G. (2015). </w:t>
      </w:r>
      <w:r w:rsidRPr="00E216FD">
        <w:rPr>
          <w:rFonts w:ascii="Times New Roman" w:eastAsia="Times New Roman" w:hAnsi="Times New Roman" w:cs="Times New Roman"/>
          <w:i/>
          <w:iCs/>
          <w:color w:val="000000"/>
          <w:kern w:val="0"/>
          <w:sz w:val="22"/>
          <w:szCs w:val="22"/>
          <w:lang w:eastAsia="en-GB"/>
          <w14:ligatures w14:val="none"/>
        </w:rPr>
        <w:t>Successful Futures Independent Review of Curriculum and Assessment Arrangements in Wales</w:t>
      </w:r>
      <w:r w:rsidRPr="00E216FD">
        <w:rPr>
          <w:rFonts w:ascii="Times New Roman" w:eastAsia="Times New Roman" w:hAnsi="Times New Roman" w:cs="Times New Roman"/>
          <w:color w:val="000000"/>
          <w:kern w:val="0"/>
          <w:sz w:val="22"/>
          <w:szCs w:val="22"/>
          <w:lang w:eastAsia="en-GB"/>
          <w14:ligatures w14:val="none"/>
        </w:rPr>
        <w:t>. [online] Available at: https://www.gov.wales/sites/default/files/publications/2018-03/successful-futures.pdf.</w:t>
      </w:r>
    </w:p>
    <w:p w14:paraId="7944DC76" w14:textId="1566975C"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Educating for Equality (2025). </w:t>
      </w:r>
      <w:r w:rsidRPr="00E216FD">
        <w:rPr>
          <w:rFonts w:ascii="Times New Roman" w:eastAsia="Times New Roman" w:hAnsi="Times New Roman" w:cs="Times New Roman"/>
          <w:i/>
          <w:iCs/>
          <w:color w:val="000000"/>
          <w:kern w:val="0"/>
          <w:sz w:val="22"/>
          <w:szCs w:val="22"/>
          <w:lang w:eastAsia="en-GB"/>
          <w14:ligatures w14:val="none"/>
        </w:rPr>
        <w:t>A Critical Challenge in UK Education</w:t>
      </w:r>
      <w:r w:rsidRPr="00E216FD">
        <w:rPr>
          <w:rFonts w:ascii="Times New Roman" w:eastAsia="Times New Roman" w:hAnsi="Times New Roman" w:cs="Times New Roman"/>
          <w:color w:val="000000"/>
          <w:kern w:val="0"/>
          <w:sz w:val="22"/>
          <w:szCs w:val="22"/>
          <w:lang w:eastAsia="en-GB"/>
          <w14:ligatures w14:val="none"/>
        </w:rPr>
        <w:t>. [online] Educatingforequality.co.uk. Available at: https://educatingforequality.co.uk/addressing-diversity-a-critical-challenge-in-uk-education [Accessed 10 Apr. 2025].</w:t>
      </w:r>
    </w:p>
    <w:p w14:paraId="61CA8244"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Education Endowment Foundation (2021). </w:t>
      </w:r>
      <w:r w:rsidRPr="00E216FD">
        <w:rPr>
          <w:rFonts w:ascii="Times New Roman" w:eastAsia="Times New Roman" w:hAnsi="Times New Roman" w:cs="Times New Roman"/>
          <w:i/>
          <w:iCs/>
          <w:color w:val="000000"/>
          <w:kern w:val="0"/>
          <w:sz w:val="22"/>
          <w:szCs w:val="22"/>
          <w:lang w:eastAsia="en-GB"/>
          <w14:ligatures w14:val="none"/>
        </w:rPr>
        <w:t>Parental engagement</w:t>
      </w:r>
      <w:r w:rsidRPr="00E216FD">
        <w:rPr>
          <w:rFonts w:ascii="Times New Roman" w:eastAsia="Times New Roman" w:hAnsi="Times New Roman" w:cs="Times New Roman"/>
          <w:color w:val="000000"/>
          <w:kern w:val="0"/>
          <w:sz w:val="22"/>
          <w:szCs w:val="22"/>
          <w:lang w:eastAsia="en-GB"/>
          <w14:ligatures w14:val="none"/>
        </w:rPr>
        <w:t>. [online] Education Endowment Foundation. Available at: https://educationendowmentfoundation.org.uk/education-evidence/teaching-learning-toolkit/parental-engagement.</w:t>
      </w:r>
    </w:p>
    <w:p w14:paraId="30F45E05"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ESTYN (2020). </w:t>
      </w:r>
      <w:r w:rsidRPr="00E216FD">
        <w:rPr>
          <w:rFonts w:ascii="Times New Roman" w:eastAsia="Times New Roman" w:hAnsi="Times New Roman" w:cs="Times New Roman"/>
          <w:i/>
          <w:iCs/>
          <w:color w:val="000000"/>
          <w:kern w:val="0"/>
          <w:sz w:val="22"/>
          <w:szCs w:val="22"/>
          <w:lang w:eastAsia="en-GB"/>
          <w14:ligatures w14:val="none"/>
        </w:rPr>
        <w:t>Community schools: families and communities at the heart of school life</w:t>
      </w:r>
      <w:r w:rsidRPr="00E216FD">
        <w:rPr>
          <w:rFonts w:ascii="Times New Roman" w:eastAsia="Times New Roman" w:hAnsi="Times New Roman" w:cs="Times New Roman"/>
          <w:color w:val="000000"/>
          <w:kern w:val="0"/>
          <w:sz w:val="22"/>
          <w:szCs w:val="22"/>
          <w:lang w:eastAsia="en-GB"/>
          <w14:ligatures w14:val="none"/>
        </w:rPr>
        <w:t>. [online] Available at: https://www.estyn.gov.wales/system/files/2021-08/Community%2520Schools%2520en.pdf.</w:t>
      </w:r>
    </w:p>
    <w:p w14:paraId="29C7AE33"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Estyn (2020a). </w:t>
      </w:r>
      <w:r w:rsidRPr="00E216FD">
        <w:rPr>
          <w:rFonts w:ascii="Times New Roman" w:eastAsia="Times New Roman" w:hAnsi="Times New Roman" w:cs="Times New Roman"/>
          <w:i/>
          <w:iCs/>
          <w:color w:val="000000"/>
          <w:kern w:val="0"/>
          <w:sz w:val="22"/>
          <w:szCs w:val="22"/>
          <w:lang w:eastAsia="en-GB"/>
          <w14:ligatures w14:val="none"/>
        </w:rPr>
        <w:t>Effective School Support for Disadvantaged and Vulnerable Pupils -case Studies of Good Practice</w:t>
      </w:r>
      <w:r w:rsidRPr="00E216FD">
        <w:rPr>
          <w:rFonts w:ascii="Times New Roman" w:eastAsia="Times New Roman" w:hAnsi="Times New Roman" w:cs="Times New Roman"/>
          <w:color w:val="000000"/>
          <w:kern w:val="0"/>
          <w:sz w:val="22"/>
          <w:szCs w:val="22"/>
          <w:lang w:eastAsia="en-GB"/>
          <w14:ligatures w14:val="none"/>
        </w:rPr>
        <w:t>. [online] Available at: https://www.estyn.gov.wales/system/files/2022-01/Effective%2520school%2520support%2520for%2520disadvantaged%2520and%2520vulnerable%2520pupils%2520en_0.pdf.</w:t>
      </w:r>
    </w:p>
    <w:p w14:paraId="6C729FD5"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Estyn (2020b). </w:t>
      </w:r>
      <w:r w:rsidRPr="00E216FD">
        <w:rPr>
          <w:rFonts w:ascii="Times New Roman" w:eastAsia="Times New Roman" w:hAnsi="Times New Roman" w:cs="Times New Roman"/>
          <w:i/>
          <w:iCs/>
          <w:color w:val="000000"/>
          <w:kern w:val="0"/>
          <w:sz w:val="22"/>
          <w:szCs w:val="22"/>
          <w:lang w:eastAsia="en-GB"/>
          <w14:ligatures w14:val="none"/>
        </w:rPr>
        <w:t>The Annual Report of Her Majesty’s Chief Inspector of Education and Training in Wales Estyn Annual Report</w:t>
      </w:r>
      <w:r w:rsidRPr="00E216FD">
        <w:rPr>
          <w:rFonts w:ascii="Times New Roman" w:eastAsia="Times New Roman" w:hAnsi="Times New Roman" w:cs="Times New Roman"/>
          <w:color w:val="000000"/>
          <w:kern w:val="0"/>
          <w:sz w:val="22"/>
          <w:szCs w:val="22"/>
          <w:lang w:eastAsia="en-GB"/>
          <w14:ligatures w14:val="none"/>
        </w:rPr>
        <w:t>. [online] Available at: https://estyn.gov.wales/app/uploads/2024/08/Estyn-Annual-Report-2020-2021.pdf.</w:t>
      </w:r>
    </w:p>
    <w:p w14:paraId="046AAF42"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proofErr w:type="spellStart"/>
      <w:r w:rsidRPr="00E216FD">
        <w:rPr>
          <w:rFonts w:ascii="Times New Roman" w:eastAsia="Times New Roman" w:hAnsi="Times New Roman" w:cs="Times New Roman"/>
          <w:color w:val="000000"/>
          <w:kern w:val="0"/>
          <w:sz w:val="22"/>
          <w:szCs w:val="22"/>
          <w:lang w:eastAsia="en-GB"/>
          <w14:ligatures w14:val="none"/>
        </w:rPr>
        <w:t>Independant</w:t>
      </w:r>
      <w:proofErr w:type="spellEnd"/>
      <w:r w:rsidRPr="00E216FD">
        <w:rPr>
          <w:rFonts w:ascii="Times New Roman" w:eastAsia="Times New Roman" w:hAnsi="Times New Roman" w:cs="Times New Roman"/>
          <w:color w:val="000000"/>
          <w:kern w:val="0"/>
          <w:sz w:val="22"/>
          <w:szCs w:val="22"/>
          <w:lang w:eastAsia="en-GB"/>
          <w14:ligatures w14:val="none"/>
        </w:rPr>
        <w:t xml:space="preserve"> school council (2025). </w:t>
      </w:r>
      <w:r w:rsidRPr="00E216FD">
        <w:rPr>
          <w:rFonts w:ascii="Times New Roman" w:eastAsia="Times New Roman" w:hAnsi="Times New Roman" w:cs="Times New Roman"/>
          <w:i/>
          <w:iCs/>
          <w:color w:val="000000"/>
          <w:kern w:val="0"/>
          <w:sz w:val="22"/>
          <w:szCs w:val="22"/>
          <w:lang w:eastAsia="en-GB"/>
          <w14:ligatures w14:val="none"/>
        </w:rPr>
        <w:t>State and independent school partnerships - Schools Together</w:t>
      </w:r>
      <w:r w:rsidRPr="00E216FD">
        <w:rPr>
          <w:rFonts w:ascii="Times New Roman" w:eastAsia="Times New Roman" w:hAnsi="Times New Roman" w:cs="Times New Roman"/>
          <w:color w:val="000000"/>
          <w:kern w:val="0"/>
          <w:sz w:val="22"/>
          <w:szCs w:val="22"/>
          <w:lang w:eastAsia="en-GB"/>
          <w14:ligatures w14:val="none"/>
        </w:rPr>
        <w:t>. [online] www.schoolstogether.org. Available at: https://www.schoolstogether.org/.</w:t>
      </w:r>
    </w:p>
    <w:p w14:paraId="0BD23AA4"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Justice, T.C. for S. (2020). </w:t>
      </w:r>
      <w:r w:rsidRPr="00E216FD">
        <w:rPr>
          <w:rFonts w:ascii="Times New Roman" w:eastAsia="Times New Roman" w:hAnsi="Times New Roman" w:cs="Times New Roman"/>
          <w:i/>
          <w:iCs/>
          <w:color w:val="000000"/>
          <w:kern w:val="0"/>
          <w:sz w:val="22"/>
          <w:szCs w:val="22"/>
          <w:lang w:eastAsia="en-GB"/>
          <w14:ligatures w14:val="none"/>
        </w:rPr>
        <w:t>The Centre for Social Justice | Putting social justice at the heart of British politics</w:t>
      </w:r>
      <w:r w:rsidRPr="00E216FD">
        <w:rPr>
          <w:rFonts w:ascii="Times New Roman" w:eastAsia="Times New Roman" w:hAnsi="Times New Roman" w:cs="Times New Roman"/>
          <w:color w:val="000000"/>
          <w:kern w:val="0"/>
          <w:sz w:val="22"/>
          <w:szCs w:val="22"/>
          <w:lang w:eastAsia="en-GB"/>
          <w14:ligatures w14:val="none"/>
        </w:rPr>
        <w:t>. [online] The Centre for Social Justice. Available at: https://www.centreforsocialjustice.org.uk.</w:t>
      </w:r>
    </w:p>
    <w:p w14:paraId="1B2059E1" w14:textId="1BC97379"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Local </w:t>
      </w:r>
      <w:proofErr w:type="spellStart"/>
      <w:r w:rsidRPr="00E216FD">
        <w:rPr>
          <w:rFonts w:ascii="Times New Roman" w:eastAsia="Times New Roman" w:hAnsi="Times New Roman" w:cs="Times New Roman"/>
          <w:color w:val="000000"/>
          <w:kern w:val="0"/>
          <w:sz w:val="22"/>
          <w:szCs w:val="22"/>
          <w:lang w:eastAsia="en-GB"/>
          <w14:ligatures w14:val="none"/>
        </w:rPr>
        <w:t>Goverment</w:t>
      </w:r>
      <w:proofErr w:type="spellEnd"/>
      <w:r w:rsidRPr="00E216FD">
        <w:rPr>
          <w:rFonts w:ascii="Times New Roman" w:eastAsia="Times New Roman" w:hAnsi="Times New Roman" w:cs="Times New Roman"/>
          <w:color w:val="000000"/>
          <w:kern w:val="0"/>
          <w:sz w:val="22"/>
          <w:szCs w:val="22"/>
          <w:lang w:eastAsia="en-GB"/>
          <w14:ligatures w14:val="none"/>
        </w:rPr>
        <w:t xml:space="preserve"> Association (2020). </w:t>
      </w:r>
      <w:r w:rsidRPr="00E216FD">
        <w:rPr>
          <w:rFonts w:ascii="Times New Roman" w:eastAsia="Times New Roman" w:hAnsi="Times New Roman" w:cs="Times New Roman"/>
          <w:i/>
          <w:iCs/>
          <w:color w:val="000000"/>
          <w:kern w:val="0"/>
          <w:sz w:val="22"/>
          <w:szCs w:val="22"/>
          <w:lang w:eastAsia="en-GB"/>
          <w14:ligatures w14:val="none"/>
        </w:rPr>
        <w:t>Fragmented Funding - report</w:t>
      </w:r>
      <w:r w:rsidRPr="00E216FD">
        <w:rPr>
          <w:rFonts w:ascii="Times New Roman" w:eastAsia="Times New Roman" w:hAnsi="Times New Roman" w:cs="Times New Roman"/>
          <w:color w:val="000000"/>
          <w:kern w:val="0"/>
          <w:sz w:val="22"/>
          <w:szCs w:val="22"/>
          <w:lang w:eastAsia="en-GB"/>
          <w14:ligatures w14:val="none"/>
        </w:rPr>
        <w:t>. [online] Local.gov.uk. Available at: https://www.local.gov.uk/publications/fragmented-funding-report</w:t>
      </w:r>
    </w:p>
    <w:p w14:paraId="4324DE56"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Montacute, R., Holt-White, E. and Carter, G. (2024). </w:t>
      </w:r>
      <w:r w:rsidRPr="00E216FD">
        <w:rPr>
          <w:rFonts w:ascii="Times New Roman" w:eastAsia="Times New Roman" w:hAnsi="Times New Roman" w:cs="Times New Roman"/>
          <w:i/>
          <w:iCs/>
          <w:color w:val="000000"/>
          <w:kern w:val="0"/>
          <w:sz w:val="22"/>
          <w:szCs w:val="22"/>
          <w:lang w:eastAsia="en-GB"/>
          <w14:ligatures w14:val="none"/>
        </w:rPr>
        <w:t>Life Lessons 2024 - Sutton Trust</w:t>
      </w:r>
      <w:r w:rsidRPr="00E216FD">
        <w:rPr>
          <w:rFonts w:ascii="Times New Roman" w:eastAsia="Times New Roman" w:hAnsi="Times New Roman" w:cs="Times New Roman"/>
          <w:color w:val="000000"/>
          <w:kern w:val="0"/>
          <w:sz w:val="22"/>
          <w:szCs w:val="22"/>
          <w:lang w:eastAsia="en-GB"/>
          <w14:ligatures w14:val="none"/>
        </w:rPr>
        <w:t>. [online] Sutton Trust. Available at: https://www.suttontrust.com/our-research/life-lessons-2024/.</w:t>
      </w:r>
    </w:p>
    <w:p w14:paraId="78725BA9"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National educational union (2025). </w:t>
      </w:r>
      <w:r w:rsidRPr="00E216FD">
        <w:rPr>
          <w:rFonts w:ascii="Times New Roman" w:eastAsia="Times New Roman" w:hAnsi="Times New Roman" w:cs="Times New Roman"/>
          <w:i/>
          <w:iCs/>
          <w:color w:val="000000"/>
          <w:kern w:val="0"/>
          <w:sz w:val="22"/>
          <w:szCs w:val="22"/>
          <w:lang w:eastAsia="en-GB"/>
          <w14:ligatures w14:val="none"/>
        </w:rPr>
        <w:t>Home</w:t>
      </w:r>
      <w:r w:rsidRPr="00E216FD">
        <w:rPr>
          <w:rFonts w:ascii="Times New Roman" w:eastAsia="Times New Roman" w:hAnsi="Times New Roman" w:cs="Times New Roman"/>
          <w:color w:val="000000"/>
          <w:kern w:val="0"/>
          <w:sz w:val="22"/>
          <w:szCs w:val="22"/>
          <w:lang w:eastAsia="en-GB"/>
          <w14:ligatures w14:val="none"/>
        </w:rPr>
        <w:t>. [online] NEU. Available at: https://neu.org.uk.</w:t>
      </w:r>
    </w:p>
    <w:p w14:paraId="56335B1A" w14:textId="1C2A6614"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lastRenderedPageBreak/>
        <w:t>NCVO (2017). </w:t>
      </w:r>
      <w:r w:rsidRPr="00E216FD">
        <w:rPr>
          <w:rFonts w:ascii="Times New Roman" w:eastAsia="Times New Roman" w:hAnsi="Times New Roman" w:cs="Times New Roman"/>
          <w:i/>
          <w:iCs/>
          <w:color w:val="000000"/>
          <w:kern w:val="0"/>
          <w:sz w:val="22"/>
          <w:szCs w:val="22"/>
          <w:lang w:eastAsia="en-GB"/>
          <w14:ligatures w14:val="none"/>
        </w:rPr>
        <w:t>Partnerships</w:t>
      </w:r>
      <w:r w:rsidRPr="00E216FD">
        <w:rPr>
          <w:rFonts w:ascii="Times New Roman" w:eastAsia="Times New Roman" w:hAnsi="Times New Roman" w:cs="Times New Roman"/>
          <w:color w:val="000000"/>
          <w:kern w:val="0"/>
          <w:sz w:val="22"/>
          <w:szCs w:val="22"/>
          <w:lang w:eastAsia="en-GB"/>
          <w14:ligatures w14:val="none"/>
        </w:rPr>
        <w:t xml:space="preserve">. [online] NCVO. Available at: </w:t>
      </w:r>
      <w:hyperlink r:id="rId7" w:history="1">
        <w:r w:rsidRPr="00E216FD">
          <w:rPr>
            <w:rStyle w:val="Hyperlink"/>
            <w:rFonts w:ascii="Times New Roman" w:eastAsia="Times New Roman" w:hAnsi="Times New Roman" w:cs="Times New Roman"/>
            <w:kern w:val="0"/>
            <w:sz w:val="22"/>
            <w:szCs w:val="22"/>
            <w:lang w:eastAsia="en-GB"/>
            <w14:ligatures w14:val="none"/>
          </w:rPr>
          <w:t>https://www.ncvo.org.uk/help-and-guidance/running-a-charity/collaboration/ways-of-working-collaboratively/partnerships</w:t>
        </w:r>
      </w:hyperlink>
      <w:r>
        <w:rPr>
          <w:rFonts w:ascii="Times New Roman" w:eastAsia="Times New Roman" w:hAnsi="Times New Roman" w:cs="Times New Roman"/>
          <w:color w:val="000000"/>
          <w:kern w:val="0"/>
          <w:sz w:val="22"/>
          <w:szCs w:val="22"/>
          <w:lang w:eastAsia="en-GB"/>
          <w14:ligatures w14:val="none"/>
        </w:rPr>
        <w:t xml:space="preserve"> </w:t>
      </w:r>
      <w:r w:rsidRPr="00E216FD">
        <w:rPr>
          <w:rFonts w:ascii="Times New Roman" w:eastAsia="Times New Roman" w:hAnsi="Times New Roman" w:cs="Times New Roman"/>
          <w:color w:val="000000"/>
          <w:kern w:val="0"/>
          <w:sz w:val="22"/>
          <w:szCs w:val="22"/>
          <w:lang w:eastAsia="en-GB"/>
          <w14:ligatures w14:val="none"/>
        </w:rPr>
        <w:t xml:space="preserve"> [Accessed 11 Apr. 2025].</w:t>
      </w:r>
    </w:p>
    <w:p w14:paraId="0B3AE644"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News, I. (2019). </w:t>
      </w:r>
      <w:r w:rsidRPr="00E216FD">
        <w:rPr>
          <w:rFonts w:ascii="Times New Roman" w:eastAsia="Times New Roman" w:hAnsi="Times New Roman" w:cs="Times New Roman"/>
          <w:i/>
          <w:iCs/>
          <w:color w:val="000000"/>
          <w:kern w:val="0"/>
          <w:sz w:val="22"/>
          <w:szCs w:val="22"/>
          <w:lang w:eastAsia="en-GB"/>
          <w14:ligatures w14:val="none"/>
        </w:rPr>
        <w:t>Welsh Youth Parliament say lack of life skills in schools is a ‘crime’</w:t>
      </w:r>
      <w:r w:rsidRPr="00E216FD">
        <w:rPr>
          <w:rFonts w:ascii="Times New Roman" w:eastAsia="Times New Roman" w:hAnsi="Times New Roman" w:cs="Times New Roman"/>
          <w:color w:val="000000"/>
          <w:kern w:val="0"/>
          <w:sz w:val="22"/>
          <w:szCs w:val="22"/>
          <w:lang w:eastAsia="en-GB"/>
          <w14:ligatures w14:val="none"/>
        </w:rPr>
        <w:t>. [online] ITV News. Available at: https://www.itv.com/news/wales/2019-10-22/welsh-youth-parliament-say-lack-of-life-skills-in-schools-is-a-crime [Accessed 9 Apr. 2025].</w:t>
      </w:r>
    </w:p>
    <w:p w14:paraId="6DA06ECE"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Revolving Doors (2022). </w:t>
      </w:r>
      <w:r w:rsidRPr="00E216FD">
        <w:rPr>
          <w:rFonts w:ascii="Times New Roman" w:eastAsia="Times New Roman" w:hAnsi="Times New Roman" w:cs="Times New Roman"/>
          <w:i/>
          <w:iCs/>
          <w:color w:val="000000"/>
          <w:kern w:val="0"/>
          <w:sz w:val="22"/>
          <w:szCs w:val="22"/>
          <w:lang w:eastAsia="en-GB"/>
          <w14:ligatures w14:val="none"/>
        </w:rPr>
        <w:t>Majority of UK Public Believe Rising Poverty Will Lead to Increase in Crime – and This Shouldn’t Lead to Prison - Revolving Doors</w:t>
      </w:r>
      <w:r w:rsidRPr="00E216FD">
        <w:rPr>
          <w:rFonts w:ascii="Times New Roman" w:eastAsia="Times New Roman" w:hAnsi="Times New Roman" w:cs="Times New Roman"/>
          <w:color w:val="000000"/>
          <w:kern w:val="0"/>
          <w:sz w:val="22"/>
          <w:szCs w:val="22"/>
          <w:lang w:eastAsia="en-GB"/>
          <w14:ligatures w14:val="none"/>
        </w:rPr>
        <w:t>. [online] Revolving Doors. Available at: https://revolving-doors.org.uk/majority-of-uk-public-believe-rising-poverty-will-lead-to-increase-in-crime-and-this-shouldnt-lead-to-prison/.</w:t>
      </w:r>
    </w:p>
    <w:p w14:paraId="3EC7C634" w14:textId="17C0A059"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Rowe, K. (2021). </w:t>
      </w:r>
      <w:r w:rsidRPr="00E216FD">
        <w:rPr>
          <w:rFonts w:ascii="Times New Roman" w:eastAsia="Times New Roman" w:hAnsi="Times New Roman" w:cs="Times New Roman"/>
          <w:i/>
          <w:iCs/>
          <w:color w:val="000000"/>
          <w:kern w:val="0"/>
          <w:sz w:val="22"/>
          <w:szCs w:val="22"/>
          <w:lang w:eastAsia="en-GB"/>
          <w14:ligatures w14:val="none"/>
        </w:rPr>
        <w:t xml:space="preserve">WALES PARENTS SAY SCHOOLS DON’T DO ENOUGH TO PREPARE YOUNG PEOPLE FOR LIFE EVENTS | West Wales </w:t>
      </w:r>
      <w:proofErr w:type="gramStart"/>
      <w:r w:rsidRPr="00E216FD">
        <w:rPr>
          <w:rFonts w:ascii="Times New Roman" w:eastAsia="Times New Roman" w:hAnsi="Times New Roman" w:cs="Times New Roman"/>
          <w:i/>
          <w:iCs/>
          <w:color w:val="000000"/>
          <w:kern w:val="0"/>
          <w:sz w:val="22"/>
          <w:szCs w:val="22"/>
          <w:lang w:eastAsia="en-GB"/>
          <w14:ligatures w14:val="none"/>
        </w:rPr>
        <w:t>Chronicle :</w:t>
      </w:r>
      <w:proofErr w:type="gramEnd"/>
      <w:r w:rsidRPr="00E216FD">
        <w:rPr>
          <w:rFonts w:ascii="Times New Roman" w:eastAsia="Times New Roman" w:hAnsi="Times New Roman" w:cs="Times New Roman"/>
          <w:i/>
          <w:iCs/>
          <w:color w:val="000000"/>
          <w:kern w:val="0"/>
          <w:sz w:val="22"/>
          <w:szCs w:val="22"/>
          <w:lang w:eastAsia="en-GB"/>
          <w14:ligatures w14:val="none"/>
        </w:rPr>
        <w:t xml:space="preserve"> News for Llanelli, Carmarthenshire, Pembrokeshire, Ceredigion, Swansea and Beyond</w:t>
      </w:r>
      <w:r w:rsidRPr="00E216FD">
        <w:rPr>
          <w:rFonts w:ascii="Times New Roman" w:eastAsia="Times New Roman" w:hAnsi="Times New Roman" w:cs="Times New Roman"/>
          <w:color w:val="000000"/>
          <w:kern w:val="0"/>
          <w:sz w:val="22"/>
          <w:szCs w:val="22"/>
          <w:lang w:eastAsia="en-GB"/>
          <w14:ligatures w14:val="none"/>
        </w:rPr>
        <w:t xml:space="preserve">. [online] Westwaleschronicle.co.uk. Available at: </w:t>
      </w:r>
      <w:hyperlink r:id="rId8" w:history="1">
        <w:r w:rsidRPr="00E216FD">
          <w:rPr>
            <w:rStyle w:val="Hyperlink"/>
            <w:rFonts w:ascii="Times New Roman" w:eastAsia="Times New Roman" w:hAnsi="Times New Roman" w:cs="Times New Roman"/>
            <w:kern w:val="0"/>
            <w:sz w:val="22"/>
            <w:szCs w:val="22"/>
            <w:lang w:eastAsia="en-GB"/>
            <w14:ligatures w14:val="none"/>
          </w:rPr>
          <w:t>https://www.westwaleschronicle.co.uk/blog/2021/11/22/wales-parents-say-schools-dont-do-enough-to-prepare-young-people-for-life-events</w:t>
        </w:r>
      </w:hyperlink>
      <w:r>
        <w:rPr>
          <w:rFonts w:ascii="Times New Roman" w:eastAsia="Times New Roman" w:hAnsi="Times New Roman" w:cs="Times New Roman"/>
          <w:color w:val="000000"/>
          <w:kern w:val="0"/>
          <w:sz w:val="22"/>
          <w:szCs w:val="22"/>
          <w:lang w:eastAsia="en-GB"/>
          <w14:ligatures w14:val="none"/>
        </w:rPr>
        <w:t xml:space="preserve"> </w:t>
      </w:r>
      <w:r w:rsidRPr="00E216FD">
        <w:rPr>
          <w:rFonts w:ascii="Times New Roman" w:eastAsia="Times New Roman" w:hAnsi="Times New Roman" w:cs="Times New Roman"/>
          <w:color w:val="000000"/>
          <w:kern w:val="0"/>
          <w:sz w:val="22"/>
          <w:szCs w:val="22"/>
          <w:lang w:eastAsia="en-GB"/>
          <w14:ligatures w14:val="none"/>
        </w:rPr>
        <w:t xml:space="preserve"> [Accessed 9 Apr. 2025].</w:t>
      </w:r>
    </w:p>
    <w:p w14:paraId="110B8BFD"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Ruiz de </w:t>
      </w:r>
      <w:proofErr w:type="spellStart"/>
      <w:r w:rsidRPr="00E216FD">
        <w:rPr>
          <w:rFonts w:ascii="Times New Roman" w:eastAsia="Times New Roman" w:hAnsi="Times New Roman" w:cs="Times New Roman"/>
          <w:color w:val="000000"/>
          <w:kern w:val="0"/>
          <w:sz w:val="22"/>
          <w:szCs w:val="22"/>
          <w:lang w:eastAsia="en-GB"/>
          <w14:ligatures w14:val="none"/>
        </w:rPr>
        <w:t>Zarobe</w:t>
      </w:r>
      <w:proofErr w:type="spellEnd"/>
      <w:r w:rsidRPr="00E216FD">
        <w:rPr>
          <w:rFonts w:ascii="Times New Roman" w:eastAsia="Times New Roman" w:hAnsi="Times New Roman" w:cs="Times New Roman"/>
          <w:color w:val="000000"/>
          <w:kern w:val="0"/>
          <w:sz w:val="22"/>
          <w:szCs w:val="22"/>
          <w:lang w:eastAsia="en-GB"/>
          <w14:ligatures w14:val="none"/>
        </w:rPr>
        <w:t>, Y. and Querol-Julián, M. (2025). Multilingualism and multimodality in the CLIL/EMI classroom. </w:t>
      </w:r>
      <w:r w:rsidRPr="00E216FD">
        <w:rPr>
          <w:rFonts w:ascii="Times New Roman" w:eastAsia="Times New Roman" w:hAnsi="Times New Roman" w:cs="Times New Roman"/>
          <w:i/>
          <w:iCs/>
          <w:color w:val="000000"/>
          <w:kern w:val="0"/>
          <w:sz w:val="22"/>
          <w:szCs w:val="22"/>
          <w:lang w:eastAsia="en-GB"/>
          <w14:ligatures w14:val="none"/>
        </w:rPr>
        <w:t>Journal of Multilingual and Multicultural Development</w:t>
      </w:r>
      <w:r w:rsidRPr="00E216FD">
        <w:rPr>
          <w:rFonts w:ascii="Times New Roman" w:eastAsia="Times New Roman" w:hAnsi="Times New Roman" w:cs="Times New Roman"/>
          <w:color w:val="000000"/>
          <w:kern w:val="0"/>
          <w:sz w:val="22"/>
          <w:szCs w:val="22"/>
          <w:lang w:eastAsia="en-GB"/>
          <w14:ligatures w14:val="none"/>
        </w:rPr>
        <w:t xml:space="preserve">, pp.1–19. </w:t>
      </w:r>
      <w:proofErr w:type="spellStart"/>
      <w:proofErr w:type="gramStart"/>
      <w:r w:rsidRPr="00E216FD">
        <w:rPr>
          <w:rFonts w:ascii="Times New Roman" w:eastAsia="Times New Roman" w:hAnsi="Times New Roman" w:cs="Times New Roman"/>
          <w:color w:val="000000"/>
          <w:kern w:val="0"/>
          <w:sz w:val="22"/>
          <w:szCs w:val="22"/>
          <w:lang w:eastAsia="en-GB"/>
          <w14:ligatures w14:val="none"/>
        </w:rPr>
        <w:t>doi:https</w:t>
      </w:r>
      <w:proofErr w:type="spellEnd"/>
      <w:r w:rsidRPr="00E216FD">
        <w:rPr>
          <w:rFonts w:ascii="Times New Roman" w:eastAsia="Times New Roman" w:hAnsi="Times New Roman" w:cs="Times New Roman"/>
          <w:color w:val="000000"/>
          <w:kern w:val="0"/>
          <w:sz w:val="22"/>
          <w:szCs w:val="22"/>
          <w:lang w:eastAsia="en-GB"/>
          <w14:ligatures w14:val="none"/>
        </w:rPr>
        <w:t>://doi.org/10.1080/01434632.2025.2482734</w:t>
      </w:r>
      <w:proofErr w:type="gramEnd"/>
      <w:r w:rsidRPr="00E216FD">
        <w:rPr>
          <w:rFonts w:ascii="Times New Roman" w:eastAsia="Times New Roman" w:hAnsi="Times New Roman" w:cs="Times New Roman"/>
          <w:color w:val="000000"/>
          <w:kern w:val="0"/>
          <w:sz w:val="22"/>
          <w:szCs w:val="22"/>
          <w:lang w:eastAsia="en-GB"/>
          <w14:ligatures w14:val="none"/>
        </w:rPr>
        <w:t>.</w:t>
      </w:r>
    </w:p>
    <w:p w14:paraId="03062D40"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proofErr w:type="spellStart"/>
      <w:r w:rsidRPr="00E216FD">
        <w:rPr>
          <w:rFonts w:ascii="Times New Roman" w:eastAsia="Times New Roman" w:hAnsi="Times New Roman" w:cs="Times New Roman"/>
          <w:color w:val="000000"/>
          <w:kern w:val="0"/>
          <w:sz w:val="22"/>
          <w:szCs w:val="22"/>
          <w:lang w:eastAsia="en-GB"/>
          <w14:ligatures w14:val="none"/>
        </w:rPr>
        <w:t>Skelsey</w:t>
      </w:r>
      <w:proofErr w:type="spellEnd"/>
      <w:r w:rsidRPr="00E216FD">
        <w:rPr>
          <w:rFonts w:ascii="Times New Roman" w:eastAsia="Times New Roman" w:hAnsi="Times New Roman" w:cs="Times New Roman"/>
          <w:color w:val="000000"/>
          <w:kern w:val="0"/>
          <w:sz w:val="22"/>
          <w:szCs w:val="22"/>
          <w:lang w:eastAsia="en-GB"/>
          <w14:ligatures w14:val="none"/>
        </w:rPr>
        <w:t>, H. (2014). </w:t>
      </w:r>
      <w:r w:rsidRPr="00E216FD">
        <w:rPr>
          <w:rFonts w:ascii="Times New Roman" w:eastAsia="Times New Roman" w:hAnsi="Times New Roman" w:cs="Times New Roman"/>
          <w:i/>
          <w:iCs/>
          <w:color w:val="000000"/>
          <w:kern w:val="0"/>
          <w:sz w:val="22"/>
          <w:szCs w:val="22"/>
          <w:lang w:eastAsia="en-GB"/>
          <w14:ligatures w14:val="none"/>
        </w:rPr>
        <w:t>Maslow’s Hierarchy of Needs – the sixth level - The British Psychological Society</w:t>
      </w:r>
      <w:r w:rsidRPr="00E216FD">
        <w:rPr>
          <w:rFonts w:ascii="Times New Roman" w:eastAsia="Times New Roman" w:hAnsi="Times New Roman" w:cs="Times New Roman"/>
          <w:color w:val="000000"/>
          <w:kern w:val="0"/>
          <w:sz w:val="22"/>
          <w:szCs w:val="22"/>
          <w:lang w:eastAsia="en-GB"/>
          <w14:ligatures w14:val="none"/>
        </w:rPr>
        <w:t>. [online] www.bps.org.uk. Available at: https://www.bps.org.uk/psychologist/maslows-hierarchy-needs-sixth-level.</w:t>
      </w:r>
    </w:p>
    <w:p w14:paraId="1F02968A"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Stern, J.A., Barbarin, O. and Cassidy, J. (2021). Working toward anti-racist perspectives in attachment theory, research, and practice. </w:t>
      </w:r>
      <w:r w:rsidRPr="00E216FD">
        <w:rPr>
          <w:rFonts w:ascii="Times New Roman" w:eastAsia="Times New Roman" w:hAnsi="Times New Roman" w:cs="Times New Roman"/>
          <w:i/>
          <w:iCs/>
          <w:color w:val="000000"/>
          <w:kern w:val="0"/>
          <w:sz w:val="22"/>
          <w:szCs w:val="22"/>
          <w:lang w:eastAsia="en-GB"/>
          <w14:ligatures w14:val="none"/>
        </w:rPr>
        <w:t>Attachment &amp; Human Development</w:t>
      </w:r>
      <w:r w:rsidRPr="00E216FD">
        <w:rPr>
          <w:rFonts w:ascii="Times New Roman" w:eastAsia="Times New Roman" w:hAnsi="Times New Roman" w:cs="Times New Roman"/>
          <w:color w:val="000000"/>
          <w:kern w:val="0"/>
          <w:sz w:val="22"/>
          <w:szCs w:val="22"/>
          <w:lang w:eastAsia="en-GB"/>
          <w14:ligatures w14:val="none"/>
        </w:rPr>
        <w:t xml:space="preserve">, [online] 24(3), pp.1–31. </w:t>
      </w:r>
      <w:proofErr w:type="spellStart"/>
      <w:proofErr w:type="gramStart"/>
      <w:r w:rsidRPr="00E216FD">
        <w:rPr>
          <w:rFonts w:ascii="Times New Roman" w:eastAsia="Times New Roman" w:hAnsi="Times New Roman" w:cs="Times New Roman"/>
          <w:color w:val="000000"/>
          <w:kern w:val="0"/>
          <w:sz w:val="22"/>
          <w:szCs w:val="22"/>
          <w:lang w:eastAsia="en-GB"/>
          <w14:ligatures w14:val="none"/>
        </w:rPr>
        <w:t>doi:https</w:t>
      </w:r>
      <w:proofErr w:type="spellEnd"/>
      <w:r w:rsidRPr="00E216FD">
        <w:rPr>
          <w:rFonts w:ascii="Times New Roman" w:eastAsia="Times New Roman" w:hAnsi="Times New Roman" w:cs="Times New Roman"/>
          <w:color w:val="000000"/>
          <w:kern w:val="0"/>
          <w:sz w:val="22"/>
          <w:szCs w:val="22"/>
          <w:lang w:eastAsia="en-GB"/>
          <w14:ligatures w14:val="none"/>
        </w:rPr>
        <w:t>://doi.org/10.1080/14616734.2021.1976933</w:t>
      </w:r>
      <w:proofErr w:type="gramEnd"/>
      <w:r w:rsidRPr="00E216FD">
        <w:rPr>
          <w:rFonts w:ascii="Times New Roman" w:eastAsia="Times New Roman" w:hAnsi="Times New Roman" w:cs="Times New Roman"/>
          <w:color w:val="000000"/>
          <w:kern w:val="0"/>
          <w:sz w:val="22"/>
          <w:szCs w:val="22"/>
          <w:lang w:eastAsia="en-GB"/>
          <w14:ligatures w14:val="none"/>
        </w:rPr>
        <w:t>.</w:t>
      </w:r>
    </w:p>
    <w:p w14:paraId="4155FF02"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Taylor-West, Z. (2025). </w:t>
      </w:r>
      <w:r w:rsidRPr="00E216FD">
        <w:rPr>
          <w:rFonts w:ascii="Times New Roman" w:eastAsia="Times New Roman" w:hAnsi="Times New Roman" w:cs="Times New Roman"/>
          <w:i/>
          <w:iCs/>
          <w:color w:val="000000"/>
          <w:kern w:val="0"/>
          <w:sz w:val="22"/>
          <w:szCs w:val="22"/>
          <w:lang w:eastAsia="en-GB"/>
          <w14:ligatures w14:val="none"/>
        </w:rPr>
        <w:t>The importance of community fundraising</w:t>
      </w:r>
      <w:r w:rsidRPr="00E216FD">
        <w:rPr>
          <w:rFonts w:ascii="Times New Roman" w:eastAsia="Times New Roman" w:hAnsi="Times New Roman" w:cs="Times New Roman"/>
          <w:color w:val="000000"/>
          <w:kern w:val="0"/>
          <w:sz w:val="22"/>
          <w:szCs w:val="22"/>
          <w:lang w:eastAsia="en-GB"/>
          <w14:ligatures w14:val="none"/>
        </w:rPr>
        <w:t>. [online] Hurstpierpoint College. Available at: https://www.hppc.co.uk/blog/the-importance-of-community-fundraising/.</w:t>
      </w:r>
    </w:p>
    <w:p w14:paraId="1B24B629"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The University </w:t>
      </w:r>
      <w:proofErr w:type="gramStart"/>
      <w:r w:rsidRPr="00E216FD">
        <w:rPr>
          <w:rFonts w:ascii="Times New Roman" w:eastAsia="Times New Roman" w:hAnsi="Times New Roman" w:cs="Times New Roman"/>
          <w:color w:val="000000"/>
          <w:kern w:val="0"/>
          <w:sz w:val="22"/>
          <w:szCs w:val="22"/>
          <w:lang w:eastAsia="en-GB"/>
          <w14:ligatures w14:val="none"/>
        </w:rPr>
        <w:t>Of</w:t>
      </w:r>
      <w:proofErr w:type="gramEnd"/>
      <w:r w:rsidRPr="00E216FD">
        <w:rPr>
          <w:rFonts w:ascii="Times New Roman" w:eastAsia="Times New Roman" w:hAnsi="Times New Roman" w:cs="Times New Roman"/>
          <w:color w:val="000000"/>
          <w:kern w:val="0"/>
          <w:sz w:val="22"/>
          <w:szCs w:val="22"/>
          <w:lang w:eastAsia="en-GB"/>
          <w14:ligatures w14:val="none"/>
        </w:rPr>
        <w:t xml:space="preserve"> Manchester (2025). </w:t>
      </w:r>
      <w:r w:rsidRPr="00E216FD">
        <w:rPr>
          <w:rFonts w:ascii="Times New Roman" w:eastAsia="Times New Roman" w:hAnsi="Times New Roman" w:cs="Times New Roman"/>
          <w:i/>
          <w:iCs/>
          <w:color w:val="000000"/>
          <w:kern w:val="0"/>
          <w:sz w:val="22"/>
          <w:szCs w:val="22"/>
          <w:lang w:eastAsia="en-GB"/>
          <w14:ligatures w14:val="none"/>
        </w:rPr>
        <w:t>Schools and Deprived Communities: A Case Study of a Community-Oriented School</w:t>
      </w:r>
      <w:r w:rsidRPr="00E216FD">
        <w:rPr>
          <w:rFonts w:ascii="Times New Roman" w:eastAsia="Times New Roman" w:hAnsi="Times New Roman" w:cs="Times New Roman"/>
          <w:color w:val="000000"/>
          <w:kern w:val="0"/>
          <w:sz w:val="22"/>
          <w:szCs w:val="22"/>
          <w:lang w:eastAsia="en-GB"/>
          <w14:ligatures w14:val="none"/>
        </w:rPr>
        <w:t xml:space="preserve">. [online] Research Explorer </w:t>
      </w:r>
      <w:proofErr w:type="gramStart"/>
      <w:r w:rsidRPr="00E216FD">
        <w:rPr>
          <w:rFonts w:ascii="Times New Roman" w:eastAsia="Times New Roman" w:hAnsi="Times New Roman" w:cs="Times New Roman"/>
          <w:color w:val="000000"/>
          <w:kern w:val="0"/>
          <w:sz w:val="22"/>
          <w:szCs w:val="22"/>
          <w:lang w:eastAsia="en-GB"/>
          <w14:ligatures w14:val="none"/>
        </w:rPr>
        <w:t>The</w:t>
      </w:r>
      <w:proofErr w:type="gramEnd"/>
      <w:r w:rsidRPr="00E216FD">
        <w:rPr>
          <w:rFonts w:ascii="Times New Roman" w:eastAsia="Times New Roman" w:hAnsi="Times New Roman" w:cs="Times New Roman"/>
          <w:color w:val="000000"/>
          <w:kern w:val="0"/>
          <w:sz w:val="22"/>
          <w:szCs w:val="22"/>
          <w:lang w:eastAsia="en-GB"/>
          <w14:ligatures w14:val="none"/>
        </w:rPr>
        <w:t xml:space="preserve"> University of Manchester. Available at: https://research.manchester.ac.uk/en/studentTheses/schools-and-deprived-communities-a-case-study-of-a-community-orie [Accessed 10 Apr. 2025].</w:t>
      </w:r>
    </w:p>
    <w:p w14:paraId="6A6D12D7"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lastRenderedPageBreak/>
        <w:t>UK Parliament (2021). </w:t>
      </w:r>
      <w:r w:rsidRPr="00E216FD">
        <w:rPr>
          <w:rFonts w:ascii="Times New Roman" w:eastAsia="Times New Roman" w:hAnsi="Times New Roman" w:cs="Times New Roman"/>
          <w:i/>
          <w:iCs/>
          <w:color w:val="000000"/>
          <w:kern w:val="0"/>
          <w:sz w:val="22"/>
          <w:szCs w:val="22"/>
          <w:lang w:eastAsia="en-GB"/>
          <w14:ligatures w14:val="none"/>
        </w:rPr>
        <w:t>School Funding - Committee of Public Accounts - House of Commons</w:t>
      </w:r>
      <w:r w:rsidRPr="00E216FD">
        <w:rPr>
          <w:rFonts w:ascii="Times New Roman" w:eastAsia="Times New Roman" w:hAnsi="Times New Roman" w:cs="Times New Roman"/>
          <w:color w:val="000000"/>
          <w:kern w:val="0"/>
          <w:sz w:val="22"/>
          <w:szCs w:val="22"/>
          <w:lang w:eastAsia="en-GB"/>
          <w14:ligatures w14:val="none"/>
        </w:rPr>
        <w:t>. [online] Parliament.uk. Available at: https://publications.parliament.uk/pa/cm5802/cmselect/cmpubacc/183/18303.htm.</w:t>
      </w:r>
    </w:p>
    <w:p w14:paraId="7578BB09"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University of Bolton (2023). </w:t>
      </w:r>
      <w:r w:rsidRPr="00E216FD">
        <w:rPr>
          <w:rFonts w:ascii="Times New Roman" w:eastAsia="Times New Roman" w:hAnsi="Times New Roman" w:cs="Times New Roman"/>
          <w:i/>
          <w:iCs/>
          <w:color w:val="000000"/>
          <w:kern w:val="0"/>
          <w:sz w:val="22"/>
          <w:szCs w:val="22"/>
          <w:lang w:eastAsia="en-GB"/>
          <w14:ligatures w14:val="none"/>
        </w:rPr>
        <w:t>THE IMPACT OF INCLUSIVE EDUCATION ON SOCIETY</w:t>
      </w:r>
      <w:r w:rsidRPr="00E216FD">
        <w:rPr>
          <w:rFonts w:ascii="Times New Roman" w:eastAsia="Times New Roman" w:hAnsi="Times New Roman" w:cs="Times New Roman"/>
          <w:color w:val="000000"/>
          <w:kern w:val="0"/>
          <w:sz w:val="22"/>
          <w:szCs w:val="22"/>
          <w:lang w:eastAsia="en-GB"/>
          <w14:ligatures w14:val="none"/>
        </w:rPr>
        <w:t>. [online] University of Bolton. Available at: https://www.bolton.ac.uk/blogs/the-impact-of-inclusive-education-on-society.</w:t>
      </w:r>
    </w:p>
    <w:p w14:paraId="33AC4EEB"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Wales, F. (2022). </w:t>
      </w:r>
      <w:r w:rsidRPr="00E216FD">
        <w:rPr>
          <w:rFonts w:ascii="Times New Roman" w:eastAsia="Times New Roman" w:hAnsi="Times New Roman" w:cs="Times New Roman"/>
          <w:i/>
          <w:iCs/>
          <w:color w:val="000000"/>
          <w:kern w:val="0"/>
          <w:sz w:val="22"/>
          <w:szCs w:val="22"/>
          <w:lang w:eastAsia="en-GB"/>
          <w14:ligatures w14:val="none"/>
        </w:rPr>
        <w:t>Curriculum for Wales - Cynefin</w:t>
      </w:r>
      <w:r w:rsidRPr="00E216FD">
        <w:rPr>
          <w:rFonts w:ascii="Times New Roman" w:eastAsia="Times New Roman" w:hAnsi="Times New Roman" w:cs="Times New Roman"/>
          <w:color w:val="000000"/>
          <w:kern w:val="0"/>
          <w:sz w:val="22"/>
          <w:szCs w:val="22"/>
          <w:lang w:eastAsia="en-GB"/>
          <w14:ligatures w14:val="none"/>
        </w:rPr>
        <w:t>. [online] Available at: https://ndna.org.uk/wp-content/uploads/2022/07/Wales-Cynefin-Curriculum-for-Wales-Factsheet.pdf.</w:t>
      </w:r>
    </w:p>
    <w:p w14:paraId="745C5094"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Welsh </w:t>
      </w:r>
      <w:proofErr w:type="spellStart"/>
      <w:r w:rsidRPr="00E216FD">
        <w:rPr>
          <w:rFonts w:ascii="Times New Roman" w:eastAsia="Times New Roman" w:hAnsi="Times New Roman" w:cs="Times New Roman"/>
          <w:color w:val="000000"/>
          <w:kern w:val="0"/>
          <w:sz w:val="22"/>
          <w:szCs w:val="22"/>
          <w:lang w:eastAsia="en-GB"/>
          <w14:ligatures w14:val="none"/>
        </w:rPr>
        <w:t>Goverment</w:t>
      </w:r>
      <w:proofErr w:type="spellEnd"/>
      <w:r w:rsidRPr="00E216FD">
        <w:rPr>
          <w:rFonts w:ascii="Times New Roman" w:eastAsia="Times New Roman" w:hAnsi="Times New Roman" w:cs="Times New Roman"/>
          <w:color w:val="000000"/>
          <w:kern w:val="0"/>
          <w:sz w:val="22"/>
          <w:szCs w:val="22"/>
          <w:lang w:eastAsia="en-GB"/>
          <w14:ligatures w14:val="none"/>
        </w:rPr>
        <w:t xml:space="preserve"> (2022). </w:t>
      </w:r>
      <w:r w:rsidRPr="00E216FD">
        <w:rPr>
          <w:rFonts w:ascii="Times New Roman" w:eastAsia="Times New Roman" w:hAnsi="Times New Roman" w:cs="Times New Roman"/>
          <w:i/>
          <w:iCs/>
          <w:color w:val="000000"/>
          <w:kern w:val="0"/>
          <w:sz w:val="22"/>
          <w:szCs w:val="22"/>
          <w:lang w:eastAsia="en-GB"/>
          <w14:ligatures w14:val="none"/>
        </w:rPr>
        <w:t>Health and Well-being: Statements of what matters - Hwb</w:t>
      </w:r>
      <w:r w:rsidRPr="00E216FD">
        <w:rPr>
          <w:rFonts w:ascii="Times New Roman" w:eastAsia="Times New Roman" w:hAnsi="Times New Roman" w:cs="Times New Roman"/>
          <w:color w:val="000000"/>
          <w:kern w:val="0"/>
          <w:sz w:val="22"/>
          <w:szCs w:val="22"/>
          <w:lang w:eastAsia="en-GB"/>
          <w14:ligatures w14:val="none"/>
        </w:rPr>
        <w:t xml:space="preserve">. [online] </w:t>
      </w:r>
      <w:proofErr w:type="spellStart"/>
      <w:proofErr w:type="gramStart"/>
      <w:r w:rsidRPr="00E216FD">
        <w:rPr>
          <w:rFonts w:ascii="Times New Roman" w:eastAsia="Times New Roman" w:hAnsi="Times New Roman" w:cs="Times New Roman"/>
          <w:color w:val="000000"/>
          <w:kern w:val="0"/>
          <w:sz w:val="22"/>
          <w:szCs w:val="22"/>
          <w:lang w:eastAsia="en-GB"/>
          <w14:ligatures w14:val="none"/>
        </w:rPr>
        <w:t>hwb.gov.wales</w:t>
      </w:r>
      <w:proofErr w:type="spellEnd"/>
      <w:proofErr w:type="gramEnd"/>
      <w:r w:rsidRPr="00E216FD">
        <w:rPr>
          <w:rFonts w:ascii="Times New Roman" w:eastAsia="Times New Roman" w:hAnsi="Times New Roman" w:cs="Times New Roman"/>
          <w:color w:val="000000"/>
          <w:kern w:val="0"/>
          <w:sz w:val="22"/>
          <w:szCs w:val="22"/>
          <w:lang w:eastAsia="en-GB"/>
          <w14:ligatures w14:val="none"/>
        </w:rPr>
        <w:t>. Available at: https://hwb.gov.wales/curriculum-for-wales/health-and-well-being/statements-of-what-matters.</w:t>
      </w:r>
    </w:p>
    <w:p w14:paraId="148C3B59" w14:textId="2362C39E"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Welsh </w:t>
      </w:r>
      <w:proofErr w:type="spellStart"/>
      <w:r w:rsidRPr="00E216FD">
        <w:rPr>
          <w:rFonts w:ascii="Times New Roman" w:eastAsia="Times New Roman" w:hAnsi="Times New Roman" w:cs="Times New Roman"/>
          <w:color w:val="000000"/>
          <w:kern w:val="0"/>
          <w:sz w:val="22"/>
          <w:szCs w:val="22"/>
          <w:lang w:eastAsia="en-GB"/>
          <w14:ligatures w14:val="none"/>
        </w:rPr>
        <w:t>Goverment</w:t>
      </w:r>
      <w:proofErr w:type="spellEnd"/>
      <w:r w:rsidRPr="00E216FD">
        <w:rPr>
          <w:rFonts w:ascii="Times New Roman" w:eastAsia="Times New Roman" w:hAnsi="Times New Roman" w:cs="Times New Roman"/>
          <w:color w:val="000000"/>
          <w:kern w:val="0"/>
          <w:sz w:val="22"/>
          <w:szCs w:val="22"/>
          <w:lang w:eastAsia="en-GB"/>
          <w14:ligatures w14:val="none"/>
        </w:rPr>
        <w:t xml:space="preserve"> (2023). </w:t>
      </w:r>
      <w:r w:rsidRPr="00E216FD">
        <w:rPr>
          <w:rFonts w:ascii="Times New Roman" w:eastAsia="Times New Roman" w:hAnsi="Times New Roman" w:cs="Times New Roman"/>
          <w:i/>
          <w:iCs/>
          <w:color w:val="000000"/>
          <w:kern w:val="0"/>
          <w:sz w:val="22"/>
          <w:szCs w:val="22"/>
          <w:lang w:eastAsia="en-GB"/>
          <w14:ligatures w14:val="none"/>
        </w:rPr>
        <w:t xml:space="preserve">Community Focused Schools case study: </w:t>
      </w:r>
      <w:proofErr w:type="spellStart"/>
      <w:r w:rsidRPr="00E216FD">
        <w:rPr>
          <w:rFonts w:ascii="Times New Roman" w:eastAsia="Times New Roman" w:hAnsi="Times New Roman" w:cs="Times New Roman"/>
          <w:i/>
          <w:iCs/>
          <w:color w:val="000000"/>
          <w:kern w:val="0"/>
          <w:sz w:val="22"/>
          <w:szCs w:val="22"/>
          <w:lang w:eastAsia="en-GB"/>
          <w14:ligatures w14:val="none"/>
        </w:rPr>
        <w:t>Craigfelen</w:t>
      </w:r>
      <w:proofErr w:type="spellEnd"/>
      <w:r w:rsidRPr="00E216FD">
        <w:rPr>
          <w:rFonts w:ascii="Times New Roman" w:eastAsia="Times New Roman" w:hAnsi="Times New Roman" w:cs="Times New Roman"/>
          <w:i/>
          <w:iCs/>
          <w:color w:val="000000"/>
          <w:kern w:val="0"/>
          <w:sz w:val="22"/>
          <w:szCs w:val="22"/>
          <w:lang w:eastAsia="en-GB"/>
          <w14:ligatures w14:val="none"/>
        </w:rPr>
        <w:t xml:space="preserve"> Primary School, Swansea | GOV.WALES</w:t>
      </w:r>
      <w:r w:rsidRPr="00E216FD">
        <w:rPr>
          <w:rFonts w:ascii="Times New Roman" w:eastAsia="Times New Roman" w:hAnsi="Times New Roman" w:cs="Times New Roman"/>
          <w:color w:val="000000"/>
          <w:kern w:val="0"/>
          <w:sz w:val="22"/>
          <w:szCs w:val="22"/>
          <w:lang w:eastAsia="en-GB"/>
          <w14:ligatures w14:val="none"/>
        </w:rPr>
        <w:t xml:space="preserve">. [online] GOV.WALES. Available at: </w:t>
      </w:r>
      <w:hyperlink r:id="rId9" w:history="1">
        <w:r w:rsidRPr="00E216FD">
          <w:rPr>
            <w:rStyle w:val="Hyperlink"/>
            <w:rFonts w:ascii="Times New Roman" w:eastAsia="Times New Roman" w:hAnsi="Times New Roman" w:cs="Times New Roman"/>
            <w:kern w:val="0"/>
            <w:sz w:val="22"/>
            <w:szCs w:val="22"/>
            <w:lang w:eastAsia="en-GB"/>
            <w14:ligatures w14:val="none"/>
          </w:rPr>
          <w:t>https://www.gov.wales/community-focused-schools-case-study-craigfelen-primary-school-swansea</w:t>
        </w:r>
      </w:hyperlink>
      <w:r>
        <w:rPr>
          <w:rFonts w:ascii="Times New Roman" w:eastAsia="Times New Roman" w:hAnsi="Times New Roman" w:cs="Times New Roman"/>
          <w:color w:val="000000"/>
          <w:kern w:val="0"/>
          <w:sz w:val="22"/>
          <w:szCs w:val="22"/>
          <w:lang w:eastAsia="en-GB"/>
          <w14:ligatures w14:val="none"/>
        </w:rPr>
        <w:t xml:space="preserve"> </w:t>
      </w:r>
      <w:r w:rsidRPr="00E216FD">
        <w:rPr>
          <w:rFonts w:ascii="Times New Roman" w:eastAsia="Times New Roman" w:hAnsi="Times New Roman" w:cs="Times New Roman"/>
          <w:color w:val="000000"/>
          <w:kern w:val="0"/>
          <w:sz w:val="22"/>
          <w:szCs w:val="22"/>
          <w:lang w:eastAsia="en-GB"/>
          <w14:ligatures w14:val="none"/>
        </w:rPr>
        <w:t xml:space="preserve"> [Accessed 9 Apr. 2025].</w:t>
      </w:r>
    </w:p>
    <w:p w14:paraId="62CD894A" w14:textId="011DD1C0"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Welsh </w:t>
      </w:r>
      <w:proofErr w:type="spellStart"/>
      <w:r w:rsidRPr="00E216FD">
        <w:rPr>
          <w:rFonts w:ascii="Times New Roman" w:eastAsia="Times New Roman" w:hAnsi="Times New Roman" w:cs="Times New Roman"/>
          <w:color w:val="000000"/>
          <w:kern w:val="0"/>
          <w:sz w:val="22"/>
          <w:szCs w:val="22"/>
          <w:lang w:eastAsia="en-GB"/>
          <w14:ligatures w14:val="none"/>
        </w:rPr>
        <w:t>Goverment</w:t>
      </w:r>
      <w:proofErr w:type="spellEnd"/>
      <w:r w:rsidRPr="00E216FD">
        <w:rPr>
          <w:rFonts w:ascii="Times New Roman" w:eastAsia="Times New Roman" w:hAnsi="Times New Roman" w:cs="Times New Roman"/>
          <w:color w:val="000000"/>
          <w:kern w:val="0"/>
          <w:sz w:val="22"/>
          <w:szCs w:val="22"/>
          <w:lang w:eastAsia="en-GB"/>
          <w14:ligatures w14:val="none"/>
        </w:rPr>
        <w:t xml:space="preserve"> (2024). </w:t>
      </w:r>
      <w:r w:rsidRPr="00E216FD">
        <w:rPr>
          <w:rFonts w:ascii="Times New Roman" w:eastAsia="Times New Roman" w:hAnsi="Times New Roman" w:cs="Times New Roman"/>
          <w:i/>
          <w:iCs/>
          <w:color w:val="000000"/>
          <w:kern w:val="0"/>
          <w:sz w:val="22"/>
          <w:szCs w:val="22"/>
          <w:lang w:eastAsia="en-GB"/>
          <w14:ligatures w14:val="none"/>
        </w:rPr>
        <w:t>Equity and inclusion in the Curriculum for Wales</w:t>
      </w:r>
      <w:r w:rsidRPr="00E216FD">
        <w:rPr>
          <w:rFonts w:ascii="Times New Roman" w:eastAsia="Times New Roman" w:hAnsi="Times New Roman" w:cs="Times New Roman"/>
          <w:color w:val="000000"/>
          <w:kern w:val="0"/>
          <w:sz w:val="22"/>
          <w:szCs w:val="22"/>
          <w:lang w:eastAsia="en-GB"/>
          <w14:ligatures w14:val="none"/>
        </w:rPr>
        <w:t xml:space="preserve">. [online] Education Wales. Available at: </w:t>
      </w:r>
      <w:hyperlink r:id="rId10" w:history="1">
        <w:r w:rsidRPr="00E216FD">
          <w:rPr>
            <w:rStyle w:val="Hyperlink"/>
            <w:rFonts w:ascii="Times New Roman" w:eastAsia="Times New Roman" w:hAnsi="Times New Roman" w:cs="Times New Roman"/>
            <w:kern w:val="0"/>
            <w:sz w:val="22"/>
            <w:szCs w:val="22"/>
            <w:lang w:eastAsia="en-GB"/>
            <w14:ligatures w14:val="none"/>
          </w:rPr>
          <w:t>https://educationwales.blog.gov.wales/2024/05/13/equity-and-inclusion-in-the-curriculum-for-wales/</w:t>
        </w:r>
      </w:hyperlink>
      <w:r w:rsidRPr="00E216FD">
        <w:rPr>
          <w:rFonts w:ascii="Times New Roman" w:eastAsia="Times New Roman" w:hAnsi="Times New Roman" w:cs="Times New Roman"/>
          <w:color w:val="000000"/>
          <w:kern w:val="0"/>
          <w:sz w:val="22"/>
          <w:szCs w:val="22"/>
          <w:lang w:eastAsia="en-GB"/>
          <w14:ligatures w14:val="none"/>
        </w:rPr>
        <w:t>.</w:t>
      </w:r>
      <w:r>
        <w:rPr>
          <w:rFonts w:ascii="Times New Roman" w:eastAsia="Times New Roman" w:hAnsi="Times New Roman" w:cs="Times New Roman"/>
          <w:color w:val="000000"/>
          <w:kern w:val="0"/>
          <w:sz w:val="22"/>
          <w:szCs w:val="22"/>
          <w:lang w:eastAsia="en-GB"/>
          <w14:ligatures w14:val="none"/>
        </w:rPr>
        <w:t xml:space="preserve"> </w:t>
      </w:r>
    </w:p>
    <w:p w14:paraId="0218D26C"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Welsh </w:t>
      </w:r>
      <w:proofErr w:type="spellStart"/>
      <w:r w:rsidRPr="00E216FD">
        <w:rPr>
          <w:rFonts w:ascii="Times New Roman" w:eastAsia="Times New Roman" w:hAnsi="Times New Roman" w:cs="Times New Roman"/>
          <w:color w:val="000000"/>
          <w:kern w:val="0"/>
          <w:sz w:val="22"/>
          <w:szCs w:val="22"/>
          <w:lang w:eastAsia="en-GB"/>
          <w14:ligatures w14:val="none"/>
        </w:rPr>
        <w:t>Goverment</w:t>
      </w:r>
      <w:proofErr w:type="spellEnd"/>
      <w:r w:rsidRPr="00E216FD">
        <w:rPr>
          <w:rFonts w:ascii="Times New Roman" w:eastAsia="Times New Roman" w:hAnsi="Times New Roman" w:cs="Times New Roman"/>
          <w:color w:val="000000"/>
          <w:kern w:val="0"/>
          <w:sz w:val="22"/>
          <w:szCs w:val="22"/>
          <w:lang w:eastAsia="en-GB"/>
          <w14:ligatures w14:val="none"/>
        </w:rPr>
        <w:t xml:space="preserve"> (2025a). </w:t>
      </w:r>
      <w:r w:rsidRPr="00E216FD">
        <w:rPr>
          <w:rFonts w:ascii="Times New Roman" w:eastAsia="Times New Roman" w:hAnsi="Times New Roman" w:cs="Times New Roman"/>
          <w:i/>
          <w:iCs/>
          <w:color w:val="000000"/>
          <w:kern w:val="0"/>
          <w:sz w:val="22"/>
          <w:szCs w:val="22"/>
          <w:lang w:eastAsia="en-GB"/>
          <w14:ligatures w14:val="none"/>
        </w:rPr>
        <w:t>Evaluation of Getting on Together, the Community Cohesion Strategy for Wales</w:t>
      </w:r>
      <w:r w:rsidRPr="00E216FD">
        <w:rPr>
          <w:rFonts w:ascii="Times New Roman" w:eastAsia="Times New Roman" w:hAnsi="Times New Roman" w:cs="Times New Roman"/>
          <w:color w:val="000000"/>
          <w:kern w:val="0"/>
          <w:sz w:val="22"/>
          <w:szCs w:val="22"/>
          <w:lang w:eastAsia="en-GB"/>
          <w14:ligatures w14:val="none"/>
        </w:rPr>
        <w:t>. [online] Available at: https://www.gov.wales/sites/default/files/statistics-and-research/2019-08/130429-evaluation-getting-together-community-cohesion-strategy-wales-summary-en.pdf [Accessed 9 Apr. 2025].</w:t>
      </w:r>
    </w:p>
    <w:p w14:paraId="0D4D3A5A"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Welsh </w:t>
      </w:r>
      <w:proofErr w:type="spellStart"/>
      <w:r w:rsidRPr="00E216FD">
        <w:rPr>
          <w:rFonts w:ascii="Times New Roman" w:eastAsia="Times New Roman" w:hAnsi="Times New Roman" w:cs="Times New Roman"/>
          <w:color w:val="000000"/>
          <w:kern w:val="0"/>
          <w:sz w:val="22"/>
          <w:szCs w:val="22"/>
          <w:lang w:eastAsia="en-GB"/>
          <w14:ligatures w14:val="none"/>
        </w:rPr>
        <w:t>Goverment</w:t>
      </w:r>
      <w:proofErr w:type="spellEnd"/>
      <w:r w:rsidRPr="00E216FD">
        <w:rPr>
          <w:rFonts w:ascii="Times New Roman" w:eastAsia="Times New Roman" w:hAnsi="Times New Roman" w:cs="Times New Roman"/>
          <w:color w:val="000000"/>
          <w:kern w:val="0"/>
          <w:sz w:val="22"/>
          <w:szCs w:val="22"/>
          <w:lang w:eastAsia="en-GB"/>
          <w14:ligatures w14:val="none"/>
        </w:rPr>
        <w:t xml:space="preserve"> (2025b). </w:t>
      </w:r>
      <w:r w:rsidRPr="00E216FD">
        <w:rPr>
          <w:rFonts w:ascii="Times New Roman" w:eastAsia="Times New Roman" w:hAnsi="Times New Roman" w:cs="Times New Roman"/>
          <w:i/>
          <w:iCs/>
          <w:color w:val="000000"/>
          <w:kern w:val="0"/>
          <w:sz w:val="22"/>
          <w:szCs w:val="22"/>
          <w:lang w:eastAsia="en-GB"/>
          <w14:ligatures w14:val="none"/>
        </w:rPr>
        <w:t>Welcome To Zscaler Directory Authentication</w:t>
      </w:r>
      <w:r w:rsidRPr="00E216FD">
        <w:rPr>
          <w:rFonts w:ascii="Times New Roman" w:eastAsia="Times New Roman" w:hAnsi="Times New Roman" w:cs="Times New Roman"/>
          <w:color w:val="000000"/>
          <w:kern w:val="0"/>
          <w:sz w:val="22"/>
          <w:szCs w:val="22"/>
          <w:lang w:eastAsia="en-GB"/>
          <w14:ligatures w14:val="none"/>
        </w:rPr>
        <w:t xml:space="preserve">. [online] </w:t>
      </w:r>
      <w:proofErr w:type="spellStart"/>
      <w:r w:rsidRPr="00E216FD">
        <w:rPr>
          <w:rFonts w:ascii="Times New Roman" w:eastAsia="Times New Roman" w:hAnsi="Times New Roman" w:cs="Times New Roman"/>
          <w:color w:val="000000"/>
          <w:kern w:val="0"/>
          <w:sz w:val="22"/>
          <w:szCs w:val="22"/>
          <w:lang w:eastAsia="en-GB"/>
          <w14:ligatures w14:val="none"/>
        </w:rPr>
        <w:t>Gov.wales</w:t>
      </w:r>
      <w:proofErr w:type="spellEnd"/>
      <w:r w:rsidRPr="00E216FD">
        <w:rPr>
          <w:rFonts w:ascii="Times New Roman" w:eastAsia="Times New Roman" w:hAnsi="Times New Roman" w:cs="Times New Roman"/>
          <w:color w:val="000000"/>
          <w:kern w:val="0"/>
          <w:sz w:val="22"/>
          <w:szCs w:val="22"/>
          <w:lang w:eastAsia="en-GB"/>
          <w14:ligatures w14:val="none"/>
        </w:rPr>
        <w:t>. Available at: https://www.gov.wales/diversity-and-inclusion-guidance-political-parties-integrated-impact-assessment-html [Accessed 10 Apr. 2025].</w:t>
      </w:r>
    </w:p>
    <w:p w14:paraId="66C43C41" w14:textId="1274F0D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 xml:space="preserve">Welsh </w:t>
      </w:r>
      <w:proofErr w:type="spellStart"/>
      <w:r w:rsidRPr="00E216FD">
        <w:rPr>
          <w:rFonts w:ascii="Times New Roman" w:eastAsia="Times New Roman" w:hAnsi="Times New Roman" w:cs="Times New Roman"/>
          <w:color w:val="000000"/>
          <w:kern w:val="0"/>
          <w:sz w:val="22"/>
          <w:szCs w:val="22"/>
          <w:lang w:eastAsia="en-GB"/>
          <w14:ligatures w14:val="none"/>
        </w:rPr>
        <w:t>goverment</w:t>
      </w:r>
      <w:proofErr w:type="spellEnd"/>
      <w:r w:rsidRPr="00E216FD">
        <w:rPr>
          <w:rFonts w:ascii="Times New Roman" w:eastAsia="Times New Roman" w:hAnsi="Times New Roman" w:cs="Times New Roman"/>
          <w:color w:val="000000"/>
          <w:kern w:val="0"/>
          <w:sz w:val="22"/>
          <w:szCs w:val="22"/>
          <w:lang w:eastAsia="en-GB"/>
          <w14:ligatures w14:val="none"/>
        </w:rPr>
        <w:t xml:space="preserve"> (2024). </w:t>
      </w:r>
      <w:r w:rsidRPr="00E216FD">
        <w:rPr>
          <w:rFonts w:ascii="Times New Roman" w:eastAsia="Times New Roman" w:hAnsi="Times New Roman" w:cs="Times New Roman"/>
          <w:i/>
          <w:iCs/>
          <w:color w:val="000000"/>
          <w:kern w:val="0"/>
          <w:sz w:val="22"/>
          <w:szCs w:val="22"/>
          <w:lang w:eastAsia="en-GB"/>
          <w14:ligatures w14:val="none"/>
        </w:rPr>
        <w:t>Anti-racist Wales Action Plan: 2024 update [HTML] | GOV.WALES</w:t>
      </w:r>
      <w:r w:rsidRPr="00E216FD">
        <w:rPr>
          <w:rFonts w:ascii="Times New Roman" w:eastAsia="Times New Roman" w:hAnsi="Times New Roman" w:cs="Times New Roman"/>
          <w:color w:val="000000"/>
          <w:kern w:val="0"/>
          <w:sz w:val="22"/>
          <w:szCs w:val="22"/>
          <w:lang w:eastAsia="en-GB"/>
          <w14:ligatures w14:val="none"/>
        </w:rPr>
        <w:t>. [online] GOV.WALES. Available at: https://www.gov.wales/anti-racist-wales-action-plan-2024-update-html [Accessed 10 Apr. 2025].</w:t>
      </w:r>
    </w:p>
    <w:p w14:paraId="114864DF"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Welsh Government (2015). </w:t>
      </w:r>
      <w:r w:rsidRPr="00E216FD">
        <w:rPr>
          <w:rFonts w:ascii="Times New Roman" w:eastAsia="Times New Roman" w:hAnsi="Times New Roman" w:cs="Times New Roman"/>
          <w:i/>
          <w:iCs/>
          <w:color w:val="000000"/>
          <w:kern w:val="0"/>
          <w:sz w:val="22"/>
          <w:szCs w:val="22"/>
          <w:lang w:eastAsia="en-GB"/>
          <w14:ligatures w14:val="none"/>
        </w:rPr>
        <w:t>The Well-being of Future Generations</w:t>
      </w:r>
      <w:r w:rsidRPr="00E216FD">
        <w:rPr>
          <w:rFonts w:ascii="Times New Roman" w:eastAsia="Times New Roman" w:hAnsi="Times New Roman" w:cs="Times New Roman"/>
          <w:color w:val="000000"/>
          <w:kern w:val="0"/>
          <w:sz w:val="22"/>
          <w:szCs w:val="22"/>
          <w:lang w:eastAsia="en-GB"/>
          <w14:ligatures w14:val="none"/>
        </w:rPr>
        <w:t>. [online] GOV.WALES. Available at: https://www.gov.wales/well-being-of-future-generations-wales.</w:t>
      </w:r>
    </w:p>
    <w:p w14:paraId="21526C58"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Welsh Government (2019). </w:t>
      </w:r>
      <w:r w:rsidRPr="00E216FD">
        <w:rPr>
          <w:rFonts w:ascii="Times New Roman" w:eastAsia="Times New Roman" w:hAnsi="Times New Roman" w:cs="Times New Roman"/>
          <w:i/>
          <w:iCs/>
          <w:color w:val="000000"/>
          <w:kern w:val="0"/>
          <w:sz w:val="22"/>
          <w:szCs w:val="22"/>
          <w:lang w:eastAsia="en-GB"/>
          <w14:ligatures w14:val="none"/>
        </w:rPr>
        <w:t>Professional Standards for Teaching and Leadership</w:t>
      </w:r>
      <w:r w:rsidRPr="00E216FD">
        <w:rPr>
          <w:rFonts w:ascii="Times New Roman" w:eastAsia="Times New Roman" w:hAnsi="Times New Roman" w:cs="Times New Roman"/>
          <w:color w:val="000000"/>
          <w:kern w:val="0"/>
          <w:sz w:val="22"/>
          <w:szCs w:val="22"/>
          <w:lang w:eastAsia="en-GB"/>
          <w14:ligatures w14:val="none"/>
        </w:rPr>
        <w:t>. [online] </w:t>
      </w:r>
      <w:r w:rsidRPr="00E216FD">
        <w:rPr>
          <w:rFonts w:ascii="Times New Roman" w:eastAsia="Times New Roman" w:hAnsi="Times New Roman" w:cs="Times New Roman"/>
          <w:i/>
          <w:iCs/>
          <w:color w:val="000000"/>
          <w:kern w:val="0"/>
          <w:sz w:val="22"/>
          <w:szCs w:val="22"/>
          <w:lang w:eastAsia="en-GB"/>
          <w14:ligatures w14:val="none"/>
        </w:rPr>
        <w:t>Hwb</w:t>
      </w:r>
      <w:r w:rsidRPr="00E216FD">
        <w:rPr>
          <w:rFonts w:ascii="Times New Roman" w:eastAsia="Times New Roman" w:hAnsi="Times New Roman" w:cs="Times New Roman"/>
          <w:color w:val="000000"/>
          <w:kern w:val="0"/>
          <w:sz w:val="22"/>
          <w:szCs w:val="22"/>
          <w:lang w:eastAsia="en-GB"/>
          <w14:ligatures w14:val="none"/>
        </w:rPr>
        <w:t>. Welsh Government. Available at: https://hwb.gov.wales/api/storage/19bc948b-8a3f-41e0-944a-7bf2cadf7d18/professional-standards-for-teaching-and-leadership-interactive-pdf-for-pc.pdf.</w:t>
      </w:r>
    </w:p>
    <w:p w14:paraId="721341AF"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lastRenderedPageBreak/>
        <w:t>Welsh Government (2023a). </w:t>
      </w:r>
      <w:r w:rsidRPr="00E216FD">
        <w:rPr>
          <w:rFonts w:ascii="Times New Roman" w:eastAsia="Times New Roman" w:hAnsi="Times New Roman" w:cs="Times New Roman"/>
          <w:i/>
          <w:iCs/>
          <w:color w:val="000000"/>
          <w:kern w:val="0"/>
          <w:sz w:val="22"/>
          <w:szCs w:val="22"/>
          <w:lang w:eastAsia="en-GB"/>
          <w14:ligatures w14:val="none"/>
        </w:rPr>
        <w:t>Annex 4: Developing Community Engagement in Community Focused Schools [HTML] | GOV.WALES</w:t>
      </w:r>
      <w:r w:rsidRPr="00E216FD">
        <w:rPr>
          <w:rFonts w:ascii="Times New Roman" w:eastAsia="Times New Roman" w:hAnsi="Times New Roman" w:cs="Times New Roman"/>
          <w:color w:val="000000"/>
          <w:kern w:val="0"/>
          <w:sz w:val="22"/>
          <w:szCs w:val="22"/>
          <w:lang w:eastAsia="en-GB"/>
          <w14:ligatures w14:val="none"/>
        </w:rPr>
        <w:t>. [online] www.gov.wales. Available at: https://www.gov.wales/annex-4-developing-community-engagement-community-focused-schools-html.</w:t>
      </w:r>
    </w:p>
    <w:p w14:paraId="67CBCEFB"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Welsh Government (2023b). </w:t>
      </w:r>
      <w:r w:rsidRPr="00E216FD">
        <w:rPr>
          <w:rFonts w:ascii="Times New Roman" w:eastAsia="Times New Roman" w:hAnsi="Times New Roman" w:cs="Times New Roman"/>
          <w:i/>
          <w:iCs/>
          <w:color w:val="000000"/>
          <w:kern w:val="0"/>
          <w:sz w:val="22"/>
          <w:szCs w:val="22"/>
          <w:lang w:eastAsia="en-GB"/>
          <w14:ligatures w14:val="none"/>
        </w:rPr>
        <w:t>Enabling learning - Hwb</w:t>
      </w:r>
      <w:r w:rsidRPr="00E216FD">
        <w:rPr>
          <w:rFonts w:ascii="Times New Roman" w:eastAsia="Times New Roman" w:hAnsi="Times New Roman" w:cs="Times New Roman"/>
          <w:color w:val="000000"/>
          <w:kern w:val="0"/>
          <w:sz w:val="22"/>
          <w:szCs w:val="22"/>
          <w:lang w:eastAsia="en-GB"/>
          <w14:ligatures w14:val="none"/>
        </w:rPr>
        <w:t xml:space="preserve">. [online] </w:t>
      </w:r>
      <w:proofErr w:type="spellStart"/>
      <w:proofErr w:type="gramStart"/>
      <w:r w:rsidRPr="00E216FD">
        <w:rPr>
          <w:rFonts w:ascii="Times New Roman" w:eastAsia="Times New Roman" w:hAnsi="Times New Roman" w:cs="Times New Roman"/>
          <w:color w:val="000000"/>
          <w:kern w:val="0"/>
          <w:sz w:val="22"/>
          <w:szCs w:val="22"/>
          <w:lang w:eastAsia="en-GB"/>
          <w14:ligatures w14:val="none"/>
        </w:rPr>
        <w:t>hwb.gov.wales</w:t>
      </w:r>
      <w:proofErr w:type="spellEnd"/>
      <w:proofErr w:type="gramEnd"/>
      <w:r w:rsidRPr="00E216FD">
        <w:rPr>
          <w:rFonts w:ascii="Times New Roman" w:eastAsia="Times New Roman" w:hAnsi="Times New Roman" w:cs="Times New Roman"/>
          <w:color w:val="000000"/>
          <w:kern w:val="0"/>
          <w:sz w:val="22"/>
          <w:szCs w:val="22"/>
          <w:lang w:eastAsia="en-GB"/>
          <w14:ligatures w14:val="none"/>
        </w:rPr>
        <w:t>. Available at: https://hwb.gov.wales/curriculum-for-wales/designing-your-curriculum/enabling-learning.</w:t>
      </w:r>
    </w:p>
    <w:p w14:paraId="10D06F7E"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Welsh Government (2024). </w:t>
      </w:r>
      <w:r w:rsidRPr="00E216FD">
        <w:rPr>
          <w:rFonts w:ascii="Times New Roman" w:eastAsia="Times New Roman" w:hAnsi="Times New Roman" w:cs="Times New Roman"/>
          <w:i/>
          <w:iCs/>
          <w:color w:val="000000"/>
          <w:kern w:val="0"/>
          <w:sz w:val="22"/>
          <w:szCs w:val="22"/>
          <w:lang w:eastAsia="en-GB"/>
          <w14:ligatures w14:val="none"/>
        </w:rPr>
        <w:t>Child Poverty Strategy for Wales 2024 [HTML] | GOV.WALES</w:t>
      </w:r>
      <w:r w:rsidRPr="00E216FD">
        <w:rPr>
          <w:rFonts w:ascii="Times New Roman" w:eastAsia="Times New Roman" w:hAnsi="Times New Roman" w:cs="Times New Roman"/>
          <w:color w:val="000000"/>
          <w:kern w:val="0"/>
          <w:sz w:val="22"/>
          <w:szCs w:val="22"/>
          <w:lang w:eastAsia="en-GB"/>
          <w14:ligatures w14:val="none"/>
        </w:rPr>
        <w:t>. [online] www.gov.wales. Available at: https://www.gov.wales/child-poverty-strategy-wales-2024-html.</w:t>
      </w:r>
    </w:p>
    <w:p w14:paraId="2751F55D" w14:textId="77777777"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sidRPr="00E216FD">
        <w:rPr>
          <w:rFonts w:ascii="Times New Roman" w:eastAsia="Times New Roman" w:hAnsi="Times New Roman" w:cs="Times New Roman"/>
          <w:color w:val="000000"/>
          <w:kern w:val="0"/>
          <w:sz w:val="22"/>
          <w:szCs w:val="22"/>
          <w:lang w:eastAsia="en-GB"/>
          <w14:ligatures w14:val="none"/>
        </w:rPr>
        <w:t>World Health Organization (1997). </w:t>
      </w:r>
      <w:r w:rsidRPr="00E216FD">
        <w:rPr>
          <w:rFonts w:ascii="Times New Roman" w:eastAsia="Times New Roman" w:hAnsi="Times New Roman" w:cs="Times New Roman"/>
          <w:i/>
          <w:iCs/>
          <w:color w:val="000000"/>
          <w:kern w:val="0"/>
          <w:sz w:val="22"/>
          <w:szCs w:val="22"/>
          <w:lang w:eastAsia="en-GB"/>
          <w14:ligatures w14:val="none"/>
        </w:rPr>
        <w:t>LIFE SKILLS EDUCATION FOR CHILDREN AND ADOLESCENTS IN SCHOOLS</w:t>
      </w:r>
      <w:r w:rsidRPr="00E216FD">
        <w:rPr>
          <w:rFonts w:ascii="Times New Roman" w:eastAsia="Times New Roman" w:hAnsi="Times New Roman" w:cs="Times New Roman"/>
          <w:color w:val="000000"/>
          <w:kern w:val="0"/>
          <w:sz w:val="22"/>
          <w:szCs w:val="22"/>
          <w:lang w:eastAsia="en-GB"/>
          <w14:ligatures w14:val="none"/>
        </w:rPr>
        <w:t>. [online] Available at: https://iris.who.int/bitstream/handle/10665/63552/WHO_MNH_PSF_93.7A_Rev.2.pdf.</w:t>
      </w:r>
    </w:p>
    <w:p w14:paraId="58EF4718" w14:textId="762C06B2" w:rsidR="00E216FD" w:rsidRDefault="00E216FD" w:rsidP="00E216FD">
      <w:pPr>
        <w:spacing w:after="240" w:line="540" w:lineRule="atLeast"/>
        <w:outlineLvl w:val="0"/>
        <w:rPr>
          <w:rFonts w:ascii="Times New Roman" w:eastAsia="Times New Roman" w:hAnsi="Times New Roman" w:cs="Times New Roman"/>
          <w:color w:val="000000"/>
          <w:kern w:val="0"/>
          <w:sz w:val="22"/>
          <w:szCs w:val="22"/>
          <w:lang w:eastAsia="en-GB"/>
          <w14:ligatures w14:val="none"/>
        </w:rPr>
      </w:pPr>
      <w:r>
        <w:rPr>
          <w:rFonts w:ascii="Times New Roman" w:eastAsia="Times New Roman" w:hAnsi="Times New Roman" w:cs="Times New Roman"/>
          <w:color w:val="000000"/>
          <w:kern w:val="0"/>
          <w:sz w:val="22"/>
          <w:szCs w:val="22"/>
          <w:lang w:eastAsia="en-GB"/>
          <w14:ligatures w14:val="none"/>
        </w:rPr>
        <w:t xml:space="preserve"> </w:t>
      </w:r>
    </w:p>
    <w:p w14:paraId="4A6B7AD3" w14:textId="6E8758FB" w:rsidR="00E216FD" w:rsidRPr="00E216FD" w:rsidRDefault="00E216FD" w:rsidP="00E216FD">
      <w:pPr>
        <w:spacing w:after="240" w:line="360" w:lineRule="atLeast"/>
        <w:rPr>
          <w:rFonts w:ascii="Times New Roman" w:eastAsia="Times New Roman" w:hAnsi="Times New Roman" w:cs="Times New Roman"/>
          <w:color w:val="000000"/>
          <w:kern w:val="0"/>
          <w:sz w:val="22"/>
          <w:szCs w:val="22"/>
          <w:lang w:eastAsia="en-GB"/>
          <w14:ligatures w14:val="none"/>
        </w:rPr>
      </w:pPr>
      <w:r>
        <w:rPr>
          <w:rFonts w:ascii="Times New Roman" w:eastAsia="Times New Roman" w:hAnsi="Times New Roman" w:cs="Times New Roman"/>
          <w:color w:val="000000"/>
          <w:kern w:val="0"/>
          <w:sz w:val="22"/>
          <w:szCs w:val="22"/>
          <w:lang w:eastAsia="en-GB"/>
          <w14:ligatures w14:val="none"/>
        </w:rPr>
        <w:t xml:space="preserve">Appendix 1- SWOT analysis. </w:t>
      </w:r>
    </w:p>
    <w:p w14:paraId="5D1288CF" w14:textId="781403C2" w:rsidR="0000375B" w:rsidRDefault="0000375B" w:rsidP="0000375B">
      <w:pPr>
        <w:rPr>
          <w:b/>
          <w:bCs/>
        </w:rPr>
      </w:pPr>
    </w:p>
    <w:p w14:paraId="3729DB03" w14:textId="2475B3EC" w:rsidR="0000375B" w:rsidRPr="0000375B" w:rsidRDefault="0000375B" w:rsidP="0000375B"/>
    <w:p w14:paraId="00FCD18B" w14:textId="20B4C19E" w:rsidR="000C541C" w:rsidRDefault="000C541C" w:rsidP="00DD5969">
      <w:pPr>
        <w:rPr>
          <w:sz w:val="16"/>
          <w:szCs w:val="16"/>
        </w:rPr>
      </w:pPr>
    </w:p>
    <w:p w14:paraId="6EA9A853" w14:textId="310D5069" w:rsidR="0000375B" w:rsidRDefault="00E216FD" w:rsidP="00DD5969">
      <w:pPr>
        <w:rPr>
          <w:sz w:val="16"/>
          <w:szCs w:val="16"/>
        </w:rPr>
      </w:pPr>
      <w:r>
        <w:rPr>
          <w:noProof/>
          <w:sz w:val="16"/>
          <w:szCs w:val="16"/>
        </w:rPr>
        <w:drawing>
          <wp:inline distT="0" distB="0" distL="0" distR="0" wp14:anchorId="66D29CB1" wp14:editId="1FD0088F">
            <wp:extent cx="5612860" cy="3737968"/>
            <wp:effectExtent l="0" t="0" r="635" b="0"/>
            <wp:docPr id="421369611" name="Picture 2" descr="A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69611" name="Picture 2" descr="A white rectangular table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22016" cy="3744066"/>
                    </a:xfrm>
                    <a:prstGeom prst="rect">
                      <a:avLst/>
                    </a:prstGeom>
                  </pic:spPr>
                </pic:pic>
              </a:graphicData>
            </a:graphic>
          </wp:inline>
        </w:drawing>
      </w:r>
    </w:p>
    <w:p w14:paraId="32F37250" w14:textId="6B7516E8"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71AF1"/>
    <w:multiLevelType w:val="hybridMultilevel"/>
    <w:tmpl w:val="06901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2294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7198D"/>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55B28"/>
    <w:rsid w:val="004D474C"/>
    <w:rsid w:val="00536CFB"/>
    <w:rsid w:val="00543F5E"/>
    <w:rsid w:val="00584970"/>
    <w:rsid w:val="005B783A"/>
    <w:rsid w:val="005F42D0"/>
    <w:rsid w:val="005F7C42"/>
    <w:rsid w:val="0062310A"/>
    <w:rsid w:val="00664B16"/>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033D5"/>
    <w:rsid w:val="00B103B9"/>
    <w:rsid w:val="00B51B61"/>
    <w:rsid w:val="00B724BB"/>
    <w:rsid w:val="00BE2A35"/>
    <w:rsid w:val="00BE3554"/>
    <w:rsid w:val="00C129B8"/>
    <w:rsid w:val="00C24461"/>
    <w:rsid w:val="00C2550A"/>
    <w:rsid w:val="00C4699D"/>
    <w:rsid w:val="00CF32AC"/>
    <w:rsid w:val="00D24ADF"/>
    <w:rsid w:val="00D26517"/>
    <w:rsid w:val="00DC55F3"/>
    <w:rsid w:val="00DD5969"/>
    <w:rsid w:val="00E10797"/>
    <w:rsid w:val="00E216FD"/>
    <w:rsid w:val="00E243A8"/>
    <w:rsid w:val="00E6747C"/>
    <w:rsid w:val="00EA0B9A"/>
    <w:rsid w:val="00EA15D1"/>
    <w:rsid w:val="00EA6220"/>
    <w:rsid w:val="00EC1771"/>
    <w:rsid w:val="00F8089C"/>
    <w:rsid w:val="00F93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216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216FD"/>
  </w:style>
  <w:style w:type="character" w:styleId="Strong">
    <w:name w:val="Strong"/>
    <w:basedOn w:val="DefaultParagraphFont"/>
    <w:uiPriority w:val="22"/>
    <w:qFormat/>
    <w:rsid w:val="00E216FD"/>
    <w:rPr>
      <w:b/>
      <w:bCs/>
    </w:rPr>
  </w:style>
  <w:style w:type="character" w:styleId="Emphasis">
    <w:name w:val="Emphasis"/>
    <w:basedOn w:val="DefaultParagraphFont"/>
    <w:uiPriority w:val="20"/>
    <w:qFormat/>
    <w:rsid w:val="00E216FD"/>
    <w:rPr>
      <w:i/>
      <w:iCs/>
    </w:rPr>
  </w:style>
  <w:style w:type="character" w:styleId="Hyperlink">
    <w:name w:val="Hyperlink"/>
    <w:basedOn w:val="DefaultParagraphFont"/>
    <w:uiPriority w:val="99"/>
    <w:unhideWhenUsed/>
    <w:rsid w:val="00E216FD"/>
    <w:rPr>
      <w:color w:val="467886" w:themeColor="hyperlink"/>
      <w:u w:val="single"/>
    </w:rPr>
  </w:style>
  <w:style w:type="character" w:styleId="UnresolvedMention">
    <w:name w:val="Unresolved Mention"/>
    <w:basedOn w:val="DefaultParagraphFont"/>
    <w:uiPriority w:val="99"/>
    <w:semiHidden/>
    <w:unhideWhenUsed/>
    <w:rsid w:val="00E216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8654385">
      <w:bodyDiv w:val="1"/>
      <w:marLeft w:val="0"/>
      <w:marRight w:val="0"/>
      <w:marTop w:val="0"/>
      <w:marBottom w:val="0"/>
      <w:divBdr>
        <w:top w:val="none" w:sz="0" w:space="0" w:color="auto"/>
        <w:left w:val="none" w:sz="0" w:space="0" w:color="auto"/>
        <w:bottom w:val="none" w:sz="0" w:space="0" w:color="auto"/>
        <w:right w:val="none" w:sz="0" w:space="0" w:color="auto"/>
      </w:divBdr>
      <w:divsChild>
        <w:div w:id="1928228165">
          <w:marLeft w:val="0"/>
          <w:marRight w:val="0"/>
          <w:marTop w:val="0"/>
          <w:marBottom w:val="0"/>
          <w:divBdr>
            <w:top w:val="none" w:sz="0" w:space="0" w:color="auto"/>
            <w:left w:val="none" w:sz="0" w:space="0" w:color="auto"/>
            <w:bottom w:val="none" w:sz="0" w:space="0" w:color="auto"/>
            <w:right w:val="none" w:sz="0" w:space="0" w:color="auto"/>
          </w:divBdr>
        </w:div>
      </w:divsChild>
    </w:div>
    <w:div w:id="543754265">
      <w:bodyDiv w:val="1"/>
      <w:marLeft w:val="0"/>
      <w:marRight w:val="0"/>
      <w:marTop w:val="0"/>
      <w:marBottom w:val="0"/>
      <w:divBdr>
        <w:top w:val="none" w:sz="0" w:space="0" w:color="auto"/>
        <w:left w:val="none" w:sz="0" w:space="0" w:color="auto"/>
        <w:bottom w:val="none" w:sz="0" w:space="0" w:color="auto"/>
        <w:right w:val="none" w:sz="0" w:space="0" w:color="auto"/>
      </w:divBdr>
    </w:div>
    <w:div w:id="1894195100">
      <w:bodyDiv w:val="1"/>
      <w:marLeft w:val="0"/>
      <w:marRight w:val="0"/>
      <w:marTop w:val="0"/>
      <w:marBottom w:val="0"/>
      <w:divBdr>
        <w:top w:val="none" w:sz="0" w:space="0" w:color="auto"/>
        <w:left w:val="none" w:sz="0" w:space="0" w:color="auto"/>
        <w:bottom w:val="none" w:sz="0" w:space="0" w:color="auto"/>
        <w:right w:val="none" w:sz="0" w:space="0" w:color="auto"/>
      </w:divBdr>
      <w:divsChild>
        <w:div w:id="5465246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stwaleschronicle.co.uk/blog/2021/11/22/wales-parents-say-schools-dont-do-enough-to-prepare-young-people-for-life-ev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vo.org.uk/help-and-guidance/running-a-charity/collaboration/ways-of-working-collaboratively/partnership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ild-appeal.org/the-psychological-and-physical-effects-of-poverty-on-children" TargetMode="External"/><Relationship Id="rId11"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hyperlink" Target="https://educationwales.blog.gov.wales/2024/05/13/equity-and-inclusion-in-the-curriculum-for-wales/" TargetMode="External"/><Relationship Id="rId4" Type="http://schemas.openxmlformats.org/officeDocument/2006/relationships/webSettings" Target="webSettings.xml"/><Relationship Id="rId9" Type="http://schemas.openxmlformats.org/officeDocument/2006/relationships/hyperlink" Target="https://www.gov.wales/community-focused-schools-case-study-craigfelen-primary-school-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13</Pages>
  <Words>4725</Words>
  <Characters>28351</Characters>
  <Application>Microsoft Office Word</Application>
  <DocSecurity>0</DocSecurity>
  <Lines>423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Megan Howard (2304259)</cp:lastModifiedBy>
  <cp:revision>3</cp:revision>
  <dcterms:created xsi:type="dcterms:W3CDTF">2025-05-01T09:05:00Z</dcterms:created>
  <dcterms:modified xsi:type="dcterms:W3CDTF">2025-05-06T09:56:00Z</dcterms:modified>
</cp:coreProperties>
</file>