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F08AB" w:rsidRDefault="00EF08AB" w:rsidP="00EF08AB"/>
    <w:p w:rsidR="00EF08AB" w:rsidRDefault="00EF08AB" w:rsidP="00EF08AB">
      <w:pPr>
        <w:jc w:val="center"/>
      </w:pPr>
      <w:r w:rsidRPr="00E40036">
        <w:rPr>
          <w:noProof/>
          <w:lang w:val="en-US" w:bidi="gu-IN"/>
        </w:rPr>
        <w:drawing>
          <wp:inline distT="0" distB="0" distL="0" distR="0" wp14:anchorId="743CBF6B" wp14:editId="59886E65">
            <wp:extent cx="5455285" cy="1546689"/>
            <wp:effectExtent l="0" t="0" r="0" b="0"/>
            <wp:docPr id="65067513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75134" name="Picture 1" descr="A close-up of a sign&#10;&#10;Description automatically generated"/>
                    <pic:cNvPicPr/>
                  </pic:nvPicPr>
                  <pic:blipFill>
                    <a:blip r:embed="rId7"/>
                    <a:stretch>
                      <a:fillRect/>
                    </a:stretch>
                  </pic:blipFill>
                  <pic:spPr>
                    <a:xfrm>
                      <a:off x="0" y="0"/>
                      <a:ext cx="5467577" cy="1550174"/>
                    </a:xfrm>
                    <a:prstGeom prst="rect">
                      <a:avLst/>
                    </a:prstGeom>
                  </pic:spPr>
                </pic:pic>
              </a:graphicData>
            </a:graphic>
          </wp:inline>
        </w:drawing>
      </w:r>
    </w:p>
    <w:p w:rsidR="00EF08AB" w:rsidRPr="00E40036" w:rsidRDefault="00EF08AB" w:rsidP="00EF08AB">
      <w:pPr>
        <w:jc w:val="center"/>
        <w:rPr>
          <w:b/>
          <w:bCs/>
          <w:sz w:val="48"/>
          <w:szCs w:val="48"/>
        </w:rPr>
      </w:pPr>
    </w:p>
    <w:p w:rsidR="00EF08AB" w:rsidRPr="00E40036" w:rsidRDefault="00EF08AB" w:rsidP="00EF08AB">
      <w:pPr>
        <w:jc w:val="center"/>
        <w:rPr>
          <w:b/>
          <w:bCs/>
          <w:sz w:val="48"/>
          <w:szCs w:val="48"/>
        </w:rPr>
      </w:pPr>
      <w:r w:rsidRPr="00E40036">
        <w:rPr>
          <w:b/>
          <w:bCs/>
          <w:sz w:val="48"/>
          <w:szCs w:val="48"/>
        </w:rPr>
        <w:t>LCMB 70</w:t>
      </w:r>
      <w:r>
        <w:rPr>
          <w:b/>
          <w:bCs/>
          <w:sz w:val="48"/>
          <w:szCs w:val="48"/>
        </w:rPr>
        <w:t>12</w:t>
      </w:r>
      <w:r w:rsidRPr="00E40036">
        <w:rPr>
          <w:b/>
          <w:bCs/>
          <w:sz w:val="48"/>
          <w:szCs w:val="48"/>
        </w:rPr>
        <w:t xml:space="preserve"> – </w:t>
      </w:r>
      <w:r w:rsidRPr="004012E5">
        <w:rPr>
          <w:b/>
          <w:bCs/>
          <w:sz w:val="48"/>
          <w:szCs w:val="48"/>
        </w:rPr>
        <w:t>Banking Financial Management and Financial Markets</w:t>
      </w:r>
    </w:p>
    <w:p w:rsidR="00EF08AB" w:rsidRPr="00E40036" w:rsidRDefault="00EF08AB" w:rsidP="00EF08AB">
      <w:pPr>
        <w:jc w:val="center"/>
        <w:rPr>
          <w:b/>
          <w:bCs/>
        </w:rPr>
      </w:pPr>
    </w:p>
    <w:p w:rsidR="00EF08AB" w:rsidRDefault="00EF08AB" w:rsidP="00EF08AB">
      <w:pPr>
        <w:jc w:val="center"/>
      </w:pPr>
    </w:p>
    <w:p w:rsidR="00EF08AB" w:rsidRPr="007560F8" w:rsidRDefault="00EF08AB" w:rsidP="00EF08AB">
      <w:pPr>
        <w:jc w:val="center"/>
        <w:rPr>
          <w:b/>
          <w:bCs/>
          <w:sz w:val="44"/>
          <w:szCs w:val="44"/>
        </w:rPr>
      </w:pPr>
      <w:r w:rsidRPr="007560F8">
        <w:rPr>
          <w:b/>
          <w:bCs/>
          <w:sz w:val="44"/>
          <w:szCs w:val="44"/>
        </w:rPr>
        <w:t xml:space="preserve">Safeguarding Financial Stability: Analysing Global Regulatory Responses to the 2008 </w:t>
      </w:r>
      <w:r>
        <w:rPr>
          <w:b/>
          <w:bCs/>
          <w:sz w:val="44"/>
          <w:szCs w:val="44"/>
        </w:rPr>
        <w:t xml:space="preserve">Finance </w:t>
      </w:r>
      <w:r w:rsidRPr="007560F8">
        <w:rPr>
          <w:b/>
          <w:bCs/>
          <w:sz w:val="44"/>
          <w:szCs w:val="44"/>
        </w:rPr>
        <w:t>Crisis</w:t>
      </w:r>
    </w:p>
    <w:p w:rsidR="00EF08AB" w:rsidRPr="007560F8" w:rsidRDefault="00EF08AB" w:rsidP="00EF08AB">
      <w:pPr>
        <w:jc w:val="center"/>
        <w:rPr>
          <w:b/>
          <w:bCs/>
          <w:sz w:val="44"/>
          <w:szCs w:val="44"/>
        </w:rPr>
      </w:pPr>
    </w:p>
    <w:p w:rsidR="00EF08AB" w:rsidRDefault="00EF08AB" w:rsidP="00EF08AB">
      <w:pPr>
        <w:spacing w:line="240" w:lineRule="auto"/>
        <w:jc w:val="center"/>
        <w:rPr>
          <w:b/>
          <w:bCs/>
          <w:sz w:val="44"/>
          <w:szCs w:val="44"/>
        </w:rPr>
      </w:pPr>
      <w:r w:rsidRPr="007560F8">
        <w:rPr>
          <w:b/>
          <w:bCs/>
          <w:sz w:val="44"/>
          <w:szCs w:val="44"/>
        </w:rPr>
        <w:t xml:space="preserve"> Student Name</w:t>
      </w:r>
    </w:p>
    <w:p w:rsidR="00EF08AB" w:rsidRPr="00820656" w:rsidRDefault="00EF08AB" w:rsidP="00EF08AB">
      <w:pPr>
        <w:pStyle w:val="Content"/>
        <w:spacing w:line="240" w:lineRule="auto"/>
        <w:rPr>
          <w:sz w:val="32"/>
          <w:szCs w:val="32"/>
        </w:rPr>
      </w:pPr>
      <w:r>
        <w:t xml:space="preserve">                                                  </w:t>
      </w:r>
      <w:r>
        <w:rPr>
          <w:sz w:val="32"/>
          <w:szCs w:val="32"/>
        </w:rPr>
        <w:t>Meet Mukeshbhai Patel</w:t>
      </w:r>
    </w:p>
    <w:p w:rsidR="00EF08AB" w:rsidRDefault="00EF08AB" w:rsidP="00EF08AB">
      <w:pPr>
        <w:spacing w:line="240" w:lineRule="auto"/>
        <w:jc w:val="center"/>
        <w:rPr>
          <w:b/>
          <w:bCs/>
          <w:sz w:val="44"/>
          <w:szCs w:val="44"/>
        </w:rPr>
      </w:pPr>
      <w:r w:rsidRPr="007560F8">
        <w:rPr>
          <w:b/>
          <w:bCs/>
          <w:sz w:val="44"/>
          <w:szCs w:val="44"/>
        </w:rPr>
        <w:t>Student ID</w:t>
      </w:r>
    </w:p>
    <w:p w:rsidR="00EF08AB" w:rsidRPr="00820656" w:rsidRDefault="00EF08AB" w:rsidP="00EF08AB">
      <w:pPr>
        <w:pStyle w:val="Content"/>
        <w:spacing w:line="240" w:lineRule="auto"/>
        <w:rPr>
          <w:sz w:val="32"/>
          <w:szCs w:val="32"/>
        </w:rPr>
      </w:pPr>
      <w:r>
        <w:rPr>
          <w:sz w:val="32"/>
          <w:szCs w:val="32"/>
        </w:rPr>
        <w:t xml:space="preserve">                                              </w:t>
      </w:r>
      <w:r w:rsidRPr="00820656">
        <w:rPr>
          <w:sz w:val="32"/>
          <w:szCs w:val="32"/>
        </w:rPr>
        <w:t>2241321</w:t>
      </w:r>
    </w:p>
    <w:p w:rsidR="00EF08AB" w:rsidRDefault="00EF08AB" w:rsidP="00EF08AB">
      <w:pPr>
        <w:spacing w:line="240" w:lineRule="auto"/>
        <w:jc w:val="center"/>
        <w:rPr>
          <w:sz w:val="32"/>
          <w:szCs w:val="32"/>
        </w:rPr>
      </w:pPr>
      <w:r w:rsidRPr="007560F8">
        <w:rPr>
          <w:b/>
          <w:bCs/>
          <w:sz w:val="44"/>
          <w:szCs w:val="44"/>
        </w:rPr>
        <w:t xml:space="preserve">Word Count: </w:t>
      </w:r>
      <w:r w:rsidRPr="00820656">
        <w:rPr>
          <w:sz w:val="32"/>
          <w:szCs w:val="32"/>
        </w:rPr>
        <w:t>4990</w:t>
      </w:r>
    </w:p>
    <w:p w:rsidR="00EF08AB" w:rsidRDefault="00EF08AB" w:rsidP="00EF08AB">
      <w:pPr>
        <w:spacing w:line="240" w:lineRule="auto"/>
        <w:jc w:val="center"/>
        <w:rPr>
          <w:b/>
          <w:bCs/>
          <w:sz w:val="44"/>
          <w:szCs w:val="44"/>
        </w:rPr>
      </w:pPr>
      <w:r>
        <w:rPr>
          <w:b/>
          <w:bCs/>
          <w:sz w:val="44"/>
          <w:szCs w:val="44"/>
        </w:rPr>
        <w:t>Module Leader</w:t>
      </w:r>
    </w:p>
    <w:p w:rsidR="00EF08AB" w:rsidRPr="00820656" w:rsidRDefault="00EF08AB" w:rsidP="00EF08AB">
      <w:pPr>
        <w:pStyle w:val="Content"/>
        <w:rPr>
          <w:sz w:val="32"/>
          <w:szCs w:val="32"/>
        </w:rPr>
      </w:pPr>
      <w:r>
        <w:t xml:space="preserve">                                                             </w:t>
      </w:r>
      <w:r>
        <w:rPr>
          <w:sz w:val="32"/>
          <w:szCs w:val="32"/>
        </w:rPr>
        <w:t>David Coker</w:t>
      </w:r>
    </w:p>
    <w:p w:rsidR="00EF08AB" w:rsidRPr="007560F8" w:rsidRDefault="00EF08AB" w:rsidP="00EF08AB">
      <w:pPr>
        <w:jc w:val="center"/>
        <w:rPr>
          <w:b/>
          <w:bCs/>
          <w:sz w:val="44"/>
          <w:szCs w:val="44"/>
        </w:rPr>
      </w:pPr>
    </w:p>
    <w:p w:rsidR="00EF08AB" w:rsidRDefault="00EF08AB" w:rsidP="00EF08AB">
      <w:pPr>
        <w:jc w:val="center"/>
        <w:rPr>
          <w:b/>
          <w:bCs/>
          <w:sz w:val="48"/>
          <w:szCs w:val="48"/>
        </w:rPr>
      </w:pPr>
    </w:p>
    <w:p w:rsidR="00EF08AB" w:rsidRDefault="00EF08AB" w:rsidP="00EF08AB">
      <w:pPr>
        <w:jc w:val="center"/>
        <w:rPr>
          <w:b/>
          <w:bCs/>
          <w:sz w:val="48"/>
          <w:szCs w:val="48"/>
        </w:rPr>
      </w:pPr>
    </w:p>
    <w:p w:rsidR="00EF08AB" w:rsidRPr="00E40036" w:rsidRDefault="00EF08AB" w:rsidP="00EF08AB">
      <w:pPr>
        <w:jc w:val="center"/>
        <w:rPr>
          <w:b/>
          <w:bCs/>
          <w:sz w:val="48"/>
          <w:szCs w:val="48"/>
        </w:rPr>
      </w:pPr>
    </w:p>
    <w:p w:rsidR="00EF08AB" w:rsidRDefault="00EF08AB" w:rsidP="00EF08AB"/>
    <w:sdt>
      <w:sdtPr>
        <w:rPr>
          <w:rFonts w:asciiTheme="minorHAnsi" w:eastAsiaTheme="minorHAnsi" w:hAnsiTheme="minorHAnsi" w:cstheme="minorBidi"/>
          <w:color w:val="auto"/>
          <w:kern w:val="2"/>
          <w:sz w:val="22"/>
          <w:szCs w:val="22"/>
          <w:lang w:val="en-GB"/>
          <w14:ligatures w14:val="standardContextual"/>
        </w:rPr>
        <w:id w:val="785550407"/>
        <w:docPartObj>
          <w:docPartGallery w:val="Table of Contents"/>
          <w:docPartUnique/>
        </w:docPartObj>
      </w:sdtPr>
      <w:sdtEndPr>
        <w:rPr>
          <w:b/>
          <w:bCs/>
          <w:noProof/>
        </w:rPr>
      </w:sdtEndPr>
      <w:sdtContent>
        <w:p w:rsidR="00EF08AB" w:rsidRDefault="00EF08AB" w:rsidP="00EF08AB">
          <w:pPr>
            <w:pStyle w:val="TOCHeading"/>
            <w:rPr>
              <w:b/>
              <w:bCs/>
            </w:rPr>
          </w:pPr>
          <w:r w:rsidRPr="005920A1">
            <w:rPr>
              <w:b/>
              <w:bCs/>
            </w:rPr>
            <w:t>Table of Contents</w:t>
          </w:r>
        </w:p>
        <w:p w:rsidR="00EF08AB" w:rsidRPr="005920A1" w:rsidRDefault="00EF08AB" w:rsidP="00EF08AB">
          <w:pPr>
            <w:rPr>
              <w:lang w:val="en-US"/>
            </w:rPr>
          </w:pPr>
        </w:p>
        <w:p w:rsidR="00EF08AB" w:rsidRPr="00EB640B" w:rsidRDefault="00EF08AB" w:rsidP="00EF08AB">
          <w:pPr>
            <w:pStyle w:val="TOC1"/>
            <w:tabs>
              <w:tab w:val="left" w:pos="440"/>
              <w:tab w:val="right" w:leader="dot" w:pos="9016"/>
            </w:tabs>
            <w:rPr>
              <w:rFonts w:ascii="Times New Roman" w:eastAsiaTheme="minorEastAsia" w:hAnsi="Times New Roman" w:cs="Times New Roman"/>
              <w:noProof/>
              <w:sz w:val="24"/>
              <w:szCs w:val="24"/>
              <w:lang w:eastAsia="en-GB"/>
            </w:rPr>
          </w:pPr>
          <w:r w:rsidRPr="00EB640B">
            <w:rPr>
              <w:rFonts w:ascii="Times New Roman" w:hAnsi="Times New Roman" w:cs="Times New Roman"/>
              <w:sz w:val="24"/>
              <w:szCs w:val="24"/>
            </w:rPr>
            <w:fldChar w:fldCharType="begin"/>
          </w:r>
          <w:r w:rsidRPr="00EB640B">
            <w:rPr>
              <w:rFonts w:ascii="Times New Roman" w:hAnsi="Times New Roman" w:cs="Times New Roman"/>
              <w:sz w:val="24"/>
              <w:szCs w:val="24"/>
            </w:rPr>
            <w:instrText xml:space="preserve"> TOC \o "1-3" \h \z \u </w:instrText>
          </w:r>
          <w:r w:rsidRPr="00EB640B">
            <w:rPr>
              <w:rFonts w:ascii="Times New Roman" w:hAnsi="Times New Roman" w:cs="Times New Roman"/>
              <w:sz w:val="24"/>
              <w:szCs w:val="24"/>
            </w:rPr>
            <w:fldChar w:fldCharType="separate"/>
          </w:r>
          <w:hyperlink w:anchor="_Toc154499908" w:history="1">
            <w:r w:rsidRPr="00EB640B">
              <w:rPr>
                <w:rStyle w:val="Hyperlink"/>
                <w:rFonts w:ascii="Times New Roman" w:hAnsi="Times New Roman" w:cs="Times New Roman"/>
                <w:noProof/>
                <w:sz w:val="24"/>
                <w:szCs w:val="24"/>
              </w:rPr>
              <w:t>1</w:t>
            </w:r>
            <w:r w:rsidRPr="00EB640B">
              <w:rPr>
                <w:rFonts w:ascii="Times New Roman" w:eastAsiaTheme="minorEastAsia" w:hAnsi="Times New Roman" w:cs="Times New Roman"/>
                <w:noProof/>
                <w:sz w:val="24"/>
                <w:szCs w:val="24"/>
                <w:lang w:eastAsia="en-GB"/>
              </w:rPr>
              <w:tab/>
            </w:r>
            <w:r w:rsidRPr="00EB640B">
              <w:rPr>
                <w:rStyle w:val="Hyperlink"/>
                <w:rFonts w:ascii="Times New Roman" w:hAnsi="Times New Roman" w:cs="Times New Roman"/>
                <w:noProof/>
                <w:sz w:val="24"/>
                <w:szCs w:val="24"/>
              </w:rPr>
              <w:t>Introduction</w:t>
            </w:r>
            <w:r w:rsidRPr="00EB640B">
              <w:rPr>
                <w:rFonts w:ascii="Times New Roman" w:hAnsi="Times New Roman" w:cs="Times New Roman"/>
                <w:noProof/>
                <w:webHidden/>
                <w:sz w:val="24"/>
                <w:szCs w:val="24"/>
              </w:rPr>
              <w:tab/>
            </w:r>
            <w:r w:rsidRPr="00EB640B">
              <w:rPr>
                <w:rFonts w:ascii="Times New Roman" w:hAnsi="Times New Roman" w:cs="Times New Roman"/>
                <w:noProof/>
                <w:webHidden/>
                <w:sz w:val="24"/>
                <w:szCs w:val="24"/>
              </w:rPr>
              <w:fldChar w:fldCharType="begin"/>
            </w:r>
            <w:r w:rsidRPr="00EB640B">
              <w:rPr>
                <w:rFonts w:ascii="Times New Roman" w:hAnsi="Times New Roman" w:cs="Times New Roman"/>
                <w:noProof/>
                <w:webHidden/>
                <w:sz w:val="24"/>
                <w:szCs w:val="24"/>
              </w:rPr>
              <w:instrText xml:space="preserve"> PAGEREF _Toc154499908 \h </w:instrText>
            </w:r>
            <w:r w:rsidRPr="00EB640B">
              <w:rPr>
                <w:rFonts w:ascii="Times New Roman" w:hAnsi="Times New Roman" w:cs="Times New Roman"/>
                <w:noProof/>
                <w:webHidden/>
                <w:sz w:val="24"/>
                <w:szCs w:val="24"/>
              </w:rPr>
            </w:r>
            <w:r w:rsidRPr="00EB640B">
              <w:rPr>
                <w:rFonts w:ascii="Times New Roman" w:hAnsi="Times New Roman" w:cs="Times New Roman"/>
                <w:noProof/>
                <w:webHidden/>
                <w:sz w:val="24"/>
                <w:szCs w:val="24"/>
              </w:rPr>
              <w:fldChar w:fldCharType="separate"/>
            </w:r>
            <w:r w:rsidRPr="00EB640B">
              <w:rPr>
                <w:rFonts w:ascii="Times New Roman" w:hAnsi="Times New Roman" w:cs="Times New Roman"/>
                <w:noProof/>
                <w:webHidden/>
                <w:sz w:val="24"/>
                <w:szCs w:val="24"/>
              </w:rPr>
              <w:t>3</w:t>
            </w:r>
            <w:r w:rsidRPr="00EB640B">
              <w:rPr>
                <w:rFonts w:ascii="Times New Roman" w:hAnsi="Times New Roman" w:cs="Times New Roman"/>
                <w:noProof/>
                <w:webHidden/>
                <w:sz w:val="24"/>
                <w:szCs w:val="24"/>
              </w:rPr>
              <w:fldChar w:fldCharType="end"/>
            </w:r>
          </w:hyperlink>
        </w:p>
        <w:p w:rsidR="00EF08AB" w:rsidRPr="00EB640B" w:rsidRDefault="00A91234" w:rsidP="00EF08AB">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4499909" w:history="1">
            <w:r w:rsidR="00EF08AB" w:rsidRPr="00EB640B">
              <w:rPr>
                <w:rStyle w:val="Hyperlink"/>
                <w:rFonts w:ascii="Times New Roman" w:hAnsi="Times New Roman" w:cs="Times New Roman"/>
                <w:noProof/>
                <w:sz w:val="24"/>
                <w:szCs w:val="24"/>
              </w:rPr>
              <w:t>2</w:t>
            </w:r>
            <w:r w:rsidR="00EF08AB" w:rsidRPr="00EB640B">
              <w:rPr>
                <w:rFonts w:ascii="Times New Roman" w:eastAsiaTheme="minorEastAsia" w:hAnsi="Times New Roman" w:cs="Times New Roman"/>
                <w:noProof/>
                <w:sz w:val="24"/>
                <w:szCs w:val="24"/>
                <w:lang w:eastAsia="en-GB"/>
              </w:rPr>
              <w:tab/>
            </w:r>
            <w:r w:rsidR="00EF08AB" w:rsidRPr="00EB640B">
              <w:rPr>
                <w:rStyle w:val="Hyperlink"/>
                <w:rFonts w:ascii="Times New Roman" w:hAnsi="Times New Roman" w:cs="Times New Roman"/>
                <w:noProof/>
                <w:sz w:val="24"/>
                <w:szCs w:val="24"/>
              </w:rPr>
              <w:t>Key US Financial Reform Laws and Regulations Enacted After the 2008 Crisis</w:t>
            </w:r>
            <w:r w:rsidR="00EF08AB" w:rsidRPr="00EB640B">
              <w:rPr>
                <w:rFonts w:ascii="Times New Roman" w:hAnsi="Times New Roman" w:cs="Times New Roman"/>
                <w:noProof/>
                <w:webHidden/>
                <w:sz w:val="24"/>
                <w:szCs w:val="24"/>
              </w:rPr>
              <w:tab/>
            </w:r>
            <w:r w:rsidR="00EF08AB" w:rsidRPr="00EB640B">
              <w:rPr>
                <w:rFonts w:ascii="Times New Roman" w:hAnsi="Times New Roman" w:cs="Times New Roman"/>
                <w:noProof/>
                <w:webHidden/>
                <w:sz w:val="24"/>
                <w:szCs w:val="24"/>
              </w:rPr>
              <w:fldChar w:fldCharType="begin"/>
            </w:r>
            <w:r w:rsidR="00EF08AB" w:rsidRPr="00EB640B">
              <w:rPr>
                <w:rFonts w:ascii="Times New Roman" w:hAnsi="Times New Roman" w:cs="Times New Roman"/>
                <w:noProof/>
                <w:webHidden/>
                <w:sz w:val="24"/>
                <w:szCs w:val="24"/>
              </w:rPr>
              <w:instrText xml:space="preserve"> PAGEREF _Toc154499909 \h </w:instrText>
            </w:r>
            <w:r w:rsidR="00EF08AB" w:rsidRPr="00EB640B">
              <w:rPr>
                <w:rFonts w:ascii="Times New Roman" w:hAnsi="Times New Roman" w:cs="Times New Roman"/>
                <w:noProof/>
                <w:webHidden/>
                <w:sz w:val="24"/>
                <w:szCs w:val="24"/>
              </w:rPr>
            </w:r>
            <w:r w:rsidR="00EF08AB" w:rsidRPr="00EB640B">
              <w:rPr>
                <w:rFonts w:ascii="Times New Roman" w:hAnsi="Times New Roman" w:cs="Times New Roman"/>
                <w:noProof/>
                <w:webHidden/>
                <w:sz w:val="24"/>
                <w:szCs w:val="24"/>
              </w:rPr>
              <w:fldChar w:fldCharType="separate"/>
            </w:r>
            <w:r w:rsidR="00EF08AB" w:rsidRPr="00EB640B">
              <w:rPr>
                <w:rFonts w:ascii="Times New Roman" w:hAnsi="Times New Roman" w:cs="Times New Roman"/>
                <w:noProof/>
                <w:webHidden/>
                <w:sz w:val="24"/>
                <w:szCs w:val="24"/>
              </w:rPr>
              <w:t>4</w:t>
            </w:r>
            <w:r w:rsidR="00EF08AB" w:rsidRPr="00EB640B">
              <w:rPr>
                <w:rFonts w:ascii="Times New Roman" w:hAnsi="Times New Roman" w:cs="Times New Roman"/>
                <w:noProof/>
                <w:webHidden/>
                <w:sz w:val="24"/>
                <w:szCs w:val="24"/>
              </w:rPr>
              <w:fldChar w:fldCharType="end"/>
            </w:r>
          </w:hyperlink>
        </w:p>
        <w:p w:rsidR="00EF08AB" w:rsidRPr="00EB640B" w:rsidRDefault="00A91234" w:rsidP="00EF08AB">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4499910" w:history="1">
            <w:r w:rsidR="00EF08AB" w:rsidRPr="00EB640B">
              <w:rPr>
                <w:rStyle w:val="Hyperlink"/>
                <w:rFonts w:ascii="Times New Roman" w:hAnsi="Times New Roman" w:cs="Times New Roman"/>
                <w:noProof/>
                <w:sz w:val="24"/>
                <w:szCs w:val="24"/>
              </w:rPr>
              <w:t>2.1</w:t>
            </w:r>
            <w:r w:rsidR="00EF08AB" w:rsidRPr="00EB640B">
              <w:rPr>
                <w:rFonts w:ascii="Times New Roman" w:eastAsiaTheme="minorEastAsia" w:hAnsi="Times New Roman" w:cs="Times New Roman"/>
                <w:noProof/>
                <w:sz w:val="24"/>
                <w:szCs w:val="24"/>
                <w:lang w:eastAsia="en-GB"/>
              </w:rPr>
              <w:tab/>
            </w:r>
            <w:r w:rsidR="00EF08AB" w:rsidRPr="00EB640B">
              <w:rPr>
                <w:rStyle w:val="Hyperlink"/>
                <w:rFonts w:ascii="Times New Roman" w:hAnsi="Times New Roman" w:cs="Times New Roman"/>
                <w:noProof/>
                <w:sz w:val="24"/>
                <w:szCs w:val="24"/>
              </w:rPr>
              <w:t>Other Key Regulations</w:t>
            </w:r>
            <w:r w:rsidR="00EF08AB" w:rsidRPr="00EB640B">
              <w:rPr>
                <w:rFonts w:ascii="Times New Roman" w:hAnsi="Times New Roman" w:cs="Times New Roman"/>
                <w:noProof/>
                <w:webHidden/>
                <w:sz w:val="24"/>
                <w:szCs w:val="24"/>
              </w:rPr>
              <w:tab/>
            </w:r>
            <w:r w:rsidR="00EF08AB" w:rsidRPr="00EB640B">
              <w:rPr>
                <w:rFonts w:ascii="Times New Roman" w:hAnsi="Times New Roman" w:cs="Times New Roman"/>
                <w:noProof/>
                <w:webHidden/>
                <w:sz w:val="24"/>
                <w:szCs w:val="24"/>
              </w:rPr>
              <w:fldChar w:fldCharType="begin"/>
            </w:r>
            <w:r w:rsidR="00EF08AB" w:rsidRPr="00EB640B">
              <w:rPr>
                <w:rFonts w:ascii="Times New Roman" w:hAnsi="Times New Roman" w:cs="Times New Roman"/>
                <w:noProof/>
                <w:webHidden/>
                <w:sz w:val="24"/>
                <w:szCs w:val="24"/>
              </w:rPr>
              <w:instrText xml:space="preserve"> PAGEREF _Toc154499910 \h </w:instrText>
            </w:r>
            <w:r w:rsidR="00EF08AB" w:rsidRPr="00EB640B">
              <w:rPr>
                <w:rFonts w:ascii="Times New Roman" w:hAnsi="Times New Roman" w:cs="Times New Roman"/>
                <w:noProof/>
                <w:webHidden/>
                <w:sz w:val="24"/>
                <w:szCs w:val="24"/>
              </w:rPr>
            </w:r>
            <w:r w:rsidR="00EF08AB" w:rsidRPr="00EB640B">
              <w:rPr>
                <w:rFonts w:ascii="Times New Roman" w:hAnsi="Times New Roman" w:cs="Times New Roman"/>
                <w:noProof/>
                <w:webHidden/>
                <w:sz w:val="24"/>
                <w:szCs w:val="24"/>
              </w:rPr>
              <w:fldChar w:fldCharType="separate"/>
            </w:r>
            <w:r w:rsidR="00EF08AB" w:rsidRPr="00EB640B">
              <w:rPr>
                <w:rFonts w:ascii="Times New Roman" w:hAnsi="Times New Roman" w:cs="Times New Roman"/>
                <w:noProof/>
                <w:webHidden/>
                <w:sz w:val="24"/>
                <w:szCs w:val="24"/>
              </w:rPr>
              <w:t>5</w:t>
            </w:r>
            <w:r w:rsidR="00EF08AB" w:rsidRPr="00EB640B">
              <w:rPr>
                <w:rFonts w:ascii="Times New Roman" w:hAnsi="Times New Roman" w:cs="Times New Roman"/>
                <w:noProof/>
                <w:webHidden/>
                <w:sz w:val="24"/>
                <w:szCs w:val="24"/>
              </w:rPr>
              <w:fldChar w:fldCharType="end"/>
            </w:r>
          </w:hyperlink>
        </w:p>
        <w:p w:rsidR="00EF08AB" w:rsidRPr="00EB640B" w:rsidRDefault="00A91234" w:rsidP="00EF08AB">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4499911" w:history="1">
            <w:r w:rsidR="00EF08AB" w:rsidRPr="00EB640B">
              <w:rPr>
                <w:rStyle w:val="Hyperlink"/>
                <w:rFonts w:ascii="Times New Roman" w:hAnsi="Times New Roman" w:cs="Times New Roman"/>
                <w:noProof/>
                <w:sz w:val="24"/>
                <w:szCs w:val="24"/>
              </w:rPr>
              <w:t>3</w:t>
            </w:r>
            <w:r w:rsidR="00EF08AB" w:rsidRPr="00EB640B">
              <w:rPr>
                <w:rFonts w:ascii="Times New Roman" w:eastAsiaTheme="minorEastAsia" w:hAnsi="Times New Roman" w:cs="Times New Roman"/>
                <w:noProof/>
                <w:sz w:val="24"/>
                <w:szCs w:val="24"/>
                <w:lang w:eastAsia="en-GB"/>
              </w:rPr>
              <w:tab/>
            </w:r>
            <w:r w:rsidR="00EF08AB" w:rsidRPr="00EB640B">
              <w:rPr>
                <w:rStyle w:val="Hyperlink"/>
                <w:rFonts w:ascii="Times New Roman" w:hAnsi="Times New Roman" w:cs="Times New Roman"/>
                <w:noProof/>
                <w:sz w:val="24"/>
                <w:szCs w:val="24"/>
              </w:rPr>
              <w:t>Comprehensive Overhaul: UK's Regulatory Response to Stabilize its Financial System After the 2008 Crisis</w:t>
            </w:r>
            <w:r w:rsidR="00EF08AB" w:rsidRPr="00EB640B">
              <w:rPr>
                <w:rFonts w:ascii="Times New Roman" w:hAnsi="Times New Roman" w:cs="Times New Roman"/>
                <w:noProof/>
                <w:webHidden/>
                <w:sz w:val="24"/>
                <w:szCs w:val="24"/>
              </w:rPr>
              <w:tab/>
            </w:r>
            <w:r w:rsidR="00EF08AB" w:rsidRPr="00EB640B">
              <w:rPr>
                <w:rFonts w:ascii="Times New Roman" w:hAnsi="Times New Roman" w:cs="Times New Roman"/>
                <w:noProof/>
                <w:webHidden/>
                <w:sz w:val="24"/>
                <w:szCs w:val="24"/>
              </w:rPr>
              <w:fldChar w:fldCharType="begin"/>
            </w:r>
            <w:r w:rsidR="00EF08AB" w:rsidRPr="00EB640B">
              <w:rPr>
                <w:rFonts w:ascii="Times New Roman" w:hAnsi="Times New Roman" w:cs="Times New Roman"/>
                <w:noProof/>
                <w:webHidden/>
                <w:sz w:val="24"/>
                <w:szCs w:val="24"/>
              </w:rPr>
              <w:instrText xml:space="preserve"> PAGEREF _Toc154499911 \h </w:instrText>
            </w:r>
            <w:r w:rsidR="00EF08AB" w:rsidRPr="00EB640B">
              <w:rPr>
                <w:rFonts w:ascii="Times New Roman" w:hAnsi="Times New Roman" w:cs="Times New Roman"/>
                <w:noProof/>
                <w:webHidden/>
                <w:sz w:val="24"/>
                <w:szCs w:val="24"/>
              </w:rPr>
            </w:r>
            <w:r w:rsidR="00EF08AB" w:rsidRPr="00EB640B">
              <w:rPr>
                <w:rFonts w:ascii="Times New Roman" w:hAnsi="Times New Roman" w:cs="Times New Roman"/>
                <w:noProof/>
                <w:webHidden/>
                <w:sz w:val="24"/>
                <w:szCs w:val="24"/>
              </w:rPr>
              <w:fldChar w:fldCharType="separate"/>
            </w:r>
            <w:r w:rsidR="00EF08AB" w:rsidRPr="00EB640B">
              <w:rPr>
                <w:rFonts w:ascii="Times New Roman" w:hAnsi="Times New Roman" w:cs="Times New Roman"/>
                <w:noProof/>
                <w:webHidden/>
                <w:sz w:val="24"/>
                <w:szCs w:val="24"/>
              </w:rPr>
              <w:t>7</w:t>
            </w:r>
            <w:r w:rsidR="00EF08AB" w:rsidRPr="00EB640B">
              <w:rPr>
                <w:rFonts w:ascii="Times New Roman" w:hAnsi="Times New Roman" w:cs="Times New Roman"/>
                <w:noProof/>
                <w:webHidden/>
                <w:sz w:val="24"/>
                <w:szCs w:val="24"/>
              </w:rPr>
              <w:fldChar w:fldCharType="end"/>
            </w:r>
          </w:hyperlink>
        </w:p>
        <w:p w:rsidR="00EF08AB" w:rsidRPr="00EB640B" w:rsidRDefault="00A91234" w:rsidP="00EF08AB">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4499912" w:history="1">
            <w:r w:rsidR="00EF08AB" w:rsidRPr="00EB640B">
              <w:rPr>
                <w:rStyle w:val="Hyperlink"/>
                <w:rFonts w:ascii="Times New Roman" w:hAnsi="Times New Roman" w:cs="Times New Roman"/>
                <w:noProof/>
                <w:sz w:val="24"/>
                <w:szCs w:val="24"/>
              </w:rPr>
              <w:t>3.1</w:t>
            </w:r>
            <w:r w:rsidR="00EF08AB" w:rsidRPr="00EB640B">
              <w:rPr>
                <w:rFonts w:ascii="Times New Roman" w:eastAsiaTheme="minorEastAsia" w:hAnsi="Times New Roman" w:cs="Times New Roman"/>
                <w:noProof/>
                <w:sz w:val="24"/>
                <w:szCs w:val="24"/>
                <w:lang w:eastAsia="en-GB"/>
              </w:rPr>
              <w:tab/>
            </w:r>
            <w:r w:rsidR="00EF08AB" w:rsidRPr="00EB640B">
              <w:rPr>
                <w:rStyle w:val="Hyperlink"/>
                <w:rFonts w:ascii="Times New Roman" w:hAnsi="Times New Roman" w:cs="Times New Roman"/>
                <w:noProof/>
                <w:sz w:val="24"/>
                <w:szCs w:val="24"/>
              </w:rPr>
              <w:t>Laws &amp; Regulations</w:t>
            </w:r>
            <w:r w:rsidR="00EF08AB" w:rsidRPr="00EB640B">
              <w:rPr>
                <w:rFonts w:ascii="Times New Roman" w:hAnsi="Times New Roman" w:cs="Times New Roman"/>
                <w:noProof/>
                <w:webHidden/>
                <w:sz w:val="24"/>
                <w:szCs w:val="24"/>
              </w:rPr>
              <w:tab/>
            </w:r>
            <w:r w:rsidR="00EF08AB" w:rsidRPr="00EB640B">
              <w:rPr>
                <w:rFonts w:ascii="Times New Roman" w:hAnsi="Times New Roman" w:cs="Times New Roman"/>
                <w:noProof/>
                <w:webHidden/>
                <w:sz w:val="24"/>
                <w:szCs w:val="24"/>
              </w:rPr>
              <w:fldChar w:fldCharType="begin"/>
            </w:r>
            <w:r w:rsidR="00EF08AB" w:rsidRPr="00EB640B">
              <w:rPr>
                <w:rFonts w:ascii="Times New Roman" w:hAnsi="Times New Roman" w:cs="Times New Roman"/>
                <w:noProof/>
                <w:webHidden/>
                <w:sz w:val="24"/>
                <w:szCs w:val="24"/>
              </w:rPr>
              <w:instrText xml:space="preserve"> PAGEREF _Toc154499912 \h </w:instrText>
            </w:r>
            <w:r w:rsidR="00EF08AB" w:rsidRPr="00EB640B">
              <w:rPr>
                <w:rFonts w:ascii="Times New Roman" w:hAnsi="Times New Roman" w:cs="Times New Roman"/>
                <w:noProof/>
                <w:webHidden/>
                <w:sz w:val="24"/>
                <w:szCs w:val="24"/>
              </w:rPr>
            </w:r>
            <w:r w:rsidR="00EF08AB" w:rsidRPr="00EB640B">
              <w:rPr>
                <w:rFonts w:ascii="Times New Roman" w:hAnsi="Times New Roman" w:cs="Times New Roman"/>
                <w:noProof/>
                <w:webHidden/>
                <w:sz w:val="24"/>
                <w:szCs w:val="24"/>
              </w:rPr>
              <w:fldChar w:fldCharType="separate"/>
            </w:r>
            <w:r w:rsidR="00EF08AB" w:rsidRPr="00EB640B">
              <w:rPr>
                <w:rFonts w:ascii="Times New Roman" w:hAnsi="Times New Roman" w:cs="Times New Roman"/>
                <w:noProof/>
                <w:webHidden/>
                <w:sz w:val="24"/>
                <w:szCs w:val="24"/>
              </w:rPr>
              <w:t>7</w:t>
            </w:r>
            <w:r w:rsidR="00EF08AB" w:rsidRPr="00EB640B">
              <w:rPr>
                <w:rFonts w:ascii="Times New Roman" w:hAnsi="Times New Roman" w:cs="Times New Roman"/>
                <w:noProof/>
                <w:webHidden/>
                <w:sz w:val="24"/>
                <w:szCs w:val="24"/>
              </w:rPr>
              <w:fldChar w:fldCharType="end"/>
            </w:r>
          </w:hyperlink>
        </w:p>
        <w:p w:rsidR="00EF08AB" w:rsidRPr="00EB640B" w:rsidRDefault="00A91234" w:rsidP="00EF08AB">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4499913" w:history="1">
            <w:r w:rsidR="00EF08AB" w:rsidRPr="00EB640B">
              <w:rPr>
                <w:rStyle w:val="Hyperlink"/>
                <w:rFonts w:ascii="Times New Roman" w:hAnsi="Times New Roman" w:cs="Times New Roman"/>
                <w:noProof/>
                <w:sz w:val="24"/>
                <w:szCs w:val="24"/>
              </w:rPr>
              <w:t>3.2</w:t>
            </w:r>
            <w:r w:rsidR="00EF08AB" w:rsidRPr="00EB640B">
              <w:rPr>
                <w:rFonts w:ascii="Times New Roman" w:eastAsiaTheme="minorEastAsia" w:hAnsi="Times New Roman" w:cs="Times New Roman"/>
                <w:noProof/>
                <w:sz w:val="24"/>
                <w:szCs w:val="24"/>
                <w:lang w:eastAsia="en-GB"/>
              </w:rPr>
              <w:tab/>
            </w:r>
            <w:r w:rsidR="00EF08AB" w:rsidRPr="00EB640B">
              <w:rPr>
                <w:rStyle w:val="Hyperlink"/>
                <w:rFonts w:ascii="Times New Roman" w:hAnsi="Times New Roman" w:cs="Times New Roman"/>
                <w:noProof/>
                <w:sz w:val="24"/>
                <w:szCs w:val="24"/>
              </w:rPr>
              <w:t>Contracts and Government Interventions</w:t>
            </w:r>
            <w:r w:rsidR="00EF08AB" w:rsidRPr="00EB640B">
              <w:rPr>
                <w:rFonts w:ascii="Times New Roman" w:hAnsi="Times New Roman" w:cs="Times New Roman"/>
                <w:noProof/>
                <w:webHidden/>
                <w:sz w:val="24"/>
                <w:szCs w:val="24"/>
              </w:rPr>
              <w:tab/>
            </w:r>
            <w:r w:rsidR="00EF08AB" w:rsidRPr="00EB640B">
              <w:rPr>
                <w:rFonts w:ascii="Times New Roman" w:hAnsi="Times New Roman" w:cs="Times New Roman"/>
                <w:noProof/>
                <w:webHidden/>
                <w:sz w:val="24"/>
                <w:szCs w:val="24"/>
              </w:rPr>
              <w:fldChar w:fldCharType="begin"/>
            </w:r>
            <w:r w:rsidR="00EF08AB" w:rsidRPr="00EB640B">
              <w:rPr>
                <w:rFonts w:ascii="Times New Roman" w:hAnsi="Times New Roman" w:cs="Times New Roman"/>
                <w:noProof/>
                <w:webHidden/>
                <w:sz w:val="24"/>
                <w:szCs w:val="24"/>
              </w:rPr>
              <w:instrText xml:space="preserve"> PAGEREF _Toc154499913 \h </w:instrText>
            </w:r>
            <w:r w:rsidR="00EF08AB" w:rsidRPr="00EB640B">
              <w:rPr>
                <w:rFonts w:ascii="Times New Roman" w:hAnsi="Times New Roman" w:cs="Times New Roman"/>
                <w:noProof/>
                <w:webHidden/>
                <w:sz w:val="24"/>
                <w:szCs w:val="24"/>
              </w:rPr>
            </w:r>
            <w:r w:rsidR="00EF08AB" w:rsidRPr="00EB640B">
              <w:rPr>
                <w:rFonts w:ascii="Times New Roman" w:hAnsi="Times New Roman" w:cs="Times New Roman"/>
                <w:noProof/>
                <w:webHidden/>
                <w:sz w:val="24"/>
                <w:szCs w:val="24"/>
              </w:rPr>
              <w:fldChar w:fldCharType="separate"/>
            </w:r>
            <w:r w:rsidR="00EF08AB" w:rsidRPr="00EB640B">
              <w:rPr>
                <w:rFonts w:ascii="Times New Roman" w:hAnsi="Times New Roman" w:cs="Times New Roman"/>
                <w:noProof/>
                <w:webHidden/>
                <w:sz w:val="24"/>
                <w:szCs w:val="24"/>
              </w:rPr>
              <w:t>9</w:t>
            </w:r>
            <w:r w:rsidR="00EF08AB" w:rsidRPr="00EB640B">
              <w:rPr>
                <w:rFonts w:ascii="Times New Roman" w:hAnsi="Times New Roman" w:cs="Times New Roman"/>
                <w:noProof/>
                <w:webHidden/>
                <w:sz w:val="24"/>
                <w:szCs w:val="24"/>
              </w:rPr>
              <w:fldChar w:fldCharType="end"/>
            </w:r>
          </w:hyperlink>
        </w:p>
        <w:p w:rsidR="00EF08AB" w:rsidRPr="00EB640B" w:rsidRDefault="00A91234" w:rsidP="00EF08AB">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4499914" w:history="1">
            <w:r w:rsidR="00EF08AB" w:rsidRPr="00EB640B">
              <w:rPr>
                <w:rStyle w:val="Hyperlink"/>
                <w:rFonts w:ascii="Times New Roman" w:hAnsi="Times New Roman" w:cs="Times New Roman"/>
                <w:noProof/>
                <w:sz w:val="24"/>
                <w:szCs w:val="24"/>
              </w:rPr>
              <w:t>3.3</w:t>
            </w:r>
            <w:r w:rsidR="00EF08AB" w:rsidRPr="00EB640B">
              <w:rPr>
                <w:rFonts w:ascii="Times New Roman" w:eastAsiaTheme="minorEastAsia" w:hAnsi="Times New Roman" w:cs="Times New Roman"/>
                <w:noProof/>
                <w:sz w:val="24"/>
                <w:szCs w:val="24"/>
                <w:lang w:eastAsia="en-GB"/>
              </w:rPr>
              <w:tab/>
            </w:r>
            <w:r w:rsidR="00EF08AB" w:rsidRPr="00EB640B">
              <w:rPr>
                <w:rStyle w:val="Hyperlink"/>
                <w:rFonts w:ascii="Times New Roman" w:hAnsi="Times New Roman" w:cs="Times New Roman"/>
                <w:noProof/>
                <w:sz w:val="24"/>
                <w:szCs w:val="24"/>
              </w:rPr>
              <w:t>Analysis and Rationale for Selection</w:t>
            </w:r>
            <w:r w:rsidR="00EF08AB" w:rsidRPr="00EB640B">
              <w:rPr>
                <w:rFonts w:ascii="Times New Roman" w:hAnsi="Times New Roman" w:cs="Times New Roman"/>
                <w:noProof/>
                <w:webHidden/>
                <w:sz w:val="24"/>
                <w:szCs w:val="24"/>
              </w:rPr>
              <w:tab/>
            </w:r>
            <w:r w:rsidR="00EF08AB" w:rsidRPr="00EB640B">
              <w:rPr>
                <w:rFonts w:ascii="Times New Roman" w:hAnsi="Times New Roman" w:cs="Times New Roman"/>
                <w:noProof/>
                <w:webHidden/>
                <w:sz w:val="24"/>
                <w:szCs w:val="24"/>
              </w:rPr>
              <w:fldChar w:fldCharType="begin"/>
            </w:r>
            <w:r w:rsidR="00EF08AB" w:rsidRPr="00EB640B">
              <w:rPr>
                <w:rFonts w:ascii="Times New Roman" w:hAnsi="Times New Roman" w:cs="Times New Roman"/>
                <w:noProof/>
                <w:webHidden/>
                <w:sz w:val="24"/>
                <w:szCs w:val="24"/>
              </w:rPr>
              <w:instrText xml:space="preserve"> PAGEREF _Toc154499914 \h </w:instrText>
            </w:r>
            <w:r w:rsidR="00EF08AB" w:rsidRPr="00EB640B">
              <w:rPr>
                <w:rFonts w:ascii="Times New Roman" w:hAnsi="Times New Roman" w:cs="Times New Roman"/>
                <w:noProof/>
                <w:webHidden/>
                <w:sz w:val="24"/>
                <w:szCs w:val="24"/>
              </w:rPr>
            </w:r>
            <w:r w:rsidR="00EF08AB" w:rsidRPr="00EB640B">
              <w:rPr>
                <w:rFonts w:ascii="Times New Roman" w:hAnsi="Times New Roman" w:cs="Times New Roman"/>
                <w:noProof/>
                <w:webHidden/>
                <w:sz w:val="24"/>
                <w:szCs w:val="24"/>
              </w:rPr>
              <w:fldChar w:fldCharType="separate"/>
            </w:r>
            <w:r w:rsidR="00EF08AB" w:rsidRPr="00EB640B">
              <w:rPr>
                <w:rFonts w:ascii="Times New Roman" w:hAnsi="Times New Roman" w:cs="Times New Roman"/>
                <w:noProof/>
                <w:webHidden/>
                <w:sz w:val="24"/>
                <w:szCs w:val="24"/>
              </w:rPr>
              <w:t>10</w:t>
            </w:r>
            <w:r w:rsidR="00EF08AB" w:rsidRPr="00EB640B">
              <w:rPr>
                <w:rFonts w:ascii="Times New Roman" w:hAnsi="Times New Roman" w:cs="Times New Roman"/>
                <w:noProof/>
                <w:webHidden/>
                <w:sz w:val="24"/>
                <w:szCs w:val="24"/>
              </w:rPr>
              <w:fldChar w:fldCharType="end"/>
            </w:r>
          </w:hyperlink>
        </w:p>
        <w:p w:rsidR="00EF08AB" w:rsidRPr="00EB640B" w:rsidRDefault="00A91234" w:rsidP="00EF08AB">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4499915" w:history="1">
            <w:r w:rsidR="00EF08AB" w:rsidRPr="00EB640B">
              <w:rPr>
                <w:rStyle w:val="Hyperlink"/>
                <w:rFonts w:ascii="Times New Roman" w:hAnsi="Times New Roman" w:cs="Times New Roman"/>
                <w:noProof/>
                <w:sz w:val="24"/>
                <w:szCs w:val="24"/>
              </w:rPr>
              <w:t>4</w:t>
            </w:r>
            <w:r w:rsidR="00EF08AB" w:rsidRPr="00EB640B">
              <w:rPr>
                <w:rFonts w:ascii="Times New Roman" w:eastAsiaTheme="minorEastAsia" w:hAnsi="Times New Roman" w:cs="Times New Roman"/>
                <w:noProof/>
                <w:sz w:val="24"/>
                <w:szCs w:val="24"/>
                <w:lang w:eastAsia="en-GB"/>
              </w:rPr>
              <w:tab/>
            </w:r>
            <w:r w:rsidR="00EF08AB" w:rsidRPr="00EB640B">
              <w:rPr>
                <w:rStyle w:val="Hyperlink"/>
                <w:rFonts w:ascii="Times New Roman" w:hAnsi="Times New Roman" w:cs="Times New Roman"/>
                <w:noProof/>
                <w:sz w:val="24"/>
                <w:szCs w:val="24"/>
              </w:rPr>
              <w:t>Assessing the Impact of Post-Crisis Reforms on Financial Stability</w:t>
            </w:r>
            <w:r w:rsidR="00EF08AB" w:rsidRPr="00EB640B">
              <w:rPr>
                <w:rFonts w:ascii="Times New Roman" w:hAnsi="Times New Roman" w:cs="Times New Roman"/>
                <w:noProof/>
                <w:webHidden/>
                <w:sz w:val="24"/>
                <w:szCs w:val="24"/>
              </w:rPr>
              <w:tab/>
            </w:r>
            <w:r w:rsidR="00EF08AB" w:rsidRPr="00EB640B">
              <w:rPr>
                <w:rFonts w:ascii="Times New Roman" w:hAnsi="Times New Roman" w:cs="Times New Roman"/>
                <w:noProof/>
                <w:webHidden/>
                <w:sz w:val="24"/>
                <w:szCs w:val="24"/>
              </w:rPr>
              <w:fldChar w:fldCharType="begin"/>
            </w:r>
            <w:r w:rsidR="00EF08AB" w:rsidRPr="00EB640B">
              <w:rPr>
                <w:rFonts w:ascii="Times New Roman" w:hAnsi="Times New Roman" w:cs="Times New Roman"/>
                <w:noProof/>
                <w:webHidden/>
                <w:sz w:val="24"/>
                <w:szCs w:val="24"/>
              </w:rPr>
              <w:instrText xml:space="preserve"> PAGEREF _Toc154499915 \h </w:instrText>
            </w:r>
            <w:r w:rsidR="00EF08AB" w:rsidRPr="00EB640B">
              <w:rPr>
                <w:rFonts w:ascii="Times New Roman" w:hAnsi="Times New Roman" w:cs="Times New Roman"/>
                <w:noProof/>
                <w:webHidden/>
                <w:sz w:val="24"/>
                <w:szCs w:val="24"/>
              </w:rPr>
            </w:r>
            <w:r w:rsidR="00EF08AB" w:rsidRPr="00EB640B">
              <w:rPr>
                <w:rFonts w:ascii="Times New Roman" w:hAnsi="Times New Roman" w:cs="Times New Roman"/>
                <w:noProof/>
                <w:webHidden/>
                <w:sz w:val="24"/>
                <w:szCs w:val="24"/>
              </w:rPr>
              <w:fldChar w:fldCharType="separate"/>
            </w:r>
            <w:r w:rsidR="00EF08AB" w:rsidRPr="00EB640B">
              <w:rPr>
                <w:rFonts w:ascii="Times New Roman" w:hAnsi="Times New Roman" w:cs="Times New Roman"/>
                <w:noProof/>
                <w:webHidden/>
                <w:sz w:val="24"/>
                <w:szCs w:val="24"/>
              </w:rPr>
              <w:t>11</w:t>
            </w:r>
            <w:r w:rsidR="00EF08AB" w:rsidRPr="00EB640B">
              <w:rPr>
                <w:rFonts w:ascii="Times New Roman" w:hAnsi="Times New Roman" w:cs="Times New Roman"/>
                <w:noProof/>
                <w:webHidden/>
                <w:sz w:val="24"/>
                <w:szCs w:val="24"/>
              </w:rPr>
              <w:fldChar w:fldCharType="end"/>
            </w:r>
          </w:hyperlink>
        </w:p>
        <w:p w:rsidR="00EF08AB" w:rsidRPr="00EB640B" w:rsidRDefault="00A91234" w:rsidP="00EF08AB">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4499916" w:history="1">
            <w:r w:rsidR="00EF08AB" w:rsidRPr="00EB640B">
              <w:rPr>
                <w:rStyle w:val="Hyperlink"/>
                <w:rFonts w:ascii="Times New Roman" w:hAnsi="Times New Roman" w:cs="Times New Roman"/>
                <w:noProof/>
                <w:sz w:val="24"/>
                <w:szCs w:val="24"/>
              </w:rPr>
              <w:t>5</w:t>
            </w:r>
            <w:r w:rsidR="00EF08AB" w:rsidRPr="00EB640B">
              <w:rPr>
                <w:rFonts w:ascii="Times New Roman" w:eastAsiaTheme="minorEastAsia" w:hAnsi="Times New Roman" w:cs="Times New Roman"/>
                <w:noProof/>
                <w:sz w:val="24"/>
                <w:szCs w:val="24"/>
                <w:lang w:eastAsia="en-GB"/>
              </w:rPr>
              <w:tab/>
            </w:r>
            <w:r w:rsidR="00EF08AB" w:rsidRPr="00EB640B">
              <w:rPr>
                <w:rStyle w:val="Hyperlink"/>
                <w:rFonts w:ascii="Times New Roman" w:hAnsi="Times New Roman" w:cs="Times New Roman"/>
                <w:noProof/>
                <w:sz w:val="24"/>
                <w:szCs w:val="24"/>
              </w:rPr>
              <w:t>Impact of post-2008 financial reforms on JPMorgan Chase &amp; Co.</w:t>
            </w:r>
            <w:r w:rsidR="00EF08AB" w:rsidRPr="00EB640B">
              <w:rPr>
                <w:rFonts w:ascii="Times New Roman" w:hAnsi="Times New Roman" w:cs="Times New Roman"/>
                <w:noProof/>
                <w:webHidden/>
                <w:sz w:val="24"/>
                <w:szCs w:val="24"/>
              </w:rPr>
              <w:tab/>
            </w:r>
            <w:r w:rsidR="00EF08AB" w:rsidRPr="00EB640B">
              <w:rPr>
                <w:rFonts w:ascii="Times New Roman" w:hAnsi="Times New Roman" w:cs="Times New Roman"/>
                <w:noProof/>
                <w:webHidden/>
                <w:sz w:val="24"/>
                <w:szCs w:val="24"/>
              </w:rPr>
              <w:fldChar w:fldCharType="begin"/>
            </w:r>
            <w:r w:rsidR="00EF08AB" w:rsidRPr="00EB640B">
              <w:rPr>
                <w:rFonts w:ascii="Times New Roman" w:hAnsi="Times New Roman" w:cs="Times New Roman"/>
                <w:noProof/>
                <w:webHidden/>
                <w:sz w:val="24"/>
                <w:szCs w:val="24"/>
              </w:rPr>
              <w:instrText xml:space="preserve"> PAGEREF _Toc154499916 \h </w:instrText>
            </w:r>
            <w:r w:rsidR="00EF08AB" w:rsidRPr="00EB640B">
              <w:rPr>
                <w:rFonts w:ascii="Times New Roman" w:hAnsi="Times New Roman" w:cs="Times New Roman"/>
                <w:noProof/>
                <w:webHidden/>
                <w:sz w:val="24"/>
                <w:szCs w:val="24"/>
              </w:rPr>
            </w:r>
            <w:r w:rsidR="00EF08AB" w:rsidRPr="00EB640B">
              <w:rPr>
                <w:rFonts w:ascii="Times New Roman" w:hAnsi="Times New Roman" w:cs="Times New Roman"/>
                <w:noProof/>
                <w:webHidden/>
                <w:sz w:val="24"/>
                <w:szCs w:val="24"/>
              </w:rPr>
              <w:fldChar w:fldCharType="separate"/>
            </w:r>
            <w:r w:rsidR="00EF08AB" w:rsidRPr="00EB640B">
              <w:rPr>
                <w:rFonts w:ascii="Times New Roman" w:hAnsi="Times New Roman" w:cs="Times New Roman"/>
                <w:noProof/>
                <w:webHidden/>
                <w:sz w:val="24"/>
                <w:szCs w:val="24"/>
              </w:rPr>
              <w:t>13</w:t>
            </w:r>
            <w:r w:rsidR="00EF08AB" w:rsidRPr="00EB640B">
              <w:rPr>
                <w:rFonts w:ascii="Times New Roman" w:hAnsi="Times New Roman" w:cs="Times New Roman"/>
                <w:noProof/>
                <w:webHidden/>
                <w:sz w:val="24"/>
                <w:szCs w:val="24"/>
              </w:rPr>
              <w:fldChar w:fldCharType="end"/>
            </w:r>
          </w:hyperlink>
        </w:p>
        <w:p w:rsidR="00EF08AB" w:rsidRPr="00EB640B" w:rsidRDefault="00A91234" w:rsidP="00EF08AB">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4499917" w:history="1">
            <w:r w:rsidR="00EF08AB" w:rsidRPr="00EB640B">
              <w:rPr>
                <w:rStyle w:val="Hyperlink"/>
                <w:rFonts w:ascii="Times New Roman" w:hAnsi="Times New Roman" w:cs="Times New Roman"/>
                <w:noProof/>
                <w:sz w:val="24"/>
                <w:szCs w:val="24"/>
              </w:rPr>
              <w:t>5.1</w:t>
            </w:r>
            <w:r w:rsidR="00EF08AB" w:rsidRPr="00EB640B">
              <w:rPr>
                <w:rFonts w:ascii="Times New Roman" w:eastAsiaTheme="minorEastAsia" w:hAnsi="Times New Roman" w:cs="Times New Roman"/>
                <w:noProof/>
                <w:sz w:val="24"/>
                <w:szCs w:val="24"/>
                <w:lang w:eastAsia="en-GB"/>
              </w:rPr>
              <w:tab/>
            </w:r>
            <w:r w:rsidR="00EF08AB" w:rsidRPr="00EB640B">
              <w:rPr>
                <w:rStyle w:val="Hyperlink"/>
                <w:rFonts w:ascii="Times New Roman" w:hAnsi="Times New Roman" w:cs="Times New Roman"/>
                <w:noProof/>
                <w:sz w:val="24"/>
                <w:szCs w:val="24"/>
              </w:rPr>
              <w:t>Pre-Crisis Model</w:t>
            </w:r>
            <w:r w:rsidR="00EF08AB" w:rsidRPr="00EB640B">
              <w:rPr>
                <w:rFonts w:ascii="Times New Roman" w:hAnsi="Times New Roman" w:cs="Times New Roman"/>
                <w:noProof/>
                <w:webHidden/>
                <w:sz w:val="24"/>
                <w:szCs w:val="24"/>
              </w:rPr>
              <w:tab/>
            </w:r>
            <w:r w:rsidR="00EF08AB" w:rsidRPr="00EB640B">
              <w:rPr>
                <w:rFonts w:ascii="Times New Roman" w:hAnsi="Times New Roman" w:cs="Times New Roman"/>
                <w:noProof/>
                <w:webHidden/>
                <w:sz w:val="24"/>
                <w:szCs w:val="24"/>
              </w:rPr>
              <w:fldChar w:fldCharType="begin"/>
            </w:r>
            <w:r w:rsidR="00EF08AB" w:rsidRPr="00EB640B">
              <w:rPr>
                <w:rFonts w:ascii="Times New Roman" w:hAnsi="Times New Roman" w:cs="Times New Roman"/>
                <w:noProof/>
                <w:webHidden/>
                <w:sz w:val="24"/>
                <w:szCs w:val="24"/>
              </w:rPr>
              <w:instrText xml:space="preserve"> PAGEREF _Toc154499917 \h </w:instrText>
            </w:r>
            <w:r w:rsidR="00EF08AB" w:rsidRPr="00EB640B">
              <w:rPr>
                <w:rFonts w:ascii="Times New Roman" w:hAnsi="Times New Roman" w:cs="Times New Roman"/>
                <w:noProof/>
                <w:webHidden/>
                <w:sz w:val="24"/>
                <w:szCs w:val="24"/>
              </w:rPr>
            </w:r>
            <w:r w:rsidR="00EF08AB" w:rsidRPr="00EB640B">
              <w:rPr>
                <w:rFonts w:ascii="Times New Roman" w:hAnsi="Times New Roman" w:cs="Times New Roman"/>
                <w:noProof/>
                <w:webHidden/>
                <w:sz w:val="24"/>
                <w:szCs w:val="24"/>
              </w:rPr>
              <w:fldChar w:fldCharType="separate"/>
            </w:r>
            <w:r w:rsidR="00EF08AB" w:rsidRPr="00EB640B">
              <w:rPr>
                <w:rFonts w:ascii="Times New Roman" w:hAnsi="Times New Roman" w:cs="Times New Roman"/>
                <w:noProof/>
                <w:webHidden/>
                <w:sz w:val="24"/>
                <w:szCs w:val="24"/>
              </w:rPr>
              <w:t>13</w:t>
            </w:r>
            <w:r w:rsidR="00EF08AB" w:rsidRPr="00EB640B">
              <w:rPr>
                <w:rFonts w:ascii="Times New Roman" w:hAnsi="Times New Roman" w:cs="Times New Roman"/>
                <w:noProof/>
                <w:webHidden/>
                <w:sz w:val="24"/>
                <w:szCs w:val="24"/>
              </w:rPr>
              <w:fldChar w:fldCharType="end"/>
            </w:r>
          </w:hyperlink>
        </w:p>
        <w:p w:rsidR="00EF08AB" w:rsidRPr="00EB640B" w:rsidRDefault="00A91234" w:rsidP="00EF08AB">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4499918" w:history="1">
            <w:r w:rsidR="00EF08AB" w:rsidRPr="00EB640B">
              <w:rPr>
                <w:rStyle w:val="Hyperlink"/>
                <w:rFonts w:ascii="Times New Roman" w:hAnsi="Times New Roman" w:cs="Times New Roman"/>
                <w:noProof/>
                <w:sz w:val="24"/>
                <w:szCs w:val="24"/>
              </w:rPr>
              <w:t>5.2</w:t>
            </w:r>
            <w:r w:rsidR="00EF08AB" w:rsidRPr="00EB640B">
              <w:rPr>
                <w:rFonts w:ascii="Times New Roman" w:eastAsiaTheme="minorEastAsia" w:hAnsi="Times New Roman" w:cs="Times New Roman"/>
                <w:noProof/>
                <w:sz w:val="24"/>
                <w:szCs w:val="24"/>
                <w:lang w:eastAsia="en-GB"/>
              </w:rPr>
              <w:tab/>
            </w:r>
            <w:r w:rsidR="00EF08AB" w:rsidRPr="00EB640B">
              <w:rPr>
                <w:rStyle w:val="Hyperlink"/>
                <w:rFonts w:ascii="Times New Roman" w:hAnsi="Times New Roman" w:cs="Times New Roman"/>
                <w:noProof/>
                <w:sz w:val="24"/>
                <w:szCs w:val="24"/>
              </w:rPr>
              <w:t>Post-Crisis Reforms – Reshaping Banking</w:t>
            </w:r>
            <w:r w:rsidR="00EF08AB" w:rsidRPr="00EB640B">
              <w:rPr>
                <w:rFonts w:ascii="Times New Roman" w:hAnsi="Times New Roman" w:cs="Times New Roman"/>
                <w:noProof/>
                <w:webHidden/>
                <w:sz w:val="24"/>
                <w:szCs w:val="24"/>
              </w:rPr>
              <w:tab/>
            </w:r>
            <w:r w:rsidR="00EF08AB" w:rsidRPr="00EB640B">
              <w:rPr>
                <w:rFonts w:ascii="Times New Roman" w:hAnsi="Times New Roman" w:cs="Times New Roman"/>
                <w:noProof/>
                <w:webHidden/>
                <w:sz w:val="24"/>
                <w:szCs w:val="24"/>
              </w:rPr>
              <w:fldChar w:fldCharType="begin"/>
            </w:r>
            <w:r w:rsidR="00EF08AB" w:rsidRPr="00EB640B">
              <w:rPr>
                <w:rFonts w:ascii="Times New Roman" w:hAnsi="Times New Roman" w:cs="Times New Roman"/>
                <w:noProof/>
                <w:webHidden/>
                <w:sz w:val="24"/>
                <w:szCs w:val="24"/>
              </w:rPr>
              <w:instrText xml:space="preserve"> PAGEREF _Toc154499918 \h </w:instrText>
            </w:r>
            <w:r w:rsidR="00EF08AB" w:rsidRPr="00EB640B">
              <w:rPr>
                <w:rFonts w:ascii="Times New Roman" w:hAnsi="Times New Roman" w:cs="Times New Roman"/>
                <w:noProof/>
                <w:webHidden/>
                <w:sz w:val="24"/>
                <w:szCs w:val="24"/>
              </w:rPr>
            </w:r>
            <w:r w:rsidR="00EF08AB" w:rsidRPr="00EB640B">
              <w:rPr>
                <w:rFonts w:ascii="Times New Roman" w:hAnsi="Times New Roman" w:cs="Times New Roman"/>
                <w:noProof/>
                <w:webHidden/>
                <w:sz w:val="24"/>
                <w:szCs w:val="24"/>
              </w:rPr>
              <w:fldChar w:fldCharType="separate"/>
            </w:r>
            <w:r w:rsidR="00EF08AB" w:rsidRPr="00EB640B">
              <w:rPr>
                <w:rFonts w:ascii="Times New Roman" w:hAnsi="Times New Roman" w:cs="Times New Roman"/>
                <w:noProof/>
                <w:webHidden/>
                <w:sz w:val="24"/>
                <w:szCs w:val="24"/>
              </w:rPr>
              <w:t>14</w:t>
            </w:r>
            <w:r w:rsidR="00EF08AB" w:rsidRPr="00EB640B">
              <w:rPr>
                <w:rFonts w:ascii="Times New Roman" w:hAnsi="Times New Roman" w:cs="Times New Roman"/>
                <w:noProof/>
                <w:webHidden/>
                <w:sz w:val="24"/>
                <w:szCs w:val="24"/>
              </w:rPr>
              <w:fldChar w:fldCharType="end"/>
            </w:r>
          </w:hyperlink>
        </w:p>
        <w:p w:rsidR="00EF08AB" w:rsidRPr="00EB640B" w:rsidRDefault="00A91234" w:rsidP="00EF08AB">
          <w:pPr>
            <w:pStyle w:val="TOC2"/>
            <w:tabs>
              <w:tab w:val="left" w:pos="880"/>
              <w:tab w:val="right" w:leader="dot" w:pos="9016"/>
            </w:tabs>
            <w:rPr>
              <w:rFonts w:ascii="Times New Roman" w:eastAsiaTheme="minorEastAsia" w:hAnsi="Times New Roman" w:cs="Times New Roman"/>
              <w:noProof/>
              <w:sz w:val="24"/>
              <w:szCs w:val="24"/>
              <w:lang w:eastAsia="en-GB"/>
            </w:rPr>
          </w:pPr>
          <w:hyperlink w:anchor="_Toc154499919" w:history="1">
            <w:r w:rsidR="00EF08AB" w:rsidRPr="00EB640B">
              <w:rPr>
                <w:rStyle w:val="Hyperlink"/>
                <w:rFonts w:ascii="Times New Roman" w:hAnsi="Times New Roman" w:cs="Times New Roman"/>
                <w:noProof/>
                <w:sz w:val="24"/>
                <w:szCs w:val="24"/>
              </w:rPr>
              <w:t>5.3</w:t>
            </w:r>
            <w:r w:rsidR="00EF08AB" w:rsidRPr="00EB640B">
              <w:rPr>
                <w:rFonts w:ascii="Times New Roman" w:eastAsiaTheme="minorEastAsia" w:hAnsi="Times New Roman" w:cs="Times New Roman"/>
                <w:noProof/>
                <w:sz w:val="24"/>
                <w:szCs w:val="24"/>
                <w:lang w:eastAsia="en-GB"/>
              </w:rPr>
              <w:tab/>
            </w:r>
            <w:r w:rsidR="00EF08AB" w:rsidRPr="00EB640B">
              <w:rPr>
                <w:rStyle w:val="Hyperlink"/>
                <w:rFonts w:ascii="Times New Roman" w:hAnsi="Times New Roman" w:cs="Times New Roman"/>
                <w:noProof/>
                <w:sz w:val="24"/>
                <w:szCs w:val="24"/>
              </w:rPr>
              <w:t>Restructuring JPMorgan post-crisis</w:t>
            </w:r>
            <w:r w:rsidR="00EF08AB" w:rsidRPr="00EB640B">
              <w:rPr>
                <w:rFonts w:ascii="Times New Roman" w:hAnsi="Times New Roman" w:cs="Times New Roman"/>
                <w:noProof/>
                <w:webHidden/>
                <w:sz w:val="24"/>
                <w:szCs w:val="24"/>
              </w:rPr>
              <w:tab/>
            </w:r>
            <w:r w:rsidR="00EF08AB" w:rsidRPr="00EB640B">
              <w:rPr>
                <w:rFonts w:ascii="Times New Roman" w:hAnsi="Times New Roman" w:cs="Times New Roman"/>
                <w:noProof/>
                <w:webHidden/>
                <w:sz w:val="24"/>
                <w:szCs w:val="24"/>
              </w:rPr>
              <w:fldChar w:fldCharType="begin"/>
            </w:r>
            <w:r w:rsidR="00EF08AB" w:rsidRPr="00EB640B">
              <w:rPr>
                <w:rFonts w:ascii="Times New Roman" w:hAnsi="Times New Roman" w:cs="Times New Roman"/>
                <w:noProof/>
                <w:webHidden/>
                <w:sz w:val="24"/>
                <w:szCs w:val="24"/>
              </w:rPr>
              <w:instrText xml:space="preserve"> PAGEREF _Toc154499919 \h </w:instrText>
            </w:r>
            <w:r w:rsidR="00EF08AB" w:rsidRPr="00EB640B">
              <w:rPr>
                <w:rFonts w:ascii="Times New Roman" w:hAnsi="Times New Roman" w:cs="Times New Roman"/>
                <w:noProof/>
                <w:webHidden/>
                <w:sz w:val="24"/>
                <w:szCs w:val="24"/>
              </w:rPr>
            </w:r>
            <w:r w:rsidR="00EF08AB" w:rsidRPr="00EB640B">
              <w:rPr>
                <w:rFonts w:ascii="Times New Roman" w:hAnsi="Times New Roman" w:cs="Times New Roman"/>
                <w:noProof/>
                <w:webHidden/>
                <w:sz w:val="24"/>
                <w:szCs w:val="24"/>
              </w:rPr>
              <w:fldChar w:fldCharType="separate"/>
            </w:r>
            <w:r w:rsidR="00EF08AB" w:rsidRPr="00EB640B">
              <w:rPr>
                <w:rFonts w:ascii="Times New Roman" w:hAnsi="Times New Roman" w:cs="Times New Roman"/>
                <w:noProof/>
                <w:webHidden/>
                <w:sz w:val="24"/>
                <w:szCs w:val="24"/>
              </w:rPr>
              <w:t>15</w:t>
            </w:r>
            <w:r w:rsidR="00EF08AB" w:rsidRPr="00EB640B">
              <w:rPr>
                <w:rFonts w:ascii="Times New Roman" w:hAnsi="Times New Roman" w:cs="Times New Roman"/>
                <w:noProof/>
                <w:webHidden/>
                <w:sz w:val="24"/>
                <w:szCs w:val="24"/>
              </w:rPr>
              <w:fldChar w:fldCharType="end"/>
            </w:r>
          </w:hyperlink>
        </w:p>
        <w:p w:rsidR="00EF08AB" w:rsidRPr="00EB640B" w:rsidRDefault="00A91234" w:rsidP="00EF08AB">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4499920" w:history="1">
            <w:r w:rsidR="00EF08AB" w:rsidRPr="00EB640B">
              <w:rPr>
                <w:rStyle w:val="Hyperlink"/>
                <w:rFonts w:ascii="Times New Roman" w:hAnsi="Times New Roman" w:cs="Times New Roman"/>
                <w:noProof/>
                <w:sz w:val="24"/>
                <w:szCs w:val="24"/>
              </w:rPr>
              <w:t>6</w:t>
            </w:r>
            <w:r w:rsidR="00EF08AB" w:rsidRPr="00EB640B">
              <w:rPr>
                <w:rFonts w:ascii="Times New Roman" w:eastAsiaTheme="minorEastAsia" w:hAnsi="Times New Roman" w:cs="Times New Roman"/>
                <w:noProof/>
                <w:sz w:val="24"/>
                <w:szCs w:val="24"/>
                <w:lang w:eastAsia="en-GB"/>
              </w:rPr>
              <w:tab/>
            </w:r>
            <w:r w:rsidR="00EF08AB" w:rsidRPr="00EB640B">
              <w:rPr>
                <w:rStyle w:val="Hyperlink"/>
                <w:rFonts w:ascii="Times New Roman" w:hAnsi="Times New Roman" w:cs="Times New Roman"/>
                <w:noProof/>
                <w:sz w:val="24"/>
                <w:szCs w:val="24"/>
              </w:rPr>
              <w:t>Conclusion</w:t>
            </w:r>
            <w:r w:rsidR="00EF08AB" w:rsidRPr="00EB640B">
              <w:rPr>
                <w:rFonts w:ascii="Times New Roman" w:hAnsi="Times New Roman" w:cs="Times New Roman"/>
                <w:noProof/>
                <w:webHidden/>
                <w:sz w:val="24"/>
                <w:szCs w:val="24"/>
              </w:rPr>
              <w:tab/>
            </w:r>
            <w:r w:rsidR="00EF08AB" w:rsidRPr="00EB640B">
              <w:rPr>
                <w:rFonts w:ascii="Times New Roman" w:hAnsi="Times New Roman" w:cs="Times New Roman"/>
                <w:noProof/>
                <w:webHidden/>
                <w:sz w:val="24"/>
                <w:szCs w:val="24"/>
              </w:rPr>
              <w:fldChar w:fldCharType="begin"/>
            </w:r>
            <w:r w:rsidR="00EF08AB" w:rsidRPr="00EB640B">
              <w:rPr>
                <w:rFonts w:ascii="Times New Roman" w:hAnsi="Times New Roman" w:cs="Times New Roman"/>
                <w:noProof/>
                <w:webHidden/>
                <w:sz w:val="24"/>
                <w:szCs w:val="24"/>
              </w:rPr>
              <w:instrText xml:space="preserve"> PAGEREF _Toc154499920 \h </w:instrText>
            </w:r>
            <w:r w:rsidR="00EF08AB" w:rsidRPr="00EB640B">
              <w:rPr>
                <w:rFonts w:ascii="Times New Roman" w:hAnsi="Times New Roman" w:cs="Times New Roman"/>
                <w:noProof/>
                <w:webHidden/>
                <w:sz w:val="24"/>
                <w:szCs w:val="24"/>
              </w:rPr>
            </w:r>
            <w:r w:rsidR="00EF08AB" w:rsidRPr="00EB640B">
              <w:rPr>
                <w:rFonts w:ascii="Times New Roman" w:hAnsi="Times New Roman" w:cs="Times New Roman"/>
                <w:noProof/>
                <w:webHidden/>
                <w:sz w:val="24"/>
                <w:szCs w:val="24"/>
              </w:rPr>
              <w:fldChar w:fldCharType="separate"/>
            </w:r>
            <w:r w:rsidR="00EF08AB" w:rsidRPr="00EB640B">
              <w:rPr>
                <w:rFonts w:ascii="Times New Roman" w:hAnsi="Times New Roman" w:cs="Times New Roman"/>
                <w:noProof/>
                <w:webHidden/>
                <w:sz w:val="24"/>
                <w:szCs w:val="24"/>
              </w:rPr>
              <w:t>16</w:t>
            </w:r>
            <w:r w:rsidR="00EF08AB" w:rsidRPr="00EB640B">
              <w:rPr>
                <w:rFonts w:ascii="Times New Roman" w:hAnsi="Times New Roman" w:cs="Times New Roman"/>
                <w:noProof/>
                <w:webHidden/>
                <w:sz w:val="24"/>
                <w:szCs w:val="24"/>
              </w:rPr>
              <w:fldChar w:fldCharType="end"/>
            </w:r>
          </w:hyperlink>
        </w:p>
        <w:p w:rsidR="00EF08AB" w:rsidRPr="00EB640B" w:rsidRDefault="00A91234" w:rsidP="00EF08AB">
          <w:pPr>
            <w:pStyle w:val="TOC1"/>
            <w:tabs>
              <w:tab w:val="left" w:pos="440"/>
              <w:tab w:val="right" w:leader="dot" w:pos="9016"/>
            </w:tabs>
            <w:rPr>
              <w:rFonts w:ascii="Times New Roman" w:eastAsiaTheme="minorEastAsia" w:hAnsi="Times New Roman" w:cs="Times New Roman"/>
              <w:noProof/>
              <w:sz w:val="24"/>
              <w:szCs w:val="24"/>
              <w:lang w:eastAsia="en-GB"/>
            </w:rPr>
          </w:pPr>
          <w:hyperlink w:anchor="_Toc154499921" w:history="1">
            <w:r w:rsidR="00EF08AB" w:rsidRPr="00EB640B">
              <w:rPr>
                <w:rStyle w:val="Hyperlink"/>
                <w:rFonts w:ascii="Times New Roman" w:hAnsi="Times New Roman" w:cs="Times New Roman"/>
                <w:noProof/>
                <w:sz w:val="24"/>
                <w:szCs w:val="24"/>
              </w:rPr>
              <w:t>7</w:t>
            </w:r>
            <w:r w:rsidR="00EF08AB" w:rsidRPr="00EB640B">
              <w:rPr>
                <w:rFonts w:ascii="Times New Roman" w:eastAsiaTheme="minorEastAsia" w:hAnsi="Times New Roman" w:cs="Times New Roman"/>
                <w:noProof/>
                <w:sz w:val="24"/>
                <w:szCs w:val="24"/>
                <w:lang w:eastAsia="en-GB"/>
              </w:rPr>
              <w:tab/>
            </w:r>
            <w:r w:rsidR="00EF08AB" w:rsidRPr="00EB640B">
              <w:rPr>
                <w:rStyle w:val="Hyperlink"/>
                <w:rFonts w:ascii="Times New Roman" w:hAnsi="Times New Roman" w:cs="Times New Roman"/>
                <w:noProof/>
                <w:sz w:val="24"/>
                <w:szCs w:val="24"/>
              </w:rPr>
              <w:t>References</w:t>
            </w:r>
            <w:r w:rsidR="00EF08AB" w:rsidRPr="00EB640B">
              <w:rPr>
                <w:rFonts w:ascii="Times New Roman" w:hAnsi="Times New Roman" w:cs="Times New Roman"/>
                <w:noProof/>
                <w:webHidden/>
                <w:sz w:val="24"/>
                <w:szCs w:val="24"/>
              </w:rPr>
              <w:tab/>
            </w:r>
            <w:r w:rsidR="00EF08AB" w:rsidRPr="00EB640B">
              <w:rPr>
                <w:rFonts w:ascii="Times New Roman" w:hAnsi="Times New Roman" w:cs="Times New Roman"/>
                <w:noProof/>
                <w:webHidden/>
                <w:sz w:val="24"/>
                <w:szCs w:val="24"/>
              </w:rPr>
              <w:fldChar w:fldCharType="begin"/>
            </w:r>
            <w:r w:rsidR="00EF08AB" w:rsidRPr="00EB640B">
              <w:rPr>
                <w:rFonts w:ascii="Times New Roman" w:hAnsi="Times New Roman" w:cs="Times New Roman"/>
                <w:noProof/>
                <w:webHidden/>
                <w:sz w:val="24"/>
                <w:szCs w:val="24"/>
              </w:rPr>
              <w:instrText xml:space="preserve"> PAGEREF _Toc154499921 \h </w:instrText>
            </w:r>
            <w:r w:rsidR="00EF08AB" w:rsidRPr="00EB640B">
              <w:rPr>
                <w:rFonts w:ascii="Times New Roman" w:hAnsi="Times New Roman" w:cs="Times New Roman"/>
                <w:noProof/>
                <w:webHidden/>
                <w:sz w:val="24"/>
                <w:szCs w:val="24"/>
              </w:rPr>
            </w:r>
            <w:r w:rsidR="00EF08AB" w:rsidRPr="00EB640B">
              <w:rPr>
                <w:rFonts w:ascii="Times New Roman" w:hAnsi="Times New Roman" w:cs="Times New Roman"/>
                <w:noProof/>
                <w:webHidden/>
                <w:sz w:val="24"/>
                <w:szCs w:val="24"/>
              </w:rPr>
              <w:fldChar w:fldCharType="separate"/>
            </w:r>
            <w:r w:rsidR="00EF08AB" w:rsidRPr="00EB640B">
              <w:rPr>
                <w:rFonts w:ascii="Times New Roman" w:hAnsi="Times New Roman" w:cs="Times New Roman"/>
                <w:noProof/>
                <w:webHidden/>
                <w:sz w:val="24"/>
                <w:szCs w:val="24"/>
              </w:rPr>
              <w:t>17</w:t>
            </w:r>
            <w:r w:rsidR="00EF08AB" w:rsidRPr="00EB640B">
              <w:rPr>
                <w:rFonts w:ascii="Times New Roman" w:hAnsi="Times New Roman" w:cs="Times New Roman"/>
                <w:noProof/>
                <w:webHidden/>
                <w:sz w:val="24"/>
                <w:szCs w:val="24"/>
              </w:rPr>
              <w:fldChar w:fldCharType="end"/>
            </w:r>
          </w:hyperlink>
        </w:p>
        <w:p w:rsidR="00EF08AB" w:rsidRDefault="00EF08AB" w:rsidP="00EF08AB">
          <w:r w:rsidRPr="00EB640B">
            <w:rPr>
              <w:rFonts w:ascii="Times New Roman" w:hAnsi="Times New Roman" w:cs="Times New Roman"/>
              <w:b/>
              <w:bCs/>
              <w:noProof/>
              <w:sz w:val="24"/>
              <w:szCs w:val="24"/>
            </w:rPr>
            <w:fldChar w:fldCharType="end"/>
          </w:r>
        </w:p>
      </w:sdtContent>
    </w:sdt>
    <w:p w:rsidR="00EF08AB" w:rsidRDefault="00EF08AB" w:rsidP="00EF08AB"/>
    <w:p w:rsidR="00EF08AB" w:rsidRDefault="00EF08AB" w:rsidP="00EF08AB"/>
    <w:p w:rsidR="00EF08AB" w:rsidRDefault="00EF08AB" w:rsidP="00EF08AB"/>
    <w:p w:rsidR="00EF08AB" w:rsidRDefault="00EF08AB" w:rsidP="00EF08AB"/>
    <w:p w:rsidR="00EF08AB" w:rsidRDefault="00EF08AB" w:rsidP="00EF08AB"/>
    <w:p w:rsidR="00EF08AB" w:rsidRDefault="00EF08AB" w:rsidP="00EF08AB"/>
    <w:p w:rsidR="00EF08AB" w:rsidRDefault="00EF08AB" w:rsidP="00EF08AB"/>
    <w:p w:rsidR="00EF08AB" w:rsidRDefault="00EF08AB" w:rsidP="00EF08AB"/>
    <w:p w:rsidR="00EF08AB" w:rsidRDefault="00EF08AB" w:rsidP="00EF08AB"/>
    <w:p w:rsidR="00EF08AB" w:rsidRDefault="00EF08AB" w:rsidP="00EF08AB"/>
    <w:p w:rsidR="00EF08AB" w:rsidRDefault="00EF08AB" w:rsidP="00EF08AB"/>
    <w:p w:rsidR="00EF08AB" w:rsidRDefault="00EF08AB" w:rsidP="00EF08AB"/>
    <w:p w:rsidR="00EF08AB" w:rsidRDefault="00EF08AB" w:rsidP="00EF08AB"/>
    <w:p w:rsidR="00EF08AB" w:rsidRDefault="00EF08AB" w:rsidP="00EF08AB"/>
    <w:p w:rsidR="00EF08AB" w:rsidRDefault="00EF08AB" w:rsidP="00EF08AB"/>
    <w:p w:rsidR="00EF08AB" w:rsidRDefault="00EF08AB" w:rsidP="00EF08AB">
      <w:pPr>
        <w:pStyle w:val="Heading1"/>
      </w:pPr>
      <w:bookmarkStart w:id="0" w:name="_Toc154499908"/>
      <w:r>
        <w:t>Introduction</w:t>
      </w:r>
      <w:bookmarkEnd w:id="0"/>
    </w:p>
    <w:p w:rsidR="00EF08AB" w:rsidRDefault="00EF08AB" w:rsidP="00EF08AB">
      <w:pPr>
        <w:pStyle w:val="Content"/>
      </w:pPr>
      <w:r>
        <w:t>The global financial crisis of 2008 resulted in the collapse of financial systems, especially in developed economies. Triggered by the bursting of the US housing bubble, the crisis led to the failure of large financial institutions, bailouts by national governments, and prolonged recessions. To stabilize financial systems and prevent future crises, regulators worldwide enacted reforms. In the US, key reforms included the Dodd-Frank Act which imposed stricter regulations on banks and created the Financial Stability Oversight Council to identify systemic risks. The Volcker Rule banned proprietary trading by banks. Reforms also targeted mortgage lending practices, credit rating agencies, and over-the-counter derivatives trading. Outside the US, reforms varied but shared goals of increasing capital requirements, improving supervision, and reducing systemic risk. For example, the EU enacted (CRD) IV which tightened bank capital rules. The UK adopted the Banking Reform Act to ringfence retail and investment banking. Basel III was agreed globally to bolster bank capital and liquidity.</w:t>
      </w:r>
    </w:p>
    <w:p w:rsidR="00EF08AB" w:rsidRPr="00E06D9E" w:rsidRDefault="00EF08AB" w:rsidP="00EF08AB">
      <w:pPr>
        <w:pStyle w:val="Content"/>
      </w:pPr>
      <w:r>
        <w:t>These reforms have contributed to financial stability but issues remain. Banks hold more capital but some argue requirements are still too low. Oversight has increased but regulators struggle to keep pace with innovation. Risks like shadow banking persist. Critics claim reforms stifle lending and growth. The reforms fundamentally impacted financial institutions' business models. Banks exited proprietary trading and reduced leverage. Compliance costs increased. Business lines like derivatives trading faced new regulations. Firms adjusted product offerings, fee structures, and geographic footprints. The full impact is still unfolding, but the reforms have led to safer yet less profitable banks.</w:t>
      </w:r>
    </w:p>
    <w:p w:rsidR="00EF08AB" w:rsidRDefault="00EF08AB" w:rsidP="00EF08AB">
      <w:pPr>
        <w:pStyle w:val="Heading1"/>
      </w:pPr>
      <w:bookmarkStart w:id="1" w:name="_Toc154499909"/>
      <w:r w:rsidRPr="00B1519E">
        <w:lastRenderedPageBreak/>
        <w:t>Key US Financial Reform Laws and Regulations Enacted After the 2008 Crisis</w:t>
      </w:r>
      <w:bookmarkEnd w:id="1"/>
    </w:p>
    <w:p w:rsidR="00EF08AB" w:rsidRDefault="00EF08AB" w:rsidP="00EF08AB">
      <w:pPr>
        <w:pStyle w:val="Content"/>
      </w:pPr>
      <w:r w:rsidRPr="0020543C">
        <w:t>The 2008 global financial crisis exposed huge vulnerabilities in the US financial system, triggering a regulatory response aimed at preventing future crises. The main legislative changes in the US focused on increasing supervision and regulation for banks and non-bank financial companies, restricting risky activities by banks, promoting financial stability, and improving consumer protections</w:t>
      </w:r>
      <w:r>
        <w:t xml:space="preserve"> </w:t>
      </w:r>
      <w:sdt>
        <w:sdtPr>
          <w:id w:val="-237718860"/>
          <w:citation/>
        </w:sdtPr>
        <w:sdtEndPr/>
        <w:sdtContent>
          <w:r>
            <w:fldChar w:fldCharType="begin"/>
          </w:r>
          <w:r>
            <w:instrText xml:space="preserve"> CITATION Kow15 \l 2057 </w:instrText>
          </w:r>
          <w:r>
            <w:fldChar w:fldCharType="separate"/>
          </w:r>
          <w:r w:rsidRPr="001E03E3">
            <w:rPr>
              <w:noProof/>
            </w:rPr>
            <w:t>(Kowalik &amp; Davig, 2015)</w:t>
          </w:r>
          <w:r>
            <w:fldChar w:fldCharType="end"/>
          </w:r>
        </w:sdtContent>
      </w:sdt>
      <w:r>
        <w:t>.</w:t>
      </w:r>
    </w:p>
    <w:p w:rsidR="00EF08AB" w:rsidRDefault="00EF08AB" w:rsidP="00EF08AB">
      <w:pPr>
        <w:pStyle w:val="Content"/>
      </w:pPr>
      <w:r>
        <w:t xml:space="preserve">The Dodd-Frank Act established the Financial Stability Oversight Council (FSOC) as a new regulatory body chaired by the Treasury Secretary, with members from agencies like the Federal Reserve, SEC, and CFTC. The FSOC is responsible for monitoring systemic risks, designating non-bank financial companies as systemically important, and making recommendations to primary regulators for enhanced supervision </w:t>
      </w:r>
      <w:sdt>
        <w:sdtPr>
          <w:id w:val="1555121012"/>
          <w:citation/>
        </w:sdtPr>
        <w:sdtEndPr/>
        <w:sdtContent>
          <w:r>
            <w:fldChar w:fldCharType="begin"/>
          </w:r>
          <w:r>
            <w:instrText xml:space="preserve"> CITATION USD22 \l 2057 </w:instrText>
          </w:r>
          <w:r>
            <w:fldChar w:fldCharType="separate"/>
          </w:r>
          <w:r w:rsidRPr="001E03E3">
            <w:rPr>
              <w:noProof/>
            </w:rPr>
            <w:t>(US Department of the Treasury, 2022)</w:t>
          </w:r>
          <w:r>
            <w:fldChar w:fldCharType="end"/>
          </w:r>
        </w:sdtContent>
      </w:sdt>
      <w:r>
        <w:t xml:space="preserve">. The Consumer Financial Protection Bureau (CFPB) was created as an independent watchdog focused solely on protecting consumer interests in the financial sector. The CFPB has authority to regulate financial products like mortgages, credit cards, and student loans. It can ban abusive, deceptive, or unfair practices and has supervisory and enforcement powers over large banks, payday lenders, debt collectors and other entities </w:t>
      </w:r>
      <w:sdt>
        <w:sdtPr>
          <w:id w:val="-2143405968"/>
          <w:citation/>
        </w:sdtPr>
        <w:sdtEndPr/>
        <w:sdtContent>
          <w:r>
            <w:fldChar w:fldCharType="begin"/>
          </w:r>
          <w:r>
            <w:instrText xml:space="preserve"> CITATION Con22 \l 2057 </w:instrText>
          </w:r>
          <w:r>
            <w:fldChar w:fldCharType="separate"/>
          </w:r>
          <w:r w:rsidRPr="001E03E3">
            <w:rPr>
              <w:noProof/>
            </w:rPr>
            <w:t>(Consumer Financial Protection Bureau, 2022)</w:t>
          </w:r>
          <w:r>
            <w:fldChar w:fldCharType="end"/>
          </w:r>
        </w:sdtContent>
      </w:sdt>
      <w:r>
        <w:t>.</w:t>
      </w:r>
    </w:p>
    <w:p w:rsidR="00EF08AB" w:rsidRDefault="00EF08AB" w:rsidP="00EF08AB">
      <w:pPr>
        <w:pStyle w:val="Content"/>
      </w:pPr>
      <w:r>
        <w:t xml:space="preserve">Dodd-Frank significantly expanded the regulatory authority of the SEC and CFTC over the over-the-counter derivatives markets, including swaps and security-based swaps. The Securities and Exchange Commission (SEC) received additional regulatory authority from Security-based swaps include derivatives based on a single security or a narrow-based security index. Specifically, the SEC was tasked with establishing capital, margin, reporting, and recordkeeping rules for dealers and major participants dealing in security-based swaps. Entities defined as “major security-based swap participants” are made subject to new requirements and oversight as well. Additionally, Dodd-Frank provided the SEC authority to mandate central clearing for security-based swaps to improve transparency and reduce counterparty risks. Standardized derivatives are required to be centrally cleared through regulated clearinghouses </w:t>
      </w:r>
      <w:sdt>
        <w:sdtPr>
          <w:id w:val="-243262247"/>
          <w:citation/>
        </w:sdtPr>
        <w:sdtEndPr/>
        <w:sdtContent>
          <w:r>
            <w:fldChar w:fldCharType="begin"/>
          </w:r>
          <w:r>
            <w:instrText xml:space="preserve"> CITATION USS12 \l 2057 </w:instrText>
          </w:r>
          <w:r>
            <w:fldChar w:fldCharType="separate"/>
          </w:r>
          <w:r w:rsidRPr="001E03E3">
            <w:rPr>
              <w:noProof/>
            </w:rPr>
            <w:t>(US Securities and Exchange Commission, 2012)</w:t>
          </w:r>
          <w:r>
            <w:fldChar w:fldCharType="end"/>
          </w:r>
        </w:sdtContent>
      </w:sdt>
      <w:r>
        <w:t>.</w:t>
      </w:r>
    </w:p>
    <w:p w:rsidR="00EF08AB" w:rsidRDefault="00EF08AB" w:rsidP="00EF08AB">
      <w:pPr>
        <w:pStyle w:val="Content"/>
      </w:pPr>
      <w:r>
        <w:t xml:space="preserve">The Commodity Futures Trading Commission (CFTC) also had its jurisdiction broadened by Dodd-Frank to regulate previously unregulated derivatives, especially swaps. Swaps include derivatives based on interest rates, currencies, commodities etc. Like the SEC, the CFTC was </w:t>
      </w:r>
      <w:r>
        <w:lastRenderedPageBreak/>
        <w:t xml:space="preserve">given authority to implement rules around capital, margin, reporting, </w:t>
      </w:r>
      <w:proofErr w:type="gramStart"/>
      <w:r>
        <w:t>recordkeeping</w:t>
      </w:r>
      <w:proofErr w:type="gramEnd"/>
      <w:r>
        <w:t xml:space="preserve"> and centralized clearing for swaps dealers and major swap participants. Requirements aim to reduce risks and enhance transparency </w:t>
      </w:r>
      <w:sdt>
        <w:sdtPr>
          <w:id w:val="-1427807087"/>
          <w:citation/>
        </w:sdtPr>
        <w:sdtEndPr/>
        <w:sdtContent>
          <w:r>
            <w:fldChar w:fldCharType="begin"/>
          </w:r>
          <w:r>
            <w:instrText xml:space="preserve"> CITATION Fab141 \l 2057 </w:instrText>
          </w:r>
          <w:r>
            <w:fldChar w:fldCharType="separate"/>
          </w:r>
          <w:r w:rsidRPr="001E03E3">
            <w:rPr>
              <w:noProof/>
            </w:rPr>
            <w:t>(Fabozzi, 2014)</w:t>
          </w:r>
          <w:r>
            <w:fldChar w:fldCharType="end"/>
          </w:r>
        </w:sdtContent>
      </w:sdt>
      <w:r>
        <w:t xml:space="preserve">. Dodd-Frank mandated that the CFTC work closely with the SEC in regulating derivatives markets. The two agencies have joint responsibility for issues that overlap both security-based swaps and other swaps, to coordinate their regulatory approaches </w:t>
      </w:r>
      <w:sdt>
        <w:sdtPr>
          <w:id w:val="-14537410"/>
          <w:citation/>
        </w:sdtPr>
        <w:sdtEndPr/>
        <w:sdtContent>
          <w:r>
            <w:fldChar w:fldCharType="begin"/>
          </w:r>
          <w:r>
            <w:instrText xml:space="preserve"> CITATION Inv211 \l 2057 </w:instrText>
          </w:r>
          <w:r>
            <w:fldChar w:fldCharType="separate"/>
          </w:r>
          <w:r w:rsidRPr="001E03E3">
            <w:rPr>
              <w:noProof/>
            </w:rPr>
            <w:t>(Investopedia, 2021)</w:t>
          </w:r>
          <w:r>
            <w:fldChar w:fldCharType="end"/>
          </w:r>
        </w:sdtContent>
      </w:sdt>
      <w:r>
        <w:t>.</w:t>
      </w:r>
    </w:p>
    <w:p w:rsidR="00EF08AB" w:rsidRDefault="00EF08AB" w:rsidP="00EF08AB">
      <w:pPr>
        <w:pStyle w:val="Content"/>
      </w:pPr>
      <w:r w:rsidRPr="005D2F3D">
        <w:t>The Volcker Rule, enacted as a pivotal safeguard within the comprehensive Dodd-Frank Wall Street Reform and Consumer Protection Act, represents a decisive response to the precarious dynamics that led to the 2008 financial crisis. By expressly prohibiting proprietary trading, wherein banks engage in self-serving financial transactions rather than acting on behalf of clients, the rule aims to eradicate potential conflicts of interest and temper the inherent risks linked to speculative activities. Simultaneously, the Volcker Rule imposes stringent limitations on banks' investments in hedge funds and private equity, capping ownership interests at 3% of Tier 1 capital. This deliberate constraint seeks to prevent undue exposure to the risks associated with alternative investments, ensuring that financial institutions remain steadfastly anchored to their core functions of traditional lending and client service. The rule's overarching objective is to cultivate a more cautious and risk-averse banking environment, thereby fostering financial stability and shielding the broader economy from the adverse consequences of unrestrained risk-taking. Despite encountering challenges in implementation and resistance from industry quarters, the ongoing commitment to monitoring and refining the Volcker Rule underscores its adaptability and responsiveness to evolving market conditions and industry dynamics, reinforcing its pivotal role as a regulatory linchpin in preventing the recurrence of systemic risks in the financial sector</w:t>
      </w:r>
      <w:r>
        <w:t xml:space="preserve"> </w:t>
      </w:r>
      <w:sdt>
        <w:sdtPr>
          <w:id w:val="408508136"/>
          <w:citation/>
        </w:sdtPr>
        <w:sdtEndPr/>
        <w:sdtContent>
          <w:r>
            <w:fldChar w:fldCharType="begin"/>
          </w:r>
          <w:r>
            <w:instrText xml:space="preserve"> CITATION Inv221 \l 2057 </w:instrText>
          </w:r>
          <w:r>
            <w:fldChar w:fldCharType="separate"/>
          </w:r>
          <w:r w:rsidRPr="001E03E3">
            <w:rPr>
              <w:noProof/>
            </w:rPr>
            <w:t>(Investopedia, 2022)</w:t>
          </w:r>
          <w:r>
            <w:fldChar w:fldCharType="end"/>
          </w:r>
        </w:sdtContent>
      </w:sdt>
      <w:r>
        <w:t>.</w:t>
      </w:r>
    </w:p>
    <w:p w:rsidR="00EF08AB" w:rsidRDefault="00EF08AB" w:rsidP="00EF08AB">
      <w:pPr>
        <w:pStyle w:val="Heading2"/>
      </w:pPr>
      <w:bookmarkStart w:id="2" w:name="_Toc154499910"/>
      <w:r>
        <w:t>Other Key Regulations</w:t>
      </w:r>
      <w:bookmarkEnd w:id="2"/>
    </w:p>
    <w:p w:rsidR="00EF08AB" w:rsidRDefault="00EF08AB" w:rsidP="00EF08AB">
      <w:pPr>
        <w:pStyle w:val="Content"/>
        <w:numPr>
          <w:ilvl w:val="0"/>
          <w:numId w:val="2"/>
        </w:numPr>
      </w:pPr>
      <w:r w:rsidRPr="005D2F3D">
        <w:t xml:space="preserve">The Federal Reserve's commitment to fortifying the stability and resilience of the financial system is exemplified through its rigorous supervision of systemically important banks, a central component of which is the Comprehensive Capital Analysis and Review (CCAR) program. Enacted as a response to the vulnerabilities exposed during the 2008 financial crisis, CCAR represents a pivotal regulatory initiative designed to ensure that major financial institutions possess the necessary capital buffers to withstand severe economic downturns. Under this program, systemically important banks are subjected to stringent capital stress testing requirements, </w:t>
      </w:r>
      <w:r w:rsidRPr="005D2F3D">
        <w:lastRenderedPageBreak/>
        <w:t xml:space="preserve">scrutinizing their ability to endure adverse economic scenarios and market shocks. The Federal Reserve's proactive approach through CCAR not only serves as a protective measure for individual banks but also contributes to overall financial stability by reducing the likelihood of systemic failures </w:t>
      </w:r>
      <w:sdt>
        <w:sdtPr>
          <w:id w:val="-479767791"/>
          <w:citation/>
        </w:sdtPr>
        <w:sdtEndPr/>
        <w:sdtContent>
          <w:r>
            <w:fldChar w:fldCharType="begin"/>
          </w:r>
          <w:r>
            <w:instrText xml:space="preserve"> CITATION FCI11 \l 2057 </w:instrText>
          </w:r>
          <w:r>
            <w:fldChar w:fldCharType="separate"/>
          </w:r>
          <w:r w:rsidRPr="001E03E3">
            <w:rPr>
              <w:noProof/>
            </w:rPr>
            <w:t>(FCIC, 2011)</w:t>
          </w:r>
          <w:r>
            <w:fldChar w:fldCharType="end"/>
          </w:r>
        </w:sdtContent>
      </w:sdt>
      <w:r>
        <w:t>.</w:t>
      </w:r>
    </w:p>
    <w:p w:rsidR="00EF08AB" w:rsidRDefault="00EF08AB" w:rsidP="00EF08AB">
      <w:pPr>
        <w:pStyle w:val="Content"/>
        <w:numPr>
          <w:ilvl w:val="0"/>
          <w:numId w:val="2"/>
        </w:numPr>
      </w:pPr>
      <w:r>
        <w:t>Federal bank regulators adopting the Basel III capital reforms to increase bank capital requirements and introduce new regulations around leverage and liquidity (FCIC, 2011).</w:t>
      </w:r>
    </w:p>
    <w:p w:rsidR="00EF08AB" w:rsidRDefault="00EF08AB" w:rsidP="00EF08AB">
      <w:pPr>
        <w:pStyle w:val="Content"/>
        <w:numPr>
          <w:ilvl w:val="0"/>
          <w:numId w:val="2"/>
        </w:numPr>
      </w:pPr>
      <w:r>
        <w:t>Federal Reserve capping debit card interchange fees charged by large banks under the Durbin Amendment of the Dodd-Frank Act (Kowalik et al., 2015).</w:t>
      </w:r>
    </w:p>
    <w:p w:rsidR="00EF08AB" w:rsidRDefault="00EF08AB" w:rsidP="00EF08AB">
      <w:pPr>
        <w:pStyle w:val="Content"/>
      </w:pPr>
      <w:r>
        <w:t xml:space="preserve">The Consumer Financial Protection Bureau's Qualified Mortgage rule was a centrepiece of the reforms targeting the mortgage market after the 2008 crisis. It established an "ability-to-repay" requirement for lenders to determine consumers have sufficient income and assets to pay back loans, to avoid repeating loose underwriting practices that led to the crisis </w:t>
      </w:r>
      <w:sdt>
        <w:sdtPr>
          <w:id w:val="-662703938"/>
          <w:citation/>
        </w:sdtPr>
        <w:sdtEndPr/>
        <w:sdtContent>
          <w:r>
            <w:fldChar w:fldCharType="begin"/>
          </w:r>
          <w:r>
            <w:instrText xml:space="preserve"> CITATION CFP13 \l 2057 </w:instrText>
          </w:r>
          <w:r>
            <w:fldChar w:fldCharType="separate"/>
          </w:r>
          <w:r w:rsidRPr="001E03E3">
            <w:rPr>
              <w:noProof/>
            </w:rPr>
            <w:t>(CFPB, 2013)</w:t>
          </w:r>
          <w:r>
            <w:fldChar w:fldCharType="end"/>
          </w:r>
        </w:sdtContent>
      </w:sdt>
      <w:r>
        <w:t>. Qualified Mortgages (QMs) outline standards lenders must meet to get legal safe harbor - like limits on points and fees paid upfront, and debt-to-income ratios capped at 43%. Key protections include banning risky features like negative amortization, interest-only payments, and terms over 30 years which can mask true costs. Income verification is mandated to prohibit no-doc loans. The reforms address predatory lending incentives; lenders can no longer reap profits through steering consumers into mortgages they cannot afford.</w:t>
      </w:r>
    </w:p>
    <w:p w:rsidR="00EF08AB" w:rsidRDefault="00EF08AB" w:rsidP="00EF08AB">
      <w:pPr>
        <w:pStyle w:val="Content"/>
      </w:pPr>
      <w:r>
        <w:t xml:space="preserve">Beyond legislation, important contracts emerged from government interventions to stabilize the financial system: The federal takeover of Fannie Mae and Freddie Mac in 2008 under conservatorship agreements with the Federal Housing Finance Agency. This allowed over $187 billion in taxpayer funds to bail out the mortgage giants </w:t>
      </w:r>
      <w:sdt>
        <w:sdtPr>
          <w:id w:val="1799885308"/>
          <w:citation/>
        </w:sdtPr>
        <w:sdtEndPr/>
        <w:sdtContent>
          <w:r>
            <w:fldChar w:fldCharType="begin"/>
          </w:r>
          <w:r>
            <w:instrText xml:space="preserve"> CITATION The223 \l 2057 </w:instrText>
          </w:r>
          <w:r>
            <w:fldChar w:fldCharType="separate"/>
          </w:r>
          <w:r w:rsidRPr="001E03E3">
            <w:rPr>
              <w:noProof/>
            </w:rPr>
            <w:t>(The Balance, 2022)</w:t>
          </w:r>
          <w:r>
            <w:fldChar w:fldCharType="end"/>
          </w:r>
        </w:sdtContent>
      </w:sdt>
      <w:r>
        <w:t>.</w:t>
      </w:r>
    </w:p>
    <w:p w:rsidR="00EF08AB" w:rsidRDefault="00EF08AB" w:rsidP="00EF08AB">
      <w:pPr>
        <w:pStyle w:val="Content"/>
      </w:pPr>
      <w:r>
        <w:t xml:space="preserve">The Emergency Economic Stabilization Act of 2008 established the $700 billion Troubled Asset Relief Program (TARP) allowing Treasury to purchase toxic assets and inject capital into failing banks. Originally conceived to buy mortgage assets, TARP pivoted amidst worsening conditions to the $250 billion Capital Purchase Program (CPP) for broad capital support to banks. Under CPP, Treasury invested in preferred shares and subordinated debt issued by commercial, investment and privately owned banks at a 5% dividend rate, later increased to 9%. Nine major banks enrolled first to encourage participation. The program later expanded via the Community Development Capital Initiative and Small Business </w:t>
      </w:r>
      <w:r>
        <w:lastRenderedPageBreak/>
        <w:t xml:space="preserve">Lending Fund to assist smaller lenders. In total, Treasury disbursed $204.9 billion to over 700 institutions through TARP programs. It has recovered $226.8 billion via repayments, auctions and income from dividends, interest, and warrants - turning a profit on the interventions. However, many smaller banks still struggle to exit TARP over a decade later amidst strict loss-sharing rules with Treasury </w:t>
      </w:r>
      <w:sdt>
        <w:sdtPr>
          <w:id w:val="-2024014390"/>
          <w:citation/>
        </w:sdtPr>
        <w:sdtEndPr/>
        <w:sdtContent>
          <w:r>
            <w:fldChar w:fldCharType="begin"/>
          </w:r>
          <w:r>
            <w:instrText xml:space="preserve"> CITATION Law21 \l 2057 </w:instrText>
          </w:r>
          <w:r>
            <w:fldChar w:fldCharType="separate"/>
          </w:r>
          <w:r w:rsidRPr="001E03E3">
            <w:rPr>
              <w:noProof/>
            </w:rPr>
            <w:t>(Lawson &amp; Adam, 2021)</w:t>
          </w:r>
          <w:r>
            <w:fldChar w:fldCharType="end"/>
          </w:r>
        </w:sdtContent>
      </w:sdt>
      <w:r>
        <w:t>.</w:t>
      </w:r>
    </w:p>
    <w:p w:rsidR="00EF08AB" w:rsidRPr="00B1519E" w:rsidRDefault="00EF08AB" w:rsidP="00EF08AB">
      <w:pPr>
        <w:pStyle w:val="Content"/>
      </w:pPr>
      <w:r>
        <w:t>In summary, the extensive regulatory response targeted root causes of the crisis by increasing supervision of financial institutions, limiting risky bank activities, improving consumer protections, and identifying systemic risks. However, implementation of reforms has been uneven, and they have faced resistance from industry (Kowalik et al., 2015).</w:t>
      </w:r>
    </w:p>
    <w:p w:rsidR="00EF08AB" w:rsidRDefault="00EF08AB" w:rsidP="00EF08AB">
      <w:pPr>
        <w:pStyle w:val="Heading1"/>
      </w:pPr>
      <w:bookmarkStart w:id="3" w:name="_Toc154499911"/>
      <w:r w:rsidRPr="00597132">
        <w:t>Comprehensive Overhaul: UK's Regulatory Response to Stabilize its Financial System After the 2008 Crisis</w:t>
      </w:r>
      <w:bookmarkEnd w:id="3"/>
    </w:p>
    <w:p w:rsidR="00EF08AB" w:rsidRDefault="00EF08AB" w:rsidP="00EF08AB">
      <w:pPr>
        <w:pStyle w:val="Content"/>
      </w:pPr>
      <w:r>
        <w:t>The United Kingdom emerged as a crucial global player responding to the aftermath of the 2008 financial crisis, implementing a series of laws, regulations, and contracts to address vulnerabilities in its financial system. The comprehensive reforms enacted by the UK government played a pivotal role in stabilizing its banking sector, influencing global financial regulatory discussions, and shaping the international landscape. The key measures taken by the UK post-2008 financial crisis are as follows:</w:t>
      </w:r>
    </w:p>
    <w:p w:rsidR="00EF08AB" w:rsidRDefault="00EF08AB" w:rsidP="00EF08AB">
      <w:pPr>
        <w:pStyle w:val="Heading2"/>
      </w:pPr>
      <w:bookmarkStart w:id="4" w:name="_Toc154499912"/>
      <w:r>
        <w:t>Laws &amp; Regulations</w:t>
      </w:r>
      <w:bookmarkEnd w:id="4"/>
    </w:p>
    <w:p w:rsidR="00EF08AB" w:rsidRDefault="00EF08AB" w:rsidP="00EF08AB">
      <w:pPr>
        <w:pStyle w:val="Content"/>
      </w:pPr>
      <w:r w:rsidRPr="00FB6DA3">
        <w:rPr>
          <w:b/>
          <w:bCs/>
        </w:rPr>
        <w:t>Banking Act 2009:</w:t>
      </w:r>
      <w:r>
        <w:t xml:space="preserve"> </w:t>
      </w:r>
      <w:r w:rsidRPr="005D2F3D">
        <w:t>The Banking Act 2009 was a critical response to the systemic threats posed by the 2008 financial crisis. This legislation conferred unprecedented powers upon the Bank of England, equipping it with tools essential for managing bank failures effectively. The most notable among these powers was the authority for nationalization, allowing the government to take control of failing banks to prevent their collapse. Additionally, the act introduced the concept of "bridge banks," providing a mechanism for the orderly transition and restructuring of failing banks. These bridge banks acted as temporary entities to manage critical functions and assets, ensuring that essential banking services continued during periods of crisis. The pivotal role of the Banking Act 2009 was evident in its facilitation of bank bailouts, a crucial measure undertaken to prevent a cascading financial meltdown</w:t>
      </w:r>
      <w:r>
        <w:t xml:space="preserve"> </w:t>
      </w:r>
      <w:sdt>
        <w:sdtPr>
          <w:id w:val="1393315931"/>
          <w:citation/>
        </w:sdtPr>
        <w:sdtEndPr/>
        <w:sdtContent>
          <w:r>
            <w:fldChar w:fldCharType="begin"/>
          </w:r>
          <w:r>
            <w:instrText xml:space="preserve"> CITATION CMS09 \l 2057 </w:instrText>
          </w:r>
          <w:r>
            <w:fldChar w:fldCharType="separate"/>
          </w:r>
          <w:r w:rsidRPr="001E03E3">
            <w:rPr>
              <w:noProof/>
            </w:rPr>
            <w:t>(CMS, 2009)</w:t>
          </w:r>
          <w:r>
            <w:fldChar w:fldCharType="end"/>
          </w:r>
        </w:sdtContent>
      </w:sdt>
      <w:r w:rsidRPr="005D2F3D">
        <w:t>.</w:t>
      </w:r>
    </w:p>
    <w:p w:rsidR="00EF08AB" w:rsidRDefault="00EF08AB" w:rsidP="00EF08AB">
      <w:pPr>
        <w:pStyle w:val="Content"/>
      </w:pPr>
      <w:r w:rsidRPr="00FB6DA3">
        <w:rPr>
          <w:b/>
          <w:bCs/>
        </w:rPr>
        <w:t>Financial Services Act 2012</w:t>
      </w:r>
      <w:r>
        <w:t xml:space="preserve">: </w:t>
      </w:r>
      <w:r w:rsidRPr="005D2F3D">
        <w:t xml:space="preserve">The Financial Services Act 2012 marked a significant shift in the regulatory landscape of the UK's financial sector. Dissolving the Financial Services </w:t>
      </w:r>
      <w:r w:rsidRPr="005D2F3D">
        <w:lastRenderedPageBreak/>
        <w:t>Authority (FSA), this legislation was a response to the perceived shortcomings in the pre-crisis regulatory framework. The establishment of two distinct regulatory bodies—the Prudential Regulation Authority (PRA) and the Financial Conduct Authority (FCA)—represented a nuanced approach to supervision. The PRA assumed responsibility for prudential regulation, focusing on ensuring the financial soundness of banks, insurers, and large investment firms. Simultaneously, the FCA took charge of conduct regulation, aiming to protect consumers and maintain the integrity of financial markets. This bifurcation of responsibilities aimed to bring about a more targeted and integrated approach to financial oversight, aligning regulatory focus with the specific needs of different segments within the financial industry</w:t>
      </w:r>
      <w:r>
        <w:t xml:space="preserve"> </w:t>
      </w:r>
      <w:sdt>
        <w:sdtPr>
          <w:id w:val="1679618245"/>
          <w:citation/>
        </w:sdtPr>
        <w:sdtEndPr/>
        <w:sdtContent>
          <w:r>
            <w:fldChar w:fldCharType="begin"/>
          </w:r>
          <w:r>
            <w:instrText xml:space="preserve"> CITATION Leg12 \l 2057 </w:instrText>
          </w:r>
          <w:r>
            <w:fldChar w:fldCharType="separate"/>
          </w:r>
          <w:r w:rsidRPr="001E03E3">
            <w:rPr>
              <w:noProof/>
            </w:rPr>
            <w:t>(Legislation.gov.uk, 2012)</w:t>
          </w:r>
          <w:r>
            <w:fldChar w:fldCharType="end"/>
          </w:r>
        </w:sdtContent>
      </w:sdt>
      <w:r w:rsidRPr="005D2F3D">
        <w:t>.</w:t>
      </w:r>
    </w:p>
    <w:p w:rsidR="00EF08AB" w:rsidRDefault="00EF08AB" w:rsidP="00EF08AB">
      <w:pPr>
        <w:pStyle w:val="Content"/>
      </w:pPr>
      <w:r w:rsidRPr="00FB6DA3">
        <w:rPr>
          <w:b/>
          <w:bCs/>
        </w:rPr>
        <w:t>Financial Policy Committee (FPC):</w:t>
      </w:r>
      <w:r>
        <w:t xml:space="preserve"> </w:t>
      </w:r>
      <w:r w:rsidRPr="005D2F3D">
        <w:t>Created as a result of the Financial Services Act 2012, the Financial Policy Committee (FPC) emerged as a forward-looking entity within the regulatory framework. Tasked with macroprudential</w:t>
      </w:r>
      <w:bookmarkStart w:id="5" w:name="_GoBack"/>
      <w:bookmarkEnd w:id="5"/>
      <w:r w:rsidRPr="005D2F3D">
        <w:t xml:space="preserve"> regulation, the FPC played a crucial role in monitoring and responding to systemic risks that could threaten the stability of the entire financial system. By identifying emerging threats and formulating timely responses, the FPC became an essential component in the toolkit for maintaining financial stability. Its ability to take a holistic view of the macroeconomic landscape and apply targeted measures positioned the FPC as a proactive force in safeguarding the UK's financial system from future crises.</w:t>
      </w:r>
    </w:p>
    <w:p w:rsidR="00EF08AB" w:rsidRDefault="00EF08AB" w:rsidP="00EF08AB">
      <w:pPr>
        <w:pStyle w:val="Content"/>
      </w:pPr>
      <w:r w:rsidRPr="00FB6DA3">
        <w:rPr>
          <w:b/>
          <w:bCs/>
        </w:rPr>
        <w:t>Prudential Regulation Authority (PRA):</w:t>
      </w:r>
      <w:r>
        <w:t xml:space="preserve"> </w:t>
      </w:r>
      <w:r w:rsidRPr="005D2F3D">
        <w:t>The establishment of the Prudential Regulation Authority (PRA) under the Financial Services Act 2012 represented a significant step toward enhancing the resilience of financial institutions. Endowed with the responsibility for prudential regulation and supervision, the PRA imposed stringent regulatory standards on banks, insurers, and large investment firms. These standards included requirements related to capital adequacy and liquidity, crucial elements for ensuring that financial institutions had robust buffers to withstand economic shocks. The PRA's focus on prudential standards contributed to a more resilient financial system, reducing the likelihood of institutions facing insolvency and reinforcing confidence in the stability of the banking sector</w:t>
      </w:r>
      <w:r>
        <w:t xml:space="preserve"> </w:t>
      </w:r>
      <w:sdt>
        <w:sdtPr>
          <w:id w:val="843362001"/>
          <w:citation/>
        </w:sdtPr>
        <w:sdtEndPr/>
        <w:sdtContent>
          <w:r>
            <w:fldChar w:fldCharType="begin"/>
          </w:r>
          <w:r>
            <w:instrText xml:space="preserve"> CITATION HMT12 \l 2057 </w:instrText>
          </w:r>
          <w:r>
            <w:fldChar w:fldCharType="separate"/>
          </w:r>
          <w:r w:rsidRPr="001E03E3">
            <w:rPr>
              <w:noProof/>
            </w:rPr>
            <w:t>(HM Treasury, 2012)</w:t>
          </w:r>
          <w:r>
            <w:fldChar w:fldCharType="end"/>
          </w:r>
        </w:sdtContent>
      </w:sdt>
      <w:r w:rsidRPr="005D2F3D">
        <w:t>.</w:t>
      </w:r>
    </w:p>
    <w:p w:rsidR="00EF08AB" w:rsidRDefault="00EF08AB" w:rsidP="00EF08AB">
      <w:pPr>
        <w:pStyle w:val="Content"/>
      </w:pPr>
      <w:r w:rsidRPr="00FB6DA3">
        <w:rPr>
          <w:b/>
          <w:bCs/>
        </w:rPr>
        <w:t>Banking Reform Act 2013:</w:t>
      </w:r>
      <w:r>
        <w:t xml:space="preserve"> </w:t>
      </w:r>
      <w:r w:rsidRPr="005D2F3D">
        <w:t xml:space="preserve">The Banking Reform Act 2013 introduced structural reforms aimed at addressing the interconnectedness of retail and investment banking functions within financial organizations. The primary objective of ringfencing these functions was to protect retail deposits from the risks associated with investment banking activities. By creating a </w:t>
      </w:r>
      <w:r w:rsidRPr="005D2F3D">
        <w:lastRenderedPageBreak/>
        <w:t>clear separation between these activities, the act aimed to shield retail customers from the impact of potential failures in the riskier investment banking sector. Additionally, the act updated resolution regime tools, providing authorities with enhanced capabilities to wind down failing institutions in an orderly manner. These structural reforms and resolution tools were pivotal in mitigating the "too-big-to-fail" problem, reducing systemic risks, and safeguarding the interests of retail customers</w:t>
      </w:r>
      <w:r>
        <w:t xml:space="preserve"> </w:t>
      </w:r>
      <w:sdt>
        <w:sdtPr>
          <w:id w:val="658346684"/>
          <w:citation/>
        </w:sdtPr>
        <w:sdtEndPr/>
        <w:sdtContent>
          <w:r>
            <w:fldChar w:fldCharType="begin"/>
          </w:r>
          <w:r>
            <w:instrText xml:space="preserve"> CITATION HMT13 \l 2057 </w:instrText>
          </w:r>
          <w:r>
            <w:fldChar w:fldCharType="separate"/>
          </w:r>
          <w:r w:rsidRPr="001E03E3">
            <w:rPr>
              <w:noProof/>
            </w:rPr>
            <w:t>(HM Treasury, 2013)</w:t>
          </w:r>
          <w:r>
            <w:fldChar w:fldCharType="end"/>
          </w:r>
        </w:sdtContent>
      </w:sdt>
      <w:r w:rsidRPr="005D2F3D">
        <w:t>.</w:t>
      </w:r>
    </w:p>
    <w:p w:rsidR="00EF08AB" w:rsidRDefault="00EF08AB" w:rsidP="00EF08AB">
      <w:pPr>
        <w:pStyle w:val="Content"/>
      </w:pPr>
      <w:r w:rsidRPr="00FB6DA3">
        <w:rPr>
          <w:b/>
          <w:bCs/>
        </w:rPr>
        <w:t>Senior Managers &amp; Certification Regime:</w:t>
      </w:r>
      <w:r>
        <w:t xml:space="preserve"> </w:t>
      </w:r>
      <w:r w:rsidRPr="005D2F3D">
        <w:t>The Senior Managers &amp; Certification Regime (SMCR) introduced a paradigm shift in the accountability framework for senior executives in financial institutions. Recognizing the need for individual responsibility, SMCR established conduct rules and direct oversight mechanisms for senior bankers and bank directors. These conduct rules set clear expectations for ethical behaviour, integrity, and professionalism, fostering a culture of accountability within financial institutions. By directly holding senior managers responsible for the conduct and performance of their teams, SMCR aimed to discourage behaviours that could contribute to systemic risks. This regime was a proactive step towards instilling a sense of responsibility at the highest levels of financial institutions, aligning individual incentives with the broader goal of maintaining a stable and trustworthy financial system</w:t>
      </w:r>
      <w:r>
        <w:t xml:space="preserve"> </w:t>
      </w:r>
      <w:sdt>
        <w:sdtPr>
          <w:id w:val="1987588293"/>
          <w:citation/>
        </w:sdtPr>
        <w:sdtEndPr/>
        <w:sdtContent>
          <w:r>
            <w:fldChar w:fldCharType="begin"/>
          </w:r>
          <w:r>
            <w:instrText xml:space="preserve"> CITATION FCA15 \l 2057 </w:instrText>
          </w:r>
          <w:r>
            <w:fldChar w:fldCharType="separate"/>
          </w:r>
          <w:r w:rsidRPr="001E03E3">
            <w:rPr>
              <w:noProof/>
            </w:rPr>
            <w:t>(FCA, 2015)</w:t>
          </w:r>
          <w:r>
            <w:fldChar w:fldCharType="end"/>
          </w:r>
        </w:sdtContent>
      </w:sdt>
      <w:r w:rsidRPr="005D2F3D">
        <w:t>.</w:t>
      </w:r>
    </w:p>
    <w:p w:rsidR="00EF08AB" w:rsidRDefault="00EF08AB" w:rsidP="00EF08AB">
      <w:pPr>
        <w:pStyle w:val="Heading2"/>
      </w:pPr>
      <w:bookmarkStart w:id="6" w:name="_Toc154499913"/>
      <w:r>
        <w:t>Contracts and Government Interventions</w:t>
      </w:r>
      <w:bookmarkEnd w:id="6"/>
    </w:p>
    <w:p w:rsidR="00EF08AB" w:rsidRDefault="00EF08AB" w:rsidP="00EF08AB">
      <w:pPr>
        <w:pStyle w:val="Content"/>
      </w:pPr>
      <w:r w:rsidRPr="00FB6DA3">
        <w:rPr>
          <w:b/>
          <w:bCs/>
        </w:rPr>
        <w:t>Bank Recapitalization Plan:</w:t>
      </w:r>
      <w:r>
        <w:t xml:space="preserve"> </w:t>
      </w:r>
      <w:r w:rsidRPr="005D2F3D">
        <w:t>The Bank Recapitalization Plan, implemented by the UK government, was a strategic and decisive move to address the capital deficiencies of major banks, namely RBS, Lloyds, and HBOS, in the wake of the 2008 financial crisis. With a commitment of £37 billion, the government injected tier 1 capital directly into these financial institutions. This infusion of capital was a response to the severe erosion of capital positions these banks faced, primarily due to exposure to toxic assets and the broader economic downturn. The government's provision of capital was not a passive bailout but a calculated intervention, as it took equity shares in exchange. By becoming a shareholder, the government aligned its interests with the long-term health and stability of these banks. The Bank Recapitalization Plan played a crucial role in bolstering the financial strength of these institutions, enhancing their capacity to absorb losses, and instilling confidence in the markets and depositors</w:t>
      </w:r>
      <w:r>
        <w:t xml:space="preserve"> </w:t>
      </w:r>
      <w:sdt>
        <w:sdtPr>
          <w:id w:val="1333882247"/>
          <w:citation/>
        </w:sdtPr>
        <w:sdtEndPr/>
        <w:sdtContent>
          <w:r>
            <w:fldChar w:fldCharType="begin"/>
          </w:r>
          <w:r>
            <w:instrText xml:space="preserve"> CITATION Ban08 \l 2057 </w:instrText>
          </w:r>
          <w:r>
            <w:fldChar w:fldCharType="separate"/>
          </w:r>
          <w:r w:rsidRPr="001E03E3">
            <w:rPr>
              <w:noProof/>
            </w:rPr>
            <w:t>(Bank of England, 2008)</w:t>
          </w:r>
          <w:r>
            <w:fldChar w:fldCharType="end"/>
          </w:r>
        </w:sdtContent>
      </w:sdt>
      <w:r w:rsidRPr="005D2F3D">
        <w:t>.</w:t>
      </w:r>
    </w:p>
    <w:p w:rsidR="00EF08AB" w:rsidRDefault="00EF08AB" w:rsidP="00EF08AB">
      <w:pPr>
        <w:pStyle w:val="Content"/>
      </w:pPr>
      <w:r w:rsidRPr="00FB6DA3">
        <w:rPr>
          <w:b/>
          <w:bCs/>
        </w:rPr>
        <w:t>Asset Protection Scheme:</w:t>
      </w:r>
      <w:r>
        <w:t xml:space="preserve"> </w:t>
      </w:r>
      <w:r w:rsidRPr="005D2F3D">
        <w:t xml:space="preserve">The Asset Protection Scheme (APS) was a targeted initiative designed to mitigate the impact of toxic assets on the balance sheet of the Royal Bank of </w:t>
      </w:r>
      <w:r w:rsidRPr="005D2F3D">
        <w:lastRenderedPageBreak/>
        <w:t>Scotland (RBS). In 2009, RBS faced substantial challenges due to its exposure to risky and non-performing assets. The government, recognizing the systemic importance of RBS and the potential spillover effects on the broader economy, implemented the APS. Under this scheme, RBS paid £2.5 billion for insurance coverage on a portfolio of £282 billion in toxic assets. This insurance provided a financial cushion for RBS against losses on these assets, reducing the immediate financial strain on the bank. The APS aimed to stabilize RBS's financial position, prevent a further deterioration of its capital base, and, in the broader context, safeguard the stability of the UK financial system. By ring-fencing and managing the risk associated with toxic assets, the Asset Protection Scheme contributed to the gradual recovery of RBS and, consequently, the overall financial landscape</w:t>
      </w:r>
      <w:r>
        <w:t xml:space="preserve"> </w:t>
      </w:r>
      <w:sdt>
        <w:sdtPr>
          <w:id w:val="1445498183"/>
          <w:citation/>
        </w:sdtPr>
        <w:sdtEndPr/>
        <w:sdtContent>
          <w:r>
            <w:fldChar w:fldCharType="begin"/>
          </w:r>
          <w:r>
            <w:instrText xml:space="preserve"> CITATION Hou12 \l 2057 </w:instrText>
          </w:r>
          <w:r>
            <w:fldChar w:fldCharType="separate"/>
          </w:r>
          <w:r w:rsidRPr="001E03E3">
            <w:rPr>
              <w:noProof/>
            </w:rPr>
            <w:t>(House of Commons Committee of Public Accounts, 2012)</w:t>
          </w:r>
          <w:r>
            <w:fldChar w:fldCharType="end"/>
          </w:r>
        </w:sdtContent>
      </w:sdt>
      <w:r w:rsidRPr="005D2F3D">
        <w:t>.</w:t>
      </w:r>
    </w:p>
    <w:p w:rsidR="00EF08AB" w:rsidRDefault="00EF08AB" w:rsidP="00EF08AB">
      <w:pPr>
        <w:pStyle w:val="Content"/>
      </w:pPr>
      <w:r w:rsidRPr="00FB6DA3">
        <w:rPr>
          <w:b/>
          <w:bCs/>
        </w:rPr>
        <w:t>Special Liquidity Scheme:</w:t>
      </w:r>
      <w:r>
        <w:t xml:space="preserve"> </w:t>
      </w:r>
      <w:r w:rsidRPr="005D2F3D">
        <w:t>The Special Liquidity Scheme (SLS) was a targeted program introduced in 2011-2012 to address acute liquidity challenges faced by banks. During this period of heightened uncertainty and constrained credit markets, banks encountered difficulties in accessing short-term funding. The SLS provided a mechanism for banks to temporarily swap illiquid mortgage assets for highly liquid Treasury bills. This innovative approach allowed banks to improve their liquidity positions by exchanging assets that were difficult to sell in the market for readily tradable government securities. By doing so, the SLS facilitated emergency funding for banks, ensuring they had the necessary liquidity to meet immediate obligations. The scheme played a vital role in averting a liquidity crisis, preventing a damaging credit squeeze, and maintaining the functioning of the financial system. The Special Liquidity Scheme exemplified a proactive response to address specific challenges arising from the crisis, underscoring the importance of targeted interventions in maintaining the stability of the financial system</w:t>
      </w:r>
      <w:r>
        <w:t xml:space="preserve"> </w:t>
      </w:r>
      <w:sdt>
        <w:sdtPr>
          <w:id w:val="-686056500"/>
          <w:citation/>
        </w:sdtPr>
        <w:sdtEndPr/>
        <w:sdtContent>
          <w:r>
            <w:fldChar w:fldCharType="begin"/>
          </w:r>
          <w:r>
            <w:instrText xml:space="preserve"> CITATION Nyg20 \l 2057 </w:instrText>
          </w:r>
          <w:r>
            <w:fldChar w:fldCharType="separate"/>
          </w:r>
          <w:r w:rsidRPr="001E03E3">
            <w:rPr>
              <w:noProof/>
            </w:rPr>
            <w:t>(Nygaard, 2020)</w:t>
          </w:r>
          <w:r>
            <w:fldChar w:fldCharType="end"/>
          </w:r>
        </w:sdtContent>
      </w:sdt>
      <w:r w:rsidRPr="005D2F3D">
        <w:t>.</w:t>
      </w:r>
    </w:p>
    <w:p w:rsidR="00EF08AB" w:rsidRDefault="00EF08AB" w:rsidP="00EF08AB">
      <w:pPr>
        <w:pStyle w:val="Heading2"/>
      </w:pPr>
      <w:bookmarkStart w:id="7" w:name="_Toc154499914"/>
      <w:r>
        <w:t>Analysis and Rationale for Selection</w:t>
      </w:r>
      <w:bookmarkEnd w:id="7"/>
    </w:p>
    <w:p w:rsidR="00EF08AB" w:rsidRDefault="00EF08AB" w:rsidP="00EF08AB">
      <w:pPr>
        <w:pStyle w:val="Content"/>
      </w:pPr>
      <w:r>
        <w:t xml:space="preserve">The selection of the United Kingdom as a global player for analysis is justified by several factors. Firstly, the UK, particularly London, holds a central position in the global financial system, with a significant banking sector that was deeply affected by the 2008 financial crisis. The collapse and subsequent bailouts of major UK banks, such as RBS, Lloyds, and HBOS, underscored the urgency and severity of the crisis within the country. Secondly, the UK's response to the crisis involved pioneering and far-reaching reforms that had implications beyond its borders. The establishment of the Financial Policy Committee and Prudential </w:t>
      </w:r>
      <w:r>
        <w:lastRenderedPageBreak/>
        <w:t>Regulation Authority, as well as the structural reforms under the Banking Reform Act 2013, showcased the UK's commitment to addressing systemic weaknesses and promoting financial stability. Thirdly, the UK's involvement in global regulatory bodies, such as the Basel Committee and Financial Stability Board, emphasized its role in shaping international financial regulations. The tensions between domestic reforms and the imperative to maintain London's competitiveness as a financial center added complexity to the UK's regulatory approach, making it a nuanced and intriguing case study.</w:t>
      </w:r>
    </w:p>
    <w:p w:rsidR="00EF08AB" w:rsidRPr="00FB6DA3" w:rsidRDefault="00EF08AB" w:rsidP="00EF08AB">
      <w:pPr>
        <w:pStyle w:val="Content"/>
      </w:pPr>
      <w:r>
        <w:t>In summary, the UK's response to the 2008 financial crisis involved a multifaceted approach, combining legislative changes, regulatory reforms, and targeted government interventions. The selected laws, regulations, and contracts reflect the depth and breadth of the UK's efforts to stabilize its financial system, protect consumers, and contribute to global financial stability. The UK's experience provides valuable insights into the challenges and trade-offs inherent in navigating the complex aftermath of a global financial crisis.</w:t>
      </w:r>
    </w:p>
    <w:p w:rsidR="00EF08AB" w:rsidRDefault="00EF08AB" w:rsidP="00EF08AB">
      <w:pPr>
        <w:pStyle w:val="Heading1"/>
      </w:pPr>
      <w:bookmarkStart w:id="8" w:name="_Toc154499915"/>
      <w:r w:rsidRPr="006210F6">
        <w:t>Assessing the Impact of Post-Crisis Reforms on Financial Stability</w:t>
      </w:r>
      <w:bookmarkEnd w:id="8"/>
    </w:p>
    <w:p w:rsidR="00EF08AB" w:rsidRDefault="00EF08AB" w:rsidP="00EF08AB">
      <w:pPr>
        <w:pStyle w:val="Content"/>
      </w:pPr>
      <w:r>
        <w:t xml:space="preserve">The sweeping regulatory reforms enacted in the United States and United Kingdom following the 2008 global financial crisis were designed to directly address the vulnerabilities and excessive risk-taking that precipitated the crisis. Major legislative overhauls like the Dodd-Frank Act in the US and Banking Reform Act 2013 in the UK aimed to rein in destabilizing activities while enhancing supervision and resilience across banking systems still reeling from massive government bailouts. Tighter supervision and increased capital requirements have undoubtedly made both countries’ largest systematically important financial institutions more shock-absorbent over the past decade. Rigorous stress testing exercises for major banks conducted by the Federal Reserve and Bank of England provide regular transparency into balance sheet strengths and risk exposures, while also requiring remedial actions to address deficiencies identified. US and UK regulators have compelled the rapid expansion of capital and liquidity buffers to ensure adequate loss-absorbing resources. Evidence suggests the largest banks in both jurisdictions now maintain capital ratios approximately twice as high as pre-crisis levels on average </w:t>
      </w:r>
      <w:sdt>
        <w:sdtPr>
          <w:id w:val="480206795"/>
          <w:citation/>
        </w:sdtPr>
        <w:sdtEndPr/>
        <w:sdtContent>
          <w:r>
            <w:fldChar w:fldCharType="begin"/>
          </w:r>
          <w:r>
            <w:instrText xml:space="preserve"> CITATION Ban181 \l 2057 </w:instrText>
          </w:r>
          <w:r>
            <w:fldChar w:fldCharType="separate"/>
          </w:r>
          <w:r w:rsidRPr="001E03E3">
            <w:rPr>
              <w:noProof/>
            </w:rPr>
            <w:t>(Bank for international Settlements, 2018)</w:t>
          </w:r>
          <w:r>
            <w:fldChar w:fldCharType="end"/>
          </w:r>
        </w:sdtContent>
      </w:sdt>
      <w:r>
        <w:t>.</w:t>
      </w:r>
    </w:p>
    <w:p w:rsidR="00EF08AB" w:rsidRDefault="00EF08AB" w:rsidP="00EF08AB">
      <w:pPr>
        <w:pStyle w:val="Content"/>
      </w:pPr>
      <w:r>
        <w:t xml:space="preserve">Beyond the micro prudential regulations focused on individual banks, the establishment of macroprudential oversight bodies like the Financial Stability Oversight Council (FSOC) and Financial Policy Committee (FPC) reflect recognition that systemic vulnerabilities arise from </w:t>
      </w:r>
      <w:r>
        <w:lastRenderedPageBreak/>
        <w:t xml:space="preserve">collective activities across institutions which no regulator was previously monitoring holistically. These bodies scan the landscape for emerging systemic threats – such as accumulating risks beyond the regulatory perimeter in shadow banking activities – to facilitate timely coordinated intervention </w:t>
      </w:r>
      <w:sdt>
        <w:sdtPr>
          <w:id w:val="1401863582"/>
          <w:citation/>
        </w:sdtPr>
        <w:sdtEndPr/>
        <w:sdtContent>
          <w:r>
            <w:fldChar w:fldCharType="begin"/>
          </w:r>
          <w:r>
            <w:instrText xml:space="preserve"> CITATION HMT121 \l 2057 </w:instrText>
          </w:r>
          <w:r>
            <w:fldChar w:fldCharType="separate"/>
          </w:r>
          <w:r w:rsidRPr="001E03E3">
            <w:rPr>
              <w:noProof/>
            </w:rPr>
            <w:t>(HM Treasury, 2012)</w:t>
          </w:r>
          <w:r>
            <w:fldChar w:fldCharType="end"/>
          </w:r>
        </w:sdtContent>
      </w:sdt>
      <w:r>
        <w:t>.</w:t>
      </w:r>
    </w:p>
    <w:p w:rsidR="00EF08AB" w:rsidRDefault="00EF08AB" w:rsidP="00EF08AB">
      <w:pPr>
        <w:pStyle w:val="Content"/>
      </w:pPr>
      <w:r>
        <w:t xml:space="preserve">Structural reforms have also worked to insulate traditional retail deposit-taking and lending functions that underpin wider economic stability from more volatile investment banking activities. US initiatives like the Volcker Rule prohibition on proprietary trading, UK ringfencing rules, and Swiss regulations applying a capital surcharge on market trading books exemplify this. Shielding basic banking infrastructure from trading losses and write-downs has been crucial to maintaining capacity for wider credit provision during periods of capital market turmoil </w:t>
      </w:r>
      <w:sdt>
        <w:sdtPr>
          <w:id w:val="1339893403"/>
          <w:citation/>
        </w:sdtPr>
        <w:sdtEndPr/>
        <w:sdtContent>
          <w:r>
            <w:fldChar w:fldCharType="begin"/>
          </w:r>
          <w:r>
            <w:instrText xml:space="preserve"> CITATION Ban181 \l 2057 </w:instrText>
          </w:r>
          <w:r>
            <w:fldChar w:fldCharType="separate"/>
          </w:r>
          <w:r w:rsidRPr="001E03E3">
            <w:rPr>
              <w:noProof/>
            </w:rPr>
            <w:t>(Bank for international Settlements, 2018)</w:t>
          </w:r>
          <w:r>
            <w:fldChar w:fldCharType="end"/>
          </w:r>
        </w:sdtContent>
      </w:sdt>
      <w:r>
        <w:t xml:space="preserve">. Additionally, an area often overlooked is the pivotal impact governance reforms embedded in frameworks like the UK’s Senior Managers and Certification Regime have had on culture and accountability within banks, thus tempering excess risk appetites. </w:t>
      </w:r>
    </w:p>
    <w:p w:rsidR="00EF08AB" w:rsidRDefault="00EF08AB" w:rsidP="00EF08AB">
      <w:pPr>
        <w:pStyle w:val="Content"/>
      </w:pPr>
      <w:r>
        <w:t xml:space="preserve">However, legitimate questions remain about whether these regulatory changes have sufficiently stabilized systems prone to amplified swings in risk sentiment and credit availability. Concerns exist that capital requirements, while significantly higher, still remain inadequate. Major UK and European banks continue reliance on fickle short-term wholesale funding for approximately 30% of total assets – unchanged from pre-2008 dependency levels </w:t>
      </w:r>
      <w:sdt>
        <w:sdtPr>
          <w:id w:val="539255945"/>
          <w:citation/>
        </w:sdtPr>
        <w:sdtEndPr/>
        <w:sdtContent>
          <w:r>
            <w:fldChar w:fldCharType="begin"/>
          </w:r>
          <w:r>
            <w:instrText xml:space="preserve"> CITATION Ban181 \l 2057 </w:instrText>
          </w:r>
          <w:r>
            <w:fldChar w:fldCharType="separate"/>
          </w:r>
          <w:r w:rsidRPr="001E03E3">
            <w:rPr>
              <w:noProof/>
            </w:rPr>
            <w:t>(Bank for international Settlements, 2018)</w:t>
          </w:r>
          <w:r>
            <w:fldChar w:fldCharType="end"/>
          </w:r>
        </w:sdtContent>
      </w:sdt>
      <w:r>
        <w:t xml:space="preserve">. Shadow banking, while in the regulatory spotlight, has swollen to represent half the global financial system </w:t>
      </w:r>
      <w:sdt>
        <w:sdtPr>
          <w:id w:val="-389805390"/>
          <w:citation/>
        </w:sdtPr>
        <w:sdtEndPr/>
        <w:sdtContent>
          <w:r>
            <w:fldChar w:fldCharType="begin"/>
          </w:r>
          <w:r>
            <w:instrText xml:space="preserve"> CITATION FCI11 \l 2057 </w:instrText>
          </w:r>
          <w:r>
            <w:fldChar w:fldCharType="separate"/>
          </w:r>
          <w:r w:rsidRPr="001E03E3">
            <w:rPr>
              <w:noProof/>
            </w:rPr>
            <w:t>(FCIC, 2011)</w:t>
          </w:r>
          <w:r>
            <w:fldChar w:fldCharType="end"/>
          </w:r>
        </w:sdtContent>
      </w:sdt>
      <w:r>
        <w:t xml:space="preserve">. Risks outside the core banking perimeter persist.  </w:t>
      </w:r>
    </w:p>
    <w:p w:rsidR="00EF08AB" w:rsidRDefault="00EF08AB" w:rsidP="00EF08AB">
      <w:pPr>
        <w:pStyle w:val="Content"/>
      </w:pPr>
      <w:r>
        <w:t>Critics also argue a structural fallacy underlying the reform efforts is that they ultimately depend upon and work within an inherently unstable debt-based monetary system, attempting to temper a credit cycle prone to excessive risk-taking during periods of expansion and credit destruction when risk sensitivities suddenly shift. More fundamental debates question whether permanent stability can ever be attained absent more wholesale transformations of banking away from limited liability/debt financing models underpinned by money creation and fractional reserve lending powers. The narrower post-crisis regulations enacted are thus argued to be mere damage control on a system bound to spiral into speculative excess and accompanying disorder.</w:t>
      </w:r>
    </w:p>
    <w:p w:rsidR="00EF08AB" w:rsidRDefault="00EF08AB" w:rsidP="00EF08AB">
      <w:pPr>
        <w:pStyle w:val="Content"/>
      </w:pPr>
      <w:r>
        <w:lastRenderedPageBreak/>
        <w:t xml:space="preserve">In terms of supporting wider economic objectives, evidence suggests the profitability hit banks have experienced due to higher capital costs and reduced lucrative trading opportunities has not significantly damaged credit provision thus far. Net interest margins for UK and EU banks have contracted around 35% since </w:t>
      </w:r>
      <w:r w:rsidR="007A1641">
        <w:t>2015,</w:t>
      </w:r>
      <w:r>
        <w:t xml:space="preserve"> yet lending growth has kept pace with pre-crisis trends </w:t>
      </w:r>
      <w:sdt>
        <w:sdtPr>
          <w:id w:val="-1770845461"/>
          <w:citation/>
        </w:sdtPr>
        <w:sdtEndPr/>
        <w:sdtContent>
          <w:r>
            <w:fldChar w:fldCharType="begin"/>
          </w:r>
          <w:r>
            <w:instrText xml:space="preserve"> CITATION Eur22 \l 2057 </w:instrText>
          </w:r>
          <w:r>
            <w:fldChar w:fldCharType="separate"/>
          </w:r>
          <w:r w:rsidRPr="001E03E3">
            <w:rPr>
              <w:noProof/>
            </w:rPr>
            <w:t>(European banking Authority, 2022)</w:t>
          </w:r>
          <w:r>
            <w:fldChar w:fldCharType="end"/>
          </w:r>
        </w:sdtContent>
      </w:sdt>
      <w:r>
        <w:t xml:space="preserve">. This suggests the growth/stability trade-off has remained balanced, though concerns exist that as further Basel III requirements phase in requiring trillions more in capital raising, the associated costs may catalyze consolidation and spur eventual credit contraction. Jury is out on these long-run impacts. In summary, nuanced perspectives recognize the pivotal importance of reforms in addressing root weaknesses, while acknowledging work remains in tackling risks outside regulatory bounds and monitoring trade-offs amidst evolving structural changes in banking. The regulations have set key preconditions for stability by enhancing oversight and buffers, but persistent uncertainties tied to underlying funding models highlight need for vigilance and openness to continually strengthening policies and mindsets governing financial infrastructure </w:t>
      </w:r>
      <w:sdt>
        <w:sdtPr>
          <w:id w:val="669069799"/>
          <w:citation/>
        </w:sdtPr>
        <w:sdtEndPr/>
        <w:sdtContent>
          <w:r>
            <w:fldChar w:fldCharType="begin"/>
          </w:r>
          <w:r>
            <w:instrText xml:space="preserve"> CITATION Ban22 \l 2057 </w:instrText>
          </w:r>
          <w:r>
            <w:fldChar w:fldCharType="separate"/>
          </w:r>
          <w:r w:rsidRPr="001E03E3">
            <w:rPr>
              <w:noProof/>
            </w:rPr>
            <w:t>(Bank for International Settlements, 2022)</w:t>
          </w:r>
          <w:r>
            <w:fldChar w:fldCharType="end"/>
          </w:r>
        </w:sdtContent>
      </w:sdt>
      <w:r>
        <w:t>.</w:t>
      </w:r>
    </w:p>
    <w:p w:rsidR="00EF08AB" w:rsidRDefault="00EF08AB" w:rsidP="00EF08AB">
      <w:pPr>
        <w:pStyle w:val="Heading1"/>
      </w:pPr>
      <w:bookmarkStart w:id="9" w:name="_Toc154499916"/>
      <w:r>
        <w:t xml:space="preserve">Impact of </w:t>
      </w:r>
      <w:r w:rsidRPr="00C95470">
        <w:t>post-2008 financial reforms on JPMorgan Chase &amp; Co.</w:t>
      </w:r>
      <w:bookmarkEnd w:id="9"/>
    </w:p>
    <w:p w:rsidR="00EF08AB" w:rsidRDefault="00EF08AB" w:rsidP="00EF08AB">
      <w:pPr>
        <w:pStyle w:val="Content"/>
      </w:pPr>
      <w:r w:rsidRPr="00CB0828">
        <w:t>As the largest US bank with over $3 trillion in assets, JPMorgan Chase (JPM) was at the center of both precipitating and responding to the 2008 global financial crisis. The sweeping regulatory overhaul subsequently enacted fundamentally reshaped its business model and strategic priorities as policymakers sought to rein in the outsized risks large financial institutions posed to wider economic stability.</w:t>
      </w:r>
    </w:p>
    <w:p w:rsidR="00EF08AB" w:rsidRDefault="00EF08AB" w:rsidP="00EF08AB">
      <w:pPr>
        <w:pStyle w:val="Heading2"/>
      </w:pPr>
      <w:bookmarkStart w:id="10" w:name="_Toc154499917"/>
      <w:r>
        <w:t>Pre-Crisis Model</w:t>
      </w:r>
      <w:bookmarkEnd w:id="10"/>
    </w:p>
    <w:p w:rsidR="00EF08AB" w:rsidRDefault="00EF08AB" w:rsidP="00EF08AB">
      <w:pPr>
        <w:pStyle w:val="Content"/>
      </w:pPr>
      <w:r>
        <w:t xml:space="preserve">JPMorgan's pre-2008 operational model encapsulated the benefits and risks associated with a diversified universal banking structure. The intertwining of its commercial bank, investment bank, and asset management divisions within a single entity provided a unique advantage, allowing the seamless flow of capital and funding across various financial activities. This structure facilitated JPMorgan's engagement in a spectrum of opportunities, ranging from conventional loans to intricate derivatives structures and advisory services. However, the absence of robust barriers between core deposit-taking functions and more speculative trading activities posed significant challenges. The lax oversight prevalent during this period allowed for an unbridled expansion of complex and poorly understood financial products, contributing to a dramatic amplification of systemic risk </w:t>
      </w:r>
      <w:sdt>
        <w:sdtPr>
          <w:id w:val="315848586"/>
          <w:citation/>
        </w:sdtPr>
        <w:sdtEndPr/>
        <w:sdtContent>
          <w:r>
            <w:fldChar w:fldCharType="begin"/>
          </w:r>
          <w:r>
            <w:instrText xml:space="preserve"> CITATION Har181 \l 2057 </w:instrText>
          </w:r>
          <w:r>
            <w:fldChar w:fldCharType="separate"/>
          </w:r>
          <w:r w:rsidRPr="001E03E3">
            <w:rPr>
              <w:noProof/>
            </w:rPr>
            <w:t>(Harvard Business School, 2018)</w:t>
          </w:r>
          <w:r>
            <w:fldChar w:fldCharType="end"/>
          </w:r>
        </w:sdtContent>
      </w:sdt>
      <w:r>
        <w:t xml:space="preserve">. </w:t>
      </w:r>
      <w:r>
        <w:lastRenderedPageBreak/>
        <w:t>By 2007, JPMorgan had become deeply entangled in leveraged loans, mortgages, credit derivatives, and other structured products, significantly surpassing the exposure levels seen in the pre-2000 era. The trading axis, marked by a substantial increase in profit contribution and executive influence, had outgrown the traditional commercial banking domain. Trading assets exceeded $500 billion, and market-related earnings constituted over 65% of the total profits. While the boom years delivered outsized trading gains, these successes foreshadowed deeper challenges ahead. The sudden shift in correlations and liquidity conditions, coupled with the intricacies of the products in which JPMorgan had heavily invested, set the stage for substantial losses.</w:t>
      </w:r>
    </w:p>
    <w:p w:rsidR="00EF08AB" w:rsidRDefault="00EF08AB" w:rsidP="00EF08AB">
      <w:pPr>
        <w:pStyle w:val="Content"/>
      </w:pPr>
    </w:p>
    <w:p w:rsidR="00EF08AB" w:rsidRPr="0030540F" w:rsidRDefault="00EF08AB" w:rsidP="00EF08AB">
      <w:pPr>
        <w:pStyle w:val="Content"/>
      </w:pPr>
      <w:r>
        <w:t xml:space="preserve">The financial landscape that appeared lucrative during the boom years turned precarious as the complexities of the financial instruments became more apparent. JPMorgan's exposure to risk became a critical vulnerability, showcasing the inherent dangers of an overly interconnected and undifferentiated banking model </w:t>
      </w:r>
      <w:sdt>
        <w:sdtPr>
          <w:id w:val="-673493992"/>
          <w:citation/>
        </w:sdtPr>
        <w:sdtEndPr/>
        <w:sdtContent>
          <w:r>
            <w:fldChar w:fldCharType="begin"/>
          </w:r>
          <w:r>
            <w:instrText xml:space="preserve"> CITATION FCI11 \l 2057 </w:instrText>
          </w:r>
          <w:r>
            <w:fldChar w:fldCharType="separate"/>
          </w:r>
          <w:r w:rsidRPr="001E03E3">
            <w:rPr>
              <w:noProof/>
            </w:rPr>
            <w:t>(FCIC, 2011)</w:t>
          </w:r>
          <w:r>
            <w:fldChar w:fldCharType="end"/>
          </w:r>
        </w:sdtContent>
      </w:sdt>
      <w:r>
        <w:t>. The subsequent events, particularly the financial crisis of 2008, underscored the need for greater regulatory scrutiny, risk management practices, and a reassessment of the universal banking model. The aftermath prompted significant reforms within the financial industry to mitigate systemic risks and enhance the resilience of major institutions. JPMorgan's experience serves as a crucial case study, illustrating the perils of unbridled expansion and the importance of comprehensive risk management within the complex landscape of modern banking.</w:t>
      </w:r>
    </w:p>
    <w:p w:rsidR="00EF08AB" w:rsidRDefault="00EF08AB" w:rsidP="00EF08AB">
      <w:pPr>
        <w:pStyle w:val="Heading2"/>
      </w:pPr>
      <w:bookmarkStart w:id="11" w:name="_Toc154499918"/>
      <w:r w:rsidRPr="00370F80">
        <w:t>Post-Crisis Reforms – Reshaping Banking</w:t>
      </w:r>
      <w:bookmarkEnd w:id="11"/>
    </w:p>
    <w:p w:rsidR="00EF08AB" w:rsidRDefault="00EF08AB" w:rsidP="00EF08AB">
      <w:pPr>
        <w:pStyle w:val="Content"/>
      </w:pPr>
      <w:r>
        <w:t xml:space="preserve">JPM and peers quickly sought to stabilize themselves by shedding risky assets and raising capital while regulators debated structural reforms aimed at preventing recurrence of disaster </w:t>
      </w:r>
      <w:sdt>
        <w:sdtPr>
          <w:id w:val="1388605535"/>
          <w:citation/>
        </w:sdtPr>
        <w:sdtEndPr/>
        <w:sdtContent>
          <w:r>
            <w:fldChar w:fldCharType="begin"/>
          </w:r>
          <w:r>
            <w:instrText xml:space="preserve">CITATION Glo09 \l 2057 </w:instrText>
          </w:r>
          <w:r>
            <w:fldChar w:fldCharType="separate"/>
          </w:r>
          <w:r w:rsidRPr="001E03E3">
            <w:rPr>
              <w:noProof/>
            </w:rPr>
            <w:t>(International Monetary Fund, 2009)</w:t>
          </w:r>
          <w:r>
            <w:fldChar w:fldCharType="end"/>
          </w:r>
        </w:sdtContent>
      </w:sdt>
      <w:r>
        <w:t xml:space="preserve">. Rules enacted regarding systemic risk oversight, trading restrictions, consumer protection and higher capital requirements fundamentally disrupted existing banking models optimized for maximum risk-adjusted returns regardless of broader economic consequences </w:t>
      </w:r>
      <w:sdt>
        <w:sdtPr>
          <w:id w:val="-302464855"/>
          <w:citation/>
        </w:sdtPr>
        <w:sdtEndPr/>
        <w:sdtContent>
          <w:r>
            <w:fldChar w:fldCharType="begin"/>
          </w:r>
          <w:r>
            <w:instrText xml:space="preserve"> CITATION Har181 \l 2057 </w:instrText>
          </w:r>
          <w:r>
            <w:fldChar w:fldCharType="separate"/>
          </w:r>
          <w:r w:rsidRPr="001E03E3">
            <w:rPr>
              <w:noProof/>
            </w:rPr>
            <w:t>(Harvard Business School, 2018)</w:t>
          </w:r>
          <w:r>
            <w:fldChar w:fldCharType="end"/>
          </w:r>
        </w:sdtContent>
      </w:sdt>
      <w:r>
        <w:t xml:space="preserve">. Through bodies like the Financial Stability Oversight Council (FSOC), US regulators could now designate the largest “systemically important” firms for consolidated Federal Reserve supervision, require breakups of risky activities into separate subsidiaries, and compel divestment of lucrative business lines altogether should stability concerns warrant such intervention and through strengthened standards governing capital, leverage, liquidity, resolution planning and </w:t>
      </w:r>
      <w:r>
        <w:lastRenderedPageBreak/>
        <w:t xml:space="preserve">derivative trading enshrined in Basel III and Dodd-Frank, policymakers directly targeted the extraordinary build-up of hidden risks on bank balance sheets – with major strategy implications </w:t>
      </w:r>
      <w:sdt>
        <w:sdtPr>
          <w:id w:val="2072077492"/>
          <w:citation/>
        </w:sdtPr>
        <w:sdtEndPr/>
        <w:sdtContent>
          <w:r>
            <w:fldChar w:fldCharType="begin"/>
          </w:r>
          <w:r>
            <w:instrText xml:space="preserve"> CITATION Con10 \l 2057 </w:instrText>
          </w:r>
          <w:r>
            <w:fldChar w:fldCharType="separate"/>
          </w:r>
          <w:r w:rsidRPr="001E03E3">
            <w:rPr>
              <w:noProof/>
            </w:rPr>
            <w:t>(Congressional research service, 2010)</w:t>
          </w:r>
          <w:r>
            <w:fldChar w:fldCharType="end"/>
          </w:r>
        </w:sdtContent>
      </w:sdt>
      <w:r>
        <w:t>.</w:t>
      </w:r>
    </w:p>
    <w:p w:rsidR="00EF08AB" w:rsidRDefault="00EF08AB" w:rsidP="00EF08AB">
      <w:pPr>
        <w:pStyle w:val="Heading2"/>
      </w:pPr>
      <w:bookmarkStart w:id="12" w:name="_Toc154499919"/>
      <w:r>
        <w:t>Restructuring JPMorgan post-crisis</w:t>
      </w:r>
      <w:bookmarkEnd w:id="12"/>
    </w:p>
    <w:p w:rsidR="00EF08AB" w:rsidRDefault="00EF08AB" w:rsidP="00EF08AB">
      <w:pPr>
        <w:pStyle w:val="Content"/>
      </w:pPr>
      <w:r>
        <w:t xml:space="preserve">While the Volcker Rule banning proprietary trading garnered public attention, arguably more impactful was regulators’ pushing systemically vital commercial banking assets and basic consumer/SME loan-making back to the “center of gravity” within bank frameworks. This compelled JPM to restructure itself with renewed focus on expanding plain vanilla lending backed by its vast low-cost deposit base. Businesses like mortgages, credit cards, auto finance and cash management provide ballast while trading/capital markets assumed more of a supplementary client service function. Specifically, JPM dissolved its Investment Bank into two divisions following the overhaul – an Asset &amp; Wealth Management arm housing lower-risk activities like asset management and private banking, and a newly branded Corporate &amp; Investment Bank concentrating more on market-making and advisory services than outright bets. Total trading assets sank from a peak of $500 billion pre-crisis to under $60 billion by 2017 as whole segments like commodities vanished under regulatory pressure and higher capital charges. Overburdened resources flowed into businesses generating steadier returns. Compliance expenditures doubled to over $2 billion annually. But credit losses have remained negligible through economic cycles while capital levels now sit comfortably double the regulatory minimums </w:t>
      </w:r>
      <w:sdt>
        <w:sdtPr>
          <w:id w:val="257872863"/>
          <w:citation/>
        </w:sdtPr>
        <w:sdtEndPr/>
        <w:sdtContent>
          <w:r>
            <w:fldChar w:fldCharType="begin"/>
          </w:r>
          <w:r>
            <w:instrText xml:space="preserve"> CITATION The11 \l 2057 </w:instrText>
          </w:r>
          <w:r>
            <w:fldChar w:fldCharType="separate"/>
          </w:r>
          <w:r w:rsidRPr="001E03E3">
            <w:rPr>
              <w:noProof/>
            </w:rPr>
            <w:t>(The Financial Crisis Inquiry Commission, 2011)</w:t>
          </w:r>
          <w:r>
            <w:fldChar w:fldCharType="end"/>
          </w:r>
        </w:sdtContent>
      </w:sdt>
      <w:r>
        <w:t>.</w:t>
      </w:r>
    </w:p>
    <w:p w:rsidR="00EF08AB" w:rsidRDefault="00EF08AB" w:rsidP="00EF08AB">
      <w:pPr>
        <w:pStyle w:val="Content"/>
      </w:pPr>
      <w:r w:rsidRPr="00947F70">
        <w:rPr>
          <w:b/>
          <w:bCs/>
        </w:rPr>
        <w:t>Unintended Consequences:</w:t>
      </w:r>
      <w:r>
        <w:t xml:space="preserve"> The post-crisis regulatory overhaul succeeded in instilling financial stability while forcing institutions into less risky footings focused on core economic functions like business lending. However, critics argue associated compliance costs and constraints on trading are suppressing banks’ ability to generate adequate returns and feed overall economic growth. US banks’ share of domestic corporate profits has fallen nearly 40% since 2009 according to Federal Reserve data. Ultimately stability has come at the expense of profitability. While the necessity of reforms is accepted, calls for recalibration and oversight streamlining persist in Washington.</w:t>
      </w:r>
    </w:p>
    <w:p w:rsidR="00EF08AB" w:rsidRDefault="00EF08AB" w:rsidP="00EF08AB">
      <w:pPr>
        <w:pStyle w:val="Content"/>
      </w:pPr>
      <w:r>
        <w:t>Regulatory</w:t>
      </w:r>
      <w:r w:rsidRPr="00370F80">
        <w:t xml:space="preserve"> changes since 2008 compelled JPMorgan Chase – exemplifying larger US banking trends – to significantly overhaul its operating model, exiting higher-risk activities, maintaining thicker capital buffers, and concentrating resources in core commercial banking pillars. The bank undoubtedly has emerged in a much safer but less profitable form than its </w:t>
      </w:r>
      <w:r w:rsidRPr="00370F80">
        <w:lastRenderedPageBreak/>
        <w:t>pre-crisis predecessor, arguably more akin to public utilities absent income from riskier capital markets dealings. Reforms largely achieved aims of lowering systemic risk in banking but continue driving the financial sector’s share of US corporate profits downward</w:t>
      </w:r>
      <w:r>
        <w:t xml:space="preserve"> </w:t>
      </w:r>
      <w:sdt>
        <w:sdtPr>
          <w:id w:val="2122644655"/>
          <w:citation/>
        </w:sdtPr>
        <w:sdtEndPr/>
        <w:sdtContent>
          <w:r>
            <w:fldChar w:fldCharType="begin"/>
          </w:r>
          <w:r>
            <w:instrText xml:space="preserve"> CITATION Fin231 \l 2057 </w:instrText>
          </w:r>
          <w:r>
            <w:fldChar w:fldCharType="separate"/>
          </w:r>
          <w:r w:rsidRPr="001E03E3">
            <w:rPr>
              <w:noProof/>
            </w:rPr>
            <w:t>(Financial Times, 2023)</w:t>
          </w:r>
          <w:r>
            <w:fldChar w:fldCharType="end"/>
          </w:r>
        </w:sdtContent>
      </w:sdt>
      <w:r w:rsidRPr="00370F80">
        <w:t xml:space="preserve">. </w:t>
      </w:r>
    </w:p>
    <w:p w:rsidR="00EF08AB" w:rsidRDefault="00EF08AB" w:rsidP="00EF08AB">
      <w:pPr>
        <w:pStyle w:val="Heading1"/>
      </w:pPr>
      <w:bookmarkStart w:id="13" w:name="_Toc154499920"/>
      <w:r>
        <w:t>Conclusion</w:t>
      </w:r>
      <w:bookmarkEnd w:id="13"/>
    </w:p>
    <w:p w:rsidR="00EF08AB" w:rsidRDefault="00EF08AB" w:rsidP="00EF08AB">
      <w:pPr>
        <w:pStyle w:val="Content"/>
      </w:pPr>
      <w:r>
        <w:t>The extensive financial reforms enacted globally and especially across the US and UK in the wake of the 2008 crisis have undoubtedly enhanced the stability and resilience of banking systems that had engaged in unchecked risk-taking precipitating economic catastrophe. Stricter supervision, activity restrictions, consumer protections and higher capital buffers have reduced systemic vulnerabilities and helped restore confidence. However, work remains ongoing to address risks that persist outside the strengthened regulatory perimeter in areas like shadow banking. Lingering threats also remain tied to inherent features of fractionally reserved banking dependent on fickle short-term funding. How regulations can remain adaptive to market innovations warrants vigilance. Critics rightly point out that stability has imposed economic costs, evident in the marked decline in financial sector profitability and questions around impacts on wider lending capacity. Yet reforms broadly remain justified as having established necessary, if imperfect, safeguards against another destabilizing cycle of financial excess and contagion. Their efficacy continues being refined while heralding a more prudent banking culture focused on sustainable core economic functions aligned to societal interests rather than myopic pursuit of tradesman-like returns.</w:t>
      </w:r>
    </w:p>
    <w:p w:rsidR="00EF08AB" w:rsidRDefault="00EF08AB" w:rsidP="00EF08AB">
      <w:pPr>
        <w:pStyle w:val="Content"/>
      </w:pPr>
    </w:p>
    <w:p w:rsidR="00EF08AB" w:rsidRDefault="00EF08AB" w:rsidP="00EF08AB">
      <w:pPr>
        <w:pStyle w:val="Content"/>
      </w:pPr>
    </w:p>
    <w:p w:rsidR="00EF08AB" w:rsidRDefault="00EF08AB" w:rsidP="00EF08AB">
      <w:pPr>
        <w:pStyle w:val="Content"/>
      </w:pPr>
    </w:p>
    <w:p w:rsidR="00EF08AB" w:rsidRDefault="00EF08AB" w:rsidP="00EF08AB">
      <w:pPr>
        <w:pStyle w:val="Content"/>
      </w:pPr>
    </w:p>
    <w:p w:rsidR="00EF08AB" w:rsidRDefault="00EF08AB" w:rsidP="00EF08AB">
      <w:pPr>
        <w:pStyle w:val="Content"/>
      </w:pPr>
    </w:p>
    <w:p w:rsidR="00EF08AB" w:rsidRDefault="00EF08AB" w:rsidP="00EF08AB">
      <w:pPr>
        <w:pStyle w:val="Content"/>
      </w:pPr>
    </w:p>
    <w:p w:rsidR="00EF08AB" w:rsidRDefault="00EF08AB" w:rsidP="00EF08AB">
      <w:pPr>
        <w:pStyle w:val="Content"/>
      </w:pPr>
    </w:p>
    <w:p w:rsidR="00EF08AB" w:rsidRDefault="00EF08AB" w:rsidP="00EF08AB">
      <w:pPr>
        <w:pStyle w:val="Content"/>
      </w:pPr>
    </w:p>
    <w:p w:rsidR="00EF08AB" w:rsidRDefault="00EF08AB" w:rsidP="00EF08AB">
      <w:pPr>
        <w:pStyle w:val="Content"/>
      </w:pPr>
    </w:p>
    <w:p w:rsidR="00EF08AB" w:rsidRDefault="00EF08AB" w:rsidP="00EF08AB">
      <w:pPr>
        <w:pStyle w:val="Content"/>
      </w:pPr>
    </w:p>
    <w:p w:rsidR="00EF08AB" w:rsidRDefault="00EF08AB" w:rsidP="00EF08AB">
      <w:pPr>
        <w:pStyle w:val="Content"/>
      </w:pPr>
    </w:p>
    <w:p w:rsidR="00EF08AB" w:rsidRDefault="00EF08AB" w:rsidP="00EF08AB">
      <w:pPr>
        <w:pStyle w:val="Content"/>
      </w:pPr>
    </w:p>
    <w:p w:rsidR="00EF08AB" w:rsidRDefault="00EF08AB" w:rsidP="00EF08AB">
      <w:pPr>
        <w:pStyle w:val="Content"/>
      </w:pPr>
    </w:p>
    <w:bookmarkStart w:id="14" w:name="_Toc154499921" w:displacedByCustomXml="next"/>
    <w:sdt>
      <w:sdtPr>
        <w:rPr>
          <w:rFonts w:eastAsiaTheme="minorHAnsi" w:cstheme="minorBidi"/>
          <w:b w:val="0"/>
          <w:sz w:val="24"/>
          <w:szCs w:val="22"/>
        </w:rPr>
        <w:id w:val="-2105100862"/>
        <w:docPartObj>
          <w:docPartGallery w:val="Bibliographies"/>
          <w:docPartUnique/>
        </w:docPartObj>
      </w:sdtPr>
      <w:sdtEndPr/>
      <w:sdtContent>
        <w:p w:rsidR="00EF08AB" w:rsidRDefault="00EF08AB" w:rsidP="00EF08AB">
          <w:pPr>
            <w:pStyle w:val="Heading1"/>
          </w:pPr>
          <w:r>
            <w:t>References</w:t>
          </w:r>
          <w:bookmarkEnd w:id="14"/>
        </w:p>
        <w:sdt>
          <w:sdtPr>
            <w:id w:val="-573587230"/>
            <w:bibliography/>
          </w:sdtPr>
          <w:sdtEndPr/>
          <w:sdtContent>
            <w:p w:rsidR="00EF08AB" w:rsidRDefault="00EF08AB" w:rsidP="00EF08AB">
              <w:pPr>
                <w:pStyle w:val="Content"/>
                <w:jc w:val="left"/>
                <w:rPr>
                  <w:noProof/>
                  <w:kern w:val="0"/>
                  <w:szCs w:val="24"/>
                  <w14:ligatures w14:val="none"/>
                </w:rPr>
              </w:pPr>
              <w:r>
                <w:fldChar w:fldCharType="begin"/>
              </w:r>
              <w:r>
                <w:instrText xml:space="preserve"> BIBLIOGRAPHY </w:instrText>
              </w:r>
              <w:r>
                <w:fldChar w:fldCharType="separate"/>
              </w:r>
              <w:r>
                <w:rPr>
                  <w:noProof/>
                </w:rPr>
                <w:t xml:space="preserve">Bank for international Settlements, 2018. </w:t>
              </w:r>
              <w:r>
                <w:rPr>
                  <w:i/>
                  <w:iCs/>
                  <w:noProof/>
                </w:rPr>
                <w:t xml:space="preserve">Structural changes in banking after the crisis. </w:t>
              </w:r>
              <w:r>
                <w:rPr>
                  <w:noProof/>
                </w:rPr>
                <w:t xml:space="preserve">[Online] </w:t>
              </w:r>
              <w:r>
                <w:rPr>
                  <w:noProof/>
                </w:rPr>
                <w:br/>
                <w:t xml:space="preserve">Available at: </w:t>
              </w:r>
              <w:r>
                <w:rPr>
                  <w:noProof/>
                  <w:u w:val="single"/>
                </w:rPr>
                <w:t>https://www.bis.org/publ/cgfs60.pdf</w:t>
              </w:r>
              <w:r>
                <w:rPr>
                  <w:noProof/>
                </w:rPr>
                <w:br/>
                <w:t>[Accessed 16 December 2023].</w:t>
              </w:r>
            </w:p>
            <w:p w:rsidR="00EF08AB" w:rsidRDefault="00EF08AB" w:rsidP="00EF08AB">
              <w:pPr>
                <w:pStyle w:val="Content"/>
                <w:jc w:val="left"/>
                <w:rPr>
                  <w:noProof/>
                </w:rPr>
              </w:pPr>
              <w:r>
                <w:rPr>
                  <w:noProof/>
                </w:rPr>
                <w:t xml:space="preserve">Bank for International Settlements, 2022. </w:t>
              </w:r>
              <w:r>
                <w:rPr>
                  <w:i/>
                  <w:iCs/>
                  <w:noProof/>
                </w:rPr>
                <w:t xml:space="preserve">Financial regulation for growth, equity and stability in the postcrisis world. </w:t>
              </w:r>
              <w:r>
                <w:rPr>
                  <w:noProof/>
                </w:rPr>
                <w:t xml:space="preserve">[Online] </w:t>
              </w:r>
              <w:r>
                <w:rPr>
                  <w:noProof/>
                </w:rPr>
                <w:br/>
                <w:t xml:space="preserve">Available at: </w:t>
              </w:r>
              <w:r>
                <w:rPr>
                  <w:noProof/>
                  <w:u w:val="single"/>
                </w:rPr>
                <w:t>https://www.bis.org/publ/bppdf/bispap62a.pdf</w:t>
              </w:r>
              <w:r>
                <w:rPr>
                  <w:noProof/>
                </w:rPr>
                <w:br/>
                <w:t>[Accessed 18 December 2023].</w:t>
              </w:r>
            </w:p>
            <w:p w:rsidR="00EF08AB" w:rsidRDefault="00EF08AB" w:rsidP="00EF08AB">
              <w:pPr>
                <w:pStyle w:val="Content"/>
                <w:jc w:val="left"/>
                <w:rPr>
                  <w:noProof/>
                </w:rPr>
              </w:pPr>
              <w:r>
                <w:rPr>
                  <w:noProof/>
                </w:rPr>
                <w:t xml:space="preserve">Bank of England, 2008. </w:t>
              </w:r>
              <w:r>
                <w:rPr>
                  <w:i/>
                  <w:iCs/>
                  <w:noProof/>
                </w:rPr>
                <w:t xml:space="preserve">Recapitalisation of the UK Banking System. </w:t>
              </w:r>
              <w:r>
                <w:rPr>
                  <w:noProof/>
                </w:rPr>
                <w:t xml:space="preserve">[Online] </w:t>
              </w:r>
              <w:r>
                <w:rPr>
                  <w:noProof/>
                </w:rPr>
                <w:br/>
                <w:t xml:space="preserve">Available at: </w:t>
              </w:r>
              <w:r>
                <w:rPr>
                  <w:noProof/>
                  <w:u w:val="single"/>
                </w:rPr>
                <w:t>https://www.bankofengland.co.uk/news/2008/october/recapitalisation-of-the-uk-banking-system</w:t>
              </w:r>
              <w:r>
                <w:rPr>
                  <w:noProof/>
                </w:rPr>
                <w:br/>
                <w:t>[Accessed 15 December 2023].</w:t>
              </w:r>
            </w:p>
            <w:p w:rsidR="00EF08AB" w:rsidRDefault="00EF08AB" w:rsidP="00EF08AB">
              <w:pPr>
                <w:pStyle w:val="Content"/>
                <w:jc w:val="left"/>
                <w:rPr>
                  <w:noProof/>
                </w:rPr>
              </w:pPr>
              <w:r>
                <w:rPr>
                  <w:noProof/>
                </w:rPr>
                <w:t xml:space="preserve">CFPB, 2013. </w:t>
              </w:r>
              <w:r>
                <w:rPr>
                  <w:i/>
                  <w:iCs/>
                  <w:noProof/>
                </w:rPr>
                <w:t xml:space="preserve">Consumer Financial Protection Bureau Issues Rule to Protect Consumers from Irresponsible Mortgage Lending. </w:t>
              </w:r>
              <w:r>
                <w:rPr>
                  <w:noProof/>
                </w:rPr>
                <w:t xml:space="preserve">[Online] </w:t>
              </w:r>
              <w:r>
                <w:rPr>
                  <w:noProof/>
                </w:rPr>
                <w:br/>
                <w:t xml:space="preserve">Available at: </w:t>
              </w:r>
              <w:r>
                <w:rPr>
                  <w:noProof/>
                  <w:u w:val="single"/>
                </w:rPr>
                <w:t>https://www.consumerfinance.gov/about-us/newsroom/consumer-financial-protection-bureau-issues-rule-to-protect-consumers-from-irresponsible-mortgage-lending/</w:t>
              </w:r>
              <w:r>
                <w:rPr>
                  <w:noProof/>
                </w:rPr>
                <w:br/>
                <w:t>[Accessed 14 December 2023].</w:t>
              </w:r>
            </w:p>
            <w:p w:rsidR="00EF08AB" w:rsidRDefault="00EF08AB" w:rsidP="00EF08AB">
              <w:pPr>
                <w:pStyle w:val="Content"/>
                <w:jc w:val="left"/>
                <w:rPr>
                  <w:noProof/>
                </w:rPr>
              </w:pPr>
              <w:r>
                <w:rPr>
                  <w:noProof/>
                </w:rPr>
                <w:t xml:space="preserve">CMS, 2009. </w:t>
              </w:r>
              <w:r>
                <w:rPr>
                  <w:i/>
                  <w:iCs/>
                  <w:noProof/>
                </w:rPr>
                <w:t xml:space="preserve">The Banking Act 2009: Legislation for failing banks replaces emergency powers. </w:t>
              </w:r>
              <w:r>
                <w:rPr>
                  <w:noProof/>
                </w:rPr>
                <w:t xml:space="preserve">[Online] </w:t>
              </w:r>
              <w:r>
                <w:rPr>
                  <w:noProof/>
                </w:rPr>
                <w:br/>
                <w:t xml:space="preserve">Available at: </w:t>
              </w:r>
              <w:r>
                <w:rPr>
                  <w:noProof/>
                  <w:u w:val="single"/>
                </w:rPr>
                <w:t>https://cms-lawnow.com/en/ealerts/2009/02/the-banking-act-2009-legislation-for-failing-banks-replaces-emergency-powers</w:t>
              </w:r>
              <w:r>
                <w:rPr>
                  <w:noProof/>
                </w:rPr>
                <w:br/>
                <w:t>[Accessed 15 December 2023].</w:t>
              </w:r>
            </w:p>
            <w:p w:rsidR="00EF08AB" w:rsidRDefault="00EF08AB" w:rsidP="00EF08AB">
              <w:pPr>
                <w:pStyle w:val="Content"/>
                <w:jc w:val="left"/>
                <w:rPr>
                  <w:noProof/>
                </w:rPr>
              </w:pPr>
              <w:r>
                <w:rPr>
                  <w:noProof/>
                </w:rPr>
                <w:lastRenderedPageBreak/>
                <w:t xml:space="preserve">Congressional research service, 2010. </w:t>
              </w:r>
              <w:r>
                <w:rPr>
                  <w:i/>
                  <w:iCs/>
                  <w:noProof/>
                </w:rPr>
                <w:t xml:space="preserve">Who Regulates Whom? An Overview of U.S. Financial Supervision. </w:t>
              </w:r>
              <w:r>
                <w:rPr>
                  <w:noProof/>
                </w:rPr>
                <w:t xml:space="preserve">[Online] </w:t>
              </w:r>
              <w:r>
                <w:rPr>
                  <w:noProof/>
                </w:rPr>
                <w:br/>
                <w:t xml:space="preserve">Available at: </w:t>
              </w:r>
              <w:r>
                <w:rPr>
                  <w:noProof/>
                  <w:u w:val="single"/>
                </w:rPr>
                <w:t>https://sgp.fas.org/crs/misc/R40249.pdf</w:t>
              </w:r>
              <w:r>
                <w:rPr>
                  <w:noProof/>
                </w:rPr>
                <w:br/>
                <w:t>[Accessed 17 December 2023].</w:t>
              </w:r>
            </w:p>
            <w:p w:rsidR="00EF08AB" w:rsidRDefault="00EF08AB" w:rsidP="00EF08AB">
              <w:pPr>
                <w:pStyle w:val="Content"/>
                <w:jc w:val="left"/>
                <w:rPr>
                  <w:noProof/>
                </w:rPr>
              </w:pPr>
              <w:r>
                <w:rPr>
                  <w:noProof/>
                </w:rPr>
                <w:t xml:space="preserve">Consumer Financial Protection Bureau, 2022. </w:t>
              </w:r>
              <w:r>
                <w:rPr>
                  <w:i/>
                  <w:iCs/>
                  <w:noProof/>
                </w:rPr>
                <w:t xml:space="preserve">About. </w:t>
              </w:r>
              <w:r>
                <w:rPr>
                  <w:noProof/>
                </w:rPr>
                <w:t xml:space="preserve">[Online] </w:t>
              </w:r>
              <w:r>
                <w:rPr>
                  <w:noProof/>
                </w:rPr>
                <w:br/>
                <w:t xml:space="preserve">Available at: </w:t>
              </w:r>
              <w:r>
                <w:rPr>
                  <w:noProof/>
                  <w:u w:val="single"/>
                </w:rPr>
                <w:t>https://www.consumerfinance.gov/about-us/the-bureau/</w:t>
              </w:r>
              <w:r>
                <w:rPr>
                  <w:noProof/>
                </w:rPr>
                <w:br/>
                <w:t>[Accessed 14 December 2023].</w:t>
              </w:r>
            </w:p>
            <w:p w:rsidR="00EF08AB" w:rsidRDefault="00EF08AB" w:rsidP="00EF08AB">
              <w:pPr>
                <w:pStyle w:val="Content"/>
                <w:jc w:val="left"/>
                <w:rPr>
                  <w:noProof/>
                </w:rPr>
              </w:pPr>
              <w:r>
                <w:rPr>
                  <w:noProof/>
                </w:rPr>
                <w:t xml:space="preserve">European banking Authority, 2022. </w:t>
              </w:r>
              <w:r>
                <w:rPr>
                  <w:i/>
                  <w:iCs/>
                  <w:noProof/>
                </w:rPr>
                <w:t xml:space="preserve">Annual Report. </w:t>
              </w:r>
              <w:r>
                <w:rPr>
                  <w:noProof/>
                </w:rPr>
                <w:t xml:space="preserve">[Online] </w:t>
              </w:r>
              <w:r>
                <w:rPr>
                  <w:noProof/>
                </w:rPr>
                <w:br/>
                <w:t xml:space="preserve">Available at: </w:t>
              </w:r>
              <w:r>
                <w:rPr>
                  <w:noProof/>
                  <w:u w:val="single"/>
                </w:rPr>
                <w:t>https://www.eba.europa.eu/assets/2023-Annual-Report/en/index.html</w:t>
              </w:r>
              <w:r>
                <w:rPr>
                  <w:noProof/>
                </w:rPr>
                <w:br/>
                <w:t>[Accessed 19 December 2023].</w:t>
              </w:r>
            </w:p>
            <w:p w:rsidR="00EF08AB" w:rsidRDefault="00EF08AB" w:rsidP="00EF08AB">
              <w:pPr>
                <w:pStyle w:val="Content"/>
                <w:jc w:val="left"/>
                <w:rPr>
                  <w:noProof/>
                </w:rPr>
              </w:pPr>
              <w:r>
                <w:rPr>
                  <w:noProof/>
                </w:rPr>
                <w:t xml:space="preserve">Fabozzi, F., 2014. </w:t>
              </w:r>
              <w:r>
                <w:rPr>
                  <w:i/>
                  <w:iCs/>
                  <w:noProof/>
                </w:rPr>
                <w:t xml:space="preserve">Foundations of financial markets and institutions .. </w:t>
              </w:r>
              <w:r>
                <w:rPr>
                  <w:noProof/>
                </w:rPr>
                <w:t>4 ed. Essex: Pearson.</w:t>
              </w:r>
            </w:p>
            <w:p w:rsidR="00EF08AB" w:rsidRDefault="00EF08AB" w:rsidP="00EF08AB">
              <w:pPr>
                <w:pStyle w:val="Content"/>
                <w:jc w:val="left"/>
                <w:rPr>
                  <w:noProof/>
                </w:rPr>
              </w:pPr>
              <w:r>
                <w:rPr>
                  <w:noProof/>
                </w:rPr>
                <w:t xml:space="preserve">FCA, 2015. </w:t>
              </w:r>
              <w:r>
                <w:rPr>
                  <w:i/>
                  <w:iCs/>
                  <w:noProof/>
                </w:rPr>
                <w:t xml:space="preserve">Senior Managers and Certification Regime. </w:t>
              </w:r>
              <w:r>
                <w:rPr>
                  <w:noProof/>
                </w:rPr>
                <w:t xml:space="preserve">[Online] </w:t>
              </w:r>
              <w:r>
                <w:rPr>
                  <w:noProof/>
                </w:rPr>
                <w:br/>
                <w:t xml:space="preserve">Available at: </w:t>
              </w:r>
              <w:r>
                <w:rPr>
                  <w:noProof/>
                  <w:u w:val="single"/>
                </w:rPr>
                <w:t>https://www.fca.org.uk/firms/senior-managers-certification-regime</w:t>
              </w:r>
              <w:r>
                <w:rPr>
                  <w:noProof/>
                </w:rPr>
                <w:br/>
                <w:t>[Accessed 15 December 2023].</w:t>
              </w:r>
            </w:p>
            <w:p w:rsidR="00EF08AB" w:rsidRDefault="00EF08AB" w:rsidP="00EF08AB">
              <w:pPr>
                <w:pStyle w:val="Content"/>
                <w:jc w:val="left"/>
                <w:rPr>
                  <w:noProof/>
                </w:rPr>
              </w:pPr>
              <w:r>
                <w:rPr>
                  <w:noProof/>
                </w:rPr>
                <w:t xml:space="preserve">FCIC, 2011. </w:t>
              </w:r>
              <w:r>
                <w:rPr>
                  <w:i/>
                  <w:iCs/>
                  <w:noProof/>
                </w:rPr>
                <w:t xml:space="preserve">The Financial Crisis Inquiry Report.. </w:t>
              </w:r>
              <w:r>
                <w:rPr>
                  <w:noProof/>
                </w:rPr>
                <w:t xml:space="preserve">[Online] </w:t>
              </w:r>
              <w:r>
                <w:rPr>
                  <w:noProof/>
                </w:rPr>
                <w:br/>
                <w:t xml:space="preserve">Available at: </w:t>
              </w:r>
              <w:r>
                <w:rPr>
                  <w:noProof/>
                  <w:u w:val="single"/>
                </w:rPr>
                <w:t>https://www.govinfo.gov/content/pkg/GPO-FCIC/pdf/GPO-FCIC.pdf</w:t>
              </w:r>
              <w:r>
                <w:rPr>
                  <w:noProof/>
                </w:rPr>
                <w:br/>
                <w:t>[Accessed 14 December 2023].</w:t>
              </w:r>
            </w:p>
            <w:p w:rsidR="00EF08AB" w:rsidRDefault="00EF08AB" w:rsidP="00EF08AB">
              <w:pPr>
                <w:pStyle w:val="Content"/>
                <w:jc w:val="left"/>
                <w:rPr>
                  <w:noProof/>
                </w:rPr>
              </w:pPr>
              <w:r>
                <w:rPr>
                  <w:noProof/>
                </w:rPr>
                <w:t xml:space="preserve">Financial Times, 2023. </w:t>
              </w:r>
              <w:r>
                <w:rPr>
                  <w:i/>
                  <w:iCs/>
                  <w:noProof/>
                </w:rPr>
                <w:t xml:space="preserve">JPMorgan steps up securitisation effort ahead of new US capital rules. </w:t>
              </w:r>
              <w:r>
                <w:rPr>
                  <w:noProof/>
                </w:rPr>
                <w:t xml:space="preserve">[Online] </w:t>
              </w:r>
              <w:r>
                <w:rPr>
                  <w:noProof/>
                </w:rPr>
                <w:br/>
                <w:t xml:space="preserve">Available at: </w:t>
              </w:r>
              <w:r>
                <w:rPr>
                  <w:noProof/>
                  <w:u w:val="single"/>
                </w:rPr>
                <w:t>https://www.ft.com/content/5612cba3-1580-4003-a0ac-6623cbe28ee6</w:t>
              </w:r>
              <w:r>
                <w:rPr>
                  <w:noProof/>
                </w:rPr>
                <w:br/>
                <w:t>[Accessed 17 December 2023].</w:t>
              </w:r>
            </w:p>
            <w:p w:rsidR="00EF08AB" w:rsidRDefault="00EF08AB" w:rsidP="00EF08AB">
              <w:pPr>
                <w:pStyle w:val="Content"/>
                <w:jc w:val="left"/>
                <w:rPr>
                  <w:noProof/>
                </w:rPr>
              </w:pPr>
              <w:r>
                <w:rPr>
                  <w:noProof/>
                </w:rPr>
                <w:t xml:space="preserve">Harvard Business School, 2018. </w:t>
              </w:r>
              <w:r>
                <w:rPr>
                  <w:i/>
                  <w:iCs/>
                  <w:noProof/>
                </w:rPr>
                <w:t xml:space="preserve">JPMorgan Chase after the Financial Crisis: What Is the Optimal Scope of the Largest Bank in the U.S.?. </w:t>
              </w:r>
              <w:r>
                <w:rPr>
                  <w:noProof/>
                </w:rPr>
                <w:t xml:space="preserve">[Online] </w:t>
              </w:r>
              <w:r>
                <w:rPr>
                  <w:noProof/>
                </w:rPr>
                <w:br/>
                <w:t xml:space="preserve">Available at: </w:t>
              </w:r>
              <w:r>
                <w:rPr>
                  <w:noProof/>
                  <w:u w:val="single"/>
                </w:rPr>
                <w:t>https://www.hbs.edu/faculty/Pages/item.aspx?num=50835</w:t>
              </w:r>
              <w:r>
                <w:rPr>
                  <w:noProof/>
                </w:rPr>
                <w:br/>
                <w:t>[Accessed 16 December 2023].</w:t>
              </w:r>
            </w:p>
            <w:p w:rsidR="00EF08AB" w:rsidRDefault="00EF08AB" w:rsidP="00EF08AB">
              <w:pPr>
                <w:pStyle w:val="Content"/>
                <w:jc w:val="left"/>
                <w:rPr>
                  <w:noProof/>
                </w:rPr>
              </w:pPr>
              <w:r>
                <w:rPr>
                  <w:noProof/>
                </w:rPr>
                <w:t xml:space="preserve">HM Treasury, 2012. </w:t>
              </w:r>
              <w:r>
                <w:rPr>
                  <w:i/>
                  <w:iCs/>
                  <w:noProof/>
                </w:rPr>
                <w:t xml:space="preserve">The Financial Services Bill: the Financial Policy Committee’s macro-prudential tools. </w:t>
              </w:r>
              <w:r>
                <w:rPr>
                  <w:noProof/>
                </w:rPr>
                <w:t xml:space="preserve">[Online] </w:t>
              </w:r>
              <w:r>
                <w:rPr>
                  <w:noProof/>
                </w:rPr>
                <w:br/>
                <w:t xml:space="preserve">Available at: </w:t>
              </w:r>
              <w:r>
                <w:rPr>
                  <w:noProof/>
                  <w:u w:val="single"/>
                </w:rPr>
                <w:t>https://assets.publishing.service.gov.uk/media/5a7a06e7e5274a319e77753a/condoc_fpc_tools</w:t>
              </w:r>
              <w:r>
                <w:rPr>
                  <w:noProof/>
                  <w:u w:val="single"/>
                </w:rPr>
                <w:lastRenderedPageBreak/>
                <w:t>_180912.pdf</w:t>
              </w:r>
              <w:r>
                <w:rPr>
                  <w:noProof/>
                </w:rPr>
                <w:br/>
                <w:t>[Accessed 17 December 2023].</w:t>
              </w:r>
            </w:p>
            <w:p w:rsidR="00EF08AB" w:rsidRDefault="00EF08AB" w:rsidP="00EF08AB">
              <w:pPr>
                <w:pStyle w:val="Content"/>
                <w:jc w:val="left"/>
                <w:rPr>
                  <w:noProof/>
                </w:rPr>
              </w:pPr>
              <w:r>
                <w:rPr>
                  <w:noProof/>
                </w:rPr>
                <w:t xml:space="preserve">HM Treasury, 2012. </w:t>
              </w:r>
              <w:r>
                <w:rPr>
                  <w:i/>
                  <w:iCs/>
                  <w:noProof/>
                </w:rPr>
                <w:t xml:space="preserve">The Financial Services Bill: The Financial Policy Committee’s macro-prudential tools. </w:t>
              </w:r>
              <w:r>
                <w:rPr>
                  <w:noProof/>
                </w:rPr>
                <w:t xml:space="preserve">[Online] </w:t>
              </w:r>
              <w:r>
                <w:rPr>
                  <w:noProof/>
                </w:rPr>
                <w:br/>
                <w:t xml:space="preserve">Available at: </w:t>
              </w:r>
              <w:r>
                <w:rPr>
                  <w:noProof/>
                  <w:u w:val="single"/>
                </w:rPr>
                <w:t>https://assets.publishing.service.gov.uk/media/5a7a06e7e5274a319e77753a/condoc_fpc_tools_180912.pdf</w:t>
              </w:r>
              <w:r>
                <w:rPr>
                  <w:noProof/>
                </w:rPr>
                <w:br/>
                <w:t>[Accessed 15 December 2023].</w:t>
              </w:r>
            </w:p>
            <w:p w:rsidR="00EF08AB" w:rsidRDefault="00EF08AB" w:rsidP="00EF08AB">
              <w:pPr>
                <w:pStyle w:val="Content"/>
                <w:jc w:val="left"/>
                <w:rPr>
                  <w:noProof/>
                </w:rPr>
              </w:pPr>
              <w:r>
                <w:rPr>
                  <w:noProof/>
                </w:rPr>
                <w:t xml:space="preserve">HM Treasury, 2013. </w:t>
              </w:r>
              <w:r>
                <w:rPr>
                  <w:i/>
                  <w:iCs/>
                  <w:noProof/>
                </w:rPr>
                <w:t xml:space="preserve">Banking reform Act. </w:t>
              </w:r>
              <w:r>
                <w:rPr>
                  <w:noProof/>
                </w:rPr>
                <w:t xml:space="preserve">[Online] </w:t>
              </w:r>
              <w:r>
                <w:rPr>
                  <w:noProof/>
                </w:rPr>
                <w:br/>
                <w:t xml:space="preserve">Available at: </w:t>
              </w:r>
              <w:r>
                <w:rPr>
                  <w:noProof/>
                  <w:u w:val="single"/>
                </w:rPr>
                <w:t>https://assets.publishing.service.gov.uk/media/5a74dd6ae5274a3cb2867cdf/PU1488_Banking_reform_consultation_-_online-1.pdf</w:t>
              </w:r>
              <w:r>
                <w:rPr>
                  <w:noProof/>
                </w:rPr>
                <w:br/>
                <w:t>[Accessed 15 December 2023].</w:t>
              </w:r>
            </w:p>
            <w:p w:rsidR="00EF08AB" w:rsidRDefault="00EF08AB" w:rsidP="00EF08AB">
              <w:pPr>
                <w:pStyle w:val="Content"/>
                <w:jc w:val="left"/>
                <w:rPr>
                  <w:noProof/>
                </w:rPr>
              </w:pPr>
              <w:r>
                <w:rPr>
                  <w:noProof/>
                </w:rPr>
                <w:t xml:space="preserve">House of Commons Committee of Public Accounts, 2012. </w:t>
              </w:r>
              <w:r>
                <w:rPr>
                  <w:i/>
                  <w:iCs/>
                  <w:noProof/>
                </w:rPr>
                <w:t xml:space="preserve">HM Treasury: The Asset Protection Scheme. </w:t>
              </w:r>
              <w:r>
                <w:rPr>
                  <w:noProof/>
                </w:rPr>
                <w:t xml:space="preserve">[Online] </w:t>
              </w:r>
              <w:r>
                <w:rPr>
                  <w:noProof/>
                </w:rPr>
                <w:br/>
                <w:t xml:space="preserve">Available at: </w:t>
              </w:r>
              <w:r>
                <w:rPr>
                  <w:noProof/>
                  <w:u w:val="single"/>
                </w:rPr>
                <w:t>https://publications.parliament.uk/pa/cm201011/cmselect/cmpubacc/785/785.pdf</w:t>
              </w:r>
              <w:r>
                <w:rPr>
                  <w:noProof/>
                </w:rPr>
                <w:br/>
                <w:t>[Accessed 15 December 2023].</w:t>
              </w:r>
            </w:p>
            <w:p w:rsidR="00EF08AB" w:rsidRDefault="00EF08AB" w:rsidP="00EF08AB">
              <w:pPr>
                <w:pStyle w:val="Content"/>
                <w:jc w:val="left"/>
                <w:rPr>
                  <w:noProof/>
                </w:rPr>
              </w:pPr>
              <w:r>
                <w:rPr>
                  <w:noProof/>
                </w:rPr>
                <w:t xml:space="preserve">International Monetary Fund, 2009. </w:t>
              </w:r>
              <w:r>
                <w:rPr>
                  <w:i/>
                  <w:iCs/>
                  <w:noProof/>
                </w:rPr>
                <w:t xml:space="preserve">Global Financial Stability Report, April 2009: Responding to the Financial Crisis and Measuring Systemic Risks. </w:t>
              </w:r>
              <w:r>
                <w:rPr>
                  <w:noProof/>
                </w:rPr>
                <w:t xml:space="preserve">[Online] </w:t>
              </w:r>
              <w:r>
                <w:rPr>
                  <w:noProof/>
                </w:rPr>
                <w:br/>
                <w:t xml:space="preserve">Available at: </w:t>
              </w:r>
              <w:r>
                <w:rPr>
                  <w:noProof/>
                  <w:u w:val="single"/>
                </w:rPr>
                <w:t>https://www.imf.org/en/Publications/GFSR/Issues/2016/12/31/Global-Financial-Stability-Report-April-2009-Responding-to-the-Financial-Crisis-and-22583</w:t>
              </w:r>
              <w:r>
                <w:rPr>
                  <w:noProof/>
                </w:rPr>
                <w:br/>
                <w:t>[Accessed 16 December 2023].</w:t>
              </w:r>
            </w:p>
            <w:p w:rsidR="00EF08AB" w:rsidRDefault="00EF08AB" w:rsidP="00EF08AB">
              <w:pPr>
                <w:pStyle w:val="Content"/>
                <w:jc w:val="left"/>
                <w:rPr>
                  <w:noProof/>
                </w:rPr>
              </w:pPr>
              <w:r>
                <w:rPr>
                  <w:noProof/>
                </w:rPr>
                <w:t xml:space="preserve">Investopedia, 2021. </w:t>
              </w:r>
              <w:r>
                <w:rPr>
                  <w:i/>
                  <w:iCs/>
                  <w:noProof/>
                </w:rPr>
                <w:t xml:space="preserve">Commodity Futures Trading Commission (CFTC) Overview. </w:t>
              </w:r>
              <w:r>
                <w:rPr>
                  <w:noProof/>
                </w:rPr>
                <w:t xml:space="preserve">[Online] </w:t>
              </w:r>
              <w:r>
                <w:rPr>
                  <w:noProof/>
                </w:rPr>
                <w:br/>
                <w:t xml:space="preserve">Available at: </w:t>
              </w:r>
              <w:r>
                <w:rPr>
                  <w:noProof/>
                  <w:u w:val="single"/>
                </w:rPr>
                <w:t>https://www.investopedia.com/terms/c/cftc.asp</w:t>
              </w:r>
              <w:r>
                <w:rPr>
                  <w:noProof/>
                </w:rPr>
                <w:br/>
                <w:t>[Accessed 14 December 2023].</w:t>
              </w:r>
            </w:p>
            <w:p w:rsidR="00EF08AB" w:rsidRDefault="00EF08AB" w:rsidP="00EF08AB">
              <w:pPr>
                <w:pStyle w:val="Content"/>
                <w:jc w:val="left"/>
                <w:rPr>
                  <w:noProof/>
                </w:rPr>
              </w:pPr>
              <w:r>
                <w:rPr>
                  <w:noProof/>
                </w:rPr>
                <w:t xml:space="preserve">Investopedia, 2022. </w:t>
              </w:r>
              <w:r>
                <w:rPr>
                  <w:i/>
                  <w:iCs/>
                  <w:noProof/>
                </w:rPr>
                <w:t xml:space="preserve">Volcker Rule: Definition, Purpose, How It Works, and Criticism. </w:t>
              </w:r>
              <w:r>
                <w:rPr>
                  <w:noProof/>
                </w:rPr>
                <w:t xml:space="preserve">[Online] </w:t>
              </w:r>
              <w:r>
                <w:rPr>
                  <w:noProof/>
                </w:rPr>
                <w:br/>
                <w:t xml:space="preserve">Available at: </w:t>
              </w:r>
              <w:r>
                <w:rPr>
                  <w:noProof/>
                  <w:u w:val="single"/>
                </w:rPr>
                <w:t>https://www.investopedia.com/terms/v/volcker-rule.asp</w:t>
              </w:r>
              <w:r>
                <w:rPr>
                  <w:noProof/>
                </w:rPr>
                <w:br/>
                <w:t>[Accessed 14 December 2023].</w:t>
              </w:r>
            </w:p>
            <w:p w:rsidR="00EF08AB" w:rsidRDefault="00EF08AB" w:rsidP="00EF08AB">
              <w:pPr>
                <w:pStyle w:val="Content"/>
                <w:jc w:val="left"/>
                <w:rPr>
                  <w:noProof/>
                </w:rPr>
              </w:pPr>
              <w:r>
                <w:rPr>
                  <w:noProof/>
                </w:rPr>
                <w:lastRenderedPageBreak/>
                <w:t xml:space="preserve">Kowalik, M. &amp; Davig, T., 2015. </w:t>
              </w:r>
              <w:r>
                <w:rPr>
                  <w:i/>
                  <w:iCs/>
                  <w:noProof/>
                </w:rPr>
                <w:t xml:space="preserve">Bank Consolidation and Merger Activity Following the Crisis. </w:t>
              </w:r>
              <w:r>
                <w:rPr>
                  <w:noProof/>
                </w:rPr>
                <w:t xml:space="preserve">[Online] </w:t>
              </w:r>
              <w:r>
                <w:rPr>
                  <w:noProof/>
                </w:rPr>
                <w:br/>
                <w:t xml:space="preserve">Available at: </w:t>
              </w:r>
              <w:r>
                <w:rPr>
                  <w:noProof/>
                  <w:u w:val="single"/>
                </w:rPr>
                <w:t>https://www.kansascityfed.org/documents/646/2015-Bank%20Consolidation%20and%20Merger%20Activity%20Following%20the%20Crisis.pdf</w:t>
              </w:r>
              <w:r>
                <w:rPr>
                  <w:noProof/>
                </w:rPr>
                <w:br/>
                <w:t>[Accessed 15 December 2023].</w:t>
              </w:r>
            </w:p>
            <w:p w:rsidR="00EF08AB" w:rsidRDefault="00EF08AB" w:rsidP="00EF08AB">
              <w:pPr>
                <w:pStyle w:val="Content"/>
                <w:jc w:val="left"/>
                <w:rPr>
                  <w:noProof/>
                </w:rPr>
              </w:pPr>
              <w:r>
                <w:rPr>
                  <w:noProof/>
                </w:rPr>
                <w:t xml:space="preserve">Legislation.gov.uk, 2012. </w:t>
              </w:r>
              <w:r>
                <w:rPr>
                  <w:i/>
                  <w:iCs/>
                  <w:noProof/>
                </w:rPr>
                <w:t xml:space="preserve">Financial Services Act 2012. </w:t>
              </w:r>
              <w:r>
                <w:rPr>
                  <w:noProof/>
                </w:rPr>
                <w:t xml:space="preserve">[Online] </w:t>
              </w:r>
              <w:r>
                <w:rPr>
                  <w:noProof/>
                </w:rPr>
                <w:br/>
                <w:t xml:space="preserve">Available at: </w:t>
              </w:r>
              <w:r>
                <w:rPr>
                  <w:noProof/>
                  <w:u w:val="single"/>
                </w:rPr>
                <w:t>https://www.legislation.gov.uk/ukpga/2012/21/contents/enacted</w:t>
              </w:r>
              <w:r>
                <w:rPr>
                  <w:noProof/>
                </w:rPr>
                <w:br/>
                <w:t>[Accessed 15 December 2023].</w:t>
              </w:r>
            </w:p>
            <w:p w:rsidR="00EF08AB" w:rsidRDefault="00EF08AB" w:rsidP="00EF08AB">
              <w:pPr>
                <w:pStyle w:val="Content"/>
                <w:jc w:val="left"/>
                <w:rPr>
                  <w:noProof/>
                </w:rPr>
              </w:pPr>
              <w:r>
                <w:rPr>
                  <w:noProof/>
                </w:rPr>
                <w:t xml:space="preserve">Nygaard, K., 2020. The United Kingdom's Special Liquidity Scheme (SLS). </w:t>
              </w:r>
              <w:r>
                <w:rPr>
                  <w:i/>
                  <w:iCs/>
                  <w:noProof/>
                </w:rPr>
                <w:t xml:space="preserve">Journal of Financial Crises, </w:t>
              </w:r>
              <w:r>
                <w:rPr>
                  <w:noProof/>
                </w:rPr>
                <w:t>2(3), pp. 504-523.</w:t>
              </w:r>
            </w:p>
            <w:p w:rsidR="00EF08AB" w:rsidRDefault="00EF08AB" w:rsidP="00EF08AB">
              <w:pPr>
                <w:pStyle w:val="Content"/>
                <w:jc w:val="left"/>
                <w:rPr>
                  <w:noProof/>
                </w:rPr>
              </w:pPr>
              <w:r>
                <w:rPr>
                  <w:noProof/>
                </w:rPr>
                <w:t xml:space="preserve">The Balance, 2022. </w:t>
              </w:r>
              <w:r>
                <w:rPr>
                  <w:i/>
                  <w:iCs/>
                  <w:noProof/>
                </w:rPr>
                <w:t xml:space="preserve">What Was the Fannie Mae and Freddie Mac Bailout?. </w:t>
              </w:r>
              <w:r>
                <w:rPr>
                  <w:noProof/>
                </w:rPr>
                <w:t xml:space="preserve">[Online] </w:t>
              </w:r>
              <w:r>
                <w:rPr>
                  <w:noProof/>
                </w:rPr>
                <w:br/>
                <w:t xml:space="preserve">Available at: </w:t>
              </w:r>
              <w:r>
                <w:rPr>
                  <w:noProof/>
                  <w:u w:val="single"/>
                </w:rPr>
                <w:t>https://www.thebalancemoney.com/what-was-the-fannie-mae-and-freddie-mac-bailout-3305658</w:t>
              </w:r>
              <w:r>
                <w:rPr>
                  <w:noProof/>
                </w:rPr>
                <w:br/>
                <w:t>[Accessed 14 December 2023].</w:t>
              </w:r>
            </w:p>
            <w:p w:rsidR="00EF08AB" w:rsidRDefault="00EF08AB" w:rsidP="00EF08AB">
              <w:pPr>
                <w:pStyle w:val="Content"/>
                <w:jc w:val="left"/>
                <w:rPr>
                  <w:noProof/>
                </w:rPr>
              </w:pPr>
              <w:r>
                <w:rPr>
                  <w:noProof/>
                </w:rPr>
                <w:t xml:space="preserve">The Financial Crisis Inquiry Commission, 2011. </w:t>
              </w:r>
              <w:r>
                <w:rPr>
                  <w:i/>
                  <w:iCs/>
                  <w:noProof/>
                </w:rPr>
                <w:t xml:space="preserve">The Financial Crisis Inquiry Report. </w:t>
              </w:r>
              <w:r>
                <w:rPr>
                  <w:noProof/>
                </w:rPr>
                <w:t xml:space="preserve">[Online] </w:t>
              </w:r>
              <w:r>
                <w:rPr>
                  <w:noProof/>
                </w:rPr>
                <w:br/>
                <w:t xml:space="preserve">Available at: </w:t>
              </w:r>
              <w:r>
                <w:rPr>
                  <w:noProof/>
                  <w:u w:val="single"/>
                </w:rPr>
                <w:t>https://www.govinfo.gov/content/pkg/GPO-FCIC/pdf/GPO-FCIC.pdf</w:t>
              </w:r>
              <w:r>
                <w:rPr>
                  <w:noProof/>
                </w:rPr>
                <w:br/>
                <w:t>[Accessed 17 December 2023].</w:t>
              </w:r>
            </w:p>
            <w:p w:rsidR="00EF08AB" w:rsidRDefault="00EF08AB" w:rsidP="00EF08AB">
              <w:pPr>
                <w:pStyle w:val="Content"/>
                <w:jc w:val="left"/>
                <w:rPr>
                  <w:noProof/>
                </w:rPr>
              </w:pPr>
              <w:r>
                <w:rPr>
                  <w:noProof/>
                </w:rPr>
                <w:t xml:space="preserve">US Capital Purchase Program, 2021. US Capital Purchase Program. </w:t>
              </w:r>
              <w:r>
                <w:rPr>
                  <w:i/>
                  <w:iCs/>
                  <w:noProof/>
                </w:rPr>
                <w:t xml:space="preserve">The journal of Financial Crises, </w:t>
              </w:r>
              <w:r>
                <w:rPr>
                  <w:noProof/>
                </w:rPr>
                <w:t>3(3), pp. 821-890.</w:t>
              </w:r>
            </w:p>
            <w:p w:rsidR="00EF08AB" w:rsidRDefault="00EF08AB" w:rsidP="00EF08AB">
              <w:pPr>
                <w:pStyle w:val="Content"/>
                <w:jc w:val="left"/>
                <w:rPr>
                  <w:noProof/>
                </w:rPr>
              </w:pPr>
              <w:r>
                <w:rPr>
                  <w:noProof/>
                </w:rPr>
                <w:t xml:space="preserve">US Department of the Treasury, 2022. </w:t>
              </w:r>
              <w:r>
                <w:rPr>
                  <w:i/>
                  <w:iCs/>
                  <w:noProof/>
                </w:rPr>
                <w:t xml:space="preserve">Financial Stability Oversight Council. </w:t>
              </w:r>
              <w:r>
                <w:rPr>
                  <w:noProof/>
                </w:rPr>
                <w:t xml:space="preserve">[Online] </w:t>
              </w:r>
              <w:r>
                <w:rPr>
                  <w:noProof/>
                </w:rPr>
                <w:br/>
                <w:t xml:space="preserve">Available at: </w:t>
              </w:r>
              <w:r>
                <w:rPr>
                  <w:noProof/>
                  <w:u w:val="single"/>
                </w:rPr>
                <w:t>https://home.treasury.gov/policy-issues/financial-markets-financial-institutions-and-fiscal-service/fsoc</w:t>
              </w:r>
              <w:r>
                <w:rPr>
                  <w:noProof/>
                </w:rPr>
                <w:br/>
                <w:t>[Accessed 14 December 2023].</w:t>
              </w:r>
            </w:p>
            <w:p w:rsidR="00EF08AB" w:rsidRDefault="00EF08AB" w:rsidP="00EF08AB">
              <w:pPr>
                <w:pStyle w:val="Content"/>
                <w:jc w:val="left"/>
                <w:rPr>
                  <w:noProof/>
                </w:rPr>
              </w:pPr>
              <w:r>
                <w:rPr>
                  <w:noProof/>
                </w:rPr>
                <w:t xml:space="preserve">US Securities and Exchange Commission, 2012. </w:t>
              </w:r>
              <w:r>
                <w:rPr>
                  <w:i/>
                  <w:iCs/>
                  <w:noProof/>
                </w:rPr>
                <w:t xml:space="preserve">Background. </w:t>
              </w:r>
              <w:r>
                <w:rPr>
                  <w:noProof/>
                </w:rPr>
                <w:t xml:space="preserve">[Online] </w:t>
              </w:r>
              <w:r>
                <w:rPr>
                  <w:noProof/>
                </w:rPr>
                <w:br/>
                <w:t xml:space="preserve">Available at: </w:t>
              </w:r>
              <w:r>
                <w:rPr>
                  <w:noProof/>
                  <w:u w:val="single"/>
                </w:rPr>
                <w:t>https://www.sec.gov/opa/press-release-2012-67-related-materials</w:t>
              </w:r>
              <w:r>
                <w:rPr>
                  <w:noProof/>
                </w:rPr>
                <w:br/>
                <w:t>[Accessed 14 December 2023].</w:t>
              </w:r>
            </w:p>
            <w:p w:rsidR="00EF08AB" w:rsidRDefault="00EF08AB" w:rsidP="00EF08AB">
              <w:pPr>
                <w:pStyle w:val="Content"/>
                <w:jc w:val="left"/>
              </w:pPr>
              <w:r>
                <w:rPr>
                  <w:b/>
                  <w:bCs/>
                  <w:noProof/>
                </w:rPr>
                <w:fldChar w:fldCharType="end"/>
              </w:r>
            </w:p>
          </w:sdtContent>
        </w:sdt>
      </w:sdtContent>
    </w:sdt>
    <w:p w:rsidR="00EF08AB" w:rsidRPr="00EB640B" w:rsidRDefault="00EF08AB" w:rsidP="00EF08AB">
      <w:pPr>
        <w:pStyle w:val="Content"/>
      </w:pPr>
    </w:p>
    <w:p w:rsidR="00EF08AB" w:rsidRDefault="00EF08AB" w:rsidP="00EF08AB"/>
    <w:p w:rsidR="00234186" w:rsidRDefault="00234186"/>
    <w:sectPr w:rsidR="002341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6050F8"/>
    <w:multiLevelType w:val="hybridMultilevel"/>
    <w:tmpl w:val="56743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88F1DF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08AB"/>
    <w:rsid w:val="00013BA4"/>
    <w:rsid w:val="00234186"/>
    <w:rsid w:val="00417654"/>
    <w:rsid w:val="0059639D"/>
    <w:rsid w:val="007A1641"/>
    <w:rsid w:val="00A91234"/>
    <w:rsid w:val="00EF08A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08AB"/>
    <w:pPr>
      <w:spacing w:after="160" w:line="259" w:lineRule="auto"/>
    </w:pPr>
    <w:rPr>
      <w:kern w:val="2"/>
      <w:lang w:val="en-GB" w:bidi="ar-SA"/>
      <w14:ligatures w14:val="standardContextual"/>
    </w:rPr>
  </w:style>
  <w:style w:type="paragraph" w:styleId="Heading1">
    <w:name w:val="heading 1"/>
    <w:basedOn w:val="Normal"/>
    <w:next w:val="Content"/>
    <w:link w:val="Heading1Char"/>
    <w:uiPriority w:val="9"/>
    <w:qFormat/>
    <w:rsid w:val="00EF08AB"/>
    <w:pPr>
      <w:keepNext/>
      <w:keepLines/>
      <w:numPr>
        <w:numId w:val="1"/>
      </w:numPr>
      <w:spacing w:before="120" w:after="240" w:line="24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EF08AB"/>
    <w:pPr>
      <w:keepNext/>
      <w:keepLines/>
      <w:numPr>
        <w:ilvl w:val="1"/>
        <w:numId w:val="1"/>
      </w:numPr>
      <w:spacing w:before="120" w:after="240" w:line="240" w:lineRule="auto"/>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Content"/>
    <w:link w:val="Heading3Char"/>
    <w:uiPriority w:val="9"/>
    <w:unhideWhenUsed/>
    <w:qFormat/>
    <w:rsid w:val="00EF08AB"/>
    <w:pPr>
      <w:keepNext/>
      <w:keepLines/>
      <w:numPr>
        <w:ilvl w:val="2"/>
        <w:numId w:val="1"/>
      </w:numPr>
      <w:spacing w:before="120" w:after="240" w:line="240" w:lineRule="auto"/>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EF08AB"/>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F08AB"/>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EF08AB"/>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EF08AB"/>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EF08A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F08A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8AB"/>
    <w:rPr>
      <w:rFonts w:ascii="Times New Roman" w:eastAsiaTheme="majorEastAsia" w:hAnsi="Times New Roman" w:cstheme="majorBidi"/>
      <w:b/>
      <w:color w:val="000000" w:themeColor="text1"/>
      <w:kern w:val="2"/>
      <w:sz w:val="28"/>
      <w:szCs w:val="32"/>
      <w:lang w:val="en-GB" w:bidi="ar-SA"/>
      <w14:ligatures w14:val="standardContextual"/>
    </w:rPr>
  </w:style>
  <w:style w:type="character" w:customStyle="1" w:styleId="Heading2Char">
    <w:name w:val="Heading 2 Char"/>
    <w:basedOn w:val="DefaultParagraphFont"/>
    <w:link w:val="Heading2"/>
    <w:uiPriority w:val="9"/>
    <w:rsid w:val="00EF08AB"/>
    <w:rPr>
      <w:rFonts w:ascii="Times New Roman" w:eastAsiaTheme="majorEastAsia" w:hAnsi="Times New Roman" w:cstheme="majorBidi"/>
      <w:b/>
      <w:color w:val="000000" w:themeColor="text1"/>
      <w:kern w:val="2"/>
      <w:sz w:val="24"/>
      <w:szCs w:val="26"/>
      <w:lang w:val="en-GB" w:bidi="ar-SA"/>
      <w14:ligatures w14:val="standardContextual"/>
    </w:rPr>
  </w:style>
  <w:style w:type="character" w:customStyle="1" w:styleId="Heading3Char">
    <w:name w:val="Heading 3 Char"/>
    <w:basedOn w:val="DefaultParagraphFont"/>
    <w:link w:val="Heading3"/>
    <w:uiPriority w:val="9"/>
    <w:rsid w:val="00EF08AB"/>
    <w:rPr>
      <w:rFonts w:ascii="Times New Roman" w:eastAsiaTheme="majorEastAsia" w:hAnsi="Times New Roman" w:cstheme="majorBidi"/>
      <w:b/>
      <w:color w:val="000000" w:themeColor="text1"/>
      <w:kern w:val="2"/>
      <w:sz w:val="24"/>
      <w:szCs w:val="24"/>
      <w:lang w:val="en-GB" w:bidi="ar-SA"/>
      <w14:ligatures w14:val="standardContextual"/>
    </w:rPr>
  </w:style>
  <w:style w:type="character" w:customStyle="1" w:styleId="Heading4Char">
    <w:name w:val="Heading 4 Char"/>
    <w:basedOn w:val="DefaultParagraphFont"/>
    <w:link w:val="Heading4"/>
    <w:uiPriority w:val="9"/>
    <w:semiHidden/>
    <w:rsid w:val="00EF08AB"/>
    <w:rPr>
      <w:rFonts w:asciiTheme="majorHAnsi" w:eastAsiaTheme="majorEastAsia" w:hAnsiTheme="majorHAnsi" w:cstheme="majorBidi"/>
      <w:i/>
      <w:iCs/>
      <w:color w:val="365F91" w:themeColor="accent1" w:themeShade="BF"/>
      <w:kern w:val="2"/>
      <w:lang w:val="en-GB" w:bidi="ar-SA"/>
      <w14:ligatures w14:val="standardContextual"/>
    </w:rPr>
  </w:style>
  <w:style w:type="character" w:customStyle="1" w:styleId="Heading5Char">
    <w:name w:val="Heading 5 Char"/>
    <w:basedOn w:val="DefaultParagraphFont"/>
    <w:link w:val="Heading5"/>
    <w:uiPriority w:val="9"/>
    <w:semiHidden/>
    <w:rsid w:val="00EF08AB"/>
    <w:rPr>
      <w:rFonts w:asciiTheme="majorHAnsi" w:eastAsiaTheme="majorEastAsia" w:hAnsiTheme="majorHAnsi" w:cstheme="majorBidi"/>
      <w:color w:val="365F91" w:themeColor="accent1" w:themeShade="BF"/>
      <w:kern w:val="2"/>
      <w:lang w:val="en-GB" w:bidi="ar-SA"/>
      <w14:ligatures w14:val="standardContextual"/>
    </w:rPr>
  </w:style>
  <w:style w:type="character" w:customStyle="1" w:styleId="Heading6Char">
    <w:name w:val="Heading 6 Char"/>
    <w:basedOn w:val="DefaultParagraphFont"/>
    <w:link w:val="Heading6"/>
    <w:uiPriority w:val="9"/>
    <w:semiHidden/>
    <w:rsid w:val="00EF08AB"/>
    <w:rPr>
      <w:rFonts w:asciiTheme="majorHAnsi" w:eastAsiaTheme="majorEastAsia" w:hAnsiTheme="majorHAnsi" w:cstheme="majorBidi"/>
      <w:color w:val="243F60" w:themeColor="accent1" w:themeShade="7F"/>
      <w:kern w:val="2"/>
      <w:lang w:val="en-GB" w:bidi="ar-SA"/>
      <w14:ligatures w14:val="standardContextual"/>
    </w:rPr>
  </w:style>
  <w:style w:type="character" w:customStyle="1" w:styleId="Heading7Char">
    <w:name w:val="Heading 7 Char"/>
    <w:basedOn w:val="DefaultParagraphFont"/>
    <w:link w:val="Heading7"/>
    <w:uiPriority w:val="9"/>
    <w:semiHidden/>
    <w:rsid w:val="00EF08AB"/>
    <w:rPr>
      <w:rFonts w:asciiTheme="majorHAnsi" w:eastAsiaTheme="majorEastAsia" w:hAnsiTheme="majorHAnsi" w:cstheme="majorBidi"/>
      <w:i/>
      <w:iCs/>
      <w:color w:val="243F60" w:themeColor="accent1" w:themeShade="7F"/>
      <w:kern w:val="2"/>
      <w:lang w:val="en-GB" w:bidi="ar-SA"/>
      <w14:ligatures w14:val="standardContextual"/>
    </w:rPr>
  </w:style>
  <w:style w:type="character" w:customStyle="1" w:styleId="Heading8Char">
    <w:name w:val="Heading 8 Char"/>
    <w:basedOn w:val="DefaultParagraphFont"/>
    <w:link w:val="Heading8"/>
    <w:uiPriority w:val="9"/>
    <w:semiHidden/>
    <w:rsid w:val="00EF08AB"/>
    <w:rPr>
      <w:rFonts w:asciiTheme="majorHAnsi" w:eastAsiaTheme="majorEastAsia" w:hAnsiTheme="majorHAnsi" w:cstheme="majorBidi"/>
      <w:color w:val="272727" w:themeColor="text1" w:themeTint="D8"/>
      <w:kern w:val="2"/>
      <w:sz w:val="21"/>
      <w:szCs w:val="21"/>
      <w:lang w:val="en-GB" w:bidi="ar-SA"/>
      <w14:ligatures w14:val="standardContextual"/>
    </w:rPr>
  </w:style>
  <w:style w:type="character" w:customStyle="1" w:styleId="Heading9Char">
    <w:name w:val="Heading 9 Char"/>
    <w:basedOn w:val="DefaultParagraphFont"/>
    <w:link w:val="Heading9"/>
    <w:uiPriority w:val="9"/>
    <w:semiHidden/>
    <w:rsid w:val="00EF08AB"/>
    <w:rPr>
      <w:rFonts w:asciiTheme="majorHAnsi" w:eastAsiaTheme="majorEastAsia" w:hAnsiTheme="majorHAnsi" w:cstheme="majorBidi"/>
      <w:i/>
      <w:iCs/>
      <w:color w:val="272727" w:themeColor="text1" w:themeTint="D8"/>
      <w:kern w:val="2"/>
      <w:sz w:val="21"/>
      <w:szCs w:val="21"/>
      <w:lang w:val="en-GB" w:bidi="ar-SA"/>
      <w14:ligatures w14:val="standardContextual"/>
    </w:rPr>
  </w:style>
  <w:style w:type="paragraph" w:customStyle="1" w:styleId="Content">
    <w:name w:val="Content"/>
    <w:basedOn w:val="Normal"/>
    <w:qFormat/>
    <w:rsid w:val="00EF08AB"/>
    <w:pPr>
      <w:spacing w:before="120" w:after="240" w:line="360" w:lineRule="auto"/>
      <w:jc w:val="both"/>
    </w:pPr>
    <w:rPr>
      <w:rFonts w:ascii="Times New Roman" w:hAnsi="Times New Roman"/>
      <w:color w:val="000000" w:themeColor="text1"/>
      <w:sz w:val="24"/>
    </w:rPr>
  </w:style>
  <w:style w:type="paragraph" w:styleId="TOCHeading">
    <w:name w:val="TOC Heading"/>
    <w:basedOn w:val="Heading1"/>
    <w:next w:val="Normal"/>
    <w:uiPriority w:val="39"/>
    <w:unhideWhenUsed/>
    <w:qFormat/>
    <w:rsid w:val="00EF08AB"/>
    <w:pPr>
      <w:numPr>
        <w:numId w:val="0"/>
      </w:numPr>
      <w:spacing w:before="240" w:after="0" w:line="259" w:lineRule="auto"/>
      <w:outlineLvl w:val="9"/>
    </w:pPr>
    <w:rPr>
      <w:rFonts w:asciiTheme="majorHAnsi" w:hAnsiTheme="majorHAnsi"/>
      <w:b w:val="0"/>
      <w:color w:val="365F91" w:themeColor="accent1" w:themeShade="BF"/>
      <w:kern w:val="0"/>
      <w:sz w:val="32"/>
      <w:lang w:val="en-US"/>
      <w14:ligatures w14:val="none"/>
    </w:rPr>
  </w:style>
  <w:style w:type="paragraph" w:styleId="TOC1">
    <w:name w:val="toc 1"/>
    <w:basedOn w:val="Normal"/>
    <w:next w:val="Normal"/>
    <w:autoRedefine/>
    <w:uiPriority w:val="39"/>
    <w:unhideWhenUsed/>
    <w:rsid w:val="00EF08AB"/>
    <w:pPr>
      <w:spacing w:after="100"/>
    </w:pPr>
  </w:style>
  <w:style w:type="paragraph" w:styleId="TOC2">
    <w:name w:val="toc 2"/>
    <w:basedOn w:val="Normal"/>
    <w:next w:val="Normal"/>
    <w:autoRedefine/>
    <w:uiPriority w:val="39"/>
    <w:unhideWhenUsed/>
    <w:rsid w:val="00EF08AB"/>
    <w:pPr>
      <w:spacing w:after="100"/>
      <w:ind w:left="220"/>
    </w:pPr>
  </w:style>
  <w:style w:type="character" w:styleId="Hyperlink">
    <w:name w:val="Hyperlink"/>
    <w:basedOn w:val="DefaultParagraphFont"/>
    <w:uiPriority w:val="99"/>
    <w:unhideWhenUsed/>
    <w:rsid w:val="00EF08AB"/>
    <w:rPr>
      <w:color w:val="0000FF" w:themeColor="hyperlink"/>
      <w:u w:val="single"/>
    </w:rPr>
  </w:style>
  <w:style w:type="paragraph" w:styleId="BalloonText">
    <w:name w:val="Balloon Text"/>
    <w:basedOn w:val="Normal"/>
    <w:link w:val="BalloonTextChar"/>
    <w:uiPriority w:val="99"/>
    <w:semiHidden/>
    <w:unhideWhenUsed/>
    <w:rsid w:val="00EF08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08AB"/>
    <w:rPr>
      <w:rFonts w:ascii="Tahoma" w:hAnsi="Tahoma" w:cs="Tahoma"/>
      <w:kern w:val="2"/>
      <w:sz w:val="16"/>
      <w:szCs w:val="16"/>
      <w:lang w:val="en-GB" w:bidi="ar-SA"/>
      <w14:ligatures w14:val="standardContextu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08AB"/>
    <w:pPr>
      <w:spacing w:after="160" w:line="259" w:lineRule="auto"/>
    </w:pPr>
    <w:rPr>
      <w:kern w:val="2"/>
      <w:lang w:val="en-GB" w:bidi="ar-SA"/>
      <w14:ligatures w14:val="standardContextual"/>
    </w:rPr>
  </w:style>
  <w:style w:type="paragraph" w:styleId="Heading1">
    <w:name w:val="heading 1"/>
    <w:basedOn w:val="Normal"/>
    <w:next w:val="Content"/>
    <w:link w:val="Heading1Char"/>
    <w:uiPriority w:val="9"/>
    <w:qFormat/>
    <w:rsid w:val="00EF08AB"/>
    <w:pPr>
      <w:keepNext/>
      <w:keepLines/>
      <w:numPr>
        <w:numId w:val="1"/>
      </w:numPr>
      <w:spacing w:before="120" w:after="240" w:line="24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EF08AB"/>
    <w:pPr>
      <w:keepNext/>
      <w:keepLines/>
      <w:numPr>
        <w:ilvl w:val="1"/>
        <w:numId w:val="1"/>
      </w:numPr>
      <w:spacing w:before="120" w:after="240" w:line="240" w:lineRule="auto"/>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Content"/>
    <w:link w:val="Heading3Char"/>
    <w:uiPriority w:val="9"/>
    <w:unhideWhenUsed/>
    <w:qFormat/>
    <w:rsid w:val="00EF08AB"/>
    <w:pPr>
      <w:keepNext/>
      <w:keepLines/>
      <w:numPr>
        <w:ilvl w:val="2"/>
        <w:numId w:val="1"/>
      </w:numPr>
      <w:spacing w:before="120" w:after="240" w:line="240" w:lineRule="auto"/>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EF08AB"/>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F08AB"/>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EF08AB"/>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EF08AB"/>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EF08A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F08A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8AB"/>
    <w:rPr>
      <w:rFonts w:ascii="Times New Roman" w:eastAsiaTheme="majorEastAsia" w:hAnsi="Times New Roman" w:cstheme="majorBidi"/>
      <w:b/>
      <w:color w:val="000000" w:themeColor="text1"/>
      <w:kern w:val="2"/>
      <w:sz w:val="28"/>
      <w:szCs w:val="32"/>
      <w:lang w:val="en-GB" w:bidi="ar-SA"/>
      <w14:ligatures w14:val="standardContextual"/>
    </w:rPr>
  </w:style>
  <w:style w:type="character" w:customStyle="1" w:styleId="Heading2Char">
    <w:name w:val="Heading 2 Char"/>
    <w:basedOn w:val="DefaultParagraphFont"/>
    <w:link w:val="Heading2"/>
    <w:uiPriority w:val="9"/>
    <w:rsid w:val="00EF08AB"/>
    <w:rPr>
      <w:rFonts w:ascii="Times New Roman" w:eastAsiaTheme="majorEastAsia" w:hAnsi="Times New Roman" w:cstheme="majorBidi"/>
      <w:b/>
      <w:color w:val="000000" w:themeColor="text1"/>
      <w:kern w:val="2"/>
      <w:sz w:val="24"/>
      <w:szCs w:val="26"/>
      <w:lang w:val="en-GB" w:bidi="ar-SA"/>
      <w14:ligatures w14:val="standardContextual"/>
    </w:rPr>
  </w:style>
  <w:style w:type="character" w:customStyle="1" w:styleId="Heading3Char">
    <w:name w:val="Heading 3 Char"/>
    <w:basedOn w:val="DefaultParagraphFont"/>
    <w:link w:val="Heading3"/>
    <w:uiPriority w:val="9"/>
    <w:rsid w:val="00EF08AB"/>
    <w:rPr>
      <w:rFonts w:ascii="Times New Roman" w:eastAsiaTheme="majorEastAsia" w:hAnsi="Times New Roman" w:cstheme="majorBidi"/>
      <w:b/>
      <w:color w:val="000000" w:themeColor="text1"/>
      <w:kern w:val="2"/>
      <w:sz w:val="24"/>
      <w:szCs w:val="24"/>
      <w:lang w:val="en-GB" w:bidi="ar-SA"/>
      <w14:ligatures w14:val="standardContextual"/>
    </w:rPr>
  </w:style>
  <w:style w:type="character" w:customStyle="1" w:styleId="Heading4Char">
    <w:name w:val="Heading 4 Char"/>
    <w:basedOn w:val="DefaultParagraphFont"/>
    <w:link w:val="Heading4"/>
    <w:uiPriority w:val="9"/>
    <w:semiHidden/>
    <w:rsid w:val="00EF08AB"/>
    <w:rPr>
      <w:rFonts w:asciiTheme="majorHAnsi" w:eastAsiaTheme="majorEastAsia" w:hAnsiTheme="majorHAnsi" w:cstheme="majorBidi"/>
      <w:i/>
      <w:iCs/>
      <w:color w:val="365F91" w:themeColor="accent1" w:themeShade="BF"/>
      <w:kern w:val="2"/>
      <w:lang w:val="en-GB" w:bidi="ar-SA"/>
      <w14:ligatures w14:val="standardContextual"/>
    </w:rPr>
  </w:style>
  <w:style w:type="character" w:customStyle="1" w:styleId="Heading5Char">
    <w:name w:val="Heading 5 Char"/>
    <w:basedOn w:val="DefaultParagraphFont"/>
    <w:link w:val="Heading5"/>
    <w:uiPriority w:val="9"/>
    <w:semiHidden/>
    <w:rsid w:val="00EF08AB"/>
    <w:rPr>
      <w:rFonts w:asciiTheme="majorHAnsi" w:eastAsiaTheme="majorEastAsia" w:hAnsiTheme="majorHAnsi" w:cstheme="majorBidi"/>
      <w:color w:val="365F91" w:themeColor="accent1" w:themeShade="BF"/>
      <w:kern w:val="2"/>
      <w:lang w:val="en-GB" w:bidi="ar-SA"/>
      <w14:ligatures w14:val="standardContextual"/>
    </w:rPr>
  </w:style>
  <w:style w:type="character" w:customStyle="1" w:styleId="Heading6Char">
    <w:name w:val="Heading 6 Char"/>
    <w:basedOn w:val="DefaultParagraphFont"/>
    <w:link w:val="Heading6"/>
    <w:uiPriority w:val="9"/>
    <w:semiHidden/>
    <w:rsid w:val="00EF08AB"/>
    <w:rPr>
      <w:rFonts w:asciiTheme="majorHAnsi" w:eastAsiaTheme="majorEastAsia" w:hAnsiTheme="majorHAnsi" w:cstheme="majorBidi"/>
      <w:color w:val="243F60" w:themeColor="accent1" w:themeShade="7F"/>
      <w:kern w:val="2"/>
      <w:lang w:val="en-GB" w:bidi="ar-SA"/>
      <w14:ligatures w14:val="standardContextual"/>
    </w:rPr>
  </w:style>
  <w:style w:type="character" w:customStyle="1" w:styleId="Heading7Char">
    <w:name w:val="Heading 7 Char"/>
    <w:basedOn w:val="DefaultParagraphFont"/>
    <w:link w:val="Heading7"/>
    <w:uiPriority w:val="9"/>
    <w:semiHidden/>
    <w:rsid w:val="00EF08AB"/>
    <w:rPr>
      <w:rFonts w:asciiTheme="majorHAnsi" w:eastAsiaTheme="majorEastAsia" w:hAnsiTheme="majorHAnsi" w:cstheme="majorBidi"/>
      <w:i/>
      <w:iCs/>
      <w:color w:val="243F60" w:themeColor="accent1" w:themeShade="7F"/>
      <w:kern w:val="2"/>
      <w:lang w:val="en-GB" w:bidi="ar-SA"/>
      <w14:ligatures w14:val="standardContextual"/>
    </w:rPr>
  </w:style>
  <w:style w:type="character" w:customStyle="1" w:styleId="Heading8Char">
    <w:name w:val="Heading 8 Char"/>
    <w:basedOn w:val="DefaultParagraphFont"/>
    <w:link w:val="Heading8"/>
    <w:uiPriority w:val="9"/>
    <w:semiHidden/>
    <w:rsid w:val="00EF08AB"/>
    <w:rPr>
      <w:rFonts w:asciiTheme="majorHAnsi" w:eastAsiaTheme="majorEastAsia" w:hAnsiTheme="majorHAnsi" w:cstheme="majorBidi"/>
      <w:color w:val="272727" w:themeColor="text1" w:themeTint="D8"/>
      <w:kern w:val="2"/>
      <w:sz w:val="21"/>
      <w:szCs w:val="21"/>
      <w:lang w:val="en-GB" w:bidi="ar-SA"/>
      <w14:ligatures w14:val="standardContextual"/>
    </w:rPr>
  </w:style>
  <w:style w:type="character" w:customStyle="1" w:styleId="Heading9Char">
    <w:name w:val="Heading 9 Char"/>
    <w:basedOn w:val="DefaultParagraphFont"/>
    <w:link w:val="Heading9"/>
    <w:uiPriority w:val="9"/>
    <w:semiHidden/>
    <w:rsid w:val="00EF08AB"/>
    <w:rPr>
      <w:rFonts w:asciiTheme="majorHAnsi" w:eastAsiaTheme="majorEastAsia" w:hAnsiTheme="majorHAnsi" w:cstheme="majorBidi"/>
      <w:i/>
      <w:iCs/>
      <w:color w:val="272727" w:themeColor="text1" w:themeTint="D8"/>
      <w:kern w:val="2"/>
      <w:sz w:val="21"/>
      <w:szCs w:val="21"/>
      <w:lang w:val="en-GB" w:bidi="ar-SA"/>
      <w14:ligatures w14:val="standardContextual"/>
    </w:rPr>
  </w:style>
  <w:style w:type="paragraph" w:customStyle="1" w:styleId="Content">
    <w:name w:val="Content"/>
    <w:basedOn w:val="Normal"/>
    <w:qFormat/>
    <w:rsid w:val="00EF08AB"/>
    <w:pPr>
      <w:spacing w:before="120" w:after="240" w:line="360" w:lineRule="auto"/>
      <w:jc w:val="both"/>
    </w:pPr>
    <w:rPr>
      <w:rFonts w:ascii="Times New Roman" w:hAnsi="Times New Roman"/>
      <w:color w:val="000000" w:themeColor="text1"/>
      <w:sz w:val="24"/>
    </w:rPr>
  </w:style>
  <w:style w:type="paragraph" w:styleId="TOCHeading">
    <w:name w:val="TOC Heading"/>
    <w:basedOn w:val="Heading1"/>
    <w:next w:val="Normal"/>
    <w:uiPriority w:val="39"/>
    <w:unhideWhenUsed/>
    <w:qFormat/>
    <w:rsid w:val="00EF08AB"/>
    <w:pPr>
      <w:numPr>
        <w:numId w:val="0"/>
      </w:numPr>
      <w:spacing w:before="240" w:after="0" w:line="259" w:lineRule="auto"/>
      <w:outlineLvl w:val="9"/>
    </w:pPr>
    <w:rPr>
      <w:rFonts w:asciiTheme="majorHAnsi" w:hAnsiTheme="majorHAnsi"/>
      <w:b w:val="0"/>
      <w:color w:val="365F91" w:themeColor="accent1" w:themeShade="BF"/>
      <w:kern w:val="0"/>
      <w:sz w:val="32"/>
      <w:lang w:val="en-US"/>
      <w14:ligatures w14:val="none"/>
    </w:rPr>
  </w:style>
  <w:style w:type="paragraph" w:styleId="TOC1">
    <w:name w:val="toc 1"/>
    <w:basedOn w:val="Normal"/>
    <w:next w:val="Normal"/>
    <w:autoRedefine/>
    <w:uiPriority w:val="39"/>
    <w:unhideWhenUsed/>
    <w:rsid w:val="00EF08AB"/>
    <w:pPr>
      <w:spacing w:after="100"/>
    </w:pPr>
  </w:style>
  <w:style w:type="paragraph" w:styleId="TOC2">
    <w:name w:val="toc 2"/>
    <w:basedOn w:val="Normal"/>
    <w:next w:val="Normal"/>
    <w:autoRedefine/>
    <w:uiPriority w:val="39"/>
    <w:unhideWhenUsed/>
    <w:rsid w:val="00EF08AB"/>
    <w:pPr>
      <w:spacing w:after="100"/>
      <w:ind w:left="220"/>
    </w:pPr>
  </w:style>
  <w:style w:type="character" w:styleId="Hyperlink">
    <w:name w:val="Hyperlink"/>
    <w:basedOn w:val="DefaultParagraphFont"/>
    <w:uiPriority w:val="99"/>
    <w:unhideWhenUsed/>
    <w:rsid w:val="00EF08AB"/>
    <w:rPr>
      <w:color w:val="0000FF" w:themeColor="hyperlink"/>
      <w:u w:val="single"/>
    </w:rPr>
  </w:style>
  <w:style w:type="paragraph" w:styleId="BalloonText">
    <w:name w:val="Balloon Text"/>
    <w:basedOn w:val="Normal"/>
    <w:link w:val="BalloonTextChar"/>
    <w:uiPriority w:val="99"/>
    <w:semiHidden/>
    <w:unhideWhenUsed/>
    <w:rsid w:val="00EF08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08AB"/>
    <w:rPr>
      <w:rFonts w:ascii="Tahoma" w:hAnsi="Tahoma" w:cs="Tahoma"/>
      <w:kern w:val="2"/>
      <w:sz w:val="16"/>
      <w:szCs w:val="16"/>
      <w:lang w:val="en-GB" w:bidi="ar-SA"/>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Kow15</b:Tag>
    <b:SourceType>InternetSite</b:SourceType>
    <b:Guid>{608B8D58-E02F-4590-AC6E-7E6ABCEC1713}</b:Guid>
    <b:Title>Bank Consolidation and Merger Activity Following the Crisis</b:Title>
    <b:Year>2015</b:Year>
    <b:YearAccessed>2023</b:YearAccessed>
    <b:MonthAccessed>December</b:MonthAccessed>
    <b:DayAccessed>15</b:DayAccessed>
    <b:URL>https://www.kansascityfed.org/documents/646/2015-Bank%20Consolidation%20and%20Merger%20Activity%20Following%20the%20Crisis.pdf</b:URL>
    <b:Author>
      <b:Author>
        <b:NameList>
          <b:Person>
            <b:Last>Kowalik</b:Last>
            <b:First>Michal</b:First>
          </b:Person>
          <b:Person>
            <b:Last>Davig</b:Last>
            <b:First>Troy</b:First>
          </b:Person>
        </b:NameList>
      </b:Author>
    </b:Author>
    <b:RefOrder>1</b:RefOrder>
  </b:Source>
  <b:Source>
    <b:Tag>USD22</b:Tag>
    <b:SourceType>InternetSite</b:SourceType>
    <b:Guid>{D3051E46-6061-4A44-A0AD-6D0B9489D841}</b:Guid>
    <b:Author>
      <b:Author>
        <b:Corporate>US Department of the Treasury</b:Corporate>
      </b:Author>
    </b:Author>
    <b:Title>Financial Stability Oversight Council</b:Title>
    <b:Year>2022</b:Year>
    <b:YearAccessed>2023</b:YearAccessed>
    <b:MonthAccessed>December</b:MonthAccessed>
    <b:DayAccessed>14</b:DayAccessed>
    <b:URL>https://home.treasury.gov/policy-issues/financial-markets-financial-institutions-and-fiscal-service/fsoc</b:URL>
    <b:RefOrder>2</b:RefOrder>
  </b:Source>
  <b:Source>
    <b:Tag>Con22</b:Tag>
    <b:SourceType>InternetSite</b:SourceType>
    <b:Guid>{F246F567-EFB6-437D-892D-977640ABF9D2}</b:Guid>
    <b:Author>
      <b:Author>
        <b:Corporate>Consumer Financial Protection Bureau</b:Corporate>
      </b:Author>
    </b:Author>
    <b:Title>About</b:Title>
    <b:Year>2022</b:Year>
    <b:YearAccessed>2023</b:YearAccessed>
    <b:MonthAccessed>December</b:MonthAccessed>
    <b:DayAccessed>14</b:DayAccessed>
    <b:URL>https://www.consumerfinance.gov/about-us/the-bureau/</b:URL>
    <b:RefOrder>3</b:RefOrder>
  </b:Source>
  <b:Source>
    <b:Tag>USS12</b:Tag>
    <b:SourceType>InternetSite</b:SourceType>
    <b:Guid>{ACCFDB74-AACD-490E-AAEE-BB6EB869BFCE}</b:Guid>
    <b:Author>
      <b:Author>
        <b:Corporate>US Securities and Exchange Commission</b:Corporate>
      </b:Author>
    </b:Author>
    <b:Title>Background</b:Title>
    <b:Year>2012</b:Year>
    <b:YearAccessed>2023</b:YearAccessed>
    <b:MonthAccessed>December</b:MonthAccessed>
    <b:DayAccessed>14</b:DayAccessed>
    <b:URL>https://www.sec.gov/opa/press-release-2012-67-related-materials</b:URL>
    <b:RefOrder>4</b:RefOrder>
  </b:Source>
  <b:Source>
    <b:Tag>Fab141</b:Tag>
    <b:SourceType>Book</b:SourceType>
    <b:Guid>{9C0DE715-6185-4333-AF46-A31B814BF6A5}</b:Guid>
    <b:Title> Foundations of financial markets and institutions . </b:Title>
    <b:Year>2014</b:Year>
    <b:City>Essex</b:City>
    <b:Publisher>Pearson</b:Publisher>
    <b:Edition>4</b:Edition>
    <b:Author>
      <b:Author>
        <b:NameList>
          <b:Person>
            <b:Last>Fabozzi</b:Last>
            <b:First>F.J</b:First>
          </b:Person>
        </b:NameList>
      </b:Author>
    </b:Author>
    <b:RefOrder>5</b:RefOrder>
  </b:Source>
  <b:Source>
    <b:Tag>Inv211</b:Tag>
    <b:SourceType>InternetSite</b:SourceType>
    <b:Guid>{3C8E17ED-B6ED-41BF-8D53-E0AE61FC53B0}</b:Guid>
    <b:Author>
      <b:Author>
        <b:Corporate>Investopedia</b:Corporate>
      </b:Author>
    </b:Author>
    <b:Title>Commodity Futures Trading Commission (CFTC) Overview</b:Title>
    <b:Year>2021</b:Year>
    <b:YearAccessed>2023</b:YearAccessed>
    <b:MonthAccessed>December</b:MonthAccessed>
    <b:DayAccessed>14</b:DayAccessed>
    <b:URL>https://www.investopedia.com/terms/c/cftc.asp</b:URL>
    <b:RefOrder>6</b:RefOrder>
  </b:Source>
  <b:Source>
    <b:Tag>Inv221</b:Tag>
    <b:SourceType>InternetSite</b:SourceType>
    <b:Guid>{611AD561-3758-432E-AF14-530D96FE12C7}</b:Guid>
    <b:Author>
      <b:Author>
        <b:Corporate>Investopedia</b:Corporate>
      </b:Author>
    </b:Author>
    <b:Title>Volcker Rule: Definition, Purpose, How It Works, and Criticism</b:Title>
    <b:Year>2022</b:Year>
    <b:YearAccessed>2023</b:YearAccessed>
    <b:MonthAccessed>December</b:MonthAccessed>
    <b:DayAccessed>14</b:DayAccessed>
    <b:URL>https://www.investopedia.com/terms/v/volcker-rule.asp</b:URL>
    <b:RefOrder>7</b:RefOrder>
  </b:Source>
  <b:Source>
    <b:Tag>FCI11</b:Tag>
    <b:SourceType>InternetSite</b:SourceType>
    <b:Guid>{F1E7D728-C63A-48CE-B1D5-27C7AC51FA55}</b:Guid>
    <b:Author>
      <b:Author>
        <b:Corporate>FCIC</b:Corporate>
      </b:Author>
    </b:Author>
    <b:Title>The Financial Crisis Inquiry Report. </b:Title>
    <b:Year>2011</b:Year>
    <b:YearAccessed>2023</b:YearAccessed>
    <b:MonthAccessed>December</b:MonthAccessed>
    <b:DayAccessed>14</b:DayAccessed>
    <b:URL>https://www.govinfo.gov/content/pkg/GPO-FCIC/pdf/GPO-FCIC.pdf</b:URL>
    <b:RefOrder>8</b:RefOrder>
  </b:Source>
  <b:Source>
    <b:Tag>CFP13</b:Tag>
    <b:SourceType>InternetSite</b:SourceType>
    <b:Guid>{383E1F9A-B9B6-47E2-B983-0A437C14C343}</b:Guid>
    <b:Author>
      <b:Author>
        <b:Corporate>CFPB</b:Corporate>
      </b:Author>
    </b:Author>
    <b:Title>Consumer Financial Protection Bureau Issues Rule to Protect Consumers from Irresponsible Mortgage Lending</b:Title>
    <b:Year>2013</b:Year>
    <b:YearAccessed>2023</b:YearAccessed>
    <b:MonthAccessed>December</b:MonthAccessed>
    <b:DayAccessed>14</b:DayAccessed>
    <b:URL>https://www.consumerfinance.gov/about-us/newsroom/consumer-financial-protection-bureau-issues-rule-to-protect-consumers-from-irresponsible-mortgage-lending/</b:URL>
    <b:RefOrder>9</b:RefOrder>
  </b:Source>
  <b:Source>
    <b:Tag>The223</b:Tag>
    <b:SourceType>InternetSite</b:SourceType>
    <b:Guid>{056E95E9-949A-409B-A5E6-C2D202573FFD}</b:Guid>
    <b:Author>
      <b:Author>
        <b:Corporate>The Balance</b:Corporate>
      </b:Author>
    </b:Author>
    <b:Title>What Was the Fannie Mae and Freddie Mac Bailout?</b:Title>
    <b:Year>2022</b:Year>
    <b:YearAccessed>2023</b:YearAccessed>
    <b:MonthAccessed>December</b:MonthAccessed>
    <b:DayAccessed>14</b:DayAccessed>
    <b:URL>https://www.thebalancemoney.com/what-was-the-fannie-mae-and-freddie-mac-bailout-3305658</b:URL>
    <b:RefOrder>10</b:RefOrder>
  </b:Source>
  <b:Source>
    <b:Tag>Law21</b:Tag>
    <b:SourceType>JournalArticle</b:SourceType>
    <b:Guid>{FA179277-EB68-4B67-A6AE-E16B2782E660}</b:Guid>
    <b:Author>
      <b:Author>
        <b:Corporate>US Capital Purchase Program</b:Corporate>
        <b:NameList>
          <b:Person>
            <b:Last>Lawson</b:Last>
            <b:First>Aidan</b:First>
          </b:Person>
          <b:Person>
            <b:Last>Adam</b:Last>
            <b:First>Kulam</b:First>
          </b:Person>
        </b:NameList>
      </b:Author>
    </b:Author>
    <b:Title>US Capital Purchase Program</b:Title>
    <b:Year>2021</b:Year>
    <b:JournalName>The journal of Financial Crises</b:JournalName>
    <b:Pages>821-890</b:Pages>
    <b:Volume>3</b:Volume>
    <b:Issue>3</b:Issue>
    <b:RefOrder>11</b:RefOrder>
  </b:Source>
  <b:Source>
    <b:Tag>CMS09</b:Tag>
    <b:SourceType>InternetSite</b:SourceType>
    <b:Guid>{32C16D52-8AAC-46AE-AD73-F26EFA234163}</b:Guid>
    <b:Title>The Banking Act 2009: Legislation for failing banks replaces emergency powers</b:Title>
    <b:Year>2009</b:Year>
    <b:Author>
      <b:Author>
        <b:Corporate>CMS</b:Corporate>
      </b:Author>
    </b:Author>
    <b:YearAccessed>2023</b:YearAccessed>
    <b:MonthAccessed>December</b:MonthAccessed>
    <b:DayAccessed>15</b:DayAccessed>
    <b:URL>https://cms-lawnow.com/en/ealerts/2009/02/the-banking-act-2009-legislation-for-failing-banks-replaces-emergency-powers</b:URL>
    <b:RefOrder>12</b:RefOrder>
  </b:Source>
  <b:Source>
    <b:Tag>Leg12</b:Tag>
    <b:SourceType>InternetSite</b:SourceType>
    <b:Guid>{DB8DBD61-E21D-4489-8348-2E9843B83CBD}</b:Guid>
    <b:Author>
      <b:Author>
        <b:Corporate>Legislation.gov.uk</b:Corporate>
      </b:Author>
    </b:Author>
    <b:Title>Financial Services Act 2012</b:Title>
    <b:Year>2012</b:Year>
    <b:YearAccessed>2023</b:YearAccessed>
    <b:MonthAccessed>December</b:MonthAccessed>
    <b:DayAccessed>15</b:DayAccessed>
    <b:URL>https://www.legislation.gov.uk/ukpga/2012/21/contents/enacted</b:URL>
    <b:RefOrder>13</b:RefOrder>
  </b:Source>
  <b:Source>
    <b:Tag>HMT12</b:Tag>
    <b:SourceType>InternetSite</b:SourceType>
    <b:Guid>{4645C894-0A03-4F5C-B7D8-F0A09F62CB25}</b:Guid>
    <b:Author>
      <b:Author>
        <b:Corporate>HM Treasury</b:Corporate>
      </b:Author>
    </b:Author>
    <b:Title>The Financial Services Bill: The Financial Policy Committee’s macro-prudential tools </b:Title>
    <b:Year>2012</b:Year>
    <b:YearAccessed>2023</b:YearAccessed>
    <b:MonthAccessed>December</b:MonthAccessed>
    <b:DayAccessed>15</b:DayAccessed>
    <b:URL>https://assets.publishing.service.gov.uk/media/5a7a06e7e5274a319e77753a/condoc_fpc_tools_180912.pdf</b:URL>
    <b:RefOrder>14</b:RefOrder>
  </b:Source>
  <b:Source>
    <b:Tag>HMT13</b:Tag>
    <b:SourceType>InternetSite</b:SourceType>
    <b:Guid>{FF1925A6-7A8C-44ED-A6D8-A0E307E8350C}</b:Guid>
    <b:Author>
      <b:Author>
        <b:Corporate>HM Treasury</b:Corporate>
      </b:Author>
    </b:Author>
    <b:Title>Banking reform Act</b:Title>
    <b:Year>2013</b:Year>
    <b:YearAccessed>2023</b:YearAccessed>
    <b:MonthAccessed>December</b:MonthAccessed>
    <b:DayAccessed>15</b:DayAccessed>
    <b:URL>https://assets.publishing.service.gov.uk/media/5a74dd6ae5274a3cb2867cdf/PU1488_Banking_reform_consultation_-_online-1.pdf</b:URL>
    <b:RefOrder>15</b:RefOrder>
  </b:Source>
  <b:Source>
    <b:Tag>FCA15</b:Tag>
    <b:SourceType>InternetSite</b:SourceType>
    <b:Guid>{3D2A088B-AABC-4771-954A-C0C60E8DF139}</b:Guid>
    <b:Author>
      <b:Author>
        <b:Corporate>FCA</b:Corporate>
      </b:Author>
    </b:Author>
    <b:Title>Senior Managers and Certification Regime</b:Title>
    <b:Year>2015</b:Year>
    <b:YearAccessed>2023</b:YearAccessed>
    <b:MonthAccessed>December</b:MonthAccessed>
    <b:DayAccessed>15</b:DayAccessed>
    <b:URL>https://www.fca.org.uk/firms/senior-managers-certification-regime</b:URL>
    <b:RefOrder>16</b:RefOrder>
  </b:Source>
  <b:Source>
    <b:Tag>Ban08</b:Tag>
    <b:SourceType>InternetSite</b:SourceType>
    <b:Guid>{7E462F64-0400-4A53-91EB-C441ADCF595D}</b:Guid>
    <b:Author>
      <b:Author>
        <b:Corporate>Bank of England</b:Corporate>
      </b:Author>
    </b:Author>
    <b:Title>Recapitalisation of the UK Banking System</b:Title>
    <b:Year>2008</b:Year>
    <b:YearAccessed>2023</b:YearAccessed>
    <b:MonthAccessed>December</b:MonthAccessed>
    <b:DayAccessed>15</b:DayAccessed>
    <b:URL>https://www.bankofengland.co.uk/news/2008/october/recapitalisation-of-the-uk-banking-system</b:URL>
    <b:RefOrder>17</b:RefOrder>
  </b:Source>
  <b:Source>
    <b:Tag>Hou12</b:Tag>
    <b:SourceType>InternetSite</b:SourceType>
    <b:Guid>{38A2A8C4-6A48-4F47-9AB3-9121A79DA4E5}</b:Guid>
    <b:Author>
      <b:Author>
        <b:Corporate>House of Commons Committee of Public Accounts</b:Corporate>
      </b:Author>
    </b:Author>
    <b:Title>HM Treasury: The Asset Protection Scheme</b:Title>
    <b:Year>2012</b:Year>
    <b:YearAccessed>2023</b:YearAccessed>
    <b:MonthAccessed>December</b:MonthAccessed>
    <b:DayAccessed>15</b:DayAccessed>
    <b:URL>https://publications.parliament.uk/pa/cm201011/cmselect/cmpubacc/785/785.pdf</b:URL>
    <b:RefOrder>18</b:RefOrder>
  </b:Source>
  <b:Source>
    <b:Tag>Nyg20</b:Tag>
    <b:SourceType>JournalArticle</b:SourceType>
    <b:Guid>{9B1F5FE7-A0EF-4A47-B355-519CDB9B1194}</b:Guid>
    <b:Title>The United Kingdom's Special Liquidity Scheme (SLS)</b:Title>
    <b:Year>2020</b:Year>
    <b:JournalName>Journal of Financial Crises</b:JournalName>
    <b:Pages>504-523</b:Pages>
    <b:Volume>2</b:Volume>
    <b:Issue>3</b:Issue>
    <b:Author>
      <b:Author>
        <b:NameList>
          <b:Person>
            <b:Last>Nygaard</b:Last>
            <b:First>Kaleb</b:First>
          </b:Person>
        </b:NameList>
      </b:Author>
    </b:Author>
    <b:RefOrder>19</b:RefOrder>
  </b:Source>
  <b:Source>
    <b:Tag>Ban181</b:Tag>
    <b:SourceType>InternetSite</b:SourceType>
    <b:Guid>{18D581C4-DBE6-4E3C-801A-EE6A1A5D781E}</b:Guid>
    <b:Author>
      <b:Author>
        <b:Corporate>Bank for international Settlements</b:Corporate>
      </b:Author>
    </b:Author>
    <b:Title>Structural changes in banking after the crisis</b:Title>
    <b:Year>2018</b:Year>
    <b:YearAccessed>2023</b:YearAccessed>
    <b:MonthAccessed>December</b:MonthAccessed>
    <b:DayAccessed>16</b:DayAccessed>
    <b:URL>https://www.bis.org/publ/cgfs60.pdf</b:URL>
    <b:RefOrder>20</b:RefOrder>
  </b:Source>
  <b:Source>
    <b:Tag>HMT121</b:Tag>
    <b:SourceType>InternetSite</b:SourceType>
    <b:Guid>{12937C7C-7EF6-41D8-9576-5CB8E463068D}</b:Guid>
    <b:Author>
      <b:Author>
        <b:Corporate>HM Treasury</b:Corporate>
      </b:Author>
    </b:Author>
    <b:Title>The Financial Services Bill: the Financial Policy Committee’s macro-prudential tools </b:Title>
    <b:Year>2012</b:Year>
    <b:YearAccessed>2023</b:YearAccessed>
    <b:MonthAccessed>December</b:MonthAccessed>
    <b:DayAccessed>17</b:DayAccessed>
    <b:URL>https://assets.publishing.service.gov.uk/media/5a7a06e7e5274a319e77753a/condoc_fpc_tools_180912.pdf</b:URL>
    <b:RefOrder>21</b:RefOrder>
  </b:Source>
  <b:Source>
    <b:Tag>Eur22</b:Tag>
    <b:SourceType>InternetSite</b:SourceType>
    <b:Guid>{1BDB040A-D7E7-4B0C-8F80-71F4A9B4B452}</b:Guid>
    <b:Author>
      <b:Author>
        <b:Corporate>European banking Authority</b:Corporate>
      </b:Author>
    </b:Author>
    <b:Title>Annual Report</b:Title>
    <b:Year>2022</b:Year>
    <b:YearAccessed>2023</b:YearAccessed>
    <b:MonthAccessed>December</b:MonthAccessed>
    <b:DayAccessed>19</b:DayAccessed>
    <b:URL>https://www.eba.europa.eu/assets/2023-Annual-Report/en/index.html</b:URL>
    <b:RefOrder>22</b:RefOrder>
  </b:Source>
  <b:Source>
    <b:Tag>Ban22</b:Tag>
    <b:SourceType>InternetSite</b:SourceType>
    <b:Guid>{2FF4A65C-FADF-4284-9D4B-5BB60368D10A}</b:Guid>
    <b:Author>
      <b:Author>
        <b:Corporate>Bank for International Settlements</b:Corporate>
      </b:Author>
    </b:Author>
    <b:Title>Financial regulation for growth, equity and stability in the postcrisis world</b:Title>
    <b:Year>2022</b:Year>
    <b:YearAccessed>2023</b:YearAccessed>
    <b:MonthAccessed>December</b:MonthAccessed>
    <b:DayAccessed>18</b:DayAccessed>
    <b:URL>https://www.bis.org/publ/bppdf/bispap62a.pdf</b:URL>
    <b:RefOrder>23</b:RefOrder>
  </b:Source>
  <b:Source>
    <b:Tag>Har181</b:Tag>
    <b:SourceType>InternetSite</b:SourceType>
    <b:Guid>{D1E1E4C4-4EE8-43B5-94E1-D0790AA42502}</b:Guid>
    <b:Author>
      <b:Author>
        <b:Corporate>Harvard Business School</b:Corporate>
      </b:Author>
    </b:Author>
    <b:Title>JPMorgan Chase after the Financial Crisis: What Is the Optimal Scope of the Largest Bank in the U.S.?</b:Title>
    <b:Year>2018</b:Year>
    <b:YearAccessed>2023</b:YearAccessed>
    <b:MonthAccessed>December</b:MonthAccessed>
    <b:DayAccessed>16</b:DayAccessed>
    <b:URL>https://www.hbs.edu/faculty/Pages/item.aspx?num=50835</b:URL>
    <b:RefOrder>24</b:RefOrder>
  </b:Source>
  <b:Source>
    <b:Tag>Glo09</b:Tag>
    <b:SourceType>InternetSite</b:SourceType>
    <b:Guid>{EF7FE998-88F0-4B22-9FE5-CBB39C2E6507}</b:Guid>
    <b:Author>
      <b:Author>
        <b:Corporate>International Monetary Fund</b:Corporate>
      </b:Author>
    </b:Author>
    <b:Title>Global Financial Stability Report, April 2009: Responding to the Financial Crisis and Measuring Systemic Risks</b:Title>
    <b:Year>2009</b:Year>
    <b:YearAccessed>2023</b:YearAccessed>
    <b:MonthAccessed>December</b:MonthAccessed>
    <b:DayAccessed>16</b:DayAccessed>
    <b:URL>https://www.imf.org/en/Publications/GFSR/Issues/2016/12/31/Global-Financial-Stability-Report-April-2009-Responding-to-the-Financial-Crisis-and-22583</b:URL>
    <b:RefOrder>25</b:RefOrder>
  </b:Source>
  <b:Source>
    <b:Tag>Con10</b:Tag>
    <b:SourceType>InternetSite</b:SourceType>
    <b:Guid>{C3E28020-5644-4D9A-B216-298EB2787282}</b:Guid>
    <b:Author>
      <b:Author>
        <b:Corporate>Congressional research service</b:Corporate>
      </b:Author>
    </b:Author>
    <b:Title>Who Regulates Whom? An Overview of U.S. Financial Supervision</b:Title>
    <b:Year>2010</b:Year>
    <b:YearAccessed>2023</b:YearAccessed>
    <b:MonthAccessed>December</b:MonthAccessed>
    <b:DayAccessed>17</b:DayAccessed>
    <b:URL>https://sgp.fas.org/crs/misc/R40249.pdf</b:URL>
    <b:RefOrder>26</b:RefOrder>
  </b:Source>
  <b:Source>
    <b:Tag>The11</b:Tag>
    <b:SourceType>InternetSite</b:SourceType>
    <b:Guid>{DFF3E06E-6532-428F-B972-6DF8CD4639E0}</b:Guid>
    <b:Author>
      <b:Author>
        <b:Corporate>The Financial Crisis Inquiry Commission</b:Corporate>
      </b:Author>
    </b:Author>
    <b:Title>The Financial Crisis Inquiry Report</b:Title>
    <b:Year>2011</b:Year>
    <b:YearAccessed>2023</b:YearAccessed>
    <b:MonthAccessed>December</b:MonthAccessed>
    <b:DayAccessed>17</b:DayAccessed>
    <b:URL>https://www.govinfo.gov/content/pkg/GPO-FCIC/pdf/GPO-FCIC.pdf</b:URL>
    <b:RefOrder>27</b:RefOrder>
  </b:Source>
  <b:Source>
    <b:Tag>Fin231</b:Tag>
    <b:SourceType>InternetSite</b:SourceType>
    <b:Guid>{BEE3AA80-7871-4A28-97B4-07781A296DC9}</b:Guid>
    <b:Author>
      <b:Author>
        <b:Corporate>Financial Times</b:Corporate>
      </b:Author>
    </b:Author>
    <b:Title>JPMorgan steps up securitisation effort ahead of new US capital rules</b:Title>
    <b:Year>2023</b:Year>
    <b:YearAccessed>2023</b:YearAccessed>
    <b:MonthAccessed>December</b:MonthAccessed>
    <b:DayAccessed>17</b:DayAccessed>
    <b:URL>https://www.ft.com/content/5612cba3-1580-4003-a0ac-6623cbe28ee6</b:URL>
    <b:RefOrder>28</b:RefOrder>
  </b:Source>
</b:Sources>
</file>

<file path=customXml/itemProps1.xml><?xml version="1.0" encoding="utf-8"?>
<ds:datastoreItem xmlns:ds="http://schemas.openxmlformats.org/officeDocument/2006/customXml" ds:itemID="{65642496-9813-4972-8A61-6F1E6FDF7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21</Pages>
  <Words>6616</Words>
  <Characters>37714</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Akshar</dc:creator>
  <cp:lastModifiedBy>Akshar</cp:lastModifiedBy>
  <cp:revision>5</cp:revision>
  <dcterms:created xsi:type="dcterms:W3CDTF">2024-01-04T01:44:00Z</dcterms:created>
  <dcterms:modified xsi:type="dcterms:W3CDTF">2024-01-04T23:39:00Z</dcterms:modified>
</cp:coreProperties>
</file>