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Arial" w:hAnsi="Arial" w:cs="Arial"/>
        </w:rPr>
        <w:id w:val="-1897276579"/>
        <w:docPartObj>
          <w:docPartGallery w:val="Cover Pages"/>
          <w:docPartUnique/>
        </w:docPartObj>
      </w:sdtPr>
      <w:sdtContent>
        <w:p w14:paraId="671492D2" w14:textId="77777777" w:rsidR="002A4229" w:rsidRDefault="00D20C63">
          <w:pPr>
            <w:rPr>
              <w:rFonts w:ascii="Arial" w:hAnsi="Arial" w:cs="Arial"/>
            </w:rPr>
          </w:pPr>
          <w:r w:rsidRPr="00630A63">
            <w:rPr>
              <w:rFonts w:ascii="Arial" w:hAnsi="Arial" w:cs="Arial"/>
              <w:noProof/>
            </w:rPr>
            <mc:AlternateContent>
              <mc:Choice Requires="wpg">
                <w:drawing>
                  <wp:anchor distT="0" distB="0" distL="114300" distR="114300" simplePos="0" relativeHeight="251658243" behindDoc="0" locked="0" layoutInCell="1" allowOverlap="1" wp14:anchorId="54A45D3F" wp14:editId="38FAC5BB">
                    <wp:simplePos x="0" y="0"/>
                    <wp:positionH relativeFrom="page">
                      <wp:posOffset>81481</wp:posOffset>
                    </wp:positionH>
                    <wp:positionV relativeFrom="page">
                      <wp:posOffset>36214</wp:posOffset>
                    </wp:positionV>
                    <wp:extent cx="7437422" cy="2720566"/>
                    <wp:effectExtent l="0" t="0" r="0" b="3810"/>
                    <wp:wrapNone/>
                    <wp:docPr id="149" name="Group 157"/>
                    <wp:cNvGraphicFramePr/>
                    <a:graphic xmlns:a="http://schemas.openxmlformats.org/drawingml/2006/main">
                      <a:graphicData uri="http://schemas.microsoft.com/office/word/2010/wordprocessingGroup">
                        <wpg:wgp>
                          <wpg:cNvGrpSpPr/>
                          <wpg:grpSpPr>
                            <a:xfrm>
                              <a:off x="0" y="0"/>
                              <a:ext cx="7437422" cy="2720566"/>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6"/>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0</wp14:pctWidth>
                    </wp14:sizeRelH>
                    <wp14:sizeRelV relativeFrom="page">
                      <wp14:pctHeight>0</wp14:pctHeight>
                    </wp14:sizeRelV>
                  </wp:anchor>
                </w:drawing>
              </mc:Choice>
              <mc:Fallback>
                <w:pict>
                  <v:group w14:anchorId="57A7E5B5" id="Group 157" o:spid="_x0000_s1026" style="position:absolute;margin-left:6.4pt;margin-top:2.85pt;width:585.6pt;height:214.2pt;z-index:251658243;mso-position-horizontal-relative:page;mso-position-vertical-relative:page"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156082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7" o:title="" recolor="t" rotate="t" type="frame"/>
                    </v:rect>
                    <w10:wrap anchorx="page" anchory="page"/>
                  </v:group>
                </w:pict>
              </mc:Fallback>
            </mc:AlternateContent>
          </w:r>
        </w:p>
        <w:p w14:paraId="2010B892" w14:textId="77777777" w:rsidR="002A4229" w:rsidRDefault="002A4229">
          <w:pPr>
            <w:rPr>
              <w:rFonts w:ascii="Arial" w:hAnsi="Arial" w:cs="Arial"/>
            </w:rPr>
          </w:pPr>
        </w:p>
        <w:p w14:paraId="66EE469F" w14:textId="77777777" w:rsidR="002A4229" w:rsidRDefault="002A4229">
          <w:pPr>
            <w:rPr>
              <w:rFonts w:ascii="Arial" w:hAnsi="Arial" w:cs="Arial"/>
            </w:rPr>
          </w:pPr>
        </w:p>
        <w:p w14:paraId="049BA4C6" w14:textId="77777777" w:rsidR="008E39C4" w:rsidRDefault="008E39C4">
          <w:pPr>
            <w:rPr>
              <w:rFonts w:ascii="Arial" w:hAnsi="Arial" w:cs="Arial"/>
            </w:rPr>
            <w:sectPr w:rsidR="008E39C4" w:rsidSect="00D20C63">
              <w:pgSz w:w="11906" w:h="16838"/>
              <w:pgMar w:top="1440" w:right="1440" w:bottom="1440" w:left="1440" w:header="708" w:footer="708" w:gutter="0"/>
              <w:pgNumType w:start="0"/>
              <w:cols w:num="2" w:space="708"/>
              <w:titlePg/>
              <w:docGrid w:linePitch="360"/>
            </w:sectPr>
          </w:pPr>
        </w:p>
        <w:p w14:paraId="4D788ECB" w14:textId="77777777" w:rsidR="009B69DA" w:rsidRDefault="009B69DA">
          <w:pPr>
            <w:rPr>
              <w:rFonts w:ascii="Arial" w:hAnsi="Arial" w:cs="Arial"/>
            </w:rPr>
          </w:pPr>
        </w:p>
        <w:p w14:paraId="2C9F7AC7" w14:textId="77777777" w:rsidR="009B69DA" w:rsidRDefault="009B69DA">
          <w:pPr>
            <w:rPr>
              <w:rFonts w:ascii="Arial" w:hAnsi="Arial" w:cs="Arial"/>
            </w:rPr>
          </w:pPr>
        </w:p>
        <w:p w14:paraId="1977A624" w14:textId="77777777" w:rsidR="009B69DA" w:rsidRDefault="009B69DA">
          <w:pPr>
            <w:rPr>
              <w:rFonts w:ascii="Arial" w:hAnsi="Arial" w:cs="Arial"/>
            </w:rPr>
          </w:pPr>
        </w:p>
        <w:p w14:paraId="50D50F76" w14:textId="77777777" w:rsidR="009B69DA" w:rsidRDefault="009B69DA">
          <w:pPr>
            <w:rPr>
              <w:rFonts w:ascii="Arial" w:hAnsi="Arial" w:cs="Arial"/>
            </w:rPr>
          </w:pPr>
        </w:p>
        <w:p w14:paraId="7312D1AE" w14:textId="77777777" w:rsidR="009B69DA" w:rsidRDefault="009B69DA">
          <w:pPr>
            <w:rPr>
              <w:rFonts w:ascii="Arial" w:hAnsi="Arial" w:cs="Arial"/>
            </w:rPr>
          </w:pPr>
        </w:p>
        <w:p w14:paraId="3E8141CF" w14:textId="18BF0440" w:rsidR="00670DFD" w:rsidRDefault="00670DFD">
          <w:pPr>
            <w:rPr>
              <w:rFonts w:ascii="Arial" w:hAnsi="Arial" w:cs="Arial"/>
            </w:rPr>
          </w:pPr>
          <w:r w:rsidRPr="00670DFD">
            <w:rPr>
              <w:rFonts w:ascii="Arial" w:hAnsi="Arial" w:cs="Arial"/>
            </w:rPr>
            <w:t>Programme: MSc Public Health and Social Care in Practice</w:t>
          </w:r>
        </w:p>
        <w:p w14:paraId="24DA6D07" w14:textId="77777777" w:rsidR="008E39C4" w:rsidRDefault="00670DFD">
          <w:pPr>
            <w:rPr>
              <w:rFonts w:ascii="Arial" w:hAnsi="Arial" w:cs="Arial"/>
            </w:rPr>
          </w:pPr>
          <w:r w:rsidRPr="00670DFD">
            <w:rPr>
              <w:rFonts w:ascii="Arial" w:hAnsi="Arial" w:cs="Arial"/>
            </w:rPr>
            <w:t xml:space="preserve"> Module: Community Care and Management of Longer-term Conditions </w:t>
          </w:r>
        </w:p>
        <w:p w14:paraId="7A67A766" w14:textId="77777777" w:rsidR="008E39C4" w:rsidRDefault="00670DFD">
          <w:pPr>
            <w:rPr>
              <w:rFonts w:ascii="Arial" w:hAnsi="Arial" w:cs="Arial"/>
            </w:rPr>
          </w:pPr>
          <w:r w:rsidRPr="00670DFD">
            <w:rPr>
              <w:rFonts w:ascii="Arial" w:hAnsi="Arial" w:cs="Arial"/>
            </w:rPr>
            <w:t xml:space="preserve">Module code: LCHS7003 </w:t>
          </w:r>
        </w:p>
        <w:p w14:paraId="5D9CCF72" w14:textId="77777777" w:rsidR="00D83131" w:rsidRDefault="00670DFD">
          <w:pPr>
            <w:rPr>
              <w:rFonts w:ascii="Arial" w:hAnsi="Arial" w:cs="Arial"/>
            </w:rPr>
          </w:pPr>
          <w:r w:rsidRPr="00670DFD">
            <w:rPr>
              <w:rFonts w:ascii="Arial" w:hAnsi="Arial" w:cs="Arial"/>
            </w:rPr>
            <w:t xml:space="preserve"> Lecturer: Muhammed Khan</w:t>
          </w:r>
        </w:p>
        <w:p w14:paraId="60EFD1B3" w14:textId="22562381" w:rsidR="002A4229" w:rsidRDefault="00670DFD">
          <w:pPr>
            <w:rPr>
              <w:rFonts w:ascii="Arial" w:hAnsi="Arial" w:cs="Arial"/>
            </w:rPr>
          </w:pPr>
          <w:r w:rsidRPr="00670DFD">
            <w:rPr>
              <w:rFonts w:ascii="Arial" w:hAnsi="Arial" w:cs="Arial"/>
            </w:rPr>
            <w:t xml:space="preserve">Title: Component 1 Information Booklet of </w:t>
          </w:r>
          <w:r w:rsidR="00D83131">
            <w:rPr>
              <w:rFonts w:ascii="Arial" w:hAnsi="Arial" w:cs="Arial"/>
            </w:rPr>
            <w:t>Long-term</w:t>
          </w:r>
          <w:r w:rsidRPr="00670DFD">
            <w:rPr>
              <w:rFonts w:ascii="Arial" w:hAnsi="Arial" w:cs="Arial"/>
            </w:rPr>
            <w:t xml:space="preserve"> Condition Management</w:t>
          </w:r>
          <w:r w:rsidR="00D83131">
            <w:rPr>
              <w:rFonts w:ascii="Arial" w:hAnsi="Arial" w:cs="Arial"/>
            </w:rPr>
            <w:t xml:space="preserve">: Type 2 Diabetes </w:t>
          </w:r>
        </w:p>
        <w:p w14:paraId="0CA58803" w14:textId="77777777" w:rsidR="00E57069" w:rsidRDefault="00E57069">
          <w:pPr>
            <w:rPr>
              <w:rFonts w:ascii="Arial" w:hAnsi="Arial" w:cs="Arial"/>
            </w:rPr>
          </w:pPr>
        </w:p>
        <w:p w14:paraId="7C635410" w14:textId="77777777" w:rsidR="00E57069" w:rsidRDefault="00E57069">
          <w:pPr>
            <w:rPr>
              <w:rFonts w:ascii="Arial" w:hAnsi="Arial" w:cs="Arial"/>
            </w:rPr>
          </w:pPr>
        </w:p>
        <w:p w14:paraId="0010D781" w14:textId="77777777" w:rsidR="009B69DA" w:rsidRDefault="009B69DA">
          <w:pPr>
            <w:rPr>
              <w:rFonts w:ascii="Arial" w:hAnsi="Arial" w:cs="Arial"/>
            </w:rPr>
          </w:pPr>
        </w:p>
        <w:p w14:paraId="1D2283CC" w14:textId="77777777" w:rsidR="009B69DA" w:rsidRDefault="009B69DA">
          <w:pPr>
            <w:rPr>
              <w:rFonts w:ascii="Arial" w:hAnsi="Arial" w:cs="Arial"/>
            </w:rPr>
          </w:pPr>
        </w:p>
        <w:p w14:paraId="7FB52378" w14:textId="77777777" w:rsidR="009B69DA" w:rsidRDefault="009B69DA">
          <w:pPr>
            <w:rPr>
              <w:rFonts w:ascii="Arial" w:hAnsi="Arial" w:cs="Arial"/>
            </w:rPr>
          </w:pPr>
        </w:p>
        <w:p w14:paraId="2A98DB0D" w14:textId="77777777" w:rsidR="009B69DA" w:rsidRDefault="009B69DA" w:rsidP="00257964">
          <w:pPr>
            <w:rPr>
              <w:rFonts w:ascii="Arial" w:hAnsi="Arial" w:cs="Arial"/>
            </w:rPr>
          </w:pPr>
        </w:p>
        <w:p w14:paraId="3E983505" w14:textId="1ACA337C" w:rsidR="009B69DA" w:rsidRDefault="00867E8C" w:rsidP="00257964">
          <w:pPr>
            <w:rPr>
              <w:rFonts w:ascii="Arial" w:hAnsi="Arial" w:cs="Arial"/>
            </w:rPr>
          </w:pPr>
          <w:r>
            <w:rPr>
              <w:rFonts w:ascii="Arial" w:hAnsi="Arial" w:cs="Arial"/>
            </w:rPr>
            <w:t xml:space="preserve">Patience </w:t>
          </w:r>
          <w:r w:rsidR="00EF1255">
            <w:rPr>
              <w:rFonts w:ascii="Arial" w:hAnsi="Arial" w:cs="Arial"/>
            </w:rPr>
            <w:t>Edo</w:t>
          </w:r>
        </w:p>
        <w:p w14:paraId="1B72A1F1" w14:textId="233836BA" w:rsidR="00EF1255" w:rsidRDefault="00EF1255" w:rsidP="00257964">
          <w:pPr>
            <w:rPr>
              <w:rFonts w:ascii="Arial" w:hAnsi="Arial" w:cs="Arial"/>
            </w:rPr>
          </w:pPr>
          <w:r>
            <w:rPr>
              <w:rFonts w:ascii="Arial" w:hAnsi="Arial" w:cs="Arial"/>
            </w:rPr>
            <w:t>Student ID: 2220883</w:t>
          </w:r>
        </w:p>
        <w:p w14:paraId="667EEB21" w14:textId="77777777" w:rsidR="002A4229" w:rsidRDefault="002A4229">
          <w:pPr>
            <w:rPr>
              <w:rFonts w:ascii="Arial" w:hAnsi="Arial" w:cs="Arial"/>
            </w:rPr>
          </w:pPr>
        </w:p>
        <w:p w14:paraId="18D66293" w14:textId="77777777" w:rsidR="002A4229" w:rsidRDefault="002A4229">
          <w:pPr>
            <w:rPr>
              <w:rFonts w:ascii="Arial" w:hAnsi="Arial" w:cs="Arial"/>
            </w:rPr>
          </w:pPr>
        </w:p>
        <w:p w14:paraId="620CFDD2" w14:textId="77777777" w:rsidR="008E39C4" w:rsidRDefault="008E39C4">
          <w:pPr>
            <w:rPr>
              <w:rFonts w:ascii="Arial" w:hAnsi="Arial" w:cs="Arial"/>
            </w:rPr>
            <w:sectPr w:rsidR="008E39C4" w:rsidSect="008E39C4">
              <w:type w:val="continuous"/>
              <w:pgSz w:w="11906" w:h="16838"/>
              <w:pgMar w:top="1440" w:right="1440" w:bottom="1440" w:left="1440" w:header="708" w:footer="708" w:gutter="0"/>
              <w:pgNumType w:start="0"/>
              <w:cols w:space="708"/>
              <w:titlePg/>
              <w:docGrid w:linePitch="360"/>
            </w:sectPr>
          </w:pPr>
        </w:p>
        <w:p w14:paraId="06A4446B" w14:textId="77777777" w:rsidR="002A4229" w:rsidRDefault="002A4229">
          <w:pPr>
            <w:rPr>
              <w:rFonts w:ascii="Arial" w:hAnsi="Arial" w:cs="Arial"/>
            </w:rPr>
          </w:pPr>
        </w:p>
        <w:p w14:paraId="7143DC24" w14:textId="77777777" w:rsidR="002A4229" w:rsidRDefault="002A4229">
          <w:pPr>
            <w:rPr>
              <w:rFonts w:ascii="Arial" w:hAnsi="Arial" w:cs="Arial"/>
            </w:rPr>
          </w:pPr>
        </w:p>
        <w:p w14:paraId="65B15511" w14:textId="1E4C64FA" w:rsidR="00D20C63" w:rsidRPr="00630A63" w:rsidRDefault="00355EA9">
          <w:pPr>
            <w:rPr>
              <w:rFonts w:ascii="Arial" w:hAnsi="Arial" w:cs="Arial"/>
            </w:rPr>
          </w:pPr>
        </w:p>
      </w:sdtContent>
    </w:sdt>
    <w:p w14:paraId="40A68D70" w14:textId="77777777" w:rsidR="00042184" w:rsidRDefault="00042184">
      <w:pPr>
        <w:pStyle w:val="TOCHeading"/>
        <w:sectPr w:rsidR="00042184" w:rsidSect="008E39C4">
          <w:type w:val="continuous"/>
          <w:pgSz w:w="11906" w:h="16838"/>
          <w:pgMar w:top="1440" w:right="1440" w:bottom="1440" w:left="1440" w:header="708" w:footer="708" w:gutter="0"/>
          <w:pgNumType w:start="0"/>
          <w:cols w:num="2" w:space="708"/>
          <w:titlePg/>
          <w:docGrid w:linePitch="360"/>
        </w:sectPr>
      </w:pPr>
    </w:p>
    <w:p w14:paraId="16F3A28E" w14:textId="3AC8CF90" w:rsidR="00DD2A8F" w:rsidRDefault="00DD2A8F"/>
    <w:p w14:paraId="1D9FA04C" w14:textId="77777777" w:rsidR="00D20C63" w:rsidRPr="00630A63" w:rsidRDefault="00D20C63">
      <w:pPr>
        <w:rPr>
          <w:rFonts w:ascii="Arial" w:hAnsi="Arial" w:cs="Arial"/>
        </w:rPr>
      </w:pPr>
    </w:p>
    <w:p w14:paraId="227A0639" w14:textId="77777777" w:rsidR="000E7790" w:rsidRDefault="000E7790">
      <w:pPr>
        <w:rPr>
          <w:rFonts w:ascii="Arial" w:hAnsi="Arial" w:cs="Arial"/>
        </w:rPr>
      </w:pPr>
    </w:p>
    <w:sdt>
      <w:sdtPr>
        <w:id w:val="-185132992"/>
        <w:docPartObj>
          <w:docPartGallery w:val="Table of Contents"/>
          <w:docPartUnique/>
        </w:docPartObj>
      </w:sdtPr>
      <w:sdtEndPr>
        <w:rPr>
          <w:rFonts w:asciiTheme="minorHAnsi" w:eastAsiaTheme="minorHAnsi" w:hAnsiTheme="minorHAnsi" w:cstheme="minorBidi"/>
          <w:b/>
          <w:bCs/>
          <w:noProof/>
          <w:color w:val="auto"/>
          <w:kern w:val="2"/>
          <w:sz w:val="24"/>
          <w:szCs w:val="24"/>
          <w:lang w:val="en-GB"/>
          <w14:ligatures w14:val="standardContextual"/>
        </w:rPr>
      </w:sdtEndPr>
      <w:sdtContent>
        <w:p w14:paraId="620F2166" w14:textId="5DC8C6B7" w:rsidR="002A4229" w:rsidRDefault="002A4229">
          <w:pPr>
            <w:pStyle w:val="TOCHeading"/>
          </w:pPr>
          <w:r>
            <w:t>Contents</w:t>
          </w:r>
        </w:p>
        <w:p w14:paraId="128373A1" w14:textId="05EBF8D9" w:rsidR="002A4229" w:rsidRDefault="002A4229">
          <w:pPr>
            <w:pStyle w:val="TOC3"/>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24421435" w:history="1">
            <w:r w:rsidRPr="00322CF2">
              <w:rPr>
                <w:rStyle w:val="Hyperlink"/>
                <w:rFonts w:ascii="Arial" w:hAnsi="Arial" w:cs="Arial"/>
                <w:b/>
                <w:bCs/>
                <w:i/>
                <w:iCs/>
                <w:noProof/>
                <w:spacing w:val="5"/>
              </w:rPr>
              <w:t>Long-term condition: Type 2 Diabetes</w:t>
            </w:r>
            <w:r>
              <w:rPr>
                <w:noProof/>
                <w:webHidden/>
              </w:rPr>
              <w:tab/>
            </w:r>
            <w:r>
              <w:rPr>
                <w:noProof/>
                <w:webHidden/>
              </w:rPr>
              <w:fldChar w:fldCharType="begin"/>
            </w:r>
            <w:r>
              <w:rPr>
                <w:noProof/>
                <w:webHidden/>
              </w:rPr>
              <w:instrText xml:space="preserve"> PAGEREF _Toc224421435 \h </w:instrText>
            </w:r>
            <w:r>
              <w:rPr>
                <w:noProof/>
                <w:webHidden/>
              </w:rPr>
            </w:r>
            <w:r>
              <w:rPr>
                <w:noProof/>
                <w:webHidden/>
              </w:rPr>
              <w:fldChar w:fldCharType="separate"/>
            </w:r>
            <w:r>
              <w:rPr>
                <w:noProof/>
                <w:webHidden/>
              </w:rPr>
              <w:t>0</w:t>
            </w:r>
            <w:r>
              <w:rPr>
                <w:noProof/>
                <w:webHidden/>
              </w:rPr>
              <w:fldChar w:fldCharType="end"/>
            </w:r>
          </w:hyperlink>
        </w:p>
        <w:p w14:paraId="57F79F29" w14:textId="173C00F7" w:rsidR="002A4229" w:rsidRDefault="002A4229">
          <w:pPr>
            <w:pStyle w:val="TOC2"/>
            <w:tabs>
              <w:tab w:val="right" w:leader="dot" w:pos="9016"/>
            </w:tabs>
            <w:rPr>
              <w:rFonts w:eastAsiaTheme="minorEastAsia"/>
              <w:noProof/>
              <w:lang w:eastAsia="en-GB"/>
            </w:rPr>
          </w:pPr>
          <w:hyperlink w:anchor="_Toc224421436" w:history="1">
            <w:r w:rsidRPr="00322CF2">
              <w:rPr>
                <w:rStyle w:val="Hyperlink"/>
                <w:rFonts w:ascii="Arial" w:hAnsi="Arial" w:cs="Arial"/>
                <w:b/>
                <w:bCs/>
                <w:smallCaps/>
                <w:noProof/>
                <w:spacing w:val="5"/>
              </w:rPr>
              <w:t>Introduction and Definition</w:t>
            </w:r>
            <w:r>
              <w:rPr>
                <w:noProof/>
                <w:webHidden/>
              </w:rPr>
              <w:tab/>
            </w:r>
            <w:r>
              <w:rPr>
                <w:noProof/>
                <w:webHidden/>
              </w:rPr>
              <w:fldChar w:fldCharType="begin"/>
            </w:r>
            <w:r>
              <w:rPr>
                <w:noProof/>
                <w:webHidden/>
              </w:rPr>
              <w:instrText xml:space="preserve"> PAGEREF _Toc224421436 \h </w:instrText>
            </w:r>
            <w:r>
              <w:rPr>
                <w:noProof/>
                <w:webHidden/>
              </w:rPr>
            </w:r>
            <w:r>
              <w:rPr>
                <w:noProof/>
                <w:webHidden/>
              </w:rPr>
              <w:fldChar w:fldCharType="separate"/>
            </w:r>
            <w:r>
              <w:rPr>
                <w:noProof/>
                <w:webHidden/>
              </w:rPr>
              <w:t>0</w:t>
            </w:r>
            <w:r>
              <w:rPr>
                <w:noProof/>
                <w:webHidden/>
              </w:rPr>
              <w:fldChar w:fldCharType="end"/>
            </w:r>
          </w:hyperlink>
        </w:p>
        <w:p w14:paraId="51A1C029" w14:textId="6A8C39D7" w:rsidR="002A4229" w:rsidRDefault="002A4229">
          <w:pPr>
            <w:pStyle w:val="TOC2"/>
            <w:tabs>
              <w:tab w:val="right" w:leader="dot" w:pos="9016"/>
            </w:tabs>
            <w:rPr>
              <w:rFonts w:eastAsiaTheme="minorEastAsia"/>
              <w:noProof/>
              <w:lang w:eastAsia="en-GB"/>
            </w:rPr>
          </w:pPr>
          <w:hyperlink w:anchor="_Toc224421437" w:history="1">
            <w:r w:rsidRPr="00322CF2">
              <w:rPr>
                <w:rStyle w:val="Hyperlink"/>
                <w:rFonts w:ascii="Arial" w:hAnsi="Arial" w:cs="Arial"/>
                <w:b/>
                <w:bCs/>
                <w:noProof/>
              </w:rPr>
              <w:t>Type 2 diabetes Mellitus prevalence</w:t>
            </w:r>
            <w:r>
              <w:rPr>
                <w:noProof/>
                <w:webHidden/>
              </w:rPr>
              <w:tab/>
            </w:r>
            <w:r>
              <w:rPr>
                <w:noProof/>
                <w:webHidden/>
              </w:rPr>
              <w:fldChar w:fldCharType="begin"/>
            </w:r>
            <w:r>
              <w:rPr>
                <w:noProof/>
                <w:webHidden/>
              </w:rPr>
              <w:instrText xml:space="preserve"> PAGEREF _Toc224421437 \h </w:instrText>
            </w:r>
            <w:r>
              <w:rPr>
                <w:noProof/>
                <w:webHidden/>
              </w:rPr>
            </w:r>
            <w:r>
              <w:rPr>
                <w:noProof/>
                <w:webHidden/>
              </w:rPr>
              <w:fldChar w:fldCharType="separate"/>
            </w:r>
            <w:r>
              <w:rPr>
                <w:noProof/>
                <w:webHidden/>
              </w:rPr>
              <w:t>1</w:t>
            </w:r>
            <w:r>
              <w:rPr>
                <w:noProof/>
                <w:webHidden/>
              </w:rPr>
              <w:fldChar w:fldCharType="end"/>
            </w:r>
          </w:hyperlink>
        </w:p>
        <w:p w14:paraId="4555BDAF" w14:textId="66208013" w:rsidR="002A4229" w:rsidRDefault="002A4229">
          <w:pPr>
            <w:pStyle w:val="TOC2"/>
            <w:tabs>
              <w:tab w:val="right" w:leader="dot" w:pos="9016"/>
            </w:tabs>
            <w:rPr>
              <w:rFonts w:eastAsiaTheme="minorEastAsia"/>
              <w:noProof/>
              <w:lang w:eastAsia="en-GB"/>
            </w:rPr>
          </w:pPr>
          <w:hyperlink w:anchor="_Toc224421438" w:history="1">
            <w:r w:rsidRPr="00322CF2">
              <w:rPr>
                <w:rStyle w:val="Hyperlink"/>
                <w:rFonts w:ascii="Arial" w:hAnsi="Arial" w:cs="Arial"/>
                <w:b/>
                <w:bCs/>
                <w:noProof/>
              </w:rPr>
              <w:t>Risk Factors and Aetiology</w:t>
            </w:r>
            <w:r>
              <w:rPr>
                <w:noProof/>
                <w:webHidden/>
              </w:rPr>
              <w:tab/>
            </w:r>
            <w:r>
              <w:rPr>
                <w:noProof/>
                <w:webHidden/>
              </w:rPr>
              <w:fldChar w:fldCharType="begin"/>
            </w:r>
            <w:r>
              <w:rPr>
                <w:noProof/>
                <w:webHidden/>
              </w:rPr>
              <w:instrText xml:space="preserve"> PAGEREF _Toc224421438 \h </w:instrText>
            </w:r>
            <w:r>
              <w:rPr>
                <w:noProof/>
                <w:webHidden/>
              </w:rPr>
            </w:r>
            <w:r>
              <w:rPr>
                <w:noProof/>
                <w:webHidden/>
              </w:rPr>
              <w:fldChar w:fldCharType="separate"/>
            </w:r>
            <w:r>
              <w:rPr>
                <w:noProof/>
                <w:webHidden/>
              </w:rPr>
              <w:t>2</w:t>
            </w:r>
            <w:r>
              <w:rPr>
                <w:noProof/>
                <w:webHidden/>
              </w:rPr>
              <w:fldChar w:fldCharType="end"/>
            </w:r>
          </w:hyperlink>
        </w:p>
        <w:p w14:paraId="055AC5C8" w14:textId="778EB82B" w:rsidR="002A4229" w:rsidRDefault="002A4229">
          <w:pPr>
            <w:pStyle w:val="TOC2"/>
            <w:tabs>
              <w:tab w:val="right" w:leader="dot" w:pos="9016"/>
            </w:tabs>
            <w:rPr>
              <w:rFonts w:eastAsiaTheme="minorEastAsia"/>
              <w:noProof/>
              <w:lang w:eastAsia="en-GB"/>
            </w:rPr>
          </w:pPr>
          <w:hyperlink w:anchor="_Toc224421439" w:history="1">
            <w:r w:rsidRPr="00322CF2">
              <w:rPr>
                <w:rStyle w:val="Hyperlink"/>
                <w:rFonts w:ascii="Arial" w:hAnsi="Arial" w:cs="Arial"/>
                <w:b/>
                <w:bCs/>
                <w:noProof/>
              </w:rPr>
              <w:t>Evaluation of Type 2 Diabetes Mellitus</w:t>
            </w:r>
            <w:r>
              <w:rPr>
                <w:noProof/>
                <w:webHidden/>
              </w:rPr>
              <w:tab/>
            </w:r>
            <w:r>
              <w:rPr>
                <w:noProof/>
                <w:webHidden/>
              </w:rPr>
              <w:fldChar w:fldCharType="begin"/>
            </w:r>
            <w:r>
              <w:rPr>
                <w:noProof/>
                <w:webHidden/>
              </w:rPr>
              <w:instrText xml:space="preserve"> PAGEREF _Toc224421439 \h </w:instrText>
            </w:r>
            <w:r>
              <w:rPr>
                <w:noProof/>
                <w:webHidden/>
              </w:rPr>
            </w:r>
            <w:r>
              <w:rPr>
                <w:noProof/>
                <w:webHidden/>
              </w:rPr>
              <w:fldChar w:fldCharType="separate"/>
            </w:r>
            <w:r>
              <w:rPr>
                <w:noProof/>
                <w:webHidden/>
              </w:rPr>
              <w:t>3</w:t>
            </w:r>
            <w:r>
              <w:rPr>
                <w:noProof/>
                <w:webHidden/>
              </w:rPr>
              <w:fldChar w:fldCharType="end"/>
            </w:r>
          </w:hyperlink>
        </w:p>
        <w:p w14:paraId="06625005" w14:textId="57454848" w:rsidR="002A4229" w:rsidRDefault="002A4229">
          <w:pPr>
            <w:pStyle w:val="TOC2"/>
            <w:tabs>
              <w:tab w:val="right" w:leader="dot" w:pos="9016"/>
            </w:tabs>
            <w:rPr>
              <w:rFonts w:eastAsiaTheme="minorEastAsia"/>
              <w:noProof/>
              <w:lang w:eastAsia="en-GB"/>
            </w:rPr>
          </w:pPr>
          <w:hyperlink w:anchor="_Toc224421440" w:history="1">
            <w:r w:rsidRPr="00322CF2">
              <w:rPr>
                <w:rStyle w:val="Hyperlink"/>
                <w:rFonts w:ascii="Arial" w:hAnsi="Arial" w:cs="Arial"/>
                <w:noProof/>
              </w:rPr>
              <w:t>Physical Impact.</w:t>
            </w:r>
            <w:r>
              <w:rPr>
                <w:noProof/>
                <w:webHidden/>
              </w:rPr>
              <w:tab/>
            </w:r>
            <w:r>
              <w:rPr>
                <w:noProof/>
                <w:webHidden/>
              </w:rPr>
              <w:fldChar w:fldCharType="begin"/>
            </w:r>
            <w:r>
              <w:rPr>
                <w:noProof/>
                <w:webHidden/>
              </w:rPr>
              <w:instrText xml:space="preserve"> PAGEREF _Toc224421440 \h </w:instrText>
            </w:r>
            <w:r>
              <w:rPr>
                <w:noProof/>
                <w:webHidden/>
              </w:rPr>
            </w:r>
            <w:r>
              <w:rPr>
                <w:noProof/>
                <w:webHidden/>
              </w:rPr>
              <w:fldChar w:fldCharType="separate"/>
            </w:r>
            <w:r>
              <w:rPr>
                <w:noProof/>
                <w:webHidden/>
              </w:rPr>
              <w:t>3</w:t>
            </w:r>
            <w:r>
              <w:rPr>
                <w:noProof/>
                <w:webHidden/>
              </w:rPr>
              <w:fldChar w:fldCharType="end"/>
            </w:r>
          </w:hyperlink>
        </w:p>
        <w:p w14:paraId="04A47270" w14:textId="57B13102" w:rsidR="002A4229" w:rsidRDefault="002A4229">
          <w:pPr>
            <w:pStyle w:val="TOC2"/>
            <w:tabs>
              <w:tab w:val="right" w:leader="dot" w:pos="9016"/>
            </w:tabs>
            <w:rPr>
              <w:rFonts w:eastAsiaTheme="minorEastAsia"/>
              <w:noProof/>
              <w:lang w:eastAsia="en-GB"/>
            </w:rPr>
          </w:pPr>
          <w:hyperlink w:anchor="_Toc224421441" w:history="1">
            <w:r w:rsidRPr="00322CF2">
              <w:rPr>
                <w:rStyle w:val="Hyperlink"/>
                <w:rFonts w:ascii="Arial" w:hAnsi="Arial" w:cs="Arial"/>
                <w:b/>
                <w:bCs/>
                <w:noProof/>
              </w:rPr>
              <w:t>Socioeconomic Impact</w:t>
            </w:r>
            <w:r>
              <w:rPr>
                <w:noProof/>
                <w:webHidden/>
              </w:rPr>
              <w:tab/>
            </w:r>
            <w:r>
              <w:rPr>
                <w:noProof/>
                <w:webHidden/>
              </w:rPr>
              <w:fldChar w:fldCharType="begin"/>
            </w:r>
            <w:r>
              <w:rPr>
                <w:noProof/>
                <w:webHidden/>
              </w:rPr>
              <w:instrText xml:space="preserve"> PAGEREF _Toc224421441 \h </w:instrText>
            </w:r>
            <w:r>
              <w:rPr>
                <w:noProof/>
                <w:webHidden/>
              </w:rPr>
            </w:r>
            <w:r>
              <w:rPr>
                <w:noProof/>
                <w:webHidden/>
              </w:rPr>
              <w:fldChar w:fldCharType="separate"/>
            </w:r>
            <w:r>
              <w:rPr>
                <w:noProof/>
                <w:webHidden/>
              </w:rPr>
              <w:t>3</w:t>
            </w:r>
            <w:r>
              <w:rPr>
                <w:noProof/>
                <w:webHidden/>
              </w:rPr>
              <w:fldChar w:fldCharType="end"/>
            </w:r>
          </w:hyperlink>
        </w:p>
        <w:p w14:paraId="33C6E304" w14:textId="1D1BF060" w:rsidR="002A4229" w:rsidRDefault="002A4229">
          <w:pPr>
            <w:pStyle w:val="TOC2"/>
            <w:tabs>
              <w:tab w:val="right" w:leader="dot" w:pos="9016"/>
            </w:tabs>
            <w:rPr>
              <w:rFonts w:eastAsiaTheme="minorEastAsia"/>
              <w:noProof/>
              <w:lang w:eastAsia="en-GB"/>
            </w:rPr>
          </w:pPr>
          <w:hyperlink w:anchor="_Toc224421442" w:history="1">
            <w:r w:rsidRPr="00322CF2">
              <w:rPr>
                <w:rStyle w:val="Hyperlink"/>
                <w:rFonts w:ascii="Arial" w:hAnsi="Arial" w:cs="Arial"/>
                <w:b/>
                <w:bCs/>
                <w:noProof/>
              </w:rPr>
              <w:t>Psychological impact</w:t>
            </w:r>
            <w:r>
              <w:rPr>
                <w:noProof/>
                <w:webHidden/>
              </w:rPr>
              <w:tab/>
            </w:r>
            <w:r>
              <w:rPr>
                <w:noProof/>
                <w:webHidden/>
              </w:rPr>
              <w:fldChar w:fldCharType="begin"/>
            </w:r>
            <w:r>
              <w:rPr>
                <w:noProof/>
                <w:webHidden/>
              </w:rPr>
              <w:instrText xml:space="preserve"> PAGEREF _Toc224421442 \h </w:instrText>
            </w:r>
            <w:r>
              <w:rPr>
                <w:noProof/>
                <w:webHidden/>
              </w:rPr>
            </w:r>
            <w:r>
              <w:rPr>
                <w:noProof/>
                <w:webHidden/>
              </w:rPr>
              <w:fldChar w:fldCharType="separate"/>
            </w:r>
            <w:r>
              <w:rPr>
                <w:noProof/>
                <w:webHidden/>
              </w:rPr>
              <w:t>4</w:t>
            </w:r>
            <w:r>
              <w:rPr>
                <w:noProof/>
                <w:webHidden/>
              </w:rPr>
              <w:fldChar w:fldCharType="end"/>
            </w:r>
          </w:hyperlink>
        </w:p>
        <w:p w14:paraId="6FFFF05C" w14:textId="074E7A19" w:rsidR="002A4229" w:rsidRDefault="002A4229">
          <w:pPr>
            <w:pStyle w:val="TOC2"/>
            <w:tabs>
              <w:tab w:val="right" w:leader="dot" w:pos="9016"/>
            </w:tabs>
            <w:rPr>
              <w:rFonts w:eastAsiaTheme="minorEastAsia"/>
              <w:noProof/>
              <w:lang w:eastAsia="en-GB"/>
            </w:rPr>
          </w:pPr>
          <w:hyperlink w:anchor="_Toc224421443" w:history="1">
            <w:r w:rsidRPr="00322CF2">
              <w:rPr>
                <w:rStyle w:val="Hyperlink"/>
                <w:rFonts w:ascii="Arial" w:hAnsi="Arial" w:cs="Arial"/>
                <w:b/>
                <w:bCs/>
                <w:noProof/>
              </w:rPr>
              <w:t>Implications for Social, Family and Carers</w:t>
            </w:r>
            <w:r>
              <w:rPr>
                <w:noProof/>
                <w:webHidden/>
              </w:rPr>
              <w:tab/>
            </w:r>
            <w:r>
              <w:rPr>
                <w:noProof/>
                <w:webHidden/>
              </w:rPr>
              <w:fldChar w:fldCharType="begin"/>
            </w:r>
            <w:r>
              <w:rPr>
                <w:noProof/>
                <w:webHidden/>
              </w:rPr>
              <w:instrText xml:space="preserve"> PAGEREF _Toc224421443 \h </w:instrText>
            </w:r>
            <w:r>
              <w:rPr>
                <w:noProof/>
                <w:webHidden/>
              </w:rPr>
            </w:r>
            <w:r>
              <w:rPr>
                <w:noProof/>
                <w:webHidden/>
              </w:rPr>
              <w:fldChar w:fldCharType="separate"/>
            </w:r>
            <w:r>
              <w:rPr>
                <w:noProof/>
                <w:webHidden/>
              </w:rPr>
              <w:t>4</w:t>
            </w:r>
            <w:r>
              <w:rPr>
                <w:noProof/>
                <w:webHidden/>
              </w:rPr>
              <w:fldChar w:fldCharType="end"/>
            </w:r>
          </w:hyperlink>
        </w:p>
        <w:p w14:paraId="48B4E671" w14:textId="16B6F118" w:rsidR="002A4229" w:rsidRDefault="002A4229">
          <w:pPr>
            <w:pStyle w:val="TOC2"/>
            <w:tabs>
              <w:tab w:val="right" w:leader="dot" w:pos="9016"/>
            </w:tabs>
            <w:rPr>
              <w:rFonts w:eastAsiaTheme="minorEastAsia"/>
              <w:noProof/>
              <w:lang w:eastAsia="en-GB"/>
            </w:rPr>
          </w:pPr>
          <w:hyperlink w:anchor="_Toc224421444" w:history="1">
            <w:r w:rsidRPr="00322CF2">
              <w:rPr>
                <w:rStyle w:val="Hyperlink"/>
                <w:rFonts w:ascii="Arial" w:hAnsi="Arial" w:cs="Arial"/>
                <w:b/>
                <w:bCs/>
                <w:noProof/>
              </w:rPr>
              <w:t>The NHS Treatment for Type 2 Diabetes: Review of Evidence.</w:t>
            </w:r>
            <w:r>
              <w:rPr>
                <w:noProof/>
                <w:webHidden/>
              </w:rPr>
              <w:tab/>
            </w:r>
            <w:r>
              <w:rPr>
                <w:noProof/>
                <w:webHidden/>
              </w:rPr>
              <w:fldChar w:fldCharType="begin"/>
            </w:r>
            <w:r>
              <w:rPr>
                <w:noProof/>
                <w:webHidden/>
              </w:rPr>
              <w:instrText xml:space="preserve"> PAGEREF _Toc224421444 \h </w:instrText>
            </w:r>
            <w:r>
              <w:rPr>
                <w:noProof/>
                <w:webHidden/>
              </w:rPr>
            </w:r>
            <w:r>
              <w:rPr>
                <w:noProof/>
                <w:webHidden/>
              </w:rPr>
              <w:fldChar w:fldCharType="separate"/>
            </w:r>
            <w:r>
              <w:rPr>
                <w:noProof/>
                <w:webHidden/>
              </w:rPr>
              <w:t>5</w:t>
            </w:r>
            <w:r>
              <w:rPr>
                <w:noProof/>
                <w:webHidden/>
              </w:rPr>
              <w:fldChar w:fldCharType="end"/>
            </w:r>
          </w:hyperlink>
        </w:p>
        <w:p w14:paraId="5EF961FA" w14:textId="119B7089" w:rsidR="002A4229" w:rsidRDefault="002A4229">
          <w:pPr>
            <w:pStyle w:val="TOC2"/>
            <w:tabs>
              <w:tab w:val="right" w:leader="dot" w:pos="9016"/>
            </w:tabs>
            <w:rPr>
              <w:rFonts w:eastAsiaTheme="minorEastAsia"/>
              <w:noProof/>
              <w:lang w:eastAsia="en-GB"/>
            </w:rPr>
          </w:pPr>
          <w:hyperlink w:anchor="_Toc224421445" w:history="1">
            <w:r w:rsidRPr="00322CF2">
              <w:rPr>
                <w:rStyle w:val="Hyperlink"/>
                <w:rFonts w:ascii="Arial" w:hAnsi="Arial" w:cs="Arial"/>
                <w:b/>
                <w:bCs/>
                <w:noProof/>
              </w:rPr>
              <w:t>Theoretical Frameworks for Improving Type 2 Diabetes Outcomes</w:t>
            </w:r>
            <w:r>
              <w:rPr>
                <w:noProof/>
                <w:webHidden/>
              </w:rPr>
              <w:tab/>
            </w:r>
            <w:r>
              <w:rPr>
                <w:noProof/>
                <w:webHidden/>
              </w:rPr>
              <w:fldChar w:fldCharType="begin"/>
            </w:r>
            <w:r>
              <w:rPr>
                <w:noProof/>
                <w:webHidden/>
              </w:rPr>
              <w:instrText xml:space="preserve"> PAGEREF _Toc224421445 \h </w:instrText>
            </w:r>
            <w:r>
              <w:rPr>
                <w:noProof/>
                <w:webHidden/>
              </w:rPr>
            </w:r>
            <w:r>
              <w:rPr>
                <w:noProof/>
                <w:webHidden/>
              </w:rPr>
              <w:fldChar w:fldCharType="separate"/>
            </w:r>
            <w:r>
              <w:rPr>
                <w:noProof/>
                <w:webHidden/>
              </w:rPr>
              <w:t>6</w:t>
            </w:r>
            <w:r>
              <w:rPr>
                <w:noProof/>
                <w:webHidden/>
              </w:rPr>
              <w:fldChar w:fldCharType="end"/>
            </w:r>
          </w:hyperlink>
        </w:p>
        <w:p w14:paraId="2030A75D" w14:textId="0A5AD06B" w:rsidR="002A4229" w:rsidRDefault="002A4229">
          <w:pPr>
            <w:pStyle w:val="TOC2"/>
            <w:tabs>
              <w:tab w:val="right" w:leader="dot" w:pos="9016"/>
            </w:tabs>
            <w:rPr>
              <w:rFonts w:eastAsiaTheme="minorEastAsia"/>
              <w:noProof/>
              <w:lang w:eastAsia="en-GB"/>
            </w:rPr>
          </w:pPr>
          <w:hyperlink w:anchor="_Toc224421446" w:history="1">
            <w:r w:rsidRPr="00322CF2">
              <w:rPr>
                <w:rStyle w:val="Hyperlink"/>
                <w:rFonts w:ascii="Arial" w:hAnsi="Arial" w:cs="Arial"/>
                <w:b/>
                <w:bCs/>
                <w:noProof/>
              </w:rPr>
              <w:t>Person-Centred Care and House of Care Framework (UK Model)</w:t>
            </w:r>
            <w:r>
              <w:rPr>
                <w:noProof/>
                <w:webHidden/>
              </w:rPr>
              <w:tab/>
            </w:r>
            <w:r>
              <w:rPr>
                <w:noProof/>
                <w:webHidden/>
              </w:rPr>
              <w:fldChar w:fldCharType="begin"/>
            </w:r>
            <w:r>
              <w:rPr>
                <w:noProof/>
                <w:webHidden/>
              </w:rPr>
              <w:instrText xml:space="preserve"> PAGEREF _Toc224421446 \h </w:instrText>
            </w:r>
            <w:r>
              <w:rPr>
                <w:noProof/>
                <w:webHidden/>
              </w:rPr>
            </w:r>
            <w:r>
              <w:rPr>
                <w:noProof/>
                <w:webHidden/>
              </w:rPr>
              <w:fldChar w:fldCharType="separate"/>
            </w:r>
            <w:r>
              <w:rPr>
                <w:noProof/>
                <w:webHidden/>
              </w:rPr>
              <w:t>6</w:t>
            </w:r>
            <w:r>
              <w:rPr>
                <w:noProof/>
                <w:webHidden/>
              </w:rPr>
              <w:fldChar w:fldCharType="end"/>
            </w:r>
          </w:hyperlink>
        </w:p>
        <w:p w14:paraId="059151B6" w14:textId="1538C50B" w:rsidR="002A4229" w:rsidRDefault="002A4229">
          <w:pPr>
            <w:pStyle w:val="TOC2"/>
            <w:tabs>
              <w:tab w:val="right" w:leader="dot" w:pos="9016"/>
            </w:tabs>
            <w:rPr>
              <w:rFonts w:eastAsiaTheme="minorEastAsia"/>
              <w:noProof/>
              <w:lang w:eastAsia="en-GB"/>
            </w:rPr>
          </w:pPr>
          <w:hyperlink w:anchor="_Toc224421447" w:history="1">
            <w:r w:rsidRPr="00322CF2">
              <w:rPr>
                <w:rStyle w:val="Hyperlink"/>
                <w:rFonts w:ascii="Arial" w:hAnsi="Arial" w:cs="Arial"/>
                <w:b/>
                <w:bCs/>
                <w:noProof/>
              </w:rPr>
              <w:t>House of Care in T2DM management</w:t>
            </w:r>
            <w:r>
              <w:rPr>
                <w:noProof/>
                <w:webHidden/>
              </w:rPr>
              <w:tab/>
            </w:r>
            <w:r>
              <w:rPr>
                <w:noProof/>
                <w:webHidden/>
              </w:rPr>
              <w:fldChar w:fldCharType="begin"/>
            </w:r>
            <w:r>
              <w:rPr>
                <w:noProof/>
                <w:webHidden/>
              </w:rPr>
              <w:instrText xml:space="preserve"> PAGEREF _Toc224421447 \h </w:instrText>
            </w:r>
            <w:r>
              <w:rPr>
                <w:noProof/>
                <w:webHidden/>
              </w:rPr>
            </w:r>
            <w:r>
              <w:rPr>
                <w:noProof/>
                <w:webHidden/>
              </w:rPr>
              <w:fldChar w:fldCharType="separate"/>
            </w:r>
            <w:r>
              <w:rPr>
                <w:noProof/>
                <w:webHidden/>
              </w:rPr>
              <w:t>7</w:t>
            </w:r>
            <w:r>
              <w:rPr>
                <w:noProof/>
                <w:webHidden/>
              </w:rPr>
              <w:fldChar w:fldCharType="end"/>
            </w:r>
          </w:hyperlink>
        </w:p>
        <w:p w14:paraId="32F86C10" w14:textId="1DAEBFB8" w:rsidR="002A4229" w:rsidRDefault="002A4229">
          <w:pPr>
            <w:pStyle w:val="TOC2"/>
            <w:tabs>
              <w:tab w:val="right" w:leader="dot" w:pos="9016"/>
            </w:tabs>
            <w:rPr>
              <w:rFonts w:eastAsiaTheme="minorEastAsia"/>
              <w:noProof/>
              <w:lang w:eastAsia="en-GB"/>
            </w:rPr>
          </w:pPr>
          <w:hyperlink w:anchor="_Toc224421448" w:history="1">
            <w:r w:rsidRPr="00322CF2">
              <w:rPr>
                <w:rStyle w:val="Hyperlink"/>
                <w:rFonts w:ascii="Arial" w:hAnsi="Arial" w:cs="Arial"/>
                <w:b/>
                <w:bCs/>
                <w:noProof/>
              </w:rPr>
              <w:t>The Chronic Care Model is an International Model</w:t>
            </w:r>
            <w:r>
              <w:rPr>
                <w:noProof/>
                <w:webHidden/>
              </w:rPr>
              <w:tab/>
            </w:r>
            <w:r>
              <w:rPr>
                <w:noProof/>
                <w:webHidden/>
              </w:rPr>
              <w:fldChar w:fldCharType="begin"/>
            </w:r>
            <w:r>
              <w:rPr>
                <w:noProof/>
                <w:webHidden/>
              </w:rPr>
              <w:instrText xml:space="preserve"> PAGEREF _Toc224421448 \h </w:instrText>
            </w:r>
            <w:r>
              <w:rPr>
                <w:noProof/>
                <w:webHidden/>
              </w:rPr>
            </w:r>
            <w:r>
              <w:rPr>
                <w:noProof/>
                <w:webHidden/>
              </w:rPr>
              <w:fldChar w:fldCharType="separate"/>
            </w:r>
            <w:r>
              <w:rPr>
                <w:noProof/>
                <w:webHidden/>
              </w:rPr>
              <w:t>7</w:t>
            </w:r>
            <w:r>
              <w:rPr>
                <w:noProof/>
                <w:webHidden/>
              </w:rPr>
              <w:fldChar w:fldCharType="end"/>
            </w:r>
          </w:hyperlink>
        </w:p>
        <w:p w14:paraId="7F567D72" w14:textId="4771E826" w:rsidR="002A4229" w:rsidRDefault="002A4229">
          <w:pPr>
            <w:pStyle w:val="TOC2"/>
            <w:tabs>
              <w:tab w:val="right" w:leader="dot" w:pos="9016"/>
            </w:tabs>
            <w:rPr>
              <w:rFonts w:eastAsiaTheme="minorEastAsia"/>
              <w:noProof/>
              <w:lang w:eastAsia="en-GB"/>
            </w:rPr>
          </w:pPr>
          <w:hyperlink w:anchor="_Toc224421449" w:history="1">
            <w:r w:rsidRPr="00322CF2">
              <w:rPr>
                <w:rStyle w:val="Hyperlink"/>
                <w:rFonts w:ascii="Arial" w:hAnsi="Arial" w:cs="Arial"/>
                <w:b/>
                <w:bCs/>
                <w:noProof/>
              </w:rPr>
              <w:t>National and Local Policy Frameworks Challenges.</w:t>
            </w:r>
            <w:r>
              <w:rPr>
                <w:noProof/>
                <w:webHidden/>
              </w:rPr>
              <w:tab/>
            </w:r>
            <w:r>
              <w:rPr>
                <w:noProof/>
                <w:webHidden/>
              </w:rPr>
              <w:fldChar w:fldCharType="begin"/>
            </w:r>
            <w:r>
              <w:rPr>
                <w:noProof/>
                <w:webHidden/>
              </w:rPr>
              <w:instrText xml:space="preserve"> PAGEREF _Toc224421449 \h </w:instrText>
            </w:r>
            <w:r>
              <w:rPr>
                <w:noProof/>
                <w:webHidden/>
              </w:rPr>
            </w:r>
            <w:r>
              <w:rPr>
                <w:noProof/>
                <w:webHidden/>
              </w:rPr>
              <w:fldChar w:fldCharType="separate"/>
            </w:r>
            <w:r>
              <w:rPr>
                <w:noProof/>
                <w:webHidden/>
              </w:rPr>
              <w:t>8</w:t>
            </w:r>
            <w:r>
              <w:rPr>
                <w:noProof/>
                <w:webHidden/>
              </w:rPr>
              <w:fldChar w:fldCharType="end"/>
            </w:r>
          </w:hyperlink>
        </w:p>
        <w:p w14:paraId="3417843D" w14:textId="790A8052" w:rsidR="002A4229" w:rsidRDefault="002A4229">
          <w:pPr>
            <w:pStyle w:val="TOC2"/>
            <w:tabs>
              <w:tab w:val="right" w:leader="dot" w:pos="9016"/>
            </w:tabs>
            <w:rPr>
              <w:rFonts w:eastAsiaTheme="minorEastAsia"/>
              <w:noProof/>
              <w:lang w:eastAsia="en-GB"/>
            </w:rPr>
          </w:pPr>
          <w:hyperlink w:anchor="_Toc224421450" w:history="1">
            <w:r w:rsidRPr="00322CF2">
              <w:rPr>
                <w:rStyle w:val="Hyperlink"/>
                <w:rFonts w:ascii="Arial" w:eastAsia="Arial" w:hAnsi="Arial" w:cs="Arial"/>
                <w:b/>
                <w:bCs/>
                <w:noProof/>
              </w:rPr>
              <w:t>Person-centred</w:t>
            </w:r>
            <w:r w:rsidRPr="00322CF2">
              <w:rPr>
                <w:rStyle w:val="Hyperlink"/>
                <w:rFonts w:ascii="Arial" w:hAnsi="Arial" w:cs="Arial"/>
                <w:b/>
                <w:bCs/>
                <w:noProof/>
              </w:rPr>
              <w:t xml:space="preserve"> Improvement.</w:t>
            </w:r>
            <w:r>
              <w:rPr>
                <w:noProof/>
                <w:webHidden/>
              </w:rPr>
              <w:tab/>
            </w:r>
            <w:r>
              <w:rPr>
                <w:noProof/>
                <w:webHidden/>
              </w:rPr>
              <w:fldChar w:fldCharType="begin"/>
            </w:r>
            <w:r>
              <w:rPr>
                <w:noProof/>
                <w:webHidden/>
              </w:rPr>
              <w:instrText xml:space="preserve"> PAGEREF _Toc224421450 \h </w:instrText>
            </w:r>
            <w:r>
              <w:rPr>
                <w:noProof/>
                <w:webHidden/>
              </w:rPr>
            </w:r>
            <w:r>
              <w:rPr>
                <w:noProof/>
                <w:webHidden/>
              </w:rPr>
              <w:fldChar w:fldCharType="separate"/>
            </w:r>
            <w:r>
              <w:rPr>
                <w:noProof/>
                <w:webHidden/>
              </w:rPr>
              <w:t>9</w:t>
            </w:r>
            <w:r>
              <w:rPr>
                <w:noProof/>
                <w:webHidden/>
              </w:rPr>
              <w:fldChar w:fldCharType="end"/>
            </w:r>
          </w:hyperlink>
        </w:p>
        <w:p w14:paraId="0538DB86" w14:textId="7A5F1067" w:rsidR="002A4229" w:rsidRDefault="002A4229">
          <w:pPr>
            <w:pStyle w:val="TOC2"/>
            <w:tabs>
              <w:tab w:val="right" w:leader="dot" w:pos="9016"/>
            </w:tabs>
            <w:rPr>
              <w:rFonts w:eastAsiaTheme="minorEastAsia"/>
              <w:noProof/>
              <w:lang w:eastAsia="en-GB"/>
            </w:rPr>
          </w:pPr>
          <w:hyperlink w:anchor="_Toc224421451" w:history="1">
            <w:r w:rsidRPr="00322CF2">
              <w:rPr>
                <w:rStyle w:val="Hyperlink"/>
                <w:rFonts w:ascii="Arial" w:hAnsi="Arial" w:cs="Arial"/>
                <w:b/>
                <w:bCs/>
                <w:noProof/>
              </w:rPr>
              <w:t>Improve structured Management</w:t>
            </w:r>
            <w:r>
              <w:rPr>
                <w:noProof/>
                <w:webHidden/>
              </w:rPr>
              <w:tab/>
            </w:r>
            <w:r>
              <w:rPr>
                <w:noProof/>
                <w:webHidden/>
              </w:rPr>
              <w:fldChar w:fldCharType="begin"/>
            </w:r>
            <w:r>
              <w:rPr>
                <w:noProof/>
                <w:webHidden/>
              </w:rPr>
              <w:instrText xml:space="preserve"> PAGEREF _Toc224421451 \h </w:instrText>
            </w:r>
            <w:r>
              <w:rPr>
                <w:noProof/>
                <w:webHidden/>
              </w:rPr>
            </w:r>
            <w:r>
              <w:rPr>
                <w:noProof/>
                <w:webHidden/>
              </w:rPr>
              <w:fldChar w:fldCharType="separate"/>
            </w:r>
            <w:r>
              <w:rPr>
                <w:noProof/>
                <w:webHidden/>
              </w:rPr>
              <w:t>10</w:t>
            </w:r>
            <w:r>
              <w:rPr>
                <w:noProof/>
                <w:webHidden/>
              </w:rPr>
              <w:fldChar w:fldCharType="end"/>
            </w:r>
          </w:hyperlink>
        </w:p>
        <w:p w14:paraId="798121EA" w14:textId="2C052E2A" w:rsidR="002A4229" w:rsidRDefault="002A4229">
          <w:r>
            <w:rPr>
              <w:b/>
              <w:bCs/>
              <w:noProof/>
            </w:rPr>
            <w:fldChar w:fldCharType="end"/>
          </w:r>
        </w:p>
      </w:sdtContent>
    </w:sdt>
    <w:p w14:paraId="18093788" w14:textId="5EFE4D64" w:rsidR="00D20C63" w:rsidRPr="00630A63" w:rsidRDefault="00D20C63">
      <w:pPr>
        <w:rPr>
          <w:rFonts w:ascii="Arial" w:hAnsi="Arial" w:cs="Arial"/>
        </w:rPr>
      </w:pPr>
    </w:p>
    <w:p w14:paraId="359950A1" w14:textId="77777777" w:rsidR="00042184" w:rsidRDefault="00042184" w:rsidP="00EC1F2D">
      <w:pPr>
        <w:pStyle w:val="Heading3"/>
        <w:spacing w:line="276" w:lineRule="auto"/>
        <w:rPr>
          <w:rStyle w:val="BookTitle"/>
          <w:rFonts w:ascii="Arial" w:hAnsi="Arial" w:cs="Arial"/>
          <w:sz w:val="24"/>
          <w:szCs w:val="24"/>
        </w:rPr>
      </w:pPr>
      <w:bookmarkStart w:id="0" w:name="_Toc224421131"/>
    </w:p>
    <w:p w14:paraId="68875C08" w14:textId="77777777" w:rsidR="00EF2FAC" w:rsidRDefault="00EF2FAC" w:rsidP="00EF2FAC"/>
    <w:p w14:paraId="2EEAD343" w14:textId="77777777" w:rsidR="00EF2FAC" w:rsidRDefault="00EF2FAC" w:rsidP="00EF2FAC"/>
    <w:p w14:paraId="755E23AE" w14:textId="77777777" w:rsidR="00EF2FAC" w:rsidRDefault="00EF2FAC" w:rsidP="00EF2FAC"/>
    <w:p w14:paraId="05B0D1EA" w14:textId="77777777" w:rsidR="00EF2FAC" w:rsidRDefault="00EF2FAC" w:rsidP="00EF2FAC"/>
    <w:p w14:paraId="05310286" w14:textId="77777777" w:rsidR="00EF2FAC" w:rsidRDefault="00EF2FAC" w:rsidP="00EF2FAC"/>
    <w:p w14:paraId="11EB1DDD" w14:textId="77777777" w:rsidR="00EF2FAC" w:rsidRDefault="00EF2FAC" w:rsidP="00EF2FAC"/>
    <w:p w14:paraId="12A96790" w14:textId="77777777" w:rsidR="00EF2FAC" w:rsidRDefault="00EF2FAC" w:rsidP="00EF2FAC"/>
    <w:p w14:paraId="21941A42" w14:textId="77777777" w:rsidR="00EF2FAC" w:rsidRDefault="00EF2FAC" w:rsidP="00EF2FAC"/>
    <w:p w14:paraId="6B98865F" w14:textId="77777777" w:rsidR="00EF2FAC" w:rsidRDefault="00EF2FAC" w:rsidP="00EF2FAC"/>
    <w:p w14:paraId="508CD30F" w14:textId="77777777" w:rsidR="00EF2FAC" w:rsidRPr="00EF2FAC" w:rsidRDefault="00EF2FAC" w:rsidP="00EF2FAC">
      <w:pPr>
        <w:sectPr w:rsidR="00EF2FAC" w:rsidRPr="00EF2FAC" w:rsidSect="00042184">
          <w:type w:val="continuous"/>
          <w:pgSz w:w="11906" w:h="16838"/>
          <w:pgMar w:top="1440" w:right="1440" w:bottom="1440" w:left="1440" w:header="708" w:footer="708" w:gutter="0"/>
          <w:pgNumType w:start="0"/>
          <w:cols w:space="708"/>
          <w:titlePg/>
          <w:docGrid w:linePitch="360"/>
        </w:sectPr>
      </w:pPr>
    </w:p>
    <w:p w14:paraId="7D3F6F90" w14:textId="2A187705" w:rsidR="47376334" w:rsidRPr="00FC1B01" w:rsidRDefault="0BD47228" w:rsidP="00FC1B01">
      <w:pPr>
        <w:pStyle w:val="Heading3"/>
        <w:spacing w:line="276" w:lineRule="auto"/>
        <w:rPr>
          <w:rFonts w:ascii="Arial" w:hAnsi="Arial" w:cs="Arial"/>
          <w:b/>
          <w:bCs/>
          <w:i/>
          <w:iCs/>
          <w:spacing w:val="5"/>
          <w:sz w:val="24"/>
          <w:szCs w:val="24"/>
        </w:rPr>
      </w:pPr>
      <w:bookmarkStart w:id="1" w:name="_Toc224421435"/>
      <w:r w:rsidRPr="002C0672">
        <w:rPr>
          <w:rStyle w:val="BookTitle"/>
          <w:rFonts w:ascii="Arial" w:hAnsi="Arial" w:cs="Arial"/>
          <w:sz w:val="24"/>
          <w:szCs w:val="24"/>
        </w:rPr>
        <w:lastRenderedPageBreak/>
        <w:t xml:space="preserve">Long-term condition: </w:t>
      </w:r>
      <w:r w:rsidR="0054193A" w:rsidRPr="002C0672">
        <w:rPr>
          <w:rStyle w:val="BookTitle"/>
          <w:rFonts w:ascii="Arial" w:hAnsi="Arial" w:cs="Arial"/>
          <w:sz w:val="24"/>
          <w:szCs w:val="24"/>
        </w:rPr>
        <w:t xml:space="preserve">Type 2 </w:t>
      </w:r>
      <w:r w:rsidRPr="002C0672">
        <w:rPr>
          <w:rStyle w:val="BookTitle"/>
          <w:rFonts w:ascii="Arial" w:hAnsi="Arial" w:cs="Arial"/>
          <w:sz w:val="24"/>
          <w:szCs w:val="24"/>
        </w:rPr>
        <w:t>Diabetes</w:t>
      </w:r>
      <w:bookmarkEnd w:id="0"/>
      <w:bookmarkEnd w:id="1"/>
    </w:p>
    <w:p w14:paraId="3D35E449" w14:textId="77777777" w:rsidR="00C524B2" w:rsidRPr="002C0672" w:rsidRDefault="00AC3B98" w:rsidP="00EC1F2D">
      <w:pPr>
        <w:pStyle w:val="Heading2"/>
        <w:spacing w:line="276" w:lineRule="auto"/>
        <w:rPr>
          <w:rStyle w:val="IntenseReference"/>
          <w:rFonts w:ascii="Arial" w:hAnsi="Arial" w:cs="Arial"/>
          <w:sz w:val="24"/>
          <w:szCs w:val="24"/>
        </w:rPr>
      </w:pPr>
      <w:bookmarkStart w:id="2" w:name="_Toc224421132"/>
      <w:bookmarkStart w:id="3" w:name="_Toc224421436"/>
      <w:r w:rsidRPr="002C0672">
        <w:rPr>
          <w:rStyle w:val="IntenseReference"/>
          <w:rFonts w:ascii="Arial" w:hAnsi="Arial" w:cs="Arial"/>
          <w:sz w:val="24"/>
          <w:szCs w:val="24"/>
        </w:rPr>
        <w:t>Introduction and Definition</w:t>
      </w:r>
      <w:bookmarkEnd w:id="2"/>
      <w:bookmarkEnd w:id="3"/>
    </w:p>
    <w:p w14:paraId="68B25F3D" w14:textId="77777777" w:rsidR="00E77D28" w:rsidRPr="002C0672" w:rsidRDefault="00AC3B98" w:rsidP="00EC1F2D">
      <w:pPr>
        <w:pStyle w:val="w7sjnrxzl6krnffuzhqe"/>
        <w:spacing w:before="0" w:beforeAutospacing="0" w:after="150" w:afterAutospacing="0" w:line="276" w:lineRule="auto"/>
        <w:textAlignment w:val="baseline"/>
        <w:rPr>
          <w:rFonts w:ascii="Arial" w:eastAsia="Arial" w:hAnsi="Arial" w:cs="Arial"/>
          <w:spacing w:val="8"/>
        </w:rPr>
      </w:pPr>
      <w:r w:rsidRPr="002C0672">
        <w:rPr>
          <w:rFonts w:ascii="Arial" w:eastAsia="Arial" w:hAnsi="Arial" w:cs="Arial"/>
          <w:spacing w:val="8"/>
        </w:rPr>
        <w:t xml:space="preserve">Type 2 diabetes mellitus (T2DM) is a long-term, progressive metabolic disorder characterised by insulin resistance and relative insulin deficiency that results in persistent hyperglycaemia (NICE, 2024). T2DM is a persistent, chronic medical condition with a need for routine and structured education and comprehensive self-management intervention, rather than episodic care. It is most widely treated in primary care in the UK (although its impacts are more far reaching, including on physical health and psychological wellbeing, levels of social participation and family life). The present understanding of T2DM is becoming </w:t>
      </w:r>
      <w:proofErr w:type="gramStart"/>
      <w:r w:rsidRPr="002C0672">
        <w:rPr>
          <w:rFonts w:ascii="Arial" w:eastAsia="Arial" w:hAnsi="Arial" w:cs="Arial"/>
          <w:spacing w:val="8"/>
        </w:rPr>
        <w:t>more and more</w:t>
      </w:r>
      <w:proofErr w:type="gramEnd"/>
      <w:r w:rsidRPr="002C0672">
        <w:rPr>
          <w:rFonts w:ascii="Arial" w:eastAsia="Arial" w:hAnsi="Arial" w:cs="Arial"/>
          <w:spacing w:val="8"/>
        </w:rPr>
        <w:t xml:space="preserve"> holistic, acknowledging it as a whole-person and systems-focused condition where outcomes are not just driven by pharmacological treatment and clinical involvement, but are also influenced by access to multidisciplinary care, culturally responsive services and the broader determinants of health (Bambra, Smith and Pearce, 2015). Current UK policy reflects this wider framing and has focused heavily on prevention, tailored care and integrated service provision along long-term condition pathways. The model of Comprehensive Personalised Care relies on shared decision making, supported self management and social prescribing as fundamental mechanisms for </w:t>
      </w:r>
      <w:r w:rsidRPr="002C0672">
        <w:rPr>
          <w:rFonts w:ascii="Arial" w:eastAsia="Arial" w:hAnsi="Arial" w:cs="Arial"/>
          <w:spacing w:val="8"/>
        </w:rPr>
        <w:t xml:space="preserve">improving outcomes in the management of chronic disease (NHS England, 2019). However, evidence from recent audits and implementation demonstrates that care is still delivered inconsistently across Integrated Care Systems, with sustained variation in recommended care processes and target treatment attainment (NHS Digital, 2025; Tahir </w:t>
      </w:r>
      <w:r w:rsidRPr="003C6B24">
        <w:rPr>
          <w:rFonts w:ascii="Arial" w:eastAsia="Arial" w:hAnsi="Arial" w:cs="Arial"/>
          <w:i/>
          <w:iCs/>
          <w:spacing w:val="8"/>
        </w:rPr>
        <w:t>et al</w:t>
      </w:r>
      <w:r w:rsidRPr="002C0672">
        <w:rPr>
          <w:rFonts w:ascii="Arial" w:eastAsia="Arial" w:hAnsi="Arial" w:cs="Arial"/>
          <w:spacing w:val="8"/>
        </w:rPr>
        <w:t>., 2025). Such variation that persists demonstrates the policy</w:t>
      </w:r>
      <w:r w:rsidR="679D0108" w:rsidRPr="002C0672">
        <w:rPr>
          <w:rFonts w:ascii="Arial" w:eastAsia="Arial" w:hAnsi="Arial" w:cs="Arial"/>
          <w:spacing w:val="8"/>
        </w:rPr>
        <w:t xml:space="preserve">, </w:t>
      </w:r>
      <w:r w:rsidRPr="002C0672">
        <w:rPr>
          <w:rFonts w:ascii="Arial" w:eastAsia="Arial" w:hAnsi="Arial" w:cs="Arial"/>
          <w:spacing w:val="8"/>
        </w:rPr>
        <w:t>practice gap inherent in long-term condition management in the UK.</w:t>
      </w:r>
    </w:p>
    <w:p w14:paraId="11D33865" w14:textId="151E610F" w:rsidR="00C84070" w:rsidRPr="00C84070" w:rsidRDefault="00C84070" w:rsidP="00EC1F2D">
      <w:pPr>
        <w:pStyle w:val="w7sjnrxzl6krnffuzhqe"/>
        <w:spacing w:line="276" w:lineRule="auto"/>
        <w:textAlignment w:val="baseline"/>
        <w:rPr>
          <w:rFonts w:ascii="Arial" w:eastAsia="Arial" w:hAnsi="Arial" w:cs="Arial"/>
          <w:spacing w:val="8"/>
        </w:rPr>
      </w:pPr>
      <w:r w:rsidRPr="00C84070">
        <w:rPr>
          <w:rFonts w:ascii="Arial" w:eastAsia="Arial" w:hAnsi="Arial" w:cs="Arial"/>
          <w:spacing w:val="8"/>
        </w:rPr>
        <w:drawing>
          <wp:inline distT="0" distB="0" distL="0" distR="0" wp14:anchorId="4E3CAC9E" wp14:editId="08B714ED">
            <wp:extent cx="2794986" cy="2534092"/>
            <wp:effectExtent l="0" t="0" r="5715" b="0"/>
            <wp:docPr id="377071279"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cstate="print">
                      <a:extLst>
                        <a:ext uri="{28A0092B-C50C-407E-A947-70E740481C1C}">
                          <a14:useLocalDpi xmlns:a14="http://schemas.microsoft.com/office/drawing/2010/main"/>
                        </a:ext>
                      </a:extLst>
                    </a:blip>
                    <a:srcRect/>
                    <a:stretch>
                      <a:fillRect/>
                    </a:stretch>
                  </pic:blipFill>
                  <pic:spPr bwMode="auto">
                    <a:xfrm>
                      <a:off x="0" y="0"/>
                      <a:ext cx="2794986" cy="2534092"/>
                    </a:xfrm>
                    <a:prstGeom prst="rect">
                      <a:avLst/>
                    </a:prstGeom>
                    <a:noFill/>
                    <a:ln>
                      <a:noFill/>
                    </a:ln>
                  </pic:spPr>
                </pic:pic>
              </a:graphicData>
            </a:graphic>
          </wp:inline>
        </w:drawing>
      </w:r>
    </w:p>
    <w:p w14:paraId="6F273582" w14:textId="3BCA2486" w:rsidR="00C84070" w:rsidRPr="00C84070" w:rsidRDefault="00C84070" w:rsidP="00EC1F2D">
      <w:pPr>
        <w:pStyle w:val="w7sjnrxzl6krnffuzhqe"/>
        <w:spacing w:before="0" w:beforeAutospacing="0" w:afterAutospacing="0" w:line="276" w:lineRule="auto"/>
        <w:rPr>
          <w:rFonts w:ascii="Arial" w:eastAsia="Arial" w:hAnsi="Arial" w:cs="Arial"/>
          <w:spacing w:val="8"/>
        </w:rPr>
      </w:pPr>
      <w:r w:rsidRPr="00C84070">
        <w:rPr>
          <w:rFonts w:ascii="Arial" w:eastAsia="Arial" w:hAnsi="Arial" w:cs="Arial"/>
          <w:spacing w:val="8"/>
        </w:rPr>
        <w:t xml:space="preserve">Figure 1: Pathophysiology of type </w:t>
      </w:r>
      <w:r w:rsidR="0016093C" w:rsidRPr="002C0672">
        <w:rPr>
          <w:rFonts w:ascii="Arial" w:eastAsia="Arial" w:hAnsi="Arial" w:cs="Arial"/>
          <w:spacing w:val="8"/>
        </w:rPr>
        <w:t xml:space="preserve">2mellitus </w:t>
      </w:r>
      <w:r w:rsidRPr="00C84070">
        <w:rPr>
          <w:rFonts w:ascii="Arial" w:eastAsia="Arial" w:hAnsi="Arial" w:cs="Arial"/>
          <w:spacing w:val="8"/>
        </w:rPr>
        <w:t xml:space="preserve">showing the interaction between </w:t>
      </w:r>
      <w:r w:rsidR="00037A82" w:rsidRPr="002C0672">
        <w:rPr>
          <w:rFonts w:ascii="Arial" w:eastAsia="Arial" w:hAnsi="Arial" w:cs="Arial"/>
          <w:spacing w:val="8"/>
        </w:rPr>
        <w:t>genetic</w:t>
      </w:r>
      <w:r w:rsidR="00A3323C" w:rsidRPr="002C0672">
        <w:rPr>
          <w:rFonts w:ascii="Arial" w:eastAsia="Arial" w:hAnsi="Arial" w:cs="Arial"/>
          <w:spacing w:val="8"/>
        </w:rPr>
        <w:t xml:space="preserve"> and environmental factors, </w:t>
      </w:r>
      <w:r w:rsidRPr="00C84070">
        <w:rPr>
          <w:rFonts w:ascii="Arial" w:eastAsia="Arial" w:hAnsi="Arial" w:cs="Arial"/>
          <w:spacing w:val="8"/>
        </w:rPr>
        <w:t>insulin resistance</w:t>
      </w:r>
      <w:r w:rsidR="00037A82" w:rsidRPr="002C0672">
        <w:rPr>
          <w:rFonts w:ascii="Arial" w:eastAsia="Arial" w:hAnsi="Arial" w:cs="Arial"/>
          <w:spacing w:val="8"/>
        </w:rPr>
        <w:t>,</w:t>
      </w:r>
      <w:r w:rsidRPr="00C84070">
        <w:rPr>
          <w:rFonts w:ascii="Arial" w:eastAsia="Arial" w:hAnsi="Arial" w:cs="Arial"/>
          <w:spacing w:val="8"/>
        </w:rPr>
        <w:t xml:space="preserve"> </w:t>
      </w:r>
      <w:r w:rsidR="00037A82" w:rsidRPr="002C0672">
        <w:rPr>
          <w:rFonts w:ascii="Arial" w:eastAsia="Arial" w:hAnsi="Arial" w:cs="Arial"/>
          <w:spacing w:val="8"/>
        </w:rPr>
        <w:t>pancreatic</w:t>
      </w:r>
      <w:r w:rsidRPr="00C84070">
        <w:rPr>
          <w:rFonts w:ascii="Arial" w:eastAsia="Arial" w:hAnsi="Arial" w:cs="Arial"/>
          <w:spacing w:val="8"/>
        </w:rPr>
        <w:t xml:space="preserve"> B-cell dysfunction</w:t>
      </w:r>
      <w:r w:rsidR="00FE64C7" w:rsidRPr="002C0672">
        <w:rPr>
          <w:rFonts w:ascii="Arial" w:eastAsia="Arial" w:hAnsi="Arial" w:cs="Arial"/>
          <w:spacing w:val="8"/>
        </w:rPr>
        <w:t xml:space="preserve"> and resulting </w:t>
      </w:r>
      <w:r w:rsidR="007D3B69" w:rsidRPr="002C0672">
        <w:rPr>
          <w:rFonts w:ascii="Arial" w:eastAsia="Arial" w:hAnsi="Arial" w:cs="Arial"/>
          <w:spacing w:val="8"/>
        </w:rPr>
        <w:t xml:space="preserve">hyperglycaemia </w:t>
      </w:r>
      <w:r w:rsidRPr="00C84070">
        <w:rPr>
          <w:rFonts w:ascii="Arial" w:eastAsia="Arial" w:hAnsi="Arial" w:cs="Arial"/>
          <w:spacing w:val="8"/>
        </w:rPr>
        <w:t>(</w:t>
      </w:r>
      <w:proofErr w:type="spellStart"/>
      <w:r w:rsidRPr="00C84070">
        <w:rPr>
          <w:rFonts w:ascii="Arial" w:eastAsia="Arial" w:hAnsi="Arial" w:cs="Arial"/>
          <w:spacing w:val="8"/>
        </w:rPr>
        <w:t>Zaidalkilani</w:t>
      </w:r>
      <w:proofErr w:type="spellEnd"/>
      <w:r w:rsidRPr="00C84070">
        <w:rPr>
          <w:rFonts w:ascii="Arial" w:eastAsia="Arial" w:hAnsi="Arial" w:cs="Arial"/>
          <w:spacing w:val="8"/>
        </w:rPr>
        <w:t xml:space="preserve"> </w:t>
      </w:r>
      <w:r w:rsidRPr="00C84070">
        <w:rPr>
          <w:rFonts w:ascii="Arial" w:eastAsia="Arial" w:hAnsi="Arial" w:cs="Arial"/>
          <w:i/>
          <w:iCs/>
          <w:spacing w:val="8"/>
        </w:rPr>
        <w:t>et al</w:t>
      </w:r>
      <w:r w:rsidRPr="00C84070">
        <w:rPr>
          <w:rFonts w:ascii="Arial" w:eastAsia="Arial" w:hAnsi="Arial" w:cs="Arial"/>
          <w:spacing w:val="8"/>
        </w:rPr>
        <w:t>., 2024).</w:t>
      </w:r>
    </w:p>
    <w:p w14:paraId="69484B2E" w14:textId="77777777" w:rsidR="00C84070" w:rsidRPr="002C0672" w:rsidRDefault="00C84070" w:rsidP="00EC1F2D">
      <w:pPr>
        <w:pStyle w:val="w7sjnrxzl6krnffuzhqe"/>
        <w:spacing w:before="0" w:beforeAutospacing="0" w:after="150" w:afterAutospacing="0" w:line="276" w:lineRule="auto"/>
        <w:textAlignment w:val="baseline"/>
        <w:rPr>
          <w:rFonts w:ascii="Arial" w:eastAsia="Arial" w:hAnsi="Arial" w:cs="Arial"/>
          <w:spacing w:val="8"/>
        </w:rPr>
      </w:pPr>
    </w:p>
    <w:p w14:paraId="00F68BB9" w14:textId="3EF8C535" w:rsidR="00AC3B98" w:rsidRPr="002C0672" w:rsidRDefault="00AC3B98" w:rsidP="00EC1F2D">
      <w:pPr>
        <w:pStyle w:val="w7sjnrxzl6krnffuzhqe"/>
        <w:spacing w:before="0" w:beforeAutospacing="0" w:after="150" w:afterAutospacing="0" w:line="276" w:lineRule="auto"/>
        <w:textAlignment w:val="baseline"/>
        <w:rPr>
          <w:rFonts w:ascii="Arial" w:eastAsia="Arial" w:hAnsi="Arial" w:cs="Arial"/>
          <w:spacing w:val="8"/>
        </w:rPr>
      </w:pPr>
      <w:r w:rsidRPr="002C0672">
        <w:rPr>
          <w:rFonts w:ascii="Arial" w:eastAsia="Arial" w:hAnsi="Arial" w:cs="Arial"/>
          <w:spacing w:val="8"/>
        </w:rPr>
        <w:t xml:space="preserve"> Pathophysiologically, T2DM arises from an insufficient insulin yield to metabolic demand, and/or when peripheral tissues develop resistance to insulin action. </w:t>
      </w:r>
      <w:r w:rsidRPr="002C0672">
        <w:rPr>
          <w:rFonts w:ascii="Arial" w:eastAsia="Arial" w:hAnsi="Arial" w:cs="Arial"/>
          <w:spacing w:val="8"/>
        </w:rPr>
        <w:lastRenderedPageBreak/>
        <w:t>Progressive dysfunction of pancreatic beta cells progressively undermines glycaemic regulation over time and heightens the risk of microvascular, as well as macrovascular, disease (NICE, 2024). Against this backdrop, this booklet systematically reviews the epidemiology, biopsychosocial impact, theoretical models, the implementation of policy and the person-centred approach to management of T2DM for health care practitioners working in UK primary, community and integrated care settings.</w:t>
      </w:r>
    </w:p>
    <w:p w14:paraId="3693796D" w14:textId="0E3C44B3" w:rsidR="009C5E4B" w:rsidRPr="002C0672" w:rsidRDefault="001E670E" w:rsidP="00EC1F2D">
      <w:pPr>
        <w:pStyle w:val="Heading2"/>
        <w:spacing w:line="276" w:lineRule="auto"/>
        <w:rPr>
          <w:rStyle w:val="Strong"/>
          <w:rFonts w:ascii="Arial" w:hAnsi="Arial" w:cs="Arial"/>
          <w:sz w:val="24"/>
          <w:szCs w:val="24"/>
        </w:rPr>
      </w:pPr>
      <w:bookmarkStart w:id="4" w:name="_Toc224421133"/>
      <w:bookmarkStart w:id="5" w:name="_Toc224421437"/>
      <w:r w:rsidRPr="002C0672">
        <w:rPr>
          <w:rStyle w:val="Strong"/>
          <w:rFonts w:ascii="Arial" w:hAnsi="Arial" w:cs="Arial"/>
          <w:sz w:val="24"/>
          <w:szCs w:val="24"/>
        </w:rPr>
        <w:t>Type 2 diabetes Mellitus prevalence</w:t>
      </w:r>
      <w:bookmarkEnd w:id="4"/>
      <w:bookmarkEnd w:id="5"/>
      <w:r w:rsidRPr="002C0672">
        <w:rPr>
          <w:rStyle w:val="Strong"/>
          <w:rFonts w:ascii="Arial" w:hAnsi="Arial" w:cs="Arial"/>
          <w:sz w:val="24"/>
          <w:szCs w:val="24"/>
        </w:rPr>
        <w:t xml:space="preserve"> </w:t>
      </w:r>
    </w:p>
    <w:p w14:paraId="7C0A3AD6" w14:textId="3AA0B006" w:rsidR="00B53344" w:rsidRPr="002C0672" w:rsidRDefault="001E670E" w:rsidP="00EC1F2D">
      <w:pPr>
        <w:spacing w:line="276" w:lineRule="auto"/>
        <w:rPr>
          <w:rFonts w:ascii="Arial" w:hAnsi="Arial" w:cs="Arial"/>
        </w:rPr>
      </w:pPr>
      <w:r w:rsidRPr="002C0672">
        <w:rPr>
          <w:rFonts w:ascii="Arial" w:eastAsia="Arial" w:hAnsi="Arial" w:cs="Arial"/>
          <w:spacing w:val="8"/>
          <w:shd w:val="clear" w:color="auto" w:fill="FFFFFF"/>
        </w:rPr>
        <w:t xml:space="preserve">Type 2 diabetes mellitus (T2DM) is among the most common </w:t>
      </w:r>
      <w:proofErr w:type="gramStart"/>
      <w:r w:rsidRPr="002C0672">
        <w:rPr>
          <w:rFonts w:ascii="Arial" w:eastAsia="Arial" w:hAnsi="Arial" w:cs="Arial"/>
          <w:spacing w:val="8"/>
          <w:shd w:val="clear" w:color="auto" w:fill="FFFFFF"/>
        </w:rPr>
        <w:t>long</w:t>
      </w:r>
      <w:r w:rsidR="004A0795" w:rsidRPr="002C0672">
        <w:rPr>
          <w:rFonts w:ascii="Arial" w:eastAsia="Arial" w:hAnsi="Arial" w:cs="Arial"/>
          <w:spacing w:val="8"/>
          <w:shd w:val="clear" w:color="auto" w:fill="FFFFFF"/>
        </w:rPr>
        <w:t xml:space="preserve"> </w:t>
      </w:r>
      <w:r w:rsidRPr="002C0672">
        <w:rPr>
          <w:rFonts w:ascii="Arial" w:eastAsia="Arial" w:hAnsi="Arial" w:cs="Arial"/>
          <w:spacing w:val="8"/>
          <w:shd w:val="clear" w:color="auto" w:fill="FFFFFF"/>
        </w:rPr>
        <w:t>term</w:t>
      </w:r>
      <w:proofErr w:type="gramEnd"/>
      <w:r w:rsidRPr="002C0672">
        <w:rPr>
          <w:rFonts w:ascii="Arial" w:eastAsia="Arial" w:hAnsi="Arial" w:cs="Arial"/>
          <w:spacing w:val="8"/>
          <w:shd w:val="clear" w:color="auto" w:fill="FFFFFF"/>
        </w:rPr>
        <w:t xml:space="preserve"> diseases worldwide</w:t>
      </w:r>
      <w:r w:rsidR="00884D90">
        <w:rPr>
          <w:rFonts w:ascii="Arial" w:eastAsia="Arial" w:hAnsi="Arial" w:cs="Arial"/>
          <w:spacing w:val="8"/>
          <w:shd w:val="clear" w:color="auto" w:fill="FFFFFF"/>
        </w:rPr>
        <w:t>,</w:t>
      </w:r>
      <w:r w:rsidRPr="002C0672">
        <w:rPr>
          <w:rFonts w:ascii="Arial" w:eastAsia="Arial" w:hAnsi="Arial" w:cs="Arial"/>
          <w:spacing w:val="8"/>
          <w:shd w:val="clear" w:color="auto" w:fill="FFFFFF"/>
        </w:rPr>
        <w:t xml:space="preserve"> and it is steadily increasing in size</w:t>
      </w:r>
      <w:r w:rsidR="00884D90">
        <w:rPr>
          <w:rFonts w:ascii="Arial" w:eastAsia="Arial" w:hAnsi="Arial" w:cs="Arial"/>
          <w:spacing w:val="8"/>
          <w:shd w:val="clear" w:color="auto" w:fill="FFFFFF"/>
        </w:rPr>
        <w:t>,</w:t>
      </w:r>
      <w:r w:rsidRPr="002C0672">
        <w:rPr>
          <w:rFonts w:ascii="Arial" w:eastAsia="Arial" w:hAnsi="Arial" w:cs="Arial"/>
          <w:spacing w:val="8"/>
          <w:shd w:val="clear" w:color="auto" w:fill="FFFFFF"/>
        </w:rPr>
        <w:t xml:space="preserve"> resulting from the ageing of people, growing obesity and the way people live and work. Global estimates that in 2021, the worldwide prevalence of diabetes was</w:t>
      </w:r>
      <w:r w:rsidR="00A6350A">
        <w:rPr>
          <w:rFonts w:ascii="Arial" w:eastAsia="Arial" w:hAnsi="Arial" w:cs="Arial"/>
          <w:spacing w:val="8"/>
          <w:shd w:val="clear" w:color="auto" w:fill="FFFFFF"/>
        </w:rPr>
        <w:t xml:space="preserve"> </w:t>
      </w:r>
      <w:r w:rsidRPr="002C0672">
        <w:rPr>
          <w:rFonts w:ascii="Arial" w:eastAsia="Arial" w:hAnsi="Arial" w:cs="Arial"/>
          <w:spacing w:val="8"/>
          <w:shd w:val="clear" w:color="auto" w:fill="FFFFFF"/>
        </w:rPr>
        <w:t xml:space="preserve">approximately 537 million adults </w:t>
      </w:r>
      <w:r w:rsidR="00A6350A">
        <w:rPr>
          <w:rFonts w:ascii="Arial" w:eastAsia="Arial" w:hAnsi="Arial" w:cs="Arial"/>
          <w:spacing w:val="8"/>
          <w:shd w:val="clear" w:color="auto" w:fill="FFFFFF"/>
        </w:rPr>
        <w:t>aged</w:t>
      </w:r>
      <w:r w:rsidRPr="002C0672">
        <w:rPr>
          <w:rFonts w:ascii="Arial" w:eastAsia="Arial" w:hAnsi="Arial" w:cs="Arial"/>
          <w:spacing w:val="8"/>
          <w:shd w:val="clear" w:color="auto" w:fill="FFFFFF"/>
        </w:rPr>
        <w:t xml:space="preserve"> 20 to 79 years and could rise to 643 million by 2030</w:t>
      </w:r>
      <w:r w:rsidR="004150CE">
        <w:rPr>
          <w:rFonts w:ascii="Arial" w:eastAsia="Arial" w:hAnsi="Arial" w:cs="Arial"/>
          <w:spacing w:val="8"/>
          <w:shd w:val="clear" w:color="auto" w:fill="FFFFFF"/>
        </w:rPr>
        <w:t xml:space="preserve"> </w:t>
      </w:r>
      <w:r w:rsidRPr="002C0672">
        <w:rPr>
          <w:rFonts w:ascii="Arial" w:eastAsia="Arial" w:hAnsi="Arial" w:cs="Arial"/>
          <w:spacing w:val="8"/>
          <w:shd w:val="clear" w:color="auto" w:fill="FFFFFF"/>
        </w:rPr>
        <w:t xml:space="preserve">(Magliano and Boyko, 2021). T2DM makes up 90–95% of all diabetes cases </w:t>
      </w:r>
      <w:r w:rsidR="00983A3C">
        <w:rPr>
          <w:rFonts w:ascii="Arial" w:eastAsia="Arial" w:hAnsi="Arial" w:cs="Arial"/>
          <w:spacing w:val="8"/>
          <w:shd w:val="clear" w:color="auto" w:fill="FFFFFF"/>
        </w:rPr>
        <w:t xml:space="preserve">and </w:t>
      </w:r>
      <w:r w:rsidR="00390F80">
        <w:rPr>
          <w:rFonts w:ascii="Arial" w:eastAsia="Arial" w:hAnsi="Arial" w:cs="Arial"/>
          <w:spacing w:val="8"/>
          <w:shd w:val="clear" w:color="auto" w:fill="FFFFFF"/>
        </w:rPr>
        <w:t>presently</w:t>
      </w:r>
      <w:r w:rsidRPr="002C0672">
        <w:rPr>
          <w:rFonts w:ascii="Arial" w:eastAsia="Arial" w:hAnsi="Arial" w:cs="Arial"/>
          <w:spacing w:val="8"/>
          <w:shd w:val="clear" w:color="auto" w:fill="FFFFFF"/>
        </w:rPr>
        <w:t xml:space="preserve"> represents the most common form of </w:t>
      </w:r>
      <w:r w:rsidR="00390F80">
        <w:rPr>
          <w:rFonts w:ascii="Arial" w:eastAsia="Arial" w:hAnsi="Arial" w:cs="Arial"/>
          <w:spacing w:val="8"/>
          <w:shd w:val="clear" w:color="auto" w:fill="FFFFFF"/>
        </w:rPr>
        <w:t>the</w:t>
      </w:r>
      <w:r w:rsidRPr="002C0672">
        <w:rPr>
          <w:rFonts w:ascii="Arial" w:eastAsia="Arial" w:hAnsi="Arial" w:cs="Arial"/>
          <w:spacing w:val="8"/>
          <w:shd w:val="clear" w:color="auto" w:fill="FFFFFF"/>
        </w:rPr>
        <w:t xml:space="preserve"> disease worldwide. Diabetes in the UK is an important public health challenge.</w:t>
      </w:r>
    </w:p>
    <w:p w14:paraId="0F12FFB3" w14:textId="418DA2AF" w:rsidR="00B53344" w:rsidRPr="002C0672" w:rsidRDefault="001E670E" w:rsidP="00EC1F2D">
      <w:pPr>
        <w:spacing w:line="276" w:lineRule="auto"/>
        <w:rPr>
          <w:rFonts w:ascii="Arial" w:hAnsi="Arial" w:cs="Arial"/>
        </w:rPr>
      </w:pPr>
      <w:r w:rsidRPr="002C0672">
        <w:rPr>
          <w:rFonts w:ascii="Arial" w:eastAsia="Arial" w:hAnsi="Arial" w:cs="Arial"/>
          <w:spacing w:val="8"/>
          <w:shd w:val="clear" w:color="auto" w:fill="FFFFFF"/>
        </w:rPr>
        <w:t xml:space="preserve"> Present estimates indicate that more than 4.3 million people are living with diabetes</w:t>
      </w:r>
      <w:r w:rsidR="00983A3C">
        <w:rPr>
          <w:rFonts w:ascii="Arial" w:eastAsia="Arial" w:hAnsi="Arial" w:cs="Arial"/>
          <w:spacing w:val="8"/>
          <w:shd w:val="clear" w:color="auto" w:fill="FFFFFF"/>
        </w:rPr>
        <w:t>,</w:t>
      </w:r>
      <w:r w:rsidRPr="002C0672">
        <w:rPr>
          <w:rFonts w:ascii="Arial" w:eastAsia="Arial" w:hAnsi="Arial" w:cs="Arial"/>
          <w:spacing w:val="8"/>
          <w:shd w:val="clear" w:color="auto" w:fill="FFFFFF"/>
        </w:rPr>
        <w:t xml:space="preserve"> with about 90% of them having type 2 diabetes </w:t>
      </w:r>
      <w:r w:rsidRPr="002C0672">
        <w:rPr>
          <w:rFonts w:ascii="Arial" w:eastAsia="Arial" w:hAnsi="Arial" w:cs="Arial"/>
          <w:spacing w:val="8"/>
          <w:shd w:val="clear" w:color="auto" w:fill="FFFFFF"/>
        </w:rPr>
        <w:t xml:space="preserve">(Diabetes UK, 2023). </w:t>
      </w:r>
      <w:r w:rsidR="3F215088" w:rsidRPr="002C0672">
        <w:rPr>
          <w:rFonts w:ascii="Arial" w:hAnsi="Arial" w:cs="Arial"/>
          <w:noProof/>
        </w:rPr>
        <w:drawing>
          <wp:inline distT="0" distB="0" distL="0" distR="0" wp14:anchorId="1E0EDFED" wp14:editId="424A9B9D">
            <wp:extent cx="2200275" cy="1608495"/>
            <wp:effectExtent l="0" t="0" r="0" b="0"/>
            <wp:docPr id="708358128"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5633151" name="Picture 415633151"/>
                    <pic:cNvPicPr/>
                  </pic:nvPicPr>
                  <pic:blipFill>
                    <a:blip r:embed="rId9">
                      <a:extLst>
                        <a:ext uri="{28A0092B-C50C-407E-A947-70E740481C1C}">
                          <a14:useLocalDpi xmlns:a14="http://schemas.microsoft.com/office/drawing/2010/main"/>
                        </a:ext>
                      </a:extLst>
                    </a:blip>
                    <a:stretch>
                      <a:fillRect/>
                    </a:stretch>
                  </pic:blipFill>
                  <pic:spPr>
                    <a:xfrm>
                      <a:off x="0" y="0"/>
                      <a:ext cx="2200275" cy="1608495"/>
                    </a:xfrm>
                    <a:prstGeom prst="rect">
                      <a:avLst/>
                    </a:prstGeom>
                  </pic:spPr>
                </pic:pic>
              </a:graphicData>
            </a:graphic>
          </wp:inline>
        </w:drawing>
      </w:r>
    </w:p>
    <w:p w14:paraId="20E23670" w14:textId="1CD05708" w:rsidR="003B5F64" w:rsidRPr="002C0672" w:rsidRDefault="001303D3" w:rsidP="00EC1F2D">
      <w:pPr>
        <w:spacing w:line="276" w:lineRule="auto"/>
        <w:rPr>
          <w:rFonts w:ascii="Arial" w:eastAsia="Arial" w:hAnsi="Arial" w:cs="Arial"/>
          <w:spacing w:val="8"/>
          <w:shd w:val="clear" w:color="auto" w:fill="FFFFFF"/>
        </w:rPr>
      </w:pPr>
      <w:r w:rsidRPr="002C0672">
        <w:rPr>
          <w:rFonts w:ascii="Arial" w:eastAsia="Arial" w:hAnsi="Arial" w:cs="Arial"/>
          <w:spacing w:val="8"/>
          <w:shd w:val="clear" w:color="auto" w:fill="FFFFFF"/>
        </w:rPr>
        <w:t xml:space="preserve">Figure 2. </w:t>
      </w:r>
      <w:r w:rsidR="00987E2F" w:rsidRPr="002C0672">
        <w:rPr>
          <w:rFonts w:ascii="Arial" w:eastAsia="Arial" w:hAnsi="Arial" w:cs="Arial"/>
          <w:spacing w:val="8"/>
          <w:shd w:val="clear" w:color="auto" w:fill="FFFFFF"/>
        </w:rPr>
        <w:t xml:space="preserve">Diabetes prevalence in the UK </w:t>
      </w:r>
      <w:r w:rsidR="00AA6378" w:rsidRPr="002C0672">
        <w:rPr>
          <w:rFonts w:ascii="Arial" w:eastAsia="Arial" w:hAnsi="Arial" w:cs="Arial"/>
          <w:spacing w:val="8"/>
          <w:shd w:val="clear" w:color="auto" w:fill="FFFFFF"/>
        </w:rPr>
        <w:t>Population</w:t>
      </w:r>
      <w:r w:rsidR="00B03407" w:rsidRPr="002C0672">
        <w:rPr>
          <w:rFonts w:ascii="Arial" w:eastAsia="Arial" w:hAnsi="Arial" w:cs="Arial"/>
          <w:spacing w:val="8"/>
          <w:shd w:val="clear" w:color="auto" w:fill="FFFFFF"/>
        </w:rPr>
        <w:t xml:space="preserve"> </w:t>
      </w:r>
      <w:r w:rsidR="5918B6F1" w:rsidRPr="002C0672">
        <w:rPr>
          <w:rFonts w:ascii="Arial" w:eastAsia="Times New Roman" w:hAnsi="Arial" w:cs="Arial"/>
        </w:rPr>
        <w:t>(Hornstein, 2021).</w:t>
      </w:r>
    </w:p>
    <w:p w14:paraId="69814E00" w14:textId="541F431A" w:rsidR="00B53344" w:rsidRPr="002C0672" w:rsidRDefault="00214ABE" w:rsidP="00EC1F2D">
      <w:pPr>
        <w:spacing w:line="276" w:lineRule="auto"/>
        <w:rPr>
          <w:rFonts w:ascii="Arial" w:hAnsi="Arial" w:cs="Arial"/>
        </w:rPr>
      </w:pPr>
      <w:r w:rsidRPr="002C0672">
        <w:rPr>
          <w:rFonts w:ascii="Arial" w:eastAsia="Arial" w:hAnsi="Arial" w:cs="Arial"/>
          <w:spacing w:val="8"/>
          <w:shd w:val="clear" w:color="auto" w:fill="FFFFFF"/>
        </w:rPr>
        <w:t>However</w:t>
      </w:r>
      <w:r w:rsidR="001E670E" w:rsidRPr="002C0672">
        <w:rPr>
          <w:rFonts w:ascii="Arial" w:eastAsia="Arial" w:hAnsi="Arial" w:cs="Arial"/>
          <w:spacing w:val="8"/>
          <w:shd w:val="clear" w:color="auto" w:fill="FFFFFF"/>
        </w:rPr>
        <w:t xml:space="preserve">, these figures probably underestimate the actual burden of disease. Hundreds of thousands of adults remain undiagnosed and many are living with non-diabetic hyperglycaemia, putting them at a disproportionate risk of developing T2DM and the complications of cardiovascular disease that result from it (Diabetes UK, 2023). Prevalence differs widely by demographic group. Age is one of the most effective predictors, with rates rising sharply in adults aged 45 and over. However, an alarming increase in diabetes among younger adults </w:t>
      </w:r>
      <w:r w:rsidR="00983A3C">
        <w:rPr>
          <w:rFonts w:ascii="Arial" w:eastAsia="Arial" w:hAnsi="Arial" w:cs="Arial"/>
          <w:spacing w:val="8"/>
          <w:shd w:val="clear" w:color="auto" w:fill="FFFFFF"/>
        </w:rPr>
        <w:t>has been</w:t>
      </w:r>
      <w:r w:rsidR="001E670E" w:rsidRPr="002C0672">
        <w:rPr>
          <w:rFonts w:ascii="Arial" w:eastAsia="Arial" w:hAnsi="Arial" w:cs="Arial"/>
          <w:spacing w:val="8"/>
          <w:shd w:val="clear" w:color="auto" w:fill="FFFFFF"/>
        </w:rPr>
        <w:t xml:space="preserve"> newly reported, largely due to obesity and increased sedentary behaviour (Murtaza </w:t>
      </w:r>
      <w:r w:rsidR="001E670E" w:rsidRPr="00B627D2">
        <w:rPr>
          <w:rFonts w:ascii="Arial" w:eastAsia="Arial" w:hAnsi="Arial" w:cs="Arial"/>
          <w:i/>
          <w:iCs/>
          <w:spacing w:val="8"/>
          <w:shd w:val="clear" w:color="auto" w:fill="FFFFFF"/>
        </w:rPr>
        <w:t>et al</w:t>
      </w:r>
      <w:r w:rsidR="001E670E" w:rsidRPr="002C0672">
        <w:rPr>
          <w:rFonts w:ascii="Arial" w:eastAsia="Arial" w:hAnsi="Arial" w:cs="Arial"/>
          <w:spacing w:val="8"/>
          <w:shd w:val="clear" w:color="auto" w:fill="FFFFFF"/>
        </w:rPr>
        <w:t xml:space="preserve">., 2024). However, men and women are in a similar situation, with a slightly greater prevalence observed earlier in development, and, after menopause, women seem to have the highest risk due to the metabolic and hormonal pathways at play </w:t>
      </w:r>
      <w:r w:rsidR="001E670E" w:rsidRPr="002C0672">
        <w:rPr>
          <w:rFonts w:ascii="Arial" w:eastAsia="Arial" w:hAnsi="Arial" w:cs="Arial"/>
          <w:spacing w:val="8"/>
          <w:shd w:val="clear" w:color="auto" w:fill="FFFFFF"/>
        </w:rPr>
        <w:lastRenderedPageBreak/>
        <w:t xml:space="preserve">(Public Health England, 2019). </w:t>
      </w:r>
      <w:r w:rsidR="31635BBC" w:rsidRPr="002C0672">
        <w:rPr>
          <w:rFonts w:ascii="Arial" w:hAnsi="Arial" w:cs="Arial"/>
          <w:noProof/>
        </w:rPr>
        <w:drawing>
          <wp:inline distT="0" distB="0" distL="0" distR="0" wp14:anchorId="69E2E21A" wp14:editId="775A2E5D">
            <wp:extent cx="2200275" cy="1485900"/>
            <wp:effectExtent l="0" t="0" r="0" b="0"/>
            <wp:docPr id="242078633"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2078633" name="Picture 242078633"/>
                    <pic:cNvPicPr/>
                  </pic:nvPicPr>
                  <pic:blipFill>
                    <a:blip r:embed="rId10">
                      <a:extLst>
                        <a:ext uri="{28A0092B-C50C-407E-A947-70E740481C1C}">
                          <a14:useLocalDpi xmlns:a14="http://schemas.microsoft.com/office/drawing/2010/main"/>
                        </a:ext>
                      </a:extLst>
                    </a:blip>
                    <a:stretch>
                      <a:fillRect/>
                    </a:stretch>
                  </pic:blipFill>
                  <pic:spPr>
                    <a:xfrm>
                      <a:off x="0" y="0"/>
                      <a:ext cx="2200275" cy="1485900"/>
                    </a:xfrm>
                    <a:prstGeom prst="rect">
                      <a:avLst/>
                    </a:prstGeom>
                  </pic:spPr>
                </pic:pic>
              </a:graphicData>
            </a:graphic>
          </wp:inline>
        </w:drawing>
      </w:r>
    </w:p>
    <w:p w14:paraId="706FF3F6" w14:textId="66844EBD" w:rsidR="1B6D90AE" w:rsidRPr="002C0672" w:rsidRDefault="1B6D90AE" w:rsidP="00EC1F2D">
      <w:pPr>
        <w:spacing w:line="276" w:lineRule="auto"/>
        <w:rPr>
          <w:rFonts w:ascii="Arial" w:hAnsi="Arial" w:cs="Arial"/>
        </w:rPr>
      </w:pPr>
      <w:r w:rsidRPr="002C0672">
        <w:rPr>
          <w:rFonts w:ascii="Arial" w:hAnsi="Arial" w:cs="Arial"/>
        </w:rPr>
        <w:t xml:space="preserve">Figure </w:t>
      </w:r>
      <w:r w:rsidR="002917AD" w:rsidRPr="002C0672">
        <w:rPr>
          <w:rFonts w:ascii="Arial" w:hAnsi="Arial" w:cs="Arial"/>
        </w:rPr>
        <w:t>3</w:t>
      </w:r>
      <w:r w:rsidRPr="002C0672">
        <w:rPr>
          <w:rFonts w:ascii="Arial" w:hAnsi="Arial" w:cs="Arial"/>
        </w:rPr>
        <w:t>. Estimates of the global prevalence of diabetes w</w:t>
      </w:r>
      <w:r w:rsidR="5D8DF29F" w:rsidRPr="002C0672">
        <w:rPr>
          <w:rFonts w:ascii="Arial" w:hAnsi="Arial" w:cs="Arial"/>
        </w:rPr>
        <w:t>orldwide</w:t>
      </w:r>
      <w:r w:rsidR="038CDA4D" w:rsidRPr="002C0672">
        <w:rPr>
          <w:rFonts w:ascii="Arial" w:hAnsi="Arial" w:cs="Arial"/>
        </w:rPr>
        <w:t xml:space="preserve"> </w:t>
      </w:r>
      <w:r w:rsidR="038CDA4D" w:rsidRPr="002C0672">
        <w:rPr>
          <w:rFonts w:ascii="Arial" w:eastAsia="Times New Roman" w:hAnsi="Arial" w:cs="Arial"/>
        </w:rPr>
        <w:t xml:space="preserve">(Rebolledo-Perales </w:t>
      </w:r>
      <w:r w:rsidR="038CDA4D" w:rsidRPr="002C0672">
        <w:rPr>
          <w:rFonts w:ascii="Arial" w:eastAsia="Times New Roman" w:hAnsi="Arial" w:cs="Arial"/>
          <w:i/>
          <w:iCs/>
        </w:rPr>
        <w:t>et al.,</w:t>
      </w:r>
      <w:r w:rsidR="038CDA4D" w:rsidRPr="002C0672">
        <w:rPr>
          <w:rFonts w:ascii="Arial" w:eastAsia="Times New Roman" w:hAnsi="Arial" w:cs="Arial"/>
        </w:rPr>
        <w:t xml:space="preserve"> 2023)</w:t>
      </w:r>
      <w:r w:rsidR="5D8DF29F" w:rsidRPr="002C0672">
        <w:rPr>
          <w:rFonts w:ascii="Arial" w:hAnsi="Arial" w:cs="Arial"/>
        </w:rPr>
        <w:t xml:space="preserve"> </w:t>
      </w:r>
    </w:p>
    <w:p w14:paraId="73F3EDCD" w14:textId="7C3DCA28" w:rsidR="00292102" w:rsidRPr="002C0672" w:rsidRDefault="001E670E" w:rsidP="00EC1F2D">
      <w:pPr>
        <w:spacing w:line="276" w:lineRule="auto"/>
        <w:rPr>
          <w:rFonts w:ascii="Arial" w:eastAsia="Arial" w:hAnsi="Arial" w:cs="Arial"/>
          <w:spacing w:val="8"/>
          <w:shd w:val="clear" w:color="auto" w:fill="FFFFFF"/>
        </w:rPr>
      </w:pPr>
      <w:r w:rsidRPr="002C0672">
        <w:rPr>
          <w:rFonts w:ascii="Arial" w:eastAsia="Arial" w:hAnsi="Arial" w:cs="Arial"/>
          <w:spacing w:val="8"/>
          <w:shd w:val="clear" w:color="auto" w:fill="FFFFFF"/>
        </w:rPr>
        <w:t>Disease distribution is also influenced by socioeconomic inequalities. Those living in impoverished communities and those from South Asian, Black African or Black Caribbean communities have higher rates of diabetes, and often onset at younger ages (Public Health England, 2019). These inequities are a testament to the effects of wider structural determinants of health and underline the importance of population-level prevention as well as clinical intervention at the population level.</w:t>
      </w:r>
    </w:p>
    <w:p w14:paraId="5D529C90" w14:textId="77777777" w:rsidR="00CC6176" w:rsidRPr="002C0672" w:rsidRDefault="00715898" w:rsidP="00EC1F2D">
      <w:pPr>
        <w:pStyle w:val="Heading2"/>
        <w:spacing w:line="276" w:lineRule="auto"/>
        <w:rPr>
          <w:rStyle w:val="Strong"/>
          <w:rFonts w:ascii="Arial" w:hAnsi="Arial" w:cs="Arial"/>
          <w:sz w:val="24"/>
          <w:szCs w:val="24"/>
        </w:rPr>
      </w:pPr>
      <w:bookmarkStart w:id="6" w:name="_Toc224421134"/>
      <w:bookmarkStart w:id="7" w:name="_Toc224421438"/>
      <w:r w:rsidRPr="002C0672">
        <w:rPr>
          <w:rStyle w:val="Strong"/>
          <w:rFonts w:ascii="Arial" w:hAnsi="Arial" w:cs="Arial"/>
          <w:sz w:val="24"/>
          <w:szCs w:val="24"/>
        </w:rPr>
        <w:t>Risk Factors and Aetiology</w:t>
      </w:r>
      <w:bookmarkEnd w:id="6"/>
      <w:bookmarkEnd w:id="7"/>
    </w:p>
    <w:p w14:paraId="74137734" w14:textId="4CED7F28" w:rsidR="00447001" w:rsidRPr="002C0672" w:rsidRDefault="00715898" w:rsidP="00EC1F2D">
      <w:pPr>
        <w:pStyle w:val="w7sjnrxzl6krnffuzhqe"/>
        <w:spacing w:before="0" w:beforeAutospacing="0" w:after="150" w:afterAutospacing="0" w:line="276" w:lineRule="auto"/>
        <w:textAlignment w:val="baseline"/>
        <w:rPr>
          <w:rFonts w:ascii="Arial" w:eastAsia="Arial" w:hAnsi="Arial" w:cs="Arial"/>
          <w:spacing w:val="8"/>
        </w:rPr>
      </w:pPr>
      <w:r w:rsidRPr="002C0672">
        <w:rPr>
          <w:rFonts w:ascii="Arial" w:hAnsi="Arial" w:cs="Arial"/>
          <w:spacing w:val="8"/>
        </w:rPr>
        <w:br/>
      </w:r>
      <w:r w:rsidRPr="002C0672">
        <w:rPr>
          <w:rFonts w:ascii="Arial" w:eastAsia="Arial" w:hAnsi="Arial" w:cs="Arial"/>
          <w:spacing w:val="8"/>
        </w:rPr>
        <w:t>T2DM</w:t>
      </w:r>
      <w:r w:rsidR="00890B14" w:rsidRPr="002C0672">
        <w:rPr>
          <w:rFonts w:ascii="Arial" w:eastAsia="Arial" w:hAnsi="Arial" w:cs="Arial"/>
          <w:spacing w:val="8"/>
        </w:rPr>
        <w:t xml:space="preserve"> is a</w:t>
      </w:r>
      <w:r w:rsidR="00E70AB0" w:rsidRPr="002C0672">
        <w:rPr>
          <w:rFonts w:ascii="Arial" w:eastAsia="Arial" w:hAnsi="Arial" w:cs="Arial"/>
          <w:spacing w:val="8"/>
        </w:rPr>
        <w:t xml:space="preserve"> </w:t>
      </w:r>
      <w:r w:rsidRPr="002C0672">
        <w:rPr>
          <w:rFonts w:ascii="Arial" w:eastAsia="Arial" w:hAnsi="Arial" w:cs="Arial"/>
          <w:spacing w:val="8"/>
        </w:rPr>
        <w:t>multifactorial interplay</w:t>
      </w:r>
      <w:r w:rsidR="007A5EA0" w:rsidRPr="002C0672">
        <w:rPr>
          <w:rFonts w:ascii="Arial" w:eastAsia="Arial" w:hAnsi="Arial" w:cs="Arial"/>
          <w:spacing w:val="8"/>
        </w:rPr>
        <w:t xml:space="preserve"> of</w:t>
      </w:r>
      <w:r w:rsidR="00890B14" w:rsidRPr="002C0672">
        <w:rPr>
          <w:rFonts w:ascii="Arial" w:eastAsia="Arial" w:hAnsi="Arial" w:cs="Arial"/>
          <w:spacing w:val="8"/>
        </w:rPr>
        <w:t xml:space="preserve"> </w:t>
      </w:r>
      <w:r w:rsidRPr="002C0672">
        <w:rPr>
          <w:rFonts w:ascii="Arial" w:eastAsia="Arial" w:hAnsi="Arial" w:cs="Arial"/>
          <w:spacing w:val="8"/>
        </w:rPr>
        <w:t>genetic predisposition</w:t>
      </w:r>
      <w:r w:rsidR="007A5EA0" w:rsidRPr="002C0672">
        <w:rPr>
          <w:rFonts w:ascii="Arial" w:eastAsia="Arial" w:hAnsi="Arial" w:cs="Arial"/>
          <w:spacing w:val="8"/>
        </w:rPr>
        <w:t>, including</w:t>
      </w:r>
      <w:r w:rsidRPr="002C0672">
        <w:rPr>
          <w:rFonts w:ascii="Arial" w:eastAsia="Arial" w:hAnsi="Arial" w:cs="Arial"/>
          <w:spacing w:val="8"/>
        </w:rPr>
        <w:t xml:space="preserve"> </w:t>
      </w:r>
      <w:r w:rsidR="00E70AB0" w:rsidRPr="002C0672">
        <w:rPr>
          <w:rFonts w:ascii="Arial" w:eastAsia="Arial" w:hAnsi="Arial" w:cs="Arial"/>
          <w:spacing w:val="8"/>
        </w:rPr>
        <w:t>behavioural</w:t>
      </w:r>
      <w:r w:rsidRPr="002C0672">
        <w:rPr>
          <w:rFonts w:ascii="Arial" w:eastAsia="Arial" w:hAnsi="Arial" w:cs="Arial"/>
          <w:spacing w:val="8"/>
        </w:rPr>
        <w:t xml:space="preserve"> and environmental factors. Unlike autoimmunity, T2DM evolves in a long-term progressive fashion, characterised by progressive promotion of insulin resistance and</w:t>
      </w:r>
      <w:r w:rsidR="00D022C5" w:rsidRPr="002C0672">
        <w:rPr>
          <w:rFonts w:ascii="Arial" w:eastAsia="Arial" w:hAnsi="Arial" w:cs="Arial"/>
          <w:spacing w:val="8"/>
        </w:rPr>
        <w:t>,</w:t>
      </w:r>
      <w:r w:rsidRPr="002C0672">
        <w:rPr>
          <w:rFonts w:ascii="Arial" w:eastAsia="Arial" w:hAnsi="Arial" w:cs="Arial"/>
          <w:spacing w:val="8"/>
        </w:rPr>
        <w:t xml:space="preserve"> in turn</w:t>
      </w:r>
      <w:r w:rsidR="00D022C5" w:rsidRPr="002C0672">
        <w:rPr>
          <w:rFonts w:ascii="Arial" w:eastAsia="Arial" w:hAnsi="Arial" w:cs="Arial"/>
          <w:spacing w:val="8"/>
        </w:rPr>
        <w:t>,</w:t>
      </w:r>
      <w:r w:rsidRPr="002C0672">
        <w:rPr>
          <w:rFonts w:ascii="Arial" w:eastAsia="Arial" w:hAnsi="Arial" w:cs="Arial"/>
          <w:spacing w:val="8"/>
        </w:rPr>
        <w:t xml:space="preserve"> reduced pancreatic β-cell function, which are heavily influenced by lifestyle and metabolic risk factors (NICE, 2024). Overweight and obesity are the </w:t>
      </w:r>
      <w:r w:rsidRPr="002C0672">
        <w:rPr>
          <w:rFonts w:ascii="Arial" w:eastAsia="Arial" w:hAnsi="Arial" w:cs="Arial"/>
          <w:spacing w:val="8"/>
        </w:rPr>
        <w:t>principal factors that can contribute to the development of the condition among modifiable interventions. An elevated level of body fat, particularly visceral adiposity, drives insulin resistance via inflammatory mechanisms and changes in lipid metabolism (Hill, Wyatt</w:t>
      </w:r>
      <w:r w:rsidR="00FA7551">
        <w:rPr>
          <w:rFonts w:ascii="Arial" w:eastAsia="Arial" w:hAnsi="Arial" w:cs="Arial"/>
          <w:spacing w:val="8"/>
        </w:rPr>
        <w:t>,</w:t>
      </w:r>
      <w:r w:rsidRPr="002C0672">
        <w:rPr>
          <w:rFonts w:ascii="Arial" w:eastAsia="Arial" w:hAnsi="Arial" w:cs="Arial"/>
          <w:spacing w:val="8"/>
        </w:rPr>
        <w:t xml:space="preserve"> 2012). Sedentary living and consumption of energy-dense foods and refined carbohydrates have also increased the risk of metabolic dysregulation, therefore adding to the increasing incidence of T2DM in many populations.</w:t>
      </w:r>
    </w:p>
    <w:p w14:paraId="06712598" w14:textId="208A48B1" w:rsidR="00730DFA" w:rsidRPr="002C0672" w:rsidRDefault="00715898" w:rsidP="00EC1F2D">
      <w:pPr>
        <w:pStyle w:val="w7sjnrxzl6krnffuzhqe"/>
        <w:spacing w:before="0" w:beforeAutospacing="0" w:after="150" w:afterAutospacing="0" w:line="276" w:lineRule="auto"/>
        <w:textAlignment w:val="baseline"/>
        <w:rPr>
          <w:rFonts w:ascii="Arial" w:eastAsia="Arial" w:hAnsi="Arial" w:cs="Arial"/>
          <w:spacing w:val="8"/>
        </w:rPr>
      </w:pPr>
      <w:r w:rsidRPr="002C0672">
        <w:rPr>
          <w:rFonts w:ascii="Arial" w:eastAsia="Arial" w:hAnsi="Arial" w:cs="Arial"/>
          <w:spacing w:val="8"/>
        </w:rPr>
        <w:t xml:space="preserve"> Nevertheless, T2DM risk cannot be based purely on lifestyle behaviours. A range of non-modifiable factors can be another determinant contributing to susceptibility, including age, genetics and family history. Ageing is linked with diminished β-cell function and metabolic flexibility, which could partly account for the higher prevalence among the elderly. </w:t>
      </w:r>
    </w:p>
    <w:p w14:paraId="1D491C78" w14:textId="142D07A5" w:rsidR="00715898" w:rsidRPr="002C0672" w:rsidRDefault="00715898" w:rsidP="00EC1F2D">
      <w:pPr>
        <w:pStyle w:val="w7sjnrxzl6krnffuzhqe"/>
        <w:spacing w:before="0" w:beforeAutospacing="0" w:after="150" w:afterAutospacing="0" w:line="276" w:lineRule="auto"/>
        <w:textAlignment w:val="baseline"/>
        <w:rPr>
          <w:rFonts w:ascii="Arial" w:eastAsia="Arial" w:hAnsi="Arial" w:cs="Arial"/>
          <w:spacing w:val="8"/>
        </w:rPr>
      </w:pPr>
      <w:r w:rsidRPr="002C0672">
        <w:rPr>
          <w:rFonts w:ascii="Arial" w:eastAsia="Arial" w:hAnsi="Arial" w:cs="Arial"/>
          <w:spacing w:val="8"/>
        </w:rPr>
        <w:t>Ethnicity is a second major risk factor in Britain. South Asians, Black Africans, Black Caribbeans, and Caribbean people are at higher risk of T2DM</w:t>
      </w:r>
      <w:r w:rsidR="00D3743B" w:rsidRPr="002C0672">
        <w:rPr>
          <w:rFonts w:ascii="Arial" w:eastAsia="Arial" w:hAnsi="Arial" w:cs="Arial"/>
          <w:spacing w:val="8"/>
        </w:rPr>
        <w:t>,</w:t>
      </w:r>
      <w:r w:rsidRPr="002C0672">
        <w:rPr>
          <w:rFonts w:ascii="Arial" w:eastAsia="Arial" w:hAnsi="Arial" w:cs="Arial"/>
          <w:spacing w:val="8"/>
        </w:rPr>
        <w:t xml:space="preserve"> and many have the onset of disease earlier than white European people (Public Health England, 2019). Crucially, these disparities encapsulate the interaction between biological vulnerability and social determinants that include deprivation, access to healthy food and means for physical activity. Thus, knowledge on the aetiology of T2DM is optimal when viewed </w:t>
      </w:r>
      <w:r w:rsidRPr="002C0672">
        <w:rPr>
          <w:rFonts w:ascii="Arial" w:eastAsia="Arial" w:hAnsi="Arial" w:cs="Arial"/>
          <w:spacing w:val="8"/>
        </w:rPr>
        <w:lastRenderedPageBreak/>
        <w:t>through a biopsychosocial perspective, where biological susceptibility intersects with behavioural and environmental variables. Understanding this is crucial for designing effective prevention strategies and intervention programs addressing both individual risk factors and the wider structural determinants of disease.</w:t>
      </w:r>
    </w:p>
    <w:p w14:paraId="435833C1" w14:textId="77777777" w:rsidR="00663A4D" w:rsidRPr="002C0672" w:rsidRDefault="00663A4D" w:rsidP="00EC1F2D">
      <w:pPr>
        <w:pStyle w:val="w7sjnrxzl6krnffuzhqe"/>
        <w:spacing w:before="0" w:beforeAutospacing="0" w:after="150" w:afterAutospacing="0" w:line="276" w:lineRule="auto"/>
        <w:textAlignment w:val="baseline"/>
        <w:rPr>
          <w:rFonts w:ascii="Arial" w:eastAsia="Arial" w:hAnsi="Arial" w:cs="Arial"/>
          <w:spacing w:val="8"/>
        </w:rPr>
      </w:pPr>
    </w:p>
    <w:p w14:paraId="2189FB78" w14:textId="77777777" w:rsidR="005A1E8F" w:rsidRPr="002C0672" w:rsidRDefault="005A1E8F" w:rsidP="00EC1F2D">
      <w:pPr>
        <w:pStyle w:val="Heading2"/>
        <w:spacing w:line="276" w:lineRule="auto"/>
        <w:rPr>
          <w:rStyle w:val="Strong"/>
          <w:rFonts w:ascii="Arial" w:hAnsi="Arial" w:cs="Arial"/>
          <w:sz w:val="24"/>
          <w:szCs w:val="24"/>
        </w:rPr>
      </w:pPr>
      <w:bookmarkStart w:id="8" w:name="_Toc224421135"/>
      <w:bookmarkStart w:id="9" w:name="_Toc224421439"/>
      <w:r w:rsidRPr="002C0672">
        <w:rPr>
          <w:rStyle w:val="Strong"/>
          <w:rFonts w:ascii="Arial" w:hAnsi="Arial" w:cs="Arial"/>
          <w:sz w:val="24"/>
          <w:szCs w:val="24"/>
        </w:rPr>
        <w:t>Evaluation of Type 2 Diabetes Mellitus</w:t>
      </w:r>
      <w:bookmarkEnd w:id="8"/>
      <w:bookmarkEnd w:id="9"/>
    </w:p>
    <w:p w14:paraId="2D41B51F" w14:textId="77777777" w:rsidR="00002BD1" w:rsidRPr="002C0672" w:rsidRDefault="005A1E8F" w:rsidP="00EC1F2D">
      <w:pPr>
        <w:pStyle w:val="Heading2"/>
        <w:spacing w:line="276" w:lineRule="auto"/>
        <w:rPr>
          <w:rFonts w:ascii="Arial" w:hAnsi="Arial" w:cs="Arial"/>
          <w:sz w:val="24"/>
          <w:szCs w:val="24"/>
        </w:rPr>
      </w:pPr>
      <w:bookmarkStart w:id="10" w:name="_Toc224421136"/>
      <w:bookmarkStart w:id="11" w:name="_Toc224421440"/>
      <w:r w:rsidRPr="002C0672">
        <w:rPr>
          <w:rFonts w:ascii="Arial" w:hAnsi="Arial" w:cs="Arial"/>
          <w:sz w:val="24"/>
          <w:szCs w:val="24"/>
        </w:rPr>
        <w:t>Physical Impact.</w:t>
      </w:r>
      <w:bookmarkEnd w:id="10"/>
      <w:bookmarkEnd w:id="11"/>
    </w:p>
    <w:p w14:paraId="6EED7657" w14:textId="3C3A395A" w:rsidR="00A93294" w:rsidRPr="002C0672" w:rsidRDefault="005A1E8F" w:rsidP="00EC1F2D">
      <w:pPr>
        <w:pStyle w:val="w7sjnrxzl6krnffuzhqe"/>
        <w:shd w:val="clear" w:color="auto" w:fill="FFFFFF" w:themeFill="background1"/>
        <w:spacing w:before="0" w:beforeAutospacing="0" w:after="150" w:afterAutospacing="0" w:line="276" w:lineRule="auto"/>
        <w:textAlignment w:val="baseline"/>
        <w:rPr>
          <w:rFonts w:ascii="Arial" w:eastAsia="Arial" w:hAnsi="Arial" w:cs="Arial"/>
          <w:spacing w:val="8"/>
        </w:rPr>
      </w:pPr>
      <w:r w:rsidRPr="002C0672">
        <w:rPr>
          <w:rFonts w:ascii="Arial" w:eastAsia="Arial" w:hAnsi="Arial" w:cs="Arial"/>
          <w:spacing w:val="8"/>
        </w:rPr>
        <w:t xml:space="preserve"> Physical effects of type 2 diabetes mellitus (T2DM) are not limited to impaired glucose metabolism. Whereas early symptoms may include fatigue, polyuria, and recurrent infections, the most serious burden results from long-term vascular complications. Chronic hyperglycaemia is associated with endothelial dysfunction, oxidative stress and chronic inflammation, mechanisms that accelerate atherosclerosis and predispose to macrovascular disease (Zakir </w:t>
      </w:r>
      <w:r w:rsidRPr="00151CE2">
        <w:rPr>
          <w:rFonts w:ascii="Arial" w:eastAsia="Arial" w:hAnsi="Arial" w:cs="Arial"/>
          <w:i/>
          <w:iCs/>
          <w:spacing w:val="8"/>
        </w:rPr>
        <w:t>et al</w:t>
      </w:r>
      <w:r w:rsidRPr="002C0672">
        <w:rPr>
          <w:rFonts w:ascii="Arial" w:eastAsia="Arial" w:hAnsi="Arial" w:cs="Arial"/>
          <w:spacing w:val="8"/>
        </w:rPr>
        <w:t xml:space="preserve">., 2023). Consequently, individuals with T2DM have much higher risks of coronary heart disease, stroke, and cardiovascular mortality compared to the general population (Rao </w:t>
      </w:r>
      <w:r w:rsidRPr="002C0672">
        <w:rPr>
          <w:rFonts w:ascii="Arial" w:eastAsia="Arial" w:hAnsi="Arial" w:cs="Arial"/>
          <w:i/>
          <w:iCs/>
          <w:spacing w:val="8"/>
        </w:rPr>
        <w:t>et al.,</w:t>
      </w:r>
      <w:r w:rsidRPr="002C0672">
        <w:rPr>
          <w:rFonts w:ascii="Arial" w:eastAsia="Arial" w:hAnsi="Arial" w:cs="Arial"/>
          <w:spacing w:val="8"/>
        </w:rPr>
        <w:t xml:space="preserve"> 2011). Cardiovascular disease complications continue to be the leading cause of death for those living with diabetes. </w:t>
      </w:r>
    </w:p>
    <w:p w14:paraId="1D592F11" w14:textId="7D582A1A" w:rsidR="00EE2DF7" w:rsidRPr="002C0672" w:rsidRDefault="0039000A" w:rsidP="00EC1F2D">
      <w:pPr>
        <w:pStyle w:val="w7sjnrxzl6krnffuzhqe"/>
        <w:shd w:val="clear" w:color="auto" w:fill="FFFFFF" w:themeFill="background1"/>
        <w:spacing w:after="150" w:line="276" w:lineRule="auto"/>
        <w:textAlignment w:val="baseline"/>
        <w:rPr>
          <w:rFonts w:ascii="Arial" w:eastAsia="Arial" w:hAnsi="Arial" w:cs="Arial"/>
          <w:i/>
          <w:iCs/>
          <w:spacing w:val="8"/>
        </w:rPr>
      </w:pPr>
      <w:r w:rsidRPr="002C0672">
        <w:rPr>
          <w:rFonts w:ascii="Arial" w:hAnsi="Arial" w:cs="Arial"/>
          <w:noProof/>
          <w:spacing w:val="8"/>
        </w:rPr>
        <w:drawing>
          <wp:inline distT="0" distB="0" distL="0" distR="0" wp14:anchorId="77161FB5" wp14:editId="7A0FFEFE">
            <wp:extent cx="2639695" cy="1469390"/>
            <wp:effectExtent l="0" t="0" r="8255" b="0"/>
            <wp:docPr id="2030840830"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639695" cy="1469390"/>
                    </a:xfrm>
                    <a:prstGeom prst="rect">
                      <a:avLst/>
                    </a:prstGeom>
                    <a:noFill/>
                  </pic:spPr>
                </pic:pic>
              </a:graphicData>
            </a:graphic>
          </wp:inline>
        </w:drawing>
      </w:r>
      <w:r w:rsidR="0015317B" w:rsidRPr="002C0672">
        <w:rPr>
          <w:rFonts w:ascii="Arial" w:eastAsia="Arial" w:hAnsi="Arial" w:cs="Arial"/>
          <w:spacing w:val="8"/>
        </w:rPr>
        <w:t>Figure</w:t>
      </w:r>
      <w:r w:rsidR="00CC73BA" w:rsidRPr="002C0672">
        <w:rPr>
          <w:rFonts w:ascii="Arial" w:eastAsia="Arial" w:hAnsi="Arial" w:cs="Arial"/>
          <w:spacing w:val="8"/>
        </w:rPr>
        <w:t xml:space="preserve"> 4. </w:t>
      </w:r>
      <w:r w:rsidR="00792A1D" w:rsidRPr="002C0672">
        <w:rPr>
          <w:rFonts w:ascii="Arial" w:eastAsia="Arial" w:hAnsi="Arial" w:cs="Arial"/>
          <w:spacing w:val="8"/>
        </w:rPr>
        <w:t>Microvasc</w:t>
      </w:r>
      <w:r w:rsidR="00453298" w:rsidRPr="002C0672">
        <w:rPr>
          <w:rFonts w:ascii="Arial" w:eastAsia="Arial" w:hAnsi="Arial" w:cs="Arial"/>
          <w:spacing w:val="8"/>
        </w:rPr>
        <w:t xml:space="preserve">ular and </w:t>
      </w:r>
      <w:r w:rsidR="009B7C39" w:rsidRPr="002C0672">
        <w:rPr>
          <w:rFonts w:ascii="Arial" w:eastAsia="Arial" w:hAnsi="Arial" w:cs="Arial"/>
          <w:spacing w:val="8"/>
        </w:rPr>
        <w:t>macrovascular</w:t>
      </w:r>
      <w:r w:rsidR="00C61E2C" w:rsidRPr="002C0672">
        <w:rPr>
          <w:rFonts w:ascii="Arial" w:eastAsia="Arial" w:hAnsi="Arial" w:cs="Arial"/>
          <w:spacing w:val="8"/>
        </w:rPr>
        <w:t xml:space="preserve"> complications associated with </w:t>
      </w:r>
      <w:r w:rsidR="009B7C39" w:rsidRPr="002C0672">
        <w:rPr>
          <w:rFonts w:ascii="Arial" w:eastAsia="Arial" w:hAnsi="Arial" w:cs="Arial"/>
          <w:spacing w:val="8"/>
        </w:rPr>
        <w:t>chronic hyperglycaemia in Ty</w:t>
      </w:r>
      <w:r w:rsidR="00C61E2C" w:rsidRPr="002C0672">
        <w:rPr>
          <w:rFonts w:ascii="Arial" w:eastAsia="Arial" w:hAnsi="Arial" w:cs="Arial"/>
          <w:spacing w:val="8"/>
        </w:rPr>
        <w:t>pe 2 diabetes</w:t>
      </w:r>
      <w:r w:rsidR="00BB3B71" w:rsidRPr="002C0672">
        <w:rPr>
          <w:rFonts w:ascii="Arial" w:eastAsia="Arial" w:hAnsi="Arial" w:cs="Arial"/>
          <w:spacing w:val="8"/>
        </w:rPr>
        <w:t xml:space="preserve">(Sergey Shityakov </w:t>
      </w:r>
      <w:r w:rsidR="00BB3B71" w:rsidRPr="002C0672">
        <w:rPr>
          <w:rFonts w:ascii="Arial" w:eastAsia="Arial" w:hAnsi="Arial" w:cs="Arial"/>
          <w:i/>
          <w:iCs/>
          <w:spacing w:val="8"/>
        </w:rPr>
        <w:t>et al., 2022)</w:t>
      </w:r>
      <w:r w:rsidR="008D27C7" w:rsidRPr="002C0672">
        <w:rPr>
          <w:rFonts w:ascii="Arial" w:eastAsia="Arial" w:hAnsi="Arial" w:cs="Arial"/>
          <w:i/>
          <w:iCs/>
          <w:spacing w:val="8"/>
        </w:rPr>
        <w:t>.</w:t>
      </w:r>
    </w:p>
    <w:p w14:paraId="77DC3226" w14:textId="0BF7B490" w:rsidR="00CC2C97" w:rsidRPr="002C0672" w:rsidRDefault="00A016D8" w:rsidP="00EC1F2D">
      <w:pPr>
        <w:pStyle w:val="w7sjnrxzl6krnffuzhqe"/>
        <w:shd w:val="clear" w:color="auto" w:fill="FFFFFF" w:themeFill="background1"/>
        <w:spacing w:before="0" w:beforeAutospacing="0" w:after="150" w:afterAutospacing="0" w:line="276" w:lineRule="auto"/>
        <w:textAlignment w:val="baseline"/>
        <w:rPr>
          <w:rFonts w:ascii="Arial" w:eastAsia="Arial" w:hAnsi="Arial" w:cs="Arial"/>
          <w:spacing w:val="8"/>
        </w:rPr>
      </w:pPr>
      <w:r w:rsidRPr="002C0672">
        <w:rPr>
          <w:rFonts w:ascii="Arial" w:eastAsia="Arial" w:hAnsi="Arial" w:cs="Arial"/>
          <w:spacing w:val="8"/>
        </w:rPr>
        <w:t xml:space="preserve"> </w:t>
      </w:r>
      <w:r w:rsidR="005A1E8F" w:rsidRPr="002C0672">
        <w:rPr>
          <w:rFonts w:ascii="Arial" w:eastAsia="Arial" w:hAnsi="Arial" w:cs="Arial"/>
          <w:spacing w:val="8"/>
        </w:rPr>
        <w:t xml:space="preserve">Microvascular complications are also one of the major contributors to disease burden. Diabetic retinopathy is one of the leading causes of preventable vision loss, while diabetic nephropathy can lead to chronic kidney disease and eventual renal failure. Peripheral neuropathy is responsible for pain, sensory loss, foot ulceration and lower-limb amputation that affect mobility and independence severely. This complicates an individual's quality of life and reduces it by limiting the ability to work or participate socially. </w:t>
      </w:r>
    </w:p>
    <w:p w14:paraId="2E73741E" w14:textId="6205F4D6" w:rsidR="00CC2C97" w:rsidRPr="002C0672" w:rsidRDefault="00CC2C97" w:rsidP="00EC1F2D">
      <w:pPr>
        <w:pStyle w:val="w7sjnrxzl6krnffuzhqe"/>
        <w:shd w:val="clear" w:color="auto" w:fill="FFFFFF" w:themeFill="background1"/>
        <w:spacing w:before="0" w:beforeAutospacing="0" w:after="150" w:afterAutospacing="0" w:line="276" w:lineRule="auto"/>
        <w:textAlignment w:val="baseline"/>
        <w:rPr>
          <w:rFonts w:ascii="Arial" w:eastAsia="Arial" w:hAnsi="Arial" w:cs="Arial"/>
          <w:spacing w:val="8"/>
        </w:rPr>
      </w:pPr>
    </w:p>
    <w:p w14:paraId="5C17E424" w14:textId="15F8CB87" w:rsidR="000B68D8" w:rsidRPr="002C0672" w:rsidRDefault="00D56CA2" w:rsidP="00EC1F2D">
      <w:pPr>
        <w:pStyle w:val="Heading2"/>
        <w:spacing w:line="276" w:lineRule="auto"/>
        <w:rPr>
          <w:rStyle w:val="Strong"/>
          <w:rFonts w:ascii="Arial" w:hAnsi="Arial" w:cs="Arial"/>
          <w:sz w:val="24"/>
          <w:szCs w:val="24"/>
        </w:rPr>
      </w:pPr>
      <w:bookmarkStart w:id="12" w:name="_Toc224421137"/>
      <w:bookmarkStart w:id="13" w:name="_Toc224421441"/>
      <w:r w:rsidRPr="002C0672">
        <w:rPr>
          <w:rStyle w:val="Strong"/>
          <w:rFonts w:ascii="Arial" w:hAnsi="Arial" w:cs="Arial"/>
          <w:sz w:val="24"/>
          <w:szCs w:val="24"/>
        </w:rPr>
        <w:t>S</w:t>
      </w:r>
      <w:r w:rsidR="005A1E8F" w:rsidRPr="002C0672">
        <w:rPr>
          <w:rStyle w:val="Strong"/>
          <w:rFonts w:ascii="Arial" w:hAnsi="Arial" w:cs="Arial"/>
          <w:sz w:val="24"/>
          <w:szCs w:val="24"/>
        </w:rPr>
        <w:t>ocioeconomic</w:t>
      </w:r>
      <w:r w:rsidRPr="002C0672">
        <w:rPr>
          <w:rStyle w:val="Strong"/>
          <w:rFonts w:ascii="Arial" w:hAnsi="Arial" w:cs="Arial"/>
          <w:sz w:val="24"/>
          <w:szCs w:val="24"/>
        </w:rPr>
        <w:t xml:space="preserve"> </w:t>
      </w:r>
      <w:r w:rsidR="00CB44AF" w:rsidRPr="002C0672">
        <w:rPr>
          <w:rStyle w:val="Strong"/>
          <w:rFonts w:ascii="Arial" w:hAnsi="Arial" w:cs="Arial"/>
          <w:sz w:val="24"/>
          <w:szCs w:val="24"/>
        </w:rPr>
        <w:t>Impact</w:t>
      </w:r>
      <w:bookmarkEnd w:id="12"/>
      <w:bookmarkEnd w:id="13"/>
      <w:r w:rsidR="00CB44AF" w:rsidRPr="002C0672">
        <w:rPr>
          <w:rStyle w:val="Strong"/>
          <w:rFonts w:ascii="Arial" w:hAnsi="Arial" w:cs="Arial"/>
          <w:sz w:val="24"/>
          <w:szCs w:val="24"/>
        </w:rPr>
        <w:t xml:space="preserve"> </w:t>
      </w:r>
      <w:r w:rsidR="005A1E8F" w:rsidRPr="002C0672">
        <w:rPr>
          <w:rStyle w:val="Strong"/>
          <w:rFonts w:ascii="Arial" w:hAnsi="Arial" w:cs="Arial"/>
          <w:sz w:val="24"/>
          <w:szCs w:val="24"/>
        </w:rPr>
        <w:t xml:space="preserve"> </w:t>
      </w:r>
    </w:p>
    <w:p w14:paraId="09E3FDA9" w14:textId="1B9811B9" w:rsidR="00B15813" w:rsidRPr="002C0672" w:rsidRDefault="005A1E8F" w:rsidP="00EC1F2D">
      <w:pPr>
        <w:pStyle w:val="w7sjnrxzl6krnffuzhqe"/>
        <w:shd w:val="clear" w:color="auto" w:fill="FFFFFF" w:themeFill="background1"/>
        <w:spacing w:before="0" w:beforeAutospacing="0" w:after="150" w:afterAutospacing="0" w:line="276" w:lineRule="auto"/>
        <w:textAlignment w:val="baseline"/>
        <w:rPr>
          <w:rFonts w:ascii="Arial" w:eastAsia="Arial" w:hAnsi="Arial" w:cs="Arial"/>
          <w:spacing w:val="8"/>
        </w:rPr>
      </w:pPr>
      <w:r w:rsidRPr="002C0672">
        <w:rPr>
          <w:rFonts w:ascii="Arial" w:eastAsia="Arial" w:hAnsi="Arial" w:cs="Arial"/>
          <w:spacing w:val="8"/>
        </w:rPr>
        <w:t xml:space="preserve">T2DM is seldom diagnosed alone and is often accompanied by multiple chronic diseases. Epidemiological studies demonstrate that multimorbidity increases with age and socioeconomic deprivation, and common comorbidities include hypertension, obesity, cardiovascular disease, and chronic </w:t>
      </w:r>
      <w:r w:rsidRPr="002C0672">
        <w:rPr>
          <w:rFonts w:ascii="Arial" w:eastAsia="Arial" w:hAnsi="Arial" w:cs="Arial"/>
          <w:spacing w:val="8"/>
        </w:rPr>
        <w:lastRenderedPageBreak/>
        <w:t xml:space="preserve">kidney disease (Barnett </w:t>
      </w:r>
      <w:r w:rsidRPr="00151CE2">
        <w:rPr>
          <w:rFonts w:ascii="Arial" w:eastAsia="Arial" w:hAnsi="Arial" w:cs="Arial"/>
          <w:i/>
          <w:iCs/>
          <w:spacing w:val="8"/>
        </w:rPr>
        <w:t>et al</w:t>
      </w:r>
      <w:r w:rsidRPr="002C0672">
        <w:rPr>
          <w:rFonts w:ascii="Arial" w:eastAsia="Arial" w:hAnsi="Arial" w:cs="Arial"/>
          <w:spacing w:val="8"/>
        </w:rPr>
        <w:t xml:space="preserve">., 2012). </w:t>
      </w:r>
    </w:p>
    <w:p w14:paraId="4580EF4E" w14:textId="0CADFD88" w:rsidR="005A1E8F" w:rsidRPr="002C0672" w:rsidRDefault="005A1E8F" w:rsidP="00EC1F2D">
      <w:pPr>
        <w:pStyle w:val="w7sjnrxzl6krnffuzhqe"/>
        <w:shd w:val="clear" w:color="auto" w:fill="FFFFFF" w:themeFill="background1"/>
        <w:spacing w:before="0" w:beforeAutospacing="0" w:after="150" w:afterAutospacing="0" w:line="276" w:lineRule="auto"/>
        <w:textAlignment w:val="baseline"/>
        <w:rPr>
          <w:rFonts w:ascii="Arial" w:eastAsia="Arial" w:hAnsi="Arial" w:cs="Arial"/>
          <w:spacing w:val="8"/>
        </w:rPr>
      </w:pPr>
      <w:r w:rsidRPr="002C0672">
        <w:rPr>
          <w:rFonts w:ascii="Arial" w:eastAsia="Arial" w:hAnsi="Arial" w:cs="Arial"/>
          <w:spacing w:val="8"/>
        </w:rPr>
        <w:t>Multimorbidity complicates clinical management and frequently leads to polypharmacy, increasing the risk of medication interactions and treatment burden. According to NICE guidance, a comprehensive approach to multimorbidity should include the role of personalised care, as treatment must focus on patient goals and seek a simplification of medication regimens with minimal complexity (NICE, 2016). Therefore, multidisciplinary care, coordinated with treatment, is imperative to avoid fragmented treatment and improve long-term outcomes.</w:t>
      </w:r>
    </w:p>
    <w:p w14:paraId="61BFBDCC" w14:textId="40C8BC53" w:rsidR="00CF2268" w:rsidRPr="002C0672" w:rsidRDefault="00CF2268" w:rsidP="00EC1F2D">
      <w:pPr>
        <w:pStyle w:val="Heading2"/>
        <w:spacing w:line="276" w:lineRule="auto"/>
        <w:rPr>
          <w:rStyle w:val="Strong"/>
          <w:rFonts w:ascii="Arial" w:hAnsi="Arial" w:cs="Arial"/>
          <w:sz w:val="24"/>
          <w:szCs w:val="24"/>
        </w:rPr>
      </w:pPr>
      <w:bookmarkStart w:id="14" w:name="_Toc224421138"/>
      <w:bookmarkStart w:id="15" w:name="_Toc224421442"/>
      <w:r w:rsidRPr="002C0672">
        <w:rPr>
          <w:rStyle w:val="Strong"/>
          <w:rFonts w:ascii="Arial" w:hAnsi="Arial" w:cs="Arial"/>
          <w:sz w:val="24"/>
          <w:szCs w:val="24"/>
        </w:rPr>
        <w:t>Psychological</w:t>
      </w:r>
      <w:r w:rsidR="00B806CB" w:rsidRPr="002C0672">
        <w:rPr>
          <w:rStyle w:val="Strong"/>
          <w:rFonts w:ascii="Arial" w:hAnsi="Arial" w:cs="Arial"/>
          <w:sz w:val="24"/>
          <w:szCs w:val="24"/>
        </w:rPr>
        <w:t xml:space="preserve"> impact</w:t>
      </w:r>
      <w:bookmarkEnd w:id="14"/>
      <w:bookmarkEnd w:id="15"/>
    </w:p>
    <w:p w14:paraId="635A4EF7" w14:textId="77777777" w:rsidR="008B4F0F" w:rsidRPr="002C0672" w:rsidRDefault="008B4F0F" w:rsidP="00EC1F2D">
      <w:pPr>
        <w:pStyle w:val="w7sjnrxzl6krnffuzhqe"/>
        <w:shd w:val="clear" w:color="auto" w:fill="FFFFFF" w:themeFill="background1"/>
        <w:spacing w:before="0" w:beforeAutospacing="0" w:after="150" w:afterAutospacing="0" w:line="276" w:lineRule="auto"/>
        <w:textAlignment w:val="baseline"/>
        <w:rPr>
          <w:rFonts w:ascii="Arial" w:eastAsia="Arial" w:hAnsi="Arial" w:cs="Arial"/>
          <w:spacing w:val="8"/>
        </w:rPr>
      </w:pPr>
      <w:r w:rsidRPr="002C0672">
        <w:rPr>
          <w:rFonts w:ascii="Arial" w:eastAsia="Arial" w:hAnsi="Arial" w:cs="Arial"/>
          <w:spacing w:val="8"/>
        </w:rPr>
        <w:t xml:space="preserve">The psychological distress caused by T2DM is increasingly recognised as an important component of disease management. Diabetes distress, marked by worry about complications, frustration with everyday care and worries about maintaining glycaemic control, affects people a great number. Increased levels of distress have, for example, been linked to poorer self-management behaviours and worse metabolic outcomes (Fisher et al., 2012). Diabetes is also associated with higher levels of depression and anxiety, and studies show people with diabetes experience depression at a rate around two to three times higher than populations without the condition (Roy and Lloyd, 2012). Such a relationship is bidirectional </w:t>
      </w:r>
      <w:r w:rsidRPr="002C0672">
        <w:rPr>
          <w:rFonts w:ascii="Arial" w:eastAsia="Arial" w:hAnsi="Arial" w:cs="Arial"/>
          <w:spacing w:val="8"/>
        </w:rPr>
        <w:t>since psychological distress can undermine self-management motivation while compromising glycaemic control and complications may further burden patients with emotional distress. So psychological wellbeing is a significant part of holistic diabetes care.</w:t>
      </w:r>
    </w:p>
    <w:p w14:paraId="713F4F2B" w14:textId="77777777" w:rsidR="005A778C" w:rsidRPr="002C0672" w:rsidRDefault="005A778C" w:rsidP="00EC1F2D">
      <w:pPr>
        <w:pStyle w:val="Heading2"/>
        <w:spacing w:line="276" w:lineRule="auto"/>
        <w:rPr>
          <w:rStyle w:val="Strong"/>
          <w:rFonts w:ascii="Arial" w:hAnsi="Arial" w:cs="Arial"/>
          <w:sz w:val="24"/>
          <w:szCs w:val="24"/>
        </w:rPr>
      </w:pPr>
      <w:bookmarkStart w:id="16" w:name="_Toc224421139"/>
      <w:bookmarkStart w:id="17" w:name="_Toc224421443"/>
      <w:r w:rsidRPr="002C0672">
        <w:rPr>
          <w:rStyle w:val="Strong"/>
          <w:rFonts w:ascii="Arial" w:hAnsi="Arial" w:cs="Arial"/>
          <w:sz w:val="24"/>
          <w:szCs w:val="24"/>
        </w:rPr>
        <w:t>Implications for Social, Family and Carers</w:t>
      </w:r>
      <w:bookmarkEnd w:id="16"/>
      <w:bookmarkEnd w:id="17"/>
    </w:p>
    <w:p w14:paraId="73750755" w14:textId="3F6E19D2" w:rsidR="002964B9" w:rsidRPr="002C0672" w:rsidRDefault="005A778C" w:rsidP="00EC1F2D">
      <w:pPr>
        <w:pStyle w:val="w7sjnrxzl6krnffuzhqe"/>
        <w:shd w:val="clear" w:color="auto" w:fill="FFFFFF" w:themeFill="background1"/>
        <w:spacing w:before="0" w:beforeAutospacing="0" w:after="150" w:afterAutospacing="0" w:line="276" w:lineRule="auto"/>
        <w:textAlignment w:val="baseline"/>
        <w:rPr>
          <w:rFonts w:ascii="Arial" w:eastAsia="Arial" w:hAnsi="Arial" w:cs="Arial"/>
          <w:spacing w:val="8"/>
        </w:rPr>
      </w:pPr>
      <w:r w:rsidRPr="002C0672">
        <w:rPr>
          <w:rFonts w:ascii="Arial" w:eastAsia="Arial" w:hAnsi="Arial" w:cs="Arial"/>
          <w:spacing w:val="8"/>
        </w:rPr>
        <w:t xml:space="preserve">The influence of Type 2 diabetes mellitus (T2DM) cannot be placed entirely on the individual but rather has much broader social, family and informal caregiving implications. To control a long-standing health condition, long-term monitoring the impact of chronic disease, for example, is a constant monitoring and medication management and lifestyle changes and affects working opportunities, social activities and home life also. At the individual level, T2DM could affect productivity (to a large extent) and economic well-being. Fatigue, treatment demands and complications are associated with greater sickness absence and reduced work capacity, </w:t>
      </w:r>
      <w:r w:rsidR="0020175D" w:rsidRPr="002C0672">
        <w:rPr>
          <w:rFonts w:ascii="Arial" w:eastAsia="Arial" w:hAnsi="Arial" w:cs="Arial"/>
          <w:spacing w:val="8"/>
        </w:rPr>
        <w:t>particularly among</w:t>
      </w:r>
      <w:r w:rsidRPr="002C0672">
        <w:rPr>
          <w:rFonts w:ascii="Arial" w:eastAsia="Arial" w:hAnsi="Arial" w:cs="Arial"/>
          <w:spacing w:val="8"/>
        </w:rPr>
        <w:t xml:space="preserve"> those with long-term complications, e.g., neuropathy or cardiovascular disease (Diabetes UK, 2023; NHS Digital, 2023). Indeed, the effects are likely to result in decreased earnings and lower social participation, particularly in </w:t>
      </w:r>
      <w:proofErr w:type="gramStart"/>
      <w:r w:rsidRPr="002C0672">
        <w:rPr>
          <w:rFonts w:ascii="Arial" w:eastAsia="Arial" w:hAnsi="Arial" w:cs="Arial"/>
          <w:spacing w:val="8"/>
        </w:rPr>
        <w:t>low income</w:t>
      </w:r>
      <w:proofErr w:type="gramEnd"/>
      <w:r w:rsidRPr="002C0672">
        <w:rPr>
          <w:rFonts w:ascii="Arial" w:eastAsia="Arial" w:hAnsi="Arial" w:cs="Arial"/>
          <w:spacing w:val="8"/>
        </w:rPr>
        <w:t xml:space="preserve"> communities. Hence, diabetes can both mirror and perpetuate such existing health disparities. </w:t>
      </w:r>
    </w:p>
    <w:p w14:paraId="7F852322" w14:textId="77777777" w:rsidR="005F7BC9" w:rsidRPr="002C0672" w:rsidRDefault="005A778C" w:rsidP="00EC1F2D">
      <w:pPr>
        <w:pStyle w:val="w7sjnrxzl6krnffuzhqe"/>
        <w:shd w:val="clear" w:color="auto" w:fill="FFFFFF" w:themeFill="background1"/>
        <w:spacing w:before="0" w:beforeAutospacing="0" w:after="150" w:afterAutospacing="0" w:line="276" w:lineRule="auto"/>
        <w:textAlignment w:val="baseline"/>
        <w:rPr>
          <w:rFonts w:ascii="Arial" w:eastAsia="Arial" w:hAnsi="Arial" w:cs="Arial"/>
          <w:spacing w:val="8"/>
        </w:rPr>
      </w:pPr>
      <w:r w:rsidRPr="002C0672">
        <w:rPr>
          <w:rFonts w:ascii="Arial" w:eastAsia="Arial" w:hAnsi="Arial" w:cs="Arial"/>
          <w:spacing w:val="8"/>
        </w:rPr>
        <w:lastRenderedPageBreak/>
        <w:t xml:space="preserve">The family may often be instrumental in facilitating adherence to diabetes self-management. Informal carers might support medication adherence, food planning, scheduling of appointments and emotional support. It is well established that family environments that are supportive can have a positive impact on diabetes outcomes, especially when family members participate in collaborative problem addressing and adopt healthy lifestyle behaviours (Baig </w:t>
      </w:r>
      <w:r w:rsidRPr="00151CE2">
        <w:rPr>
          <w:rFonts w:ascii="Arial" w:eastAsia="Arial" w:hAnsi="Arial" w:cs="Arial"/>
          <w:i/>
          <w:iCs/>
          <w:spacing w:val="8"/>
        </w:rPr>
        <w:t>et al</w:t>
      </w:r>
      <w:r w:rsidRPr="002C0672">
        <w:rPr>
          <w:rFonts w:ascii="Arial" w:eastAsia="Arial" w:hAnsi="Arial" w:cs="Arial"/>
          <w:spacing w:val="8"/>
        </w:rPr>
        <w:t xml:space="preserve">., 2015; Mayberry and Osborn, 2021). For instance, when diet or physical exercise are jointly managed, it is more likely that behavioural changes can be maintained in the context of lifelong disease management. There is the emotional and practical cost involved in caregiving responsibilities, however. </w:t>
      </w:r>
    </w:p>
    <w:p w14:paraId="24CD1E02" w14:textId="230597D2" w:rsidR="005A778C" w:rsidRPr="002C0672" w:rsidRDefault="005A778C" w:rsidP="00EC1F2D">
      <w:pPr>
        <w:pStyle w:val="w7sjnrxzl6krnffuzhqe"/>
        <w:shd w:val="clear" w:color="auto" w:fill="FFFFFF" w:themeFill="background1"/>
        <w:spacing w:before="0" w:beforeAutospacing="0" w:after="150" w:afterAutospacing="0" w:line="276" w:lineRule="auto"/>
        <w:textAlignment w:val="baseline"/>
        <w:rPr>
          <w:rFonts w:ascii="Arial" w:eastAsia="Arial" w:hAnsi="Arial" w:cs="Arial"/>
          <w:spacing w:val="8"/>
        </w:rPr>
      </w:pPr>
      <w:r w:rsidRPr="002C0672">
        <w:rPr>
          <w:rFonts w:ascii="Arial" w:eastAsia="Arial" w:hAnsi="Arial" w:cs="Arial"/>
          <w:spacing w:val="8"/>
        </w:rPr>
        <w:t xml:space="preserve">Family members may fear for potential complications or hypoglycaemic events, especially in cases of complex treatment regimens or multimorbidity. Unpaid carers are a major part of the UK health and social care </w:t>
      </w:r>
      <w:proofErr w:type="gramStart"/>
      <w:r w:rsidRPr="002C0672">
        <w:rPr>
          <w:rFonts w:ascii="Arial" w:eastAsia="Arial" w:hAnsi="Arial" w:cs="Arial"/>
          <w:spacing w:val="8"/>
        </w:rPr>
        <w:t>system, and</w:t>
      </w:r>
      <w:proofErr w:type="gramEnd"/>
      <w:r w:rsidRPr="002C0672">
        <w:rPr>
          <w:rFonts w:ascii="Arial" w:eastAsia="Arial" w:hAnsi="Arial" w:cs="Arial"/>
          <w:spacing w:val="8"/>
        </w:rPr>
        <w:t xml:space="preserve"> are reported to receive no effective support and experience psychological turmoil (The King’s Fund, 2023). Being able to identify and assist carers is thus an extremely important aspect of the holistic management of diabetes. From a holistic care point of view, successful diabetes management must </w:t>
      </w:r>
      <w:r w:rsidR="00597503" w:rsidRPr="002C0672">
        <w:rPr>
          <w:rFonts w:ascii="Arial" w:eastAsia="Arial" w:hAnsi="Arial" w:cs="Arial"/>
          <w:spacing w:val="8"/>
        </w:rPr>
        <w:t>consider</w:t>
      </w:r>
      <w:r w:rsidRPr="002C0672">
        <w:rPr>
          <w:rFonts w:ascii="Arial" w:eastAsia="Arial" w:hAnsi="Arial" w:cs="Arial"/>
          <w:spacing w:val="8"/>
        </w:rPr>
        <w:t xml:space="preserve"> the social context </w:t>
      </w:r>
      <w:r w:rsidR="00597503">
        <w:rPr>
          <w:rFonts w:ascii="Arial" w:eastAsia="Arial" w:hAnsi="Arial" w:cs="Arial"/>
          <w:spacing w:val="8"/>
        </w:rPr>
        <w:t>in which</w:t>
      </w:r>
      <w:r w:rsidRPr="002C0672">
        <w:rPr>
          <w:rFonts w:ascii="Arial" w:eastAsia="Arial" w:hAnsi="Arial" w:cs="Arial"/>
          <w:spacing w:val="8"/>
        </w:rPr>
        <w:t xml:space="preserve"> they live. If appropriate, </w:t>
      </w:r>
      <w:r w:rsidRPr="002C0672">
        <w:rPr>
          <w:rFonts w:ascii="Arial" w:eastAsia="Arial" w:hAnsi="Arial" w:cs="Arial"/>
          <w:spacing w:val="8"/>
        </w:rPr>
        <w:t>promoting the engagement of family members in education and care planning can help to help enhance self-management and lead to improved life outcomes (NICE, 2023).</w:t>
      </w:r>
    </w:p>
    <w:p w14:paraId="7194F6B6" w14:textId="24FF4C3B" w:rsidR="00835D24" w:rsidRPr="002C0672" w:rsidRDefault="00067C48" w:rsidP="00EC1F2D">
      <w:pPr>
        <w:pStyle w:val="Heading2"/>
        <w:spacing w:line="276" w:lineRule="auto"/>
        <w:rPr>
          <w:rStyle w:val="Strong"/>
          <w:rFonts w:ascii="Arial" w:hAnsi="Arial" w:cs="Arial"/>
          <w:sz w:val="24"/>
          <w:szCs w:val="24"/>
        </w:rPr>
      </w:pPr>
      <w:r w:rsidRPr="002C0672">
        <w:rPr>
          <w:rStyle w:val="Strong"/>
          <w:rFonts w:ascii="Arial" w:hAnsi="Arial" w:cs="Arial"/>
          <w:sz w:val="24"/>
          <w:szCs w:val="24"/>
        </w:rPr>
        <w:br/>
      </w:r>
      <w:bookmarkStart w:id="18" w:name="_Toc224421140"/>
      <w:bookmarkStart w:id="19" w:name="_Toc224421444"/>
      <w:r w:rsidRPr="002C0672">
        <w:rPr>
          <w:rStyle w:val="Strong"/>
          <w:rFonts w:ascii="Arial" w:hAnsi="Arial" w:cs="Arial"/>
          <w:sz w:val="24"/>
          <w:szCs w:val="24"/>
        </w:rPr>
        <w:t xml:space="preserve">The NHS Treatment for Type 2 Diabetes: Review of </w:t>
      </w:r>
      <w:r w:rsidR="008B0923" w:rsidRPr="002C0672">
        <w:rPr>
          <w:rStyle w:val="Strong"/>
          <w:rFonts w:ascii="Arial" w:hAnsi="Arial" w:cs="Arial"/>
          <w:sz w:val="24"/>
          <w:szCs w:val="24"/>
        </w:rPr>
        <w:t>E</w:t>
      </w:r>
      <w:r w:rsidRPr="002C0672">
        <w:rPr>
          <w:rStyle w:val="Strong"/>
          <w:rFonts w:ascii="Arial" w:hAnsi="Arial" w:cs="Arial"/>
          <w:sz w:val="24"/>
          <w:szCs w:val="24"/>
        </w:rPr>
        <w:t>vidence.</w:t>
      </w:r>
      <w:bookmarkEnd w:id="18"/>
      <w:bookmarkEnd w:id="19"/>
      <w:r w:rsidRPr="002C0672">
        <w:rPr>
          <w:rStyle w:val="Strong"/>
          <w:rFonts w:ascii="Arial" w:hAnsi="Arial" w:cs="Arial"/>
          <w:sz w:val="24"/>
          <w:szCs w:val="24"/>
        </w:rPr>
        <w:t xml:space="preserve"> </w:t>
      </w:r>
    </w:p>
    <w:p w14:paraId="19F823BE" w14:textId="77777777" w:rsidR="00D56CA2" w:rsidRPr="002C0672" w:rsidRDefault="00067C48" w:rsidP="00EC1F2D">
      <w:pPr>
        <w:pStyle w:val="w7sjnrxzl6krnffuzhqe"/>
        <w:shd w:val="clear" w:color="auto" w:fill="FFFFFF" w:themeFill="background1"/>
        <w:spacing w:before="0" w:beforeAutospacing="0" w:after="150" w:afterAutospacing="0" w:line="276" w:lineRule="auto"/>
        <w:textAlignment w:val="baseline"/>
        <w:rPr>
          <w:rFonts w:ascii="Arial" w:hAnsi="Arial" w:cs="Arial"/>
          <w:color w:val="000000"/>
          <w:spacing w:val="8"/>
          <w:shd w:val="clear" w:color="auto" w:fill="FFFFFF"/>
        </w:rPr>
      </w:pPr>
      <w:r w:rsidRPr="002C0672">
        <w:rPr>
          <w:rFonts w:ascii="Arial" w:hAnsi="Arial" w:cs="Arial"/>
          <w:color w:val="000000"/>
          <w:spacing w:val="8"/>
          <w:shd w:val="clear" w:color="auto" w:fill="FFFFFF"/>
        </w:rPr>
        <w:t>Although</w:t>
      </w:r>
      <w:r w:rsidR="00835D24" w:rsidRPr="002C0672">
        <w:rPr>
          <w:rFonts w:ascii="Arial" w:hAnsi="Arial" w:cs="Arial"/>
          <w:color w:val="000000"/>
          <w:spacing w:val="8"/>
          <w:shd w:val="clear" w:color="auto" w:fill="FFFFFF"/>
        </w:rPr>
        <w:t xml:space="preserve"> </w:t>
      </w:r>
      <w:r w:rsidRPr="002C0672">
        <w:rPr>
          <w:rFonts w:ascii="Arial" w:hAnsi="Arial" w:cs="Arial"/>
          <w:color w:val="000000"/>
          <w:spacing w:val="8"/>
          <w:shd w:val="clear" w:color="auto" w:fill="FFFFFF"/>
        </w:rPr>
        <w:t xml:space="preserve">the clinical management of Type 2 diabetes mellitus (T2DM) in the UK is mostly led by NICE guideline NG28 that provides evidence-based recommendations regarding lifestyle management, pharmacological therapy and complication monitoring (NICE, 2024). Scotland too adheres to national guidance e.g. SIGN 154 which integrates recent evidence for decreasing cardiovascular risk in diabetes care (SIGN, 2017). They provide a framework to inform the systematic management of diabetes through the integration of lifestyle modification, pharmacotherapy and adherence to complication monitoring. The cornerstone of treatment is lifestyle optimisation. </w:t>
      </w:r>
    </w:p>
    <w:p w14:paraId="7D707D4F" w14:textId="4C326C74" w:rsidR="00067C48" w:rsidRPr="002C0672" w:rsidRDefault="00067C48" w:rsidP="00EC1F2D">
      <w:pPr>
        <w:pStyle w:val="w7sjnrxzl6krnffuzhqe"/>
        <w:shd w:val="clear" w:color="auto" w:fill="FFFFFF" w:themeFill="background1"/>
        <w:spacing w:before="0" w:beforeAutospacing="0" w:after="150" w:afterAutospacing="0" w:line="276" w:lineRule="auto"/>
        <w:textAlignment w:val="baseline"/>
        <w:rPr>
          <w:rFonts w:ascii="Arial" w:hAnsi="Arial" w:cs="Arial"/>
          <w:spacing w:val="8"/>
          <w:shd w:val="clear" w:color="auto" w:fill="FFFFFF"/>
        </w:rPr>
      </w:pPr>
      <w:r w:rsidRPr="002C0672">
        <w:rPr>
          <w:rFonts w:ascii="Arial" w:hAnsi="Arial" w:cs="Arial"/>
          <w:spacing w:val="8"/>
          <w:shd w:val="clear" w:color="auto" w:fill="FFFFFF"/>
        </w:rPr>
        <w:t xml:space="preserve">Weight management, dietary modification, and increased physical activity are recommended by NICE </w:t>
      </w:r>
      <w:proofErr w:type="gramStart"/>
      <w:r w:rsidRPr="002C0672">
        <w:rPr>
          <w:rFonts w:ascii="Arial" w:hAnsi="Arial" w:cs="Arial"/>
          <w:spacing w:val="8"/>
          <w:shd w:val="clear" w:color="auto" w:fill="FFFFFF"/>
        </w:rPr>
        <w:t>in an effort to</w:t>
      </w:r>
      <w:proofErr w:type="gramEnd"/>
      <w:r w:rsidRPr="002C0672">
        <w:rPr>
          <w:rFonts w:ascii="Arial" w:hAnsi="Arial" w:cs="Arial"/>
          <w:spacing w:val="8"/>
          <w:shd w:val="clear" w:color="auto" w:fill="FFFFFF"/>
        </w:rPr>
        <w:t xml:space="preserve"> better manage glycaemic control and reduce cardiovascular risk. Structured education programs such as Diabetes Education and Self-Management for Ongoing and Newly Diagnosed (DESMOND) help patients to acquire knowledge and skills for self-management, although long-term behavioural change often </w:t>
      </w:r>
      <w:r w:rsidRPr="002C0672">
        <w:rPr>
          <w:rFonts w:ascii="Arial" w:hAnsi="Arial" w:cs="Arial"/>
          <w:spacing w:val="8"/>
          <w:shd w:val="clear" w:color="auto" w:fill="FFFFFF"/>
        </w:rPr>
        <w:lastRenderedPageBreak/>
        <w:t xml:space="preserve">requires continued education and individualised support (Davies </w:t>
      </w:r>
      <w:r w:rsidRPr="0094087D">
        <w:rPr>
          <w:rFonts w:ascii="Arial" w:hAnsi="Arial" w:cs="Arial"/>
          <w:i/>
          <w:iCs/>
          <w:spacing w:val="8"/>
          <w:shd w:val="clear" w:color="auto" w:fill="FFFFFF"/>
        </w:rPr>
        <w:t>et al.</w:t>
      </w:r>
      <w:r w:rsidRPr="002C0672">
        <w:rPr>
          <w:rFonts w:ascii="Arial" w:hAnsi="Arial" w:cs="Arial"/>
          <w:spacing w:val="8"/>
          <w:shd w:val="clear" w:color="auto" w:fill="FFFFFF"/>
        </w:rPr>
        <w:t>, 2008). Medication therapy in general starts with metformin, and the therapy might be escalated according to HbA1c, comorbidities and patient need (NICE, 2024). Modern diabetes is increasingly treated with an emphasis on cardiovascular and renal risk reduction in addition to glycaemic control. Survey evidence demonstrates that SGLT2 inhibitors minimize the hospitalisation rate of heart failure and attenuate the progression of chronic kidney disease and that GLP-1 receptor agonists promote weight loss and reduce cardiovascular risk in appropriately sized populations (</w:t>
      </w:r>
      <w:proofErr w:type="spellStart"/>
      <w:r w:rsidRPr="002C0672">
        <w:rPr>
          <w:rFonts w:ascii="Arial" w:hAnsi="Arial" w:cs="Arial"/>
          <w:spacing w:val="8"/>
          <w:shd w:val="clear" w:color="auto" w:fill="FFFFFF"/>
        </w:rPr>
        <w:t>Zelniker</w:t>
      </w:r>
      <w:proofErr w:type="spellEnd"/>
      <w:r w:rsidRPr="002C0672">
        <w:rPr>
          <w:rFonts w:ascii="Arial" w:hAnsi="Arial" w:cs="Arial"/>
          <w:spacing w:val="8"/>
          <w:shd w:val="clear" w:color="auto" w:fill="FFFFFF"/>
        </w:rPr>
        <w:t xml:space="preserve"> </w:t>
      </w:r>
      <w:r w:rsidRPr="002C0672">
        <w:rPr>
          <w:rFonts w:ascii="Arial" w:hAnsi="Arial" w:cs="Arial"/>
          <w:i/>
          <w:iCs/>
          <w:spacing w:val="8"/>
          <w:shd w:val="clear" w:color="auto" w:fill="FFFFFF"/>
        </w:rPr>
        <w:t>et al</w:t>
      </w:r>
      <w:r w:rsidRPr="002C0672">
        <w:rPr>
          <w:rFonts w:ascii="Arial" w:hAnsi="Arial" w:cs="Arial"/>
          <w:spacing w:val="8"/>
          <w:shd w:val="clear" w:color="auto" w:fill="FFFFFF"/>
        </w:rPr>
        <w:t>., 2019; ADA, 2024). Since T2DM may be accompanied by multimorbidity, routine medication evaluation is key. Data used for multimorbidity patients recommended by NICE advice (2016) are treated according to treatment objectives</w:t>
      </w:r>
      <w:r w:rsidR="00403FB1" w:rsidRPr="002C0672">
        <w:rPr>
          <w:rFonts w:ascii="Arial" w:hAnsi="Arial" w:cs="Arial"/>
          <w:spacing w:val="8"/>
          <w:shd w:val="clear" w:color="auto" w:fill="FFFFFF"/>
        </w:rPr>
        <w:t>,</w:t>
      </w:r>
      <w:r w:rsidR="009F68A7" w:rsidRPr="002C0672">
        <w:rPr>
          <w:rFonts w:ascii="Arial" w:hAnsi="Arial" w:cs="Arial"/>
          <w:spacing w:val="8"/>
          <w:shd w:val="clear" w:color="auto" w:fill="FFFFFF"/>
        </w:rPr>
        <w:t xml:space="preserve"> </w:t>
      </w:r>
      <w:r w:rsidR="00403FB1" w:rsidRPr="002C0672">
        <w:rPr>
          <w:rFonts w:ascii="Arial" w:hAnsi="Arial" w:cs="Arial"/>
          <w:spacing w:val="8"/>
          <w:shd w:val="clear" w:color="auto" w:fill="FFFFFF"/>
        </w:rPr>
        <w:t xml:space="preserve">and the </w:t>
      </w:r>
      <w:r w:rsidRPr="002C0672">
        <w:rPr>
          <w:rFonts w:ascii="Arial" w:hAnsi="Arial" w:cs="Arial"/>
          <w:spacing w:val="8"/>
          <w:shd w:val="clear" w:color="auto" w:fill="FFFFFF"/>
        </w:rPr>
        <w:t xml:space="preserve">overall burden </w:t>
      </w:r>
      <w:r w:rsidR="000A7D3B" w:rsidRPr="002C0672">
        <w:rPr>
          <w:rFonts w:ascii="Arial" w:hAnsi="Arial" w:cs="Arial"/>
          <w:spacing w:val="8"/>
          <w:shd w:val="clear" w:color="auto" w:fill="FFFFFF"/>
        </w:rPr>
        <w:t>of</w:t>
      </w:r>
      <w:r w:rsidRPr="002C0672">
        <w:rPr>
          <w:rFonts w:ascii="Arial" w:hAnsi="Arial" w:cs="Arial"/>
          <w:spacing w:val="8"/>
          <w:shd w:val="clear" w:color="auto" w:fill="FFFFFF"/>
        </w:rPr>
        <w:t xml:space="preserve"> treatment. Hence, the work of multidisciplinary teams and clinical pharmacists is crucial for medicines optimisation and adherence support. Self-management support needs to be a continuous partnership </w:t>
      </w:r>
      <w:r w:rsidR="004D29CE" w:rsidRPr="002C0672">
        <w:rPr>
          <w:rFonts w:ascii="Arial" w:hAnsi="Arial" w:cs="Arial"/>
          <w:spacing w:val="8"/>
          <w:shd w:val="clear" w:color="auto" w:fill="FFFFFF"/>
        </w:rPr>
        <w:t>between</w:t>
      </w:r>
      <w:r w:rsidR="004C3F32" w:rsidRPr="002C0672">
        <w:rPr>
          <w:rFonts w:ascii="Arial" w:hAnsi="Arial" w:cs="Arial"/>
          <w:spacing w:val="8"/>
          <w:shd w:val="clear" w:color="auto" w:fill="FFFFFF"/>
        </w:rPr>
        <w:t xml:space="preserve"> </w:t>
      </w:r>
      <w:r w:rsidRPr="002C0672">
        <w:rPr>
          <w:rFonts w:ascii="Arial" w:hAnsi="Arial" w:cs="Arial"/>
          <w:spacing w:val="8"/>
          <w:shd w:val="clear" w:color="auto" w:fill="FFFFFF"/>
        </w:rPr>
        <w:t xml:space="preserve">health professionals and patients rather than as a singular intervention (Hessler </w:t>
      </w:r>
      <w:r w:rsidRPr="002C0672">
        <w:rPr>
          <w:rFonts w:ascii="Arial" w:hAnsi="Arial" w:cs="Arial"/>
          <w:i/>
          <w:iCs/>
          <w:spacing w:val="8"/>
          <w:shd w:val="clear" w:color="auto" w:fill="FFFFFF"/>
        </w:rPr>
        <w:t>et al</w:t>
      </w:r>
      <w:r w:rsidRPr="002C0672">
        <w:rPr>
          <w:rFonts w:ascii="Arial" w:hAnsi="Arial" w:cs="Arial"/>
          <w:spacing w:val="8"/>
          <w:shd w:val="clear" w:color="auto" w:fill="FFFFFF"/>
        </w:rPr>
        <w:t>., 2022).</w:t>
      </w:r>
    </w:p>
    <w:p w14:paraId="6E7D7F22" w14:textId="45776DB7" w:rsidR="00067C48" w:rsidRPr="002C0672" w:rsidRDefault="005D4054" w:rsidP="00EC1F2D">
      <w:pPr>
        <w:spacing w:line="276" w:lineRule="auto"/>
        <w:rPr>
          <w:rFonts w:ascii="Arial" w:eastAsia="Arial" w:hAnsi="Arial" w:cs="Arial"/>
          <w:spacing w:val="8"/>
        </w:rPr>
      </w:pPr>
      <w:r w:rsidRPr="002C0672">
        <w:rPr>
          <w:rFonts w:ascii="Arial" w:eastAsia="Times New Roman" w:hAnsi="Arial" w:cs="Arial"/>
          <w:spacing w:val="8"/>
          <w:shd w:val="clear" w:color="auto" w:fill="FFFFFF"/>
        </w:rPr>
        <w:t>In this way</w:t>
      </w:r>
      <w:r w:rsidR="004D29CE" w:rsidRPr="002C0672">
        <w:rPr>
          <w:rFonts w:ascii="Arial" w:eastAsia="Times New Roman" w:hAnsi="Arial" w:cs="Arial"/>
          <w:spacing w:val="8"/>
          <w:shd w:val="clear" w:color="auto" w:fill="FFFFFF"/>
        </w:rPr>
        <w:t>,</w:t>
      </w:r>
      <w:r w:rsidRPr="002C0672">
        <w:rPr>
          <w:rFonts w:ascii="Arial" w:eastAsia="Times New Roman" w:hAnsi="Arial" w:cs="Arial"/>
          <w:spacing w:val="8"/>
          <w:shd w:val="clear" w:color="auto" w:fill="FFFFFF"/>
        </w:rPr>
        <w:t xml:space="preserve"> multidisciplinary teams, which consist of clinical pharmacists, contribute to medicines optimisation and adherence support. Self-</w:t>
      </w:r>
      <w:r w:rsidRPr="002C0672">
        <w:rPr>
          <w:rFonts w:ascii="Arial" w:eastAsia="Times New Roman" w:hAnsi="Arial" w:cs="Arial"/>
          <w:spacing w:val="8"/>
          <w:shd w:val="clear" w:color="auto" w:fill="FFFFFF"/>
        </w:rPr>
        <w:t xml:space="preserve">management support should also be viewed as an ongoing partnership between healthcare professionals and patients rather than a single intervention (Hessler </w:t>
      </w:r>
      <w:r w:rsidRPr="002C0672">
        <w:rPr>
          <w:rFonts w:ascii="Arial" w:eastAsia="Times New Roman" w:hAnsi="Arial" w:cs="Arial"/>
          <w:i/>
          <w:iCs/>
          <w:spacing w:val="8"/>
          <w:shd w:val="clear" w:color="auto" w:fill="FFFFFF"/>
        </w:rPr>
        <w:t>et al.</w:t>
      </w:r>
      <w:r w:rsidRPr="002C0672">
        <w:rPr>
          <w:rFonts w:ascii="Arial" w:eastAsia="Times New Roman" w:hAnsi="Arial" w:cs="Arial"/>
          <w:spacing w:val="8"/>
          <w:shd w:val="clear" w:color="auto" w:fill="FFFFFF"/>
        </w:rPr>
        <w:t>, 2022). Nevertheless, the disparities in education, specialist care and newer pharmacological interventions can dictate treatment effects in varying healthcare settings, despite sound clinical guidance.</w:t>
      </w:r>
    </w:p>
    <w:p w14:paraId="2F74760E" w14:textId="77777777" w:rsidR="00AF3E35" w:rsidRPr="002C0672" w:rsidRDefault="00AF3E35" w:rsidP="00EC1F2D">
      <w:pPr>
        <w:pStyle w:val="Heading2"/>
        <w:spacing w:line="276" w:lineRule="auto"/>
        <w:rPr>
          <w:rStyle w:val="Strong"/>
          <w:rFonts w:ascii="Arial" w:hAnsi="Arial" w:cs="Arial"/>
          <w:sz w:val="24"/>
          <w:szCs w:val="24"/>
        </w:rPr>
      </w:pPr>
      <w:bookmarkStart w:id="20" w:name="_Toc224421141"/>
      <w:bookmarkStart w:id="21" w:name="_Toc224421445"/>
      <w:r w:rsidRPr="002C0672">
        <w:rPr>
          <w:rStyle w:val="Strong"/>
          <w:rFonts w:ascii="Arial" w:hAnsi="Arial" w:cs="Arial"/>
          <w:sz w:val="24"/>
          <w:szCs w:val="24"/>
        </w:rPr>
        <w:t>Theoretical Frameworks for Improving Type 2 Diabetes Outcomes</w:t>
      </w:r>
      <w:bookmarkEnd w:id="20"/>
      <w:bookmarkEnd w:id="21"/>
    </w:p>
    <w:p w14:paraId="21E1CE74" w14:textId="3E1BB1CA" w:rsidR="00AF3E35" w:rsidRPr="002C0672" w:rsidRDefault="00045BB2" w:rsidP="00EC1F2D">
      <w:pPr>
        <w:pStyle w:val="w7sjnrxzl6krnffuzhqe"/>
        <w:spacing w:before="0" w:beforeAutospacing="0" w:after="150" w:afterAutospacing="0" w:line="276" w:lineRule="auto"/>
        <w:textAlignment w:val="baseline"/>
        <w:rPr>
          <w:rFonts w:ascii="Arial" w:eastAsia="Arial" w:hAnsi="Arial" w:cs="Arial"/>
          <w:spacing w:val="8"/>
        </w:rPr>
      </w:pPr>
      <w:proofErr w:type="gramStart"/>
      <w:r w:rsidRPr="002C0672">
        <w:rPr>
          <w:rFonts w:ascii="Arial" w:eastAsia="Arial" w:hAnsi="Arial" w:cs="Arial"/>
          <w:spacing w:val="8"/>
        </w:rPr>
        <w:t>Theoretically-informed</w:t>
      </w:r>
      <w:proofErr w:type="gramEnd"/>
      <w:r w:rsidRPr="002C0672">
        <w:rPr>
          <w:rFonts w:ascii="Arial" w:eastAsia="Arial" w:hAnsi="Arial" w:cs="Arial"/>
          <w:spacing w:val="8"/>
        </w:rPr>
        <w:t xml:space="preserve"> models of care are crucial to facilitating better outcomes in Type 2 diabetes treatment. Given the complex biopsychosocial nature of the condition, single-component interventions are often insufficient to sustain improvement (</w:t>
      </w:r>
      <w:proofErr w:type="spellStart"/>
      <w:r w:rsidRPr="002C0672">
        <w:rPr>
          <w:rFonts w:ascii="Arial" w:eastAsia="Arial" w:hAnsi="Arial" w:cs="Arial"/>
          <w:spacing w:val="8"/>
        </w:rPr>
        <w:t>Ingul</w:t>
      </w:r>
      <w:proofErr w:type="spellEnd"/>
      <w:r w:rsidRPr="002C0672">
        <w:rPr>
          <w:rFonts w:ascii="Arial" w:eastAsia="Arial" w:hAnsi="Arial" w:cs="Arial"/>
          <w:spacing w:val="8"/>
        </w:rPr>
        <w:t xml:space="preserve"> </w:t>
      </w:r>
      <w:r w:rsidRPr="002C0672">
        <w:rPr>
          <w:rFonts w:ascii="Arial" w:eastAsia="Arial" w:hAnsi="Arial" w:cs="Arial"/>
          <w:i/>
          <w:iCs/>
          <w:spacing w:val="8"/>
        </w:rPr>
        <w:t>et al</w:t>
      </w:r>
      <w:r w:rsidRPr="002C0672">
        <w:rPr>
          <w:rFonts w:ascii="Arial" w:eastAsia="Arial" w:hAnsi="Arial" w:cs="Arial"/>
          <w:spacing w:val="8"/>
        </w:rPr>
        <w:t xml:space="preserve">., 2025). Models like the House of Care, the Comprehensive Personalised Care framework and the Chronic Care Model promote integrated care and engagement of patients but, their effectiveness relies on their implementation in local health systems (NHS England, 2019b; </w:t>
      </w:r>
      <w:proofErr w:type="spellStart"/>
      <w:r w:rsidRPr="002C0672">
        <w:rPr>
          <w:rFonts w:ascii="Arial" w:eastAsia="Arial" w:hAnsi="Arial" w:cs="Arial"/>
          <w:spacing w:val="8"/>
        </w:rPr>
        <w:t>Stellefson</w:t>
      </w:r>
      <w:proofErr w:type="spellEnd"/>
      <w:r w:rsidRPr="002C0672">
        <w:rPr>
          <w:rFonts w:ascii="Arial" w:eastAsia="Arial" w:hAnsi="Arial" w:cs="Arial"/>
          <w:spacing w:val="8"/>
        </w:rPr>
        <w:t xml:space="preserve"> </w:t>
      </w:r>
      <w:r w:rsidRPr="00ED59FF">
        <w:rPr>
          <w:rFonts w:ascii="Arial" w:eastAsia="Arial" w:hAnsi="Arial" w:cs="Arial"/>
          <w:i/>
          <w:iCs/>
          <w:spacing w:val="8"/>
        </w:rPr>
        <w:t>et al</w:t>
      </w:r>
      <w:r w:rsidRPr="002C0672">
        <w:rPr>
          <w:rFonts w:ascii="Arial" w:eastAsia="Arial" w:hAnsi="Arial" w:cs="Arial"/>
          <w:spacing w:val="8"/>
        </w:rPr>
        <w:t xml:space="preserve">., 2013; Tahir </w:t>
      </w:r>
      <w:r w:rsidRPr="00ED59FF">
        <w:rPr>
          <w:rFonts w:ascii="Arial" w:eastAsia="Arial" w:hAnsi="Arial" w:cs="Arial"/>
          <w:i/>
          <w:iCs/>
          <w:spacing w:val="8"/>
        </w:rPr>
        <w:t>et al</w:t>
      </w:r>
      <w:r w:rsidRPr="002C0672">
        <w:rPr>
          <w:rFonts w:ascii="Arial" w:eastAsia="Arial" w:hAnsi="Arial" w:cs="Arial"/>
          <w:spacing w:val="8"/>
        </w:rPr>
        <w:t>., 2025).</w:t>
      </w:r>
    </w:p>
    <w:p w14:paraId="6EBA0A09" w14:textId="5867557C" w:rsidR="00AF3E35" w:rsidRPr="002C0672" w:rsidRDefault="00AF3E35" w:rsidP="00EC1F2D">
      <w:pPr>
        <w:pStyle w:val="Heading2"/>
        <w:spacing w:line="276" w:lineRule="auto"/>
        <w:rPr>
          <w:rStyle w:val="Strong"/>
          <w:rFonts w:ascii="Arial" w:hAnsi="Arial" w:cs="Arial"/>
          <w:sz w:val="24"/>
          <w:szCs w:val="24"/>
        </w:rPr>
      </w:pPr>
      <w:bookmarkStart w:id="22" w:name="_Toc224421142"/>
      <w:bookmarkStart w:id="23" w:name="_Toc224421446"/>
      <w:r w:rsidRPr="002C0672">
        <w:rPr>
          <w:rStyle w:val="Strong"/>
          <w:rFonts w:ascii="Arial" w:hAnsi="Arial" w:cs="Arial"/>
          <w:sz w:val="24"/>
          <w:szCs w:val="24"/>
        </w:rPr>
        <w:t xml:space="preserve">Person-Centred Care </w:t>
      </w:r>
      <w:r w:rsidR="00A66F4C" w:rsidRPr="002C0672">
        <w:rPr>
          <w:rStyle w:val="Strong"/>
          <w:rFonts w:ascii="Arial" w:hAnsi="Arial" w:cs="Arial"/>
          <w:sz w:val="24"/>
          <w:szCs w:val="24"/>
        </w:rPr>
        <w:t xml:space="preserve">and </w:t>
      </w:r>
      <w:r w:rsidRPr="002C0672">
        <w:rPr>
          <w:rStyle w:val="Strong"/>
          <w:rFonts w:ascii="Arial" w:hAnsi="Arial" w:cs="Arial"/>
          <w:sz w:val="24"/>
          <w:szCs w:val="24"/>
        </w:rPr>
        <w:t>House of Care Framework (UK Model)</w:t>
      </w:r>
      <w:bookmarkEnd w:id="22"/>
      <w:bookmarkEnd w:id="23"/>
    </w:p>
    <w:p w14:paraId="721FE990" w14:textId="77777777" w:rsidR="00AF3E35" w:rsidRPr="002C0672" w:rsidRDefault="00AF3E35" w:rsidP="00EC1F2D">
      <w:pPr>
        <w:pStyle w:val="w7sjnrxzl6krnffuzhqe"/>
        <w:spacing w:before="0" w:beforeAutospacing="0" w:after="150" w:afterAutospacing="0" w:line="276" w:lineRule="auto"/>
        <w:textAlignment w:val="baseline"/>
        <w:rPr>
          <w:rFonts w:ascii="Arial" w:eastAsia="Arial" w:hAnsi="Arial" w:cs="Arial"/>
          <w:spacing w:val="8"/>
        </w:rPr>
      </w:pPr>
      <w:r w:rsidRPr="002C0672">
        <w:rPr>
          <w:rFonts w:ascii="Arial" w:eastAsia="Arial" w:hAnsi="Arial" w:cs="Arial"/>
          <w:spacing w:val="8"/>
        </w:rPr>
        <w:t xml:space="preserve">In the UK, enhanced outcomes for people with Type 2 diabetes mellitus (T2DM) have a positive association with person-centred care strategies, which focus on collaborative relationships between patients and healthcare professionals and the </w:t>
      </w:r>
      <w:r w:rsidRPr="002C0672">
        <w:rPr>
          <w:rFonts w:ascii="Arial" w:eastAsia="Arial" w:hAnsi="Arial" w:cs="Arial"/>
          <w:spacing w:val="8"/>
        </w:rPr>
        <w:lastRenderedPageBreak/>
        <w:t>use of shared decision-making and a view of an individual’s social and psychological context (NHS England, 2019b). This is indicative of an emerging movement in long-term disease management away from biomedical models of the disease to holistic mechanisms for managing chronic disease in everyday life.</w:t>
      </w:r>
    </w:p>
    <w:p w14:paraId="5A60AE05" w14:textId="09976D91" w:rsidR="79A8E2C5" w:rsidRPr="002C0672" w:rsidRDefault="2E5514E3" w:rsidP="00EC1F2D">
      <w:pPr>
        <w:pStyle w:val="w7sjnrxzl6krnffuzhqe"/>
        <w:spacing w:before="0" w:beforeAutospacing="0" w:after="150" w:afterAutospacing="0" w:line="276" w:lineRule="auto"/>
        <w:rPr>
          <w:rFonts w:ascii="Arial" w:eastAsia="Arial" w:hAnsi="Arial" w:cs="Arial"/>
        </w:rPr>
      </w:pPr>
      <w:r w:rsidRPr="002C0672">
        <w:rPr>
          <w:rFonts w:ascii="Arial" w:hAnsi="Arial" w:cs="Arial"/>
          <w:noProof/>
        </w:rPr>
        <w:drawing>
          <wp:inline distT="0" distB="0" distL="0" distR="0" wp14:anchorId="34A5FDB4" wp14:editId="2F8513F2">
            <wp:extent cx="2200275" cy="2177592"/>
            <wp:effectExtent l="0" t="0" r="0" b="0"/>
            <wp:docPr id="2052763123"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2850988" name="Picture 1592850988"/>
                    <pic:cNvPicPr/>
                  </pic:nvPicPr>
                  <pic:blipFill>
                    <a:blip r:embed="rId12">
                      <a:extLst>
                        <a:ext uri="{28A0092B-C50C-407E-A947-70E740481C1C}">
                          <a14:useLocalDpi xmlns:a14="http://schemas.microsoft.com/office/drawing/2010/main"/>
                        </a:ext>
                      </a:extLst>
                    </a:blip>
                    <a:stretch>
                      <a:fillRect/>
                    </a:stretch>
                  </pic:blipFill>
                  <pic:spPr>
                    <a:xfrm>
                      <a:off x="0" y="0"/>
                      <a:ext cx="2200275" cy="2177592"/>
                    </a:xfrm>
                    <a:prstGeom prst="rect">
                      <a:avLst/>
                    </a:prstGeom>
                  </pic:spPr>
                </pic:pic>
              </a:graphicData>
            </a:graphic>
          </wp:inline>
        </w:drawing>
      </w:r>
    </w:p>
    <w:p w14:paraId="12C71041" w14:textId="3944927A" w:rsidR="1C508085" w:rsidRPr="002C0672" w:rsidRDefault="2E5514E3" w:rsidP="00EC1F2D">
      <w:pPr>
        <w:pStyle w:val="w7sjnrxzl6krnffuzhqe"/>
        <w:spacing w:before="0" w:beforeAutospacing="0" w:after="150" w:afterAutospacing="0" w:line="276" w:lineRule="auto"/>
        <w:rPr>
          <w:rFonts w:ascii="Arial" w:eastAsia="Arial" w:hAnsi="Arial" w:cs="Arial"/>
        </w:rPr>
      </w:pPr>
      <w:r w:rsidRPr="002C0672">
        <w:rPr>
          <w:rFonts w:ascii="Arial" w:eastAsia="Arial" w:hAnsi="Arial" w:cs="Arial"/>
        </w:rPr>
        <w:t xml:space="preserve">Figure </w:t>
      </w:r>
      <w:r w:rsidR="00793B28" w:rsidRPr="002C0672">
        <w:rPr>
          <w:rFonts w:ascii="Arial" w:eastAsia="Arial" w:hAnsi="Arial" w:cs="Arial"/>
        </w:rPr>
        <w:t>5</w:t>
      </w:r>
      <w:r w:rsidRPr="002C0672">
        <w:rPr>
          <w:rFonts w:ascii="Arial" w:eastAsia="Arial" w:hAnsi="Arial" w:cs="Arial"/>
        </w:rPr>
        <w:t xml:space="preserve">: House of Care model </w:t>
      </w:r>
      <w:r w:rsidR="26D34662" w:rsidRPr="002C0672">
        <w:rPr>
          <w:rFonts w:ascii="Arial" w:eastAsia="Arial" w:hAnsi="Arial" w:cs="Arial"/>
        </w:rPr>
        <w:t>(The Scottish Government, 2016)</w:t>
      </w:r>
    </w:p>
    <w:p w14:paraId="4D50218A" w14:textId="77777777" w:rsidR="00AF3E35" w:rsidRPr="002C0672" w:rsidRDefault="00AF3E35" w:rsidP="00EC1F2D">
      <w:pPr>
        <w:pStyle w:val="w7sjnrxzl6krnffuzhqe"/>
        <w:spacing w:before="0" w:beforeAutospacing="0" w:after="150" w:afterAutospacing="0" w:line="276" w:lineRule="auto"/>
        <w:textAlignment w:val="baseline"/>
        <w:rPr>
          <w:rFonts w:ascii="Arial" w:eastAsia="Arial" w:hAnsi="Arial" w:cs="Arial"/>
          <w:spacing w:val="8"/>
        </w:rPr>
      </w:pPr>
      <w:r w:rsidRPr="002C0672">
        <w:rPr>
          <w:rFonts w:ascii="Arial" w:eastAsia="Arial" w:hAnsi="Arial" w:cs="Arial"/>
          <w:spacing w:val="8"/>
        </w:rPr>
        <w:t>The House of Care, a structured organisational model designed to drive the transformation of long-term condition management in the NHS, exemplifies these principles. The model conceptualises effective care as the interaction between engaged and informed patients, prepared multidisciplinary teams, supportive organisational systems and enabling commissioning structures (Coulter, Roberts and Dixon, 2013). At the heart of the framework is personalised care planning, which places people as stakeholders in decision-making rather than passive subjects of treatment.</w:t>
      </w:r>
    </w:p>
    <w:p w14:paraId="16237816" w14:textId="77777777" w:rsidR="00AF3E35" w:rsidRPr="002C0672" w:rsidRDefault="00AF3E35" w:rsidP="00EC1F2D">
      <w:pPr>
        <w:pStyle w:val="Heading2"/>
        <w:spacing w:line="276" w:lineRule="auto"/>
        <w:rPr>
          <w:rStyle w:val="Strong"/>
          <w:rFonts w:ascii="Arial" w:hAnsi="Arial" w:cs="Arial"/>
          <w:sz w:val="24"/>
          <w:szCs w:val="24"/>
        </w:rPr>
      </w:pPr>
      <w:bookmarkStart w:id="24" w:name="_Toc224421143"/>
      <w:bookmarkStart w:id="25" w:name="_Toc224421447"/>
      <w:r w:rsidRPr="002C0672">
        <w:rPr>
          <w:rStyle w:val="Strong"/>
          <w:rFonts w:ascii="Arial" w:hAnsi="Arial" w:cs="Arial"/>
          <w:sz w:val="24"/>
          <w:szCs w:val="24"/>
        </w:rPr>
        <w:t>House of Care in T2DM management</w:t>
      </w:r>
      <w:bookmarkEnd w:id="24"/>
      <w:bookmarkEnd w:id="25"/>
    </w:p>
    <w:p w14:paraId="45D36A98" w14:textId="6F10381D" w:rsidR="00796419" w:rsidRPr="002C0672" w:rsidRDefault="00AF3E35" w:rsidP="00EC1F2D">
      <w:pPr>
        <w:pStyle w:val="w7sjnrxzl6krnffuzhqe"/>
        <w:spacing w:before="0" w:beforeAutospacing="0" w:after="150" w:afterAutospacing="0" w:line="276" w:lineRule="auto"/>
        <w:textAlignment w:val="baseline"/>
        <w:rPr>
          <w:rFonts w:ascii="Arial" w:eastAsia="Arial" w:hAnsi="Arial" w:cs="Arial"/>
          <w:spacing w:val="8"/>
        </w:rPr>
      </w:pPr>
      <w:r w:rsidRPr="002C0672">
        <w:rPr>
          <w:rFonts w:ascii="Arial" w:eastAsia="Arial" w:hAnsi="Arial" w:cs="Arial"/>
          <w:spacing w:val="8"/>
        </w:rPr>
        <w:t xml:space="preserve">The House of Care model focuses largely on structured education and care, coordinated patient care and personalised goal setting. It is also the basis of the Comprehensive Personalised Care framework, established with the NHS Long Term Plan, which encourages social prescribing, </w:t>
      </w:r>
      <w:r w:rsidR="000C484E" w:rsidRPr="002C0672">
        <w:rPr>
          <w:rFonts w:ascii="Arial" w:eastAsia="Arial" w:hAnsi="Arial" w:cs="Arial"/>
          <w:spacing w:val="8"/>
        </w:rPr>
        <w:t>self-guided</w:t>
      </w:r>
      <w:r w:rsidRPr="002C0672">
        <w:rPr>
          <w:rFonts w:ascii="Arial" w:eastAsia="Arial" w:hAnsi="Arial" w:cs="Arial"/>
          <w:spacing w:val="8"/>
        </w:rPr>
        <w:t xml:space="preserve"> management and personalised care planning to tackle broader health drivers (NHS England, 2019b). Behaviour-change measures embedded in these paradigms are derived from concepts</w:t>
      </w:r>
      <w:r w:rsidR="00766E64" w:rsidRPr="002C0672">
        <w:rPr>
          <w:rFonts w:ascii="Arial" w:eastAsia="Arial" w:hAnsi="Arial" w:cs="Arial"/>
          <w:spacing w:val="8"/>
        </w:rPr>
        <w:t xml:space="preserve"> of </w:t>
      </w:r>
      <w:r w:rsidRPr="002C0672">
        <w:rPr>
          <w:rFonts w:ascii="Arial" w:eastAsia="Arial" w:hAnsi="Arial" w:cs="Arial"/>
          <w:spacing w:val="8"/>
        </w:rPr>
        <w:t xml:space="preserve">self-regulation and behaviour change research, which have informed the NHS Diabetes Prevention Programme (Hawkes </w:t>
      </w:r>
      <w:r w:rsidRPr="000A3B7A">
        <w:rPr>
          <w:rFonts w:ascii="Arial" w:eastAsia="Arial" w:hAnsi="Arial" w:cs="Arial"/>
          <w:i/>
          <w:iCs/>
          <w:spacing w:val="8"/>
        </w:rPr>
        <w:t>et al</w:t>
      </w:r>
      <w:r w:rsidRPr="002C0672">
        <w:rPr>
          <w:rFonts w:ascii="Arial" w:eastAsia="Arial" w:hAnsi="Arial" w:cs="Arial"/>
          <w:spacing w:val="8"/>
        </w:rPr>
        <w:t xml:space="preserve">., 2021). </w:t>
      </w:r>
    </w:p>
    <w:p w14:paraId="69C2AC5F" w14:textId="582212F6" w:rsidR="00AF3E35" w:rsidRPr="002C0672" w:rsidRDefault="00AF3E35" w:rsidP="00EC1F2D">
      <w:pPr>
        <w:pStyle w:val="w7sjnrxzl6krnffuzhqe"/>
        <w:spacing w:before="0" w:beforeAutospacing="0" w:after="150" w:afterAutospacing="0" w:line="276" w:lineRule="auto"/>
        <w:textAlignment w:val="baseline"/>
        <w:rPr>
          <w:rFonts w:ascii="Arial" w:eastAsia="Arial" w:hAnsi="Arial" w:cs="Arial"/>
          <w:spacing w:val="8"/>
        </w:rPr>
      </w:pPr>
      <w:r w:rsidRPr="002C0672">
        <w:rPr>
          <w:rFonts w:ascii="Arial" w:eastAsia="Arial" w:hAnsi="Arial" w:cs="Arial"/>
          <w:spacing w:val="8"/>
        </w:rPr>
        <w:t xml:space="preserve">Although personalised care approaches can drive personal patient engagement and self-management, improvements in biomedical outcomes on HbA1c, for example, vary between Integrated Care Systems (ICS), indicating ongoing implementation difficulties (Tahir </w:t>
      </w:r>
      <w:r w:rsidRPr="000A3B7A">
        <w:rPr>
          <w:rFonts w:ascii="Arial" w:eastAsia="Arial" w:hAnsi="Arial" w:cs="Arial"/>
          <w:i/>
          <w:iCs/>
          <w:spacing w:val="8"/>
        </w:rPr>
        <w:t>et al.</w:t>
      </w:r>
      <w:r w:rsidRPr="002C0672">
        <w:rPr>
          <w:rFonts w:ascii="Arial" w:eastAsia="Arial" w:hAnsi="Arial" w:cs="Arial"/>
          <w:spacing w:val="8"/>
        </w:rPr>
        <w:t>, 2025).</w:t>
      </w:r>
    </w:p>
    <w:p w14:paraId="6C5BA42E" w14:textId="77777777" w:rsidR="00AF3E35" w:rsidRPr="002C0672" w:rsidRDefault="00AF3E35" w:rsidP="00EC1F2D">
      <w:pPr>
        <w:pStyle w:val="Heading2"/>
        <w:spacing w:line="276" w:lineRule="auto"/>
        <w:rPr>
          <w:rStyle w:val="Strong"/>
          <w:rFonts w:ascii="Arial" w:hAnsi="Arial" w:cs="Arial"/>
          <w:sz w:val="24"/>
          <w:szCs w:val="24"/>
        </w:rPr>
      </w:pPr>
      <w:bookmarkStart w:id="26" w:name="_Toc224421144"/>
      <w:bookmarkStart w:id="27" w:name="_Toc224421448"/>
      <w:r w:rsidRPr="002C0672">
        <w:rPr>
          <w:rStyle w:val="Strong"/>
          <w:rFonts w:ascii="Arial" w:hAnsi="Arial" w:cs="Arial"/>
          <w:sz w:val="24"/>
          <w:szCs w:val="24"/>
        </w:rPr>
        <w:t>The Chronic Care Model is an International Model</w:t>
      </w:r>
      <w:bookmarkEnd w:id="26"/>
      <w:bookmarkEnd w:id="27"/>
    </w:p>
    <w:p w14:paraId="456CC136" w14:textId="730141C8" w:rsidR="00810018" w:rsidRPr="00810018" w:rsidRDefault="00AF3E35" w:rsidP="00EC1F2D">
      <w:pPr>
        <w:pStyle w:val="w7sjnrxzl6krnffuzhqe"/>
        <w:spacing w:before="0" w:beforeAutospacing="0" w:after="150" w:afterAutospacing="0" w:line="276" w:lineRule="auto"/>
        <w:textAlignment w:val="baseline"/>
        <w:rPr>
          <w:rFonts w:ascii="Arial" w:eastAsia="Arial" w:hAnsi="Arial" w:cs="Arial"/>
          <w:spacing w:val="8"/>
        </w:rPr>
      </w:pPr>
      <w:r w:rsidRPr="002C0672">
        <w:rPr>
          <w:rFonts w:ascii="Arial" w:eastAsia="Arial" w:hAnsi="Arial" w:cs="Arial"/>
          <w:spacing w:val="8"/>
        </w:rPr>
        <w:t xml:space="preserve">At the global level, Wagner’s Chronic Care Model (CCM) has been identified as one of the most internationally recognised frameworks to enhance long-term condition care. CCM developed in the USA suggested that better outcomes occur when patients with education and activation connect to proactive healthcare teams that are </w:t>
      </w:r>
      <w:r w:rsidRPr="002C0672">
        <w:rPr>
          <w:rFonts w:ascii="Arial" w:eastAsia="Arial" w:hAnsi="Arial" w:cs="Arial"/>
          <w:spacing w:val="8"/>
        </w:rPr>
        <w:lastRenderedPageBreak/>
        <w:t>facilitated by effective organisational systems (Bodenheimer, Wagner and Grumbach, 2002).</w:t>
      </w:r>
    </w:p>
    <w:p w14:paraId="6EAF06E1" w14:textId="644194E8" w:rsidR="1C508085" w:rsidRPr="002C0672" w:rsidRDefault="00810018" w:rsidP="00EC1F2D">
      <w:pPr>
        <w:pStyle w:val="w7sjnrxzl6krnffuzhqe"/>
        <w:spacing w:line="276" w:lineRule="auto"/>
        <w:textAlignment w:val="baseline"/>
        <w:rPr>
          <w:rFonts w:ascii="Arial" w:eastAsia="Arial" w:hAnsi="Arial" w:cs="Arial"/>
          <w:spacing w:val="8"/>
        </w:rPr>
      </w:pPr>
      <w:r w:rsidRPr="00810018">
        <w:rPr>
          <w:rFonts w:ascii="Arial" w:eastAsia="Arial" w:hAnsi="Arial" w:cs="Arial"/>
          <w:spacing w:val="8"/>
        </w:rPr>
        <w:drawing>
          <wp:inline distT="0" distB="0" distL="0" distR="0" wp14:anchorId="59CACB64" wp14:editId="53E995C4">
            <wp:extent cx="2638425" cy="1571625"/>
            <wp:effectExtent l="0" t="0" r="0" b="0"/>
            <wp:docPr id="1083533180"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3533180" name="Picture 1083533180"/>
                    <pic:cNvPicPr/>
                  </pic:nvPicPr>
                  <pic:blipFill>
                    <a:blip r:embed="rId13">
                      <a:extLst>
                        <a:ext uri="{28A0092B-C50C-407E-A947-70E740481C1C}">
                          <a14:useLocalDpi xmlns:a14="http://schemas.microsoft.com/office/drawing/2010/main"/>
                        </a:ext>
                      </a:extLst>
                    </a:blip>
                    <a:stretch>
                      <a:fillRect/>
                    </a:stretch>
                  </pic:blipFill>
                  <pic:spPr>
                    <a:xfrm>
                      <a:off x="0" y="0"/>
                      <a:ext cx="2638425" cy="1571625"/>
                    </a:xfrm>
                    <a:prstGeom prst="rect">
                      <a:avLst/>
                    </a:prstGeom>
                  </pic:spPr>
                </pic:pic>
              </a:graphicData>
            </a:graphic>
          </wp:inline>
        </w:drawing>
      </w:r>
      <w:r w:rsidRPr="00810018">
        <w:rPr>
          <w:rFonts w:ascii="Arial" w:eastAsia="Arial" w:hAnsi="Arial" w:cs="Arial"/>
          <w:spacing w:val="8"/>
        </w:rPr>
        <w:t xml:space="preserve">Figure </w:t>
      </w:r>
      <w:r w:rsidRPr="002C0672">
        <w:rPr>
          <w:rFonts w:ascii="Arial" w:eastAsia="Arial" w:hAnsi="Arial" w:cs="Arial"/>
          <w:spacing w:val="8"/>
        </w:rPr>
        <w:t>6</w:t>
      </w:r>
      <w:r w:rsidRPr="00810018">
        <w:rPr>
          <w:rFonts w:ascii="Arial" w:eastAsia="Arial" w:hAnsi="Arial" w:cs="Arial"/>
          <w:spacing w:val="8"/>
        </w:rPr>
        <w:t xml:space="preserve"> Chronic Care Model supporting diabetes self-management and coordinated care (Ansari </w:t>
      </w:r>
      <w:r w:rsidRPr="00810018">
        <w:rPr>
          <w:rFonts w:ascii="Arial" w:eastAsia="Arial" w:hAnsi="Arial" w:cs="Arial"/>
          <w:i/>
          <w:iCs/>
          <w:spacing w:val="8"/>
        </w:rPr>
        <w:t>et al</w:t>
      </w:r>
      <w:r w:rsidRPr="00810018">
        <w:rPr>
          <w:rFonts w:ascii="Arial" w:eastAsia="Arial" w:hAnsi="Arial" w:cs="Arial"/>
          <w:spacing w:val="8"/>
        </w:rPr>
        <w:t>., 2021)</w:t>
      </w:r>
    </w:p>
    <w:p w14:paraId="6E4722BC" w14:textId="77777777" w:rsidR="0092080A" w:rsidRPr="002C0672" w:rsidRDefault="00AF3E35" w:rsidP="00EC1F2D">
      <w:pPr>
        <w:pStyle w:val="w7sjnrxzl6krnffuzhqe"/>
        <w:spacing w:before="0" w:beforeAutospacing="0" w:after="150" w:afterAutospacing="0" w:line="276" w:lineRule="auto"/>
        <w:textAlignment w:val="baseline"/>
        <w:rPr>
          <w:rFonts w:ascii="Arial" w:eastAsia="Arial" w:hAnsi="Arial" w:cs="Arial"/>
          <w:spacing w:val="8"/>
        </w:rPr>
      </w:pPr>
      <w:r w:rsidRPr="002C0672">
        <w:rPr>
          <w:rFonts w:ascii="Arial" w:eastAsia="Arial" w:hAnsi="Arial" w:cs="Arial"/>
          <w:spacing w:val="8"/>
        </w:rPr>
        <w:t>Six components identified in the model were required for effective chronic disease care</w:t>
      </w:r>
      <w:r w:rsidR="00D67367" w:rsidRPr="002C0672">
        <w:rPr>
          <w:rFonts w:ascii="Arial" w:eastAsia="Arial" w:hAnsi="Arial" w:cs="Arial"/>
          <w:spacing w:val="8"/>
        </w:rPr>
        <w:t>:</w:t>
      </w:r>
      <w:r w:rsidRPr="002C0672">
        <w:rPr>
          <w:rFonts w:ascii="Arial" w:eastAsia="Arial" w:hAnsi="Arial" w:cs="Arial"/>
          <w:spacing w:val="8"/>
        </w:rPr>
        <w:t xml:space="preserve"> community resources, healthcare organisation, self-management support, decision support, delivery system design and clinical information systems. They help promote structured multidisciplinary care and systematic monitoring through patient registries and clinical information systems within T2DM management. Such systems help clinicians monitor outcomes, identify patients needing intensification of treatment, and make certain procedures, such as the completion of recommended care tasks, such as HbA1c and retinal screening, as well as patient monitoring, have been done. It has been reported that interventions consistent with the CCM can benefit diabetes care processes and can lead to modest improvements in glycaemic control </w:t>
      </w:r>
      <w:r w:rsidRPr="002C0672">
        <w:rPr>
          <w:rFonts w:ascii="Arial" w:eastAsia="Arial" w:hAnsi="Arial" w:cs="Arial"/>
          <w:spacing w:val="8"/>
        </w:rPr>
        <w:t>and cardiovascular risk reduction (</w:t>
      </w:r>
      <w:proofErr w:type="spellStart"/>
      <w:r w:rsidRPr="002C0672">
        <w:rPr>
          <w:rFonts w:ascii="Arial" w:eastAsia="Arial" w:hAnsi="Arial" w:cs="Arial"/>
          <w:spacing w:val="8"/>
        </w:rPr>
        <w:t>Stellefson</w:t>
      </w:r>
      <w:proofErr w:type="spellEnd"/>
      <w:r w:rsidRPr="002C0672">
        <w:rPr>
          <w:rFonts w:ascii="Arial" w:eastAsia="Arial" w:hAnsi="Arial" w:cs="Arial"/>
          <w:spacing w:val="8"/>
        </w:rPr>
        <w:t xml:space="preserve"> </w:t>
      </w:r>
      <w:r w:rsidRPr="002C0672">
        <w:rPr>
          <w:rFonts w:ascii="Arial" w:eastAsia="Arial" w:hAnsi="Arial" w:cs="Arial"/>
          <w:i/>
          <w:iCs/>
          <w:spacing w:val="8"/>
        </w:rPr>
        <w:t>et al</w:t>
      </w:r>
      <w:r w:rsidRPr="002C0672">
        <w:rPr>
          <w:rFonts w:ascii="Arial" w:eastAsia="Arial" w:hAnsi="Arial" w:cs="Arial"/>
          <w:spacing w:val="8"/>
        </w:rPr>
        <w:t>., 2013).</w:t>
      </w:r>
    </w:p>
    <w:p w14:paraId="676DF79D" w14:textId="0588DB06" w:rsidR="00AF3E35" w:rsidRPr="002C0672" w:rsidRDefault="00AF3E35" w:rsidP="00EC1F2D">
      <w:pPr>
        <w:pStyle w:val="w7sjnrxzl6krnffuzhqe"/>
        <w:spacing w:before="0" w:beforeAutospacing="0" w:after="150" w:afterAutospacing="0" w:line="276" w:lineRule="auto"/>
        <w:textAlignment w:val="baseline"/>
        <w:rPr>
          <w:rFonts w:ascii="Arial" w:eastAsia="Arial" w:hAnsi="Arial" w:cs="Arial"/>
          <w:spacing w:val="8"/>
        </w:rPr>
      </w:pPr>
      <w:r w:rsidRPr="002C0672">
        <w:rPr>
          <w:rFonts w:ascii="Arial" w:eastAsia="Arial" w:hAnsi="Arial" w:cs="Arial"/>
          <w:spacing w:val="8"/>
        </w:rPr>
        <w:t xml:space="preserve">While both systems focus on enhanced outcomes in long-term outcomes related to the management of the disease, they highlight disparate aspects of care provision. The House of Care model focuses primarily on person-centred care and collaborative decision making, while considering the social context within NHS services, while the Chronic Care Model focuses much more on system design, information systems and active multidisciplinary care (Coulter </w:t>
      </w:r>
      <w:r w:rsidRPr="000A3B7A">
        <w:rPr>
          <w:rFonts w:ascii="Arial" w:eastAsia="Arial" w:hAnsi="Arial" w:cs="Arial"/>
          <w:i/>
          <w:iCs/>
          <w:spacing w:val="8"/>
        </w:rPr>
        <w:t>et al</w:t>
      </w:r>
      <w:r w:rsidRPr="002C0672">
        <w:rPr>
          <w:rFonts w:ascii="Arial" w:eastAsia="Arial" w:hAnsi="Arial" w:cs="Arial"/>
          <w:spacing w:val="8"/>
        </w:rPr>
        <w:t>., 2013; Bodenheimer, Wagner and Grumbach, 2002). Such a comprehensive framework may provide the most effective solution for diabetes management via system reliability and personalised care, as well as engaging the patients (</w:t>
      </w:r>
      <w:proofErr w:type="spellStart"/>
      <w:r w:rsidRPr="002C0672">
        <w:rPr>
          <w:rFonts w:ascii="Arial" w:eastAsia="Arial" w:hAnsi="Arial" w:cs="Arial"/>
          <w:spacing w:val="8"/>
        </w:rPr>
        <w:t>Stellefson</w:t>
      </w:r>
      <w:proofErr w:type="spellEnd"/>
      <w:r w:rsidRPr="002C0672">
        <w:rPr>
          <w:rFonts w:ascii="Arial" w:eastAsia="Arial" w:hAnsi="Arial" w:cs="Arial"/>
          <w:spacing w:val="8"/>
        </w:rPr>
        <w:t xml:space="preserve"> </w:t>
      </w:r>
      <w:r w:rsidRPr="000A3B7A">
        <w:rPr>
          <w:rFonts w:ascii="Arial" w:eastAsia="Arial" w:hAnsi="Arial" w:cs="Arial"/>
          <w:i/>
          <w:iCs/>
          <w:spacing w:val="8"/>
        </w:rPr>
        <w:t>et al</w:t>
      </w:r>
      <w:r w:rsidRPr="002C0672">
        <w:rPr>
          <w:rFonts w:ascii="Arial" w:eastAsia="Arial" w:hAnsi="Arial" w:cs="Arial"/>
          <w:spacing w:val="8"/>
        </w:rPr>
        <w:t>., 2013).</w:t>
      </w:r>
    </w:p>
    <w:p w14:paraId="5365F75C" w14:textId="77777777" w:rsidR="00810018" w:rsidRPr="00810018" w:rsidRDefault="00810018" w:rsidP="00EC1F2D">
      <w:pPr>
        <w:spacing w:line="276" w:lineRule="auto"/>
        <w:rPr>
          <w:rFonts w:ascii="Arial" w:eastAsia="Arial" w:hAnsi="Arial" w:cs="Arial"/>
          <w:b/>
          <w:bCs/>
        </w:rPr>
      </w:pPr>
      <w:r w:rsidRPr="00810018">
        <w:rPr>
          <w:rFonts w:ascii="Arial" w:eastAsia="Arial" w:hAnsi="Arial" w:cs="Arial"/>
          <w:b/>
          <w:bCs/>
        </w:rPr>
        <w:drawing>
          <wp:inline distT="0" distB="0" distL="0" distR="0" wp14:anchorId="7293EB31" wp14:editId="2FB2A83E">
            <wp:extent cx="2638425" cy="1619250"/>
            <wp:effectExtent l="0" t="0" r="0" b="0"/>
            <wp:docPr id="1720547888"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2017678" name="Picture 792017678"/>
                    <pic:cNvPicPr/>
                  </pic:nvPicPr>
                  <pic:blipFill>
                    <a:blip r:embed="rId14">
                      <a:extLst>
                        <a:ext uri="{28A0092B-C50C-407E-A947-70E740481C1C}">
                          <a14:useLocalDpi xmlns:a14="http://schemas.microsoft.com/office/drawing/2010/main"/>
                        </a:ext>
                      </a:extLst>
                    </a:blip>
                    <a:stretch>
                      <a:fillRect/>
                    </a:stretch>
                  </pic:blipFill>
                  <pic:spPr>
                    <a:xfrm>
                      <a:off x="0" y="0"/>
                      <a:ext cx="2638425" cy="1619250"/>
                    </a:xfrm>
                    <a:prstGeom prst="rect">
                      <a:avLst/>
                    </a:prstGeom>
                  </pic:spPr>
                </pic:pic>
              </a:graphicData>
            </a:graphic>
          </wp:inline>
        </w:drawing>
      </w:r>
    </w:p>
    <w:p w14:paraId="09CF58F2" w14:textId="37306906" w:rsidR="00810018" w:rsidRPr="00810018" w:rsidRDefault="00810018" w:rsidP="00EC1F2D">
      <w:pPr>
        <w:spacing w:line="276" w:lineRule="auto"/>
        <w:rPr>
          <w:rFonts w:ascii="Arial" w:eastAsia="Arial" w:hAnsi="Arial" w:cs="Arial"/>
        </w:rPr>
      </w:pPr>
      <w:r w:rsidRPr="00810018">
        <w:rPr>
          <w:rFonts w:ascii="Arial" w:eastAsia="Arial" w:hAnsi="Arial" w:cs="Arial"/>
        </w:rPr>
        <w:t xml:space="preserve">Figure </w:t>
      </w:r>
      <w:r w:rsidRPr="002C0672">
        <w:rPr>
          <w:rFonts w:ascii="Arial" w:eastAsia="Arial" w:hAnsi="Arial" w:cs="Arial"/>
        </w:rPr>
        <w:t>7</w:t>
      </w:r>
      <w:r w:rsidRPr="00810018">
        <w:rPr>
          <w:rFonts w:ascii="Arial" w:eastAsia="Arial" w:hAnsi="Arial" w:cs="Arial"/>
        </w:rPr>
        <w:t xml:space="preserve"> (Longwoods.com, 2026)</w:t>
      </w:r>
    </w:p>
    <w:p w14:paraId="6F3CE425" w14:textId="77777777" w:rsidR="00996861" w:rsidRPr="002C0672" w:rsidRDefault="00996861" w:rsidP="00EC1F2D">
      <w:pPr>
        <w:spacing w:line="276" w:lineRule="auto"/>
        <w:rPr>
          <w:rFonts w:ascii="Arial" w:eastAsia="Arial" w:hAnsi="Arial" w:cs="Arial"/>
          <w:b/>
          <w:bCs/>
        </w:rPr>
      </w:pPr>
    </w:p>
    <w:p w14:paraId="3B726299" w14:textId="7BB50F74" w:rsidR="00886D14" w:rsidRPr="002C0672" w:rsidRDefault="4F75A676" w:rsidP="00EC1F2D">
      <w:pPr>
        <w:pStyle w:val="Heading2"/>
        <w:spacing w:line="276" w:lineRule="auto"/>
        <w:rPr>
          <w:rStyle w:val="Strong"/>
          <w:rFonts w:ascii="Arial" w:hAnsi="Arial" w:cs="Arial"/>
          <w:sz w:val="24"/>
          <w:szCs w:val="24"/>
        </w:rPr>
      </w:pPr>
      <w:bookmarkStart w:id="28" w:name="_Toc224421145"/>
      <w:bookmarkStart w:id="29" w:name="_Toc224421449"/>
      <w:r w:rsidRPr="002C0672">
        <w:rPr>
          <w:rStyle w:val="Strong"/>
          <w:rFonts w:ascii="Arial" w:hAnsi="Arial" w:cs="Arial"/>
          <w:sz w:val="24"/>
          <w:szCs w:val="24"/>
        </w:rPr>
        <w:t xml:space="preserve">National </w:t>
      </w:r>
      <w:r w:rsidR="00104BC3" w:rsidRPr="002C0672">
        <w:rPr>
          <w:rStyle w:val="Strong"/>
          <w:rFonts w:ascii="Arial" w:hAnsi="Arial" w:cs="Arial"/>
          <w:sz w:val="24"/>
          <w:szCs w:val="24"/>
        </w:rPr>
        <w:t xml:space="preserve">and </w:t>
      </w:r>
      <w:r w:rsidR="009C1796" w:rsidRPr="002C0672">
        <w:rPr>
          <w:rStyle w:val="Strong"/>
          <w:rFonts w:ascii="Arial" w:hAnsi="Arial" w:cs="Arial"/>
          <w:sz w:val="24"/>
          <w:szCs w:val="24"/>
        </w:rPr>
        <w:t xml:space="preserve">Local </w:t>
      </w:r>
      <w:r w:rsidR="00104BC3" w:rsidRPr="002C0672">
        <w:rPr>
          <w:rStyle w:val="Strong"/>
          <w:rFonts w:ascii="Arial" w:hAnsi="Arial" w:cs="Arial"/>
          <w:sz w:val="24"/>
          <w:szCs w:val="24"/>
        </w:rPr>
        <w:t>P</w:t>
      </w:r>
      <w:r w:rsidRPr="002C0672">
        <w:rPr>
          <w:rStyle w:val="Strong"/>
          <w:rFonts w:ascii="Arial" w:hAnsi="Arial" w:cs="Arial"/>
          <w:sz w:val="24"/>
          <w:szCs w:val="24"/>
        </w:rPr>
        <w:t xml:space="preserve">olicy </w:t>
      </w:r>
      <w:r w:rsidR="00104BC3" w:rsidRPr="002C0672">
        <w:rPr>
          <w:rStyle w:val="Strong"/>
          <w:rFonts w:ascii="Arial" w:hAnsi="Arial" w:cs="Arial"/>
          <w:sz w:val="24"/>
          <w:szCs w:val="24"/>
        </w:rPr>
        <w:t>F</w:t>
      </w:r>
      <w:r w:rsidRPr="002C0672">
        <w:rPr>
          <w:rStyle w:val="Strong"/>
          <w:rFonts w:ascii="Arial" w:hAnsi="Arial" w:cs="Arial"/>
          <w:sz w:val="24"/>
          <w:szCs w:val="24"/>
        </w:rPr>
        <w:t>rameworks</w:t>
      </w:r>
      <w:r w:rsidR="00104BC3" w:rsidRPr="002C0672">
        <w:rPr>
          <w:rStyle w:val="Strong"/>
          <w:rFonts w:ascii="Arial" w:hAnsi="Arial" w:cs="Arial"/>
          <w:sz w:val="24"/>
          <w:szCs w:val="24"/>
        </w:rPr>
        <w:t xml:space="preserve"> C</w:t>
      </w:r>
      <w:r w:rsidR="00A139BD" w:rsidRPr="002C0672">
        <w:rPr>
          <w:rStyle w:val="Strong"/>
          <w:rFonts w:ascii="Arial" w:hAnsi="Arial" w:cs="Arial"/>
          <w:sz w:val="24"/>
          <w:szCs w:val="24"/>
        </w:rPr>
        <w:t>hallenges.</w:t>
      </w:r>
      <w:bookmarkEnd w:id="28"/>
      <w:bookmarkEnd w:id="29"/>
      <w:r w:rsidR="00A139BD" w:rsidRPr="002C0672">
        <w:rPr>
          <w:rStyle w:val="Strong"/>
          <w:rFonts w:ascii="Arial" w:hAnsi="Arial" w:cs="Arial"/>
          <w:sz w:val="24"/>
          <w:szCs w:val="24"/>
        </w:rPr>
        <w:t xml:space="preserve"> </w:t>
      </w:r>
    </w:p>
    <w:p w14:paraId="60628907" w14:textId="5158DE3D" w:rsidR="00D574D9" w:rsidRPr="002C0672" w:rsidRDefault="00A139BD" w:rsidP="00EC1F2D">
      <w:pPr>
        <w:spacing w:line="276" w:lineRule="auto"/>
        <w:rPr>
          <w:rFonts w:ascii="Arial" w:eastAsia="Arial" w:hAnsi="Arial" w:cs="Arial"/>
          <w:spacing w:val="8"/>
          <w:shd w:val="clear" w:color="auto" w:fill="FFFFFF"/>
        </w:rPr>
      </w:pPr>
      <w:r w:rsidRPr="002C0672">
        <w:rPr>
          <w:rFonts w:ascii="Arial" w:eastAsia="Arial" w:hAnsi="Arial" w:cs="Arial"/>
          <w:spacing w:val="8"/>
          <w:shd w:val="clear" w:color="auto" w:fill="FFFFFF"/>
        </w:rPr>
        <w:t xml:space="preserve">In the United Kingdom, Type 2 diabetes mellitus (T2DM) is managed under national policy guidelines, which prioritise prevention, integrated care to </w:t>
      </w:r>
      <w:r w:rsidRPr="002C0672">
        <w:rPr>
          <w:rFonts w:ascii="Arial" w:eastAsia="Arial" w:hAnsi="Arial" w:cs="Arial"/>
          <w:spacing w:val="8"/>
          <w:shd w:val="clear" w:color="auto" w:fill="FFFFFF"/>
        </w:rPr>
        <w:lastRenderedPageBreak/>
        <w:t xml:space="preserve">manage chronic conditions holistically and person-centred care to manage and prevent long-term conditions for patients. </w:t>
      </w:r>
      <w:proofErr w:type="spellStart"/>
      <w:r w:rsidRPr="002C0672">
        <w:rPr>
          <w:rFonts w:ascii="Arial" w:eastAsia="Arial" w:hAnsi="Arial" w:cs="Arial"/>
          <w:spacing w:val="8"/>
          <w:shd w:val="clear" w:color="auto" w:fill="FFFFFF"/>
        </w:rPr>
        <w:t>Preemptive</w:t>
      </w:r>
      <w:proofErr w:type="spellEnd"/>
      <w:r w:rsidRPr="002C0672">
        <w:rPr>
          <w:rFonts w:ascii="Arial" w:eastAsia="Arial" w:hAnsi="Arial" w:cs="Arial"/>
          <w:spacing w:val="8"/>
          <w:shd w:val="clear" w:color="auto" w:fill="FFFFFF"/>
        </w:rPr>
        <w:t xml:space="preserve"> diagnoses, disease-management improvement and population health approaches to narrowing the gap in health inequalities are key in the NHS Long Term Plan (NHS England, 2019a). NICE guideline </w:t>
      </w:r>
      <w:r w:rsidR="00A86145" w:rsidRPr="002C0672">
        <w:rPr>
          <w:rFonts w:ascii="Arial" w:eastAsia="Arial" w:hAnsi="Arial" w:cs="Arial"/>
          <w:spacing w:val="8"/>
          <w:shd w:val="clear" w:color="auto" w:fill="FFFFFF"/>
        </w:rPr>
        <w:t xml:space="preserve">Usman </w:t>
      </w:r>
      <w:r w:rsidR="00A86145" w:rsidRPr="002C0672">
        <w:rPr>
          <w:rFonts w:ascii="Arial" w:eastAsia="Arial" w:hAnsi="Arial" w:cs="Arial"/>
          <w:spacing w:val="8"/>
          <w:shd w:val="clear" w:color="auto" w:fill="FFFFFF"/>
        </w:rPr>
        <w:t>(</w:t>
      </w:r>
      <w:r w:rsidR="00A86145" w:rsidRPr="002C0672">
        <w:rPr>
          <w:rFonts w:ascii="Arial" w:eastAsia="Arial" w:hAnsi="Arial" w:cs="Arial"/>
          <w:spacing w:val="8"/>
          <w:shd w:val="clear" w:color="auto" w:fill="FFFFFF"/>
        </w:rPr>
        <w:t>2026)</w:t>
      </w:r>
      <w:r w:rsidRPr="002C0672">
        <w:rPr>
          <w:rFonts w:ascii="Arial" w:eastAsia="Arial" w:hAnsi="Arial" w:cs="Arial"/>
          <w:spacing w:val="8"/>
          <w:shd w:val="clear" w:color="auto" w:fill="FFFFFF"/>
        </w:rPr>
        <w:t xml:space="preserve">, with evidence-based recommendations for glycaemic management, pharmacotherapy, and complication recognition among adults with T2DM, also supports clinical practice. </w:t>
      </w:r>
    </w:p>
    <w:p w14:paraId="27BC26AF" w14:textId="33BF4A57" w:rsidR="00A77E01" w:rsidRPr="002C0672" w:rsidRDefault="0043794D" w:rsidP="00EC1F2D">
      <w:pPr>
        <w:spacing w:line="276" w:lineRule="auto"/>
        <w:rPr>
          <w:rFonts w:ascii="Arial" w:eastAsia="Arial" w:hAnsi="Arial" w:cs="Arial"/>
          <w:spacing w:val="8"/>
          <w:shd w:val="clear" w:color="auto" w:fill="FFFFFF"/>
        </w:rPr>
      </w:pPr>
      <w:r w:rsidRPr="002C0672">
        <w:rPr>
          <w:rFonts w:ascii="Arial" w:eastAsia="Arial" w:hAnsi="Arial" w:cs="Arial"/>
          <w:spacing w:val="8"/>
          <w:shd w:val="clear" w:color="auto" w:fill="FFFFFF"/>
        </w:rPr>
        <w:t>Despite</w:t>
      </w:r>
      <w:r w:rsidR="00D92548" w:rsidRPr="002C0672">
        <w:rPr>
          <w:rFonts w:ascii="Arial" w:eastAsia="Arial" w:hAnsi="Arial" w:cs="Arial"/>
          <w:spacing w:val="8"/>
          <w:shd w:val="clear" w:color="auto" w:fill="FFFFFF"/>
        </w:rPr>
        <w:t xml:space="preserve"> </w:t>
      </w:r>
      <w:r w:rsidRPr="002C0672">
        <w:rPr>
          <w:rFonts w:ascii="Arial" w:eastAsia="Arial" w:hAnsi="Arial" w:cs="Arial"/>
          <w:spacing w:val="8"/>
          <w:shd w:val="clear" w:color="auto" w:fill="FFFFFF"/>
        </w:rPr>
        <w:t>these</w:t>
      </w:r>
      <w:r w:rsidR="00A139BD" w:rsidRPr="002C0672">
        <w:rPr>
          <w:rFonts w:ascii="Arial" w:eastAsia="Arial" w:hAnsi="Arial" w:cs="Arial"/>
          <w:spacing w:val="8"/>
          <w:shd w:val="clear" w:color="auto" w:fill="FFFFFF"/>
        </w:rPr>
        <w:t xml:space="preserve"> strategic frameworks, this translated national policy into clinically consistent practice proves challenging. The data available in the National Diabetes Audit indicate ongoing variation across Integrated Care Systems (ICSs) in the completion of recommended care processes and the attainment of treatment objectives (NHS Digital, 2025; Tahir et al., 2025). This variation underscores an enduring policy–practice divide in the management of diabetes.</w:t>
      </w:r>
    </w:p>
    <w:p w14:paraId="5C32F414" w14:textId="5CCF1024" w:rsidR="00D33CDE" w:rsidRPr="002C0672" w:rsidRDefault="00A139BD" w:rsidP="00EC1F2D">
      <w:pPr>
        <w:spacing w:line="276" w:lineRule="auto"/>
        <w:rPr>
          <w:rFonts w:ascii="Arial" w:eastAsia="Arial" w:hAnsi="Arial" w:cs="Arial"/>
          <w:spacing w:val="8"/>
          <w:shd w:val="clear" w:color="auto" w:fill="FFFFFF"/>
        </w:rPr>
      </w:pPr>
      <w:r w:rsidRPr="002C0672">
        <w:rPr>
          <w:rFonts w:ascii="Arial" w:eastAsia="Arial" w:hAnsi="Arial" w:cs="Arial"/>
          <w:spacing w:val="8"/>
          <w:shd w:val="clear" w:color="auto" w:fill="FFFFFF"/>
        </w:rPr>
        <w:t xml:space="preserve"> Integrated Care Systems were set up to help coordinate coordination between NHS organisations, local authorities and community services to improve long-term condition care (NHS England, 2019a).</w:t>
      </w:r>
      <w:r w:rsidR="00EB5619" w:rsidRPr="002C0672">
        <w:rPr>
          <w:rFonts w:ascii="Arial" w:eastAsia="Arial" w:hAnsi="Arial" w:cs="Arial"/>
          <w:spacing w:val="8"/>
          <w:shd w:val="clear" w:color="auto" w:fill="FFFFFF"/>
        </w:rPr>
        <w:t xml:space="preserve"> However, research </w:t>
      </w:r>
      <w:r w:rsidR="0084111C" w:rsidRPr="002C0672">
        <w:rPr>
          <w:rFonts w:ascii="Arial" w:eastAsia="Arial" w:hAnsi="Arial" w:cs="Arial"/>
          <w:spacing w:val="8"/>
          <w:shd w:val="clear" w:color="auto" w:fill="FFFFFF"/>
        </w:rPr>
        <w:t>indicates that</w:t>
      </w:r>
      <w:r w:rsidRPr="002C0672">
        <w:rPr>
          <w:rFonts w:ascii="Arial" w:eastAsia="Arial" w:hAnsi="Arial" w:cs="Arial"/>
          <w:spacing w:val="8"/>
          <w:shd w:val="clear" w:color="auto" w:fill="FFFFFF"/>
        </w:rPr>
        <w:t xml:space="preserve"> </w:t>
      </w:r>
      <w:r w:rsidR="0084111C" w:rsidRPr="002C0672">
        <w:rPr>
          <w:rFonts w:ascii="Arial" w:eastAsia="Arial" w:hAnsi="Arial" w:cs="Arial"/>
          <w:spacing w:val="8"/>
          <w:shd w:val="clear" w:color="auto" w:fill="FFFFFF"/>
        </w:rPr>
        <w:t>d</w:t>
      </w:r>
      <w:r w:rsidRPr="002C0672">
        <w:rPr>
          <w:rFonts w:ascii="Arial" w:eastAsia="Arial" w:hAnsi="Arial" w:cs="Arial"/>
          <w:spacing w:val="8"/>
          <w:shd w:val="clear" w:color="auto" w:fill="FFFFFF"/>
        </w:rPr>
        <w:t>ecentralised governance can contribute to regional diversity, and with differential deployment, workforce capacity, commissioning priorities, and local resources differ between areas (</w:t>
      </w:r>
      <w:proofErr w:type="spellStart"/>
      <w:r w:rsidRPr="002C0672">
        <w:rPr>
          <w:rFonts w:ascii="Arial" w:eastAsia="Arial" w:hAnsi="Arial" w:cs="Arial"/>
          <w:spacing w:val="8"/>
          <w:shd w:val="clear" w:color="auto" w:fill="FFFFFF"/>
        </w:rPr>
        <w:t>Sreeramareddy</w:t>
      </w:r>
      <w:proofErr w:type="spellEnd"/>
      <w:r w:rsidRPr="002C0672">
        <w:rPr>
          <w:rFonts w:ascii="Arial" w:eastAsia="Arial" w:hAnsi="Arial" w:cs="Arial"/>
          <w:spacing w:val="8"/>
          <w:shd w:val="clear" w:color="auto" w:fill="FFFFFF"/>
        </w:rPr>
        <w:t xml:space="preserve"> and </w:t>
      </w:r>
      <w:r w:rsidRPr="002C0672">
        <w:rPr>
          <w:rFonts w:ascii="Arial" w:eastAsia="Arial" w:hAnsi="Arial" w:cs="Arial"/>
          <w:spacing w:val="8"/>
          <w:shd w:val="clear" w:color="auto" w:fill="FFFFFF"/>
        </w:rPr>
        <w:t xml:space="preserve">Sathyanarayana, 2019; Bednarska, 2022). </w:t>
      </w:r>
    </w:p>
    <w:p w14:paraId="45F64937" w14:textId="22226E21" w:rsidR="6B61CB67" w:rsidRPr="002C0672" w:rsidRDefault="00A139BD" w:rsidP="00EC1F2D">
      <w:pPr>
        <w:spacing w:line="276" w:lineRule="auto"/>
        <w:rPr>
          <w:rFonts w:ascii="Arial" w:eastAsia="Arial" w:hAnsi="Arial" w:cs="Arial"/>
          <w:spacing w:val="8"/>
          <w:shd w:val="clear" w:color="auto" w:fill="FFFFFF"/>
        </w:rPr>
      </w:pPr>
      <w:r w:rsidRPr="002C0672">
        <w:rPr>
          <w:rFonts w:ascii="Arial" w:eastAsia="Arial" w:hAnsi="Arial" w:cs="Arial"/>
          <w:spacing w:val="8"/>
          <w:shd w:val="clear" w:color="auto" w:fill="FFFFFF"/>
        </w:rPr>
        <w:t>Prevention programmes are an integral part of UK diabetes policy. Programmes like the NHS Diabetes Prevention Programme are focused on identifying at-risk individuals and changing the behaviours of those at risk to potentially delay the onset of the disease. Evaluation early on show positive results in weight and HbA1c amongst participants, although not all programmes reach or can be reached across populations (</w:t>
      </w:r>
      <w:proofErr w:type="spellStart"/>
      <w:r w:rsidRPr="002C0672">
        <w:rPr>
          <w:rFonts w:ascii="Arial" w:eastAsia="Arial" w:hAnsi="Arial" w:cs="Arial"/>
          <w:spacing w:val="8"/>
          <w:shd w:val="clear" w:color="auto" w:fill="FFFFFF"/>
        </w:rPr>
        <w:t>Valabhji</w:t>
      </w:r>
      <w:proofErr w:type="spellEnd"/>
      <w:r w:rsidRPr="002C0672">
        <w:rPr>
          <w:rFonts w:ascii="Arial" w:eastAsia="Arial" w:hAnsi="Arial" w:cs="Arial"/>
          <w:spacing w:val="8"/>
          <w:shd w:val="clear" w:color="auto" w:fill="FFFFFF"/>
        </w:rPr>
        <w:t xml:space="preserve"> et al., 2020). As a result, effective diabetes policy must involve more than just national strategies, but also sustained organisational leadership, care coordination and </w:t>
      </w:r>
      <w:r w:rsidR="00B9572B" w:rsidRPr="002C0672">
        <w:rPr>
          <w:rFonts w:ascii="Arial" w:eastAsia="Arial" w:hAnsi="Arial" w:cs="Arial"/>
          <w:spacing w:val="8"/>
          <w:shd w:val="clear" w:color="auto" w:fill="FFFFFF"/>
        </w:rPr>
        <w:t>collaboration</w:t>
      </w:r>
      <w:r w:rsidRPr="002C0672">
        <w:rPr>
          <w:rFonts w:ascii="Arial" w:eastAsia="Arial" w:hAnsi="Arial" w:cs="Arial"/>
          <w:spacing w:val="8"/>
          <w:shd w:val="clear" w:color="auto" w:fill="FFFFFF"/>
        </w:rPr>
        <w:t xml:space="preserve"> between healthcare and community services (Fitzgerald et al., 2017; Brunton, </w:t>
      </w:r>
      <w:proofErr w:type="spellStart"/>
      <w:r w:rsidRPr="002C0672">
        <w:rPr>
          <w:rFonts w:ascii="Arial" w:eastAsia="Arial" w:hAnsi="Arial" w:cs="Arial"/>
          <w:spacing w:val="8"/>
          <w:shd w:val="clear" w:color="auto" w:fill="FFFFFF"/>
        </w:rPr>
        <w:t>Soiland</w:t>
      </w:r>
      <w:proofErr w:type="spellEnd"/>
      <w:r w:rsidRPr="002C0672">
        <w:rPr>
          <w:rFonts w:ascii="Arial" w:eastAsia="Arial" w:hAnsi="Arial" w:cs="Arial"/>
          <w:spacing w:val="8"/>
          <w:shd w:val="clear" w:color="auto" w:fill="FFFFFF"/>
        </w:rPr>
        <w:t>-Reyes and Wilson, 2022).</w:t>
      </w:r>
    </w:p>
    <w:p w14:paraId="416E91BF" w14:textId="77777777" w:rsidR="00642C8A" w:rsidRPr="002C0672" w:rsidRDefault="00642C8A" w:rsidP="00EC1F2D">
      <w:pPr>
        <w:spacing w:line="276" w:lineRule="auto"/>
        <w:rPr>
          <w:rFonts w:ascii="Arial" w:eastAsia="Arial" w:hAnsi="Arial" w:cs="Arial"/>
          <w:b/>
          <w:bCs/>
        </w:rPr>
      </w:pPr>
    </w:p>
    <w:p w14:paraId="5B034E38" w14:textId="0EBDCBB7" w:rsidR="00980D3C" w:rsidRPr="002C0672" w:rsidRDefault="00362D14" w:rsidP="00EC1F2D">
      <w:pPr>
        <w:pStyle w:val="Heading2"/>
        <w:spacing w:line="276" w:lineRule="auto"/>
        <w:rPr>
          <w:rStyle w:val="Strong"/>
          <w:rFonts w:ascii="Arial" w:hAnsi="Arial" w:cs="Arial"/>
          <w:sz w:val="24"/>
          <w:szCs w:val="24"/>
        </w:rPr>
      </w:pPr>
      <w:bookmarkStart w:id="30" w:name="_Toc224421146"/>
      <w:bookmarkStart w:id="31" w:name="_Toc224421450"/>
      <w:r w:rsidRPr="002C0672">
        <w:rPr>
          <w:rStyle w:val="Strong"/>
          <w:rFonts w:ascii="Arial" w:eastAsia="Arial" w:hAnsi="Arial" w:cs="Arial"/>
          <w:sz w:val="24"/>
          <w:szCs w:val="24"/>
        </w:rPr>
        <w:t>Person-centred</w:t>
      </w:r>
      <w:r w:rsidR="008D646C" w:rsidRPr="002C0672">
        <w:rPr>
          <w:rStyle w:val="Strong"/>
          <w:rFonts w:ascii="Arial" w:hAnsi="Arial" w:cs="Arial"/>
          <w:sz w:val="24"/>
          <w:szCs w:val="24"/>
        </w:rPr>
        <w:t xml:space="preserve"> </w:t>
      </w:r>
      <w:r w:rsidR="00A76590" w:rsidRPr="002C0672">
        <w:rPr>
          <w:rStyle w:val="Strong"/>
          <w:rFonts w:ascii="Arial" w:hAnsi="Arial" w:cs="Arial"/>
          <w:sz w:val="24"/>
          <w:szCs w:val="24"/>
        </w:rPr>
        <w:t>I</w:t>
      </w:r>
      <w:r w:rsidR="008D646C" w:rsidRPr="002C0672">
        <w:rPr>
          <w:rStyle w:val="Strong"/>
          <w:rFonts w:ascii="Arial" w:hAnsi="Arial" w:cs="Arial"/>
          <w:sz w:val="24"/>
          <w:szCs w:val="24"/>
        </w:rPr>
        <w:t>mprovement.</w:t>
      </w:r>
      <w:bookmarkEnd w:id="30"/>
      <w:bookmarkEnd w:id="31"/>
      <w:r w:rsidR="008D646C" w:rsidRPr="002C0672">
        <w:rPr>
          <w:rStyle w:val="Strong"/>
          <w:rFonts w:ascii="Arial" w:hAnsi="Arial" w:cs="Arial"/>
          <w:sz w:val="24"/>
          <w:szCs w:val="24"/>
        </w:rPr>
        <w:t xml:space="preserve"> </w:t>
      </w:r>
    </w:p>
    <w:p w14:paraId="5757C85F" w14:textId="77777777" w:rsidR="00980D3C" w:rsidRPr="002C0672" w:rsidRDefault="00980D3C" w:rsidP="00EC1F2D">
      <w:pPr>
        <w:pStyle w:val="w7sjnrxzl6krnffuzhqe"/>
        <w:spacing w:before="0" w:beforeAutospacing="0" w:after="150" w:afterAutospacing="0" w:line="276" w:lineRule="auto"/>
        <w:textAlignment w:val="baseline"/>
        <w:rPr>
          <w:rFonts w:ascii="Arial" w:eastAsia="Arial" w:hAnsi="Arial" w:cs="Arial"/>
          <w:spacing w:val="8"/>
        </w:rPr>
      </w:pPr>
      <w:r w:rsidRPr="002C0672">
        <w:rPr>
          <w:rFonts w:ascii="Arial" w:eastAsia="Arial" w:hAnsi="Arial" w:cs="Arial"/>
          <w:spacing w:val="8"/>
        </w:rPr>
        <w:t>Positively impacting</w:t>
      </w:r>
      <w:r w:rsidR="008D646C" w:rsidRPr="002C0672">
        <w:rPr>
          <w:rFonts w:ascii="Arial" w:eastAsia="Arial" w:hAnsi="Arial" w:cs="Arial"/>
          <w:spacing w:val="8"/>
        </w:rPr>
        <w:t xml:space="preserve"> the lives of those with Type 2 diabetes mellitus (T2DM) involves the maintenance and delivery of person-centred care, provision of integrated services and interventions addressing the broader social determinants of health. While UK clinical practices do contribute evidence in the management of diabetes, national audit data highlight that this information continues to vary widely from one healthcare service to another with respect to delivery, and adherence to targeted treatments </w:t>
      </w:r>
      <w:r w:rsidR="008D646C" w:rsidRPr="002C0672">
        <w:rPr>
          <w:rFonts w:ascii="Arial" w:eastAsia="Arial" w:hAnsi="Arial" w:cs="Arial"/>
          <w:spacing w:val="8"/>
        </w:rPr>
        <w:lastRenderedPageBreak/>
        <w:t xml:space="preserve">(NHS Digital, 2025; Tahir </w:t>
      </w:r>
      <w:r w:rsidR="008D646C" w:rsidRPr="00605AA7">
        <w:rPr>
          <w:rFonts w:ascii="Arial" w:eastAsia="Arial" w:hAnsi="Arial" w:cs="Arial"/>
          <w:i/>
          <w:iCs/>
          <w:spacing w:val="8"/>
        </w:rPr>
        <w:t>et al</w:t>
      </w:r>
      <w:r w:rsidR="008D646C" w:rsidRPr="002C0672">
        <w:rPr>
          <w:rFonts w:ascii="Arial" w:eastAsia="Arial" w:hAnsi="Arial" w:cs="Arial"/>
          <w:spacing w:val="8"/>
        </w:rPr>
        <w:t xml:space="preserve">., 2025). </w:t>
      </w:r>
    </w:p>
    <w:p w14:paraId="199B4029" w14:textId="02CCF766" w:rsidR="00085707" w:rsidRPr="002C0672" w:rsidRDefault="00A76590" w:rsidP="00EC1F2D">
      <w:pPr>
        <w:pStyle w:val="Heading2"/>
        <w:spacing w:line="276" w:lineRule="auto"/>
        <w:rPr>
          <w:rStyle w:val="Strong"/>
          <w:rFonts w:ascii="Arial" w:hAnsi="Arial" w:cs="Arial"/>
          <w:sz w:val="24"/>
          <w:szCs w:val="24"/>
        </w:rPr>
      </w:pPr>
      <w:bookmarkStart w:id="32" w:name="_Toc224421147"/>
      <w:bookmarkStart w:id="33" w:name="_Toc224421451"/>
      <w:r w:rsidRPr="002C0672">
        <w:rPr>
          <w:rStyle w:val="Strong"/>
          <w:rFonts w:ascii="Arial" w:hAnsi="Arial" w:cs="Arial"/>
          <w:sz w:val="24"/>
          <w:szCs w:val="24"/>
        </w:rPr>
        <w:t>I</w:t>
      </w:r>
      <w:r w:rsidR="008D646C" w:rsidRPr="002C0672">
        <w:rPr>
          <w:rStyle w:val="Strong"/>
          <w:rFonts w:ascii="Arial" w:hAnsi="Arial" w:cs="Arial"/>
          <w:sz w:val="24"/>
          <w:szCs w:val="24"/>
        </w:rPr>
        <w:t xml:space="preserve">mprove structured </w:t>
      </w:r>
      <w:r w:rsidR="008B33D0" w:rsidRPr="002C0672">
        <w:rPr>
          <w:rStyle w:val="Strong"/>
          <w:rFonts w:ascii="Arial" w:hAnsi="Arial" w:cs="Arial"/>
          <w:sz w:val="24"/>
          <w:szCs w:val="24"/>
        </w:rPr>
        <w:t>M</w:t>
      </w:r>
      <w:r w:rsidR="008D646C" w:rsidRPr="002C0672">
        <w:rPr>
          <w:rStyle w:val="Strong"/>
          <w:rFonts w:ascii="Arial" w:hAnsi="Arial" w:cs="Arial"/>
          <w:sz w:val="24"/>
          <w:szCs w:val="24"/>
        </w:rPr>
        <w:t>anagement</w:t>
      </w:r>
      <w:bookmarkEnd w:id="32"/>
      <w:bookmarkEnd w:id="33"/>
    </w:p>
    <w:p w14:paraId="5EEE6B09" w14:textId="5C5C564F" w:rsidR="008E6030" w:rsidRPr="002C0672" w:rsidRDefault="008D646C" w:rsidP="00EC1F2D">
      <w:pPr>
        <w:pStyle w:val="w7sjnrxzl6krnffuzhqe"/>
        <w:spacing w:before="0" w:beforeAutospacing="0" w:after="150" w:afterAutospacing="0" w:line="276" w:lineRule="auto"/>
        <w:textAlignment w:val="baseline"/>
        <w:rPr>
          <w:rFonts w:ascii="Arial" w:eastAsia="Arial" w:hAnsi="Arial" w:cs="Arial"/>
          <w:spacing w:val="8"/>
        </w:rPr>
      </w:pPr>
      <w:r w:rsidRPr="002C0672">
        <w:rPr>
          <w:rFonts w:ascii="Arial" w:eastAsia="Arial" w:hAnsi="Arial" w:cs="Arial"/>
          <w:spacing w:val="8"/>
        </w:rPr>
        <w:t xml:space="preserve">Structured education is the backbone of </w:t>
      </w:r>
      <w:r w:rsidR="00B93146" w:rsidRPr="002C0672">
        <w:rPr>
          <w:rFonts w:ascii="Arial" w:eastAsia="Arial" w:hAnsi="Arial" w:cs="Arial"/>
          <w:spacing w:val="8"/>
        </w:rPr>
        <w:t xml:space="preserve">the </w:t>
      </w:r>
      <w:r w:rsidRPr="002C0672">
        <w:rPr>
          <w:rFonts w:ascii="Arial" w:eastAsia="Arial" w:hAnsi="Arial" w:cs="Arial"/>
          <w:spacing w:val="8"/>
        </w:rPr>
        <w:t xml:space="preserve">management of diabetes. Intervention programs, like Diabetes Education and Self-Management for Ongoing and Newly Diagnosed (DESMOND), provide the patients with enhanced understanding, lifestyle behaviours and self-management capability (Davies </w:t>
      </w:r>
      <w:r w:rsidRPr="002C0672">
        <w:rPr>
          <w:rFonts w:ascii="Arial" w:eastAsia="Arial" w:hAnsi="Arial" w:cs="Arial"/>
          <w:i/>
          <w:iCs/>
          <w:spacing w:val="8"/>
        </w:rPr>
        <w:t>et al</w:t>
      </w:r>
      <w:r w:rsidRPr="002C0672">
        <w:rPr>
          <w:rFonts w:ascii="Arial" w:eastAsia="Arial" w:hAnsi="Arial" w:cs="Arial"/>
          <w:spacing w:val="8"/>
        </w:rPr>
        <w:t xml:space="preserve">., 2008). However, participation is still unequal across services. Culturally sensitive </w:t>
      </w:r>
      <w:proofErr w:type="gramStart"/>
      <w:r w:rsidRPr="002C0672">
        <w:rPr>
          <w:rFonts w:ascii="Arial" w:eastAsia="Arial" w:hAnsi="Arial" w:cs="Arial"/>
          <w:spacing w:val="8"/>
        </w:rPr>
        <w:t>education, and</w:t>
      </w:r>
      <w:proofErr w:type="gramEnd"/>
      <w:r w:rsidRPr="002C0672">
        <w:rPr>
          <w:rFonts w:ascii="Arial" w:eastAsia="Arial" w:hAnsi="Arial" w:cs="Arial"/>
          <w:spacing w:val="8"/>
        </w:rPr>
        <w:t xml:space="preserve"> integrating community or digital delivery in model provision may lead to improved accessibility. As a result, self-management support should be embedded as a continuing partnership between patients and medical practitioners, not a </w:t>
      </w:r>
      <w:r w:rsidR="000A3B7A">
        <w:rPr>
          <w:rFonts w:ascii="Arial" w:eastAsia="Arial" w:hAnsi="Arial" w:cs="Arial"/>
          <w:spacing w:val="8"/>
        </w:rPr>
        <w:t>standalone</w:t>
      </w:r>
      <w:r w:rsidRPr="002C0672">
        <w:rPr>
          <w:rFonts w:ascii="Arial" w:eastAsia="Arial" w:hAnsi="Arial" w:cs="Arial"/>
          <w:spacing w:val="8"/>
        </w:rPr>
        <w:t xml:space="preserve"> intervention (Hessler </w:t>
      </w:r>
      <w:r w:rsidRPr="002C0672">
        <w:rPr>
          <w:rFonts w:ascii="Arial" w:eastAsia="Arial" w:hAnsi="Arial" w:cs="Arial"/>
          <w:i/>
          <w:iCs/>
          <w:spacing w:val="8"/>
        </w:rPr>
        <w:t>et al</w:t>
      </w:r>
      <w:r w:rsidRPr="002C0672">
        <w:rPr>
          <w:rFonts w:ascii="Arial" w:eastAsia="Arial" w:hAnsi="Arial" w:cs="Arial"/>
          <w:spacing w:val="8"/>
        </w:rPr>
        <w:t xml:space="preserve">., 2022). </w:t>
      </w:r>
    </w:p>
    <w:p w14:paraId="6EDFA3A0" w14:textId="77777777" w:rsidR="008E6030" w:rsidRPr="002C0672" w:rsidRDefault="008D646C" w:rsidP="00EC1F2D">
      <w:pPr>
        <w:pStyle w:val="w7sjnrxzl6krnffuzhqe"/>
        <w:spacing w:before="0" w:beforeAutospacing="0" w:after="150" w:afterAutospacing="0" w:line="276" w:lineRule="auto"/>
        <w:textAlignment w:val="baseline"/>
        <w:rPr>
          <w:rStyle w:val="Strong"/>
          <w:rFonts w:ascii="Arial" w:eastAsia="Arial" w:hAnsi="Arial" w:cs="Arial"/>
        </w:rPr>
      </w:pPr>
      <w:r w:rsidRPr="002C0672">
        <w:rPr>
          <w:rStyle w:val="Strong"/>
          <w:rFonts w:ascii="Arial" w:eastAsia="Arial" w:hAnsi="Arial" w:cs="Arial"/>
        </w:rPr>
        <w:t>Optimization of Evidence-Based Pharmacotherapy.</w:t>
      </w:r>
    </w:p>
    <w:p w14:paraId="6CBDF433" w14:textId="5A17D675" w:rsidR="00B93146" w:rsidRPr="002C0672" w:rsidRDefault="008D646C" w:rsidP="00EC1F2D">
      <w:pPr>
        <w:pStyle w:val="w7sjnrxzl6krnffuzhqe"/>
        <w:spacing w:after="150" w:line="276" w:lineRule="auto"/>
        <w:textAlignment w:val="baseline"/>
        <w:rPr>
          <w:rFonts w:ascii="Arial" w:eastAsia="Arial" w:hAnsi="Arial" w:cs="Arial"/>
          <w:spacing w:val="8"/>
        </w:rPr>
      </w:pPr>
      <w:r w:rsidRPr="002C0672">
        <w:rPr>
          <w:rFonts w:ascii="Arial" w:eastAsia="Arial" w:hAnsi="Arial" w:cs="Arial"/>
          <w:spacing w:val="8"/>
        </w:rPr>
        <w:t xml:space="preserve"> Pharmacological therapy should align </w:t>
      </w:r>
      <w:r w:rsidR="00082299" w:rsidRPr="002C0672">
        <w:rPr>
          <w:rFonts w:ascii="Arial" w:eastAsia="Arial" w:hAnsi="Arial" w:cs="Arial"/>
          <w:spacing w:val="8"/>
        </w:rPr>
        <w:t>according</w:t>
      </w:r>
      <w:r w:rsidRPr="002C0672">
        <w:rPr>
          <w:rFonts w:ascii="Arial" w:eastAsia="Arial" w:hAnsi="Arial" w:cs="Arial"/>
          <w:spacing w:val="8"/>
        </w:rPr>
        <w:t xml:space="preserve"> to comorbidities, cardiovascular risk and patient preference</w:t>
      </w:r>
      <w:r w:rsidR="00082299" w:rsidRPr="002C0672">
        <w:rPr>
          <w:rFonts w:ascii="Arial" w:eastAsia="Arial" w:hAnsi="Arial" w:cs="Arial"/>
          <w:spacing w:val="8"/>
        </w:rPr>
        <w:t>. Treatment</w:t>
      </w:r>
      <w:r w:rsidRPr="002C0672">
        <w:rPr>
          <w:rFonts w:ascii="Arial" w:eastAsia="Arial" w:hAnsi="Arial" w:cs="Arial"/>
          <w:spacing w:val="8"/>
        </w:rPr>
        <w:t xml:space="preserve"> should be adapted </w:t>
      </w:r>
      <w:r w:rsidR="0090219B" w:rsidRPr="002C0672">
        <w:rPr>
          <w:rFonts w:ascii="Arial" w:eastAsia="Arial" w:hAnsi="Arial" w:cs="Arial"/>
          <w:spacing w:val="8"/>
        </w:rPr>
        <w:t>(Usman, 2026)</w:t>
      </w:r>
      <w:r w:rsidR="0090219B" w:rsidRPr="002C0672">
        <w:rPr>
          <w:rFonts w:ascii="Arial" w:eastAsia="Arial" w:hAnsi="Arial" w:cs="Arial"/>
          <w:spacing w:val="8"/>
        </w:rPr>
        <w:t xml:space="preserve">, </w:t>
      </w:r>
      <w:r w:rsidRPr="002C0672">
        <w:rPr>
          <w:rFonts w:ascii="Arial" w:eastAsia="Arial" w:hAnsi="Arial" w:cs="Arial"/>
          <w:spacing w:val="8"/>
        </w:rPr>
        <w:t>Modern diabetes care is emphasi</w:t>
      </w:r>
      <w:r w:rsidR="00151DB5" w:rsidRPr="002C0672">
        <w:rPr>
          <w:rFonts w:ascii="Arial" w:eastAsia="Arial" w:hAnsi="Arial" w:cs="Arial"/>
          <w:spacing w:val="8"/>
        </w:rPr>
        <w:t>s</w:t>
      </w:r>
      <w:r w:rsidRPr="002C0672">
        <w:rPr>
          <w:rFonts w:ascii="Arial" w:eastAsia="Arial" w:hAnsi="Arial" w:cs="Arial"/>
          <w:spacing w:val="8"/>
        </w:rPr>
        <w:t xml:space="preserve">ing cardiovascular and renal protection more than ever. </w:t>
      </w:r>
    </w:p>
    <w:p w14:paraId="0981944A" w14:textId="771FADFE" w:rsidR="00B57671" w:rsidRPr="002C0672" w:rsidRDefault="008D646C" w:rsidP="00EC1F2D">
      <w:pPr>
        <w:pStyle w:val="w7sjnrxzl6krnffuzhqe"/>
        <w:spacing w:before="0" w:beforeAutospacing="0" w:after="150" w:afterAutospacing="0" w:line="276" w:lineRule="auto"/>
        <w:textAlignment w:val="baseline"/>
        <w:rPr>
          <w:rFonts w:ascii="Arial" w:eastAsia="Arial" w:hAnsi="Arial" w:cs="Arial"/>
          <w:spacing w:val="8"/>
        </w:rPr>
      </w:pPr>
      <w:r w:rsidRPr="002C0672">
        <w:rPr>
          <w:rFonts w:ascii="Arial" w:eastAsia="Arial" w:hAnsi="Arial" w:cs="Arial"/>
          <w:spacing w:val="8"/>
        </w:rPr>
        <w:t>Furthermore, SGLT2 inhibitors decrease hospitali</w:t>
      </w:r>
      <w:r w:rsidR="0090219B" w:rsidRPr="002C0672">
        <w:rPr>
          <w:rFonts w:ascii="Arial" w:eastAsia="Arial" w:hAnsi="Arial" w:cs="Arial"/>
          <w:spacing w:val="8"/>
        </w:rPr>
        <w:t>s</w:t>
      </w:r>
      <w:r w:rsidRPr="002C0672">
        <w:rPr>
          <w:rFonts w:ascii="Arial" w:eastAsia="Arial" w:hAnsi="Arial" w:cs="Arial"/>
          <w:spacing w:val="8"/>
        </w:rPr>
        <w:t xml:space="preserve">ation in patients with heart failure and kidney disease progression, and GLP-1 receptor agonists are associated with weight loss and cardiovascular </w:t>
      </w:r>
      <w:r w:rsidRPr="002C0672">
        <w:rPr>
          <w:rFonts w:ascii="Arial" w:eastAsia="Arial" w:hAnsi="Arial" w:cs="Arial"/>
          <w:spacing w:val="8"/>
        </w:rPr>
        <w:t>risk reduction (</w:t>
      </w:r>
      <w:proofErr w:type="spellStart"/>
      <w:r w:rsidRPr="002C0672">
        <w:rPr>
          <w:rFonts w:ascii="Arial" w:eastAsia="Arial" w:hAnsi="Arial" w:cs="Arial"/>
          <w:spacing w:val="8"/>
        </w:rPr>
        <w:t>Zelniker</w:t>
      </w:r>
      <w:proofErr w:type="spellEnd"/>
      <w:r w:rsidRPr="002C0672">
        <w:rPr>
          <w:rFonts w:ascii="Arial" w:eastAsia="Arial" w:hAnsi="Arial" w:cs="Arial"/>
          <w:spacing w:val="8"/>
        </w:rPr>
        <w:t xml:space="preserve"> </w:t>
      </w:r>
      <w:r w:rsidRPr="002C0672">
        <w:rPr>
          <w:rFonts w:ascii="Arial" w:eastAsia="Arial" w:hAnsi="Arial" w:cs="Arial"/>
          <w:i/>
          <w:iCs/>
          <w:spacing w:val="8"/>
        </w:rPr>
        <w:t>et al</w:t>
      </w:r>
      <w:r w:rsidRPr="002C0672">
        <w:rPr>
          <w:rFonts w:ascii="Arial" w:eastAsia="Arial" w:hAnsi="Arial" w:cs="Arial"/>
          <w:spacing w:val="8"/>
        </w:rPr>
        <w:t xml:space="preserve">., 2019; ADA, 2024). Social and Psychological Determinants Psychological well-being must be considered regularly in diabetes management. Screening for clinical signs of diabetes distress and depression and enhancing access to psychological support can enhance adherence </w:t>
      </w:r>
      <w:r w:rsidR="00151DB5" w:rsidRPr="002C0672">
        <w:rPr>
          <w:rFonts w:ascii="Arial" w:eastAsia="Arial" w:hAnsi="Arial" w:cs="Arial"/>
          <w:spacing w:val="8"/>
        </w:rPr>
        <w:t>t</w:t>
      </w:r>
      <w:r w:rsidR="00E82B06" w:rsidRPr="002C0672">
        <w:rPr>
          <w:rFonts w:ascii="Arial" w:eastAsia="Arial" w:hAnsi="Arial" w:cs="Arial"/>
          <w:spacing w:val="8"/>
        </w:rPr>
        <w:t>o</w:t>
      </w:r>
      <w:r w:rsidRPr="002C0672">
        <w:rPr>
          <w:rFonts w:ascii="Arial" w:eastAsia="Arial" w:hAnsi="Arial" w:cs="Arial"/>
          <w:spacing w:val="8"/>
        </w:rPr>
        <w:t xml:space="preserve"> long standing of self-management behaviour (Fisher </w:t>
      </w:r>
      <w:r w:rsidRPr="002C0672">
        <w:rPr>
          <w:rFonts w:ascii="Arial" w:eastAsia="Arial" w:hAnsi="Arial" w:cs="Arial"/>
          <w:i/>
          <w:iCs/>
          <w:spacing w:val="8"/>
        </w:rPr>
        <w:t>et al</w:t>
      </w:r>
      <w:r w:rsidRPr="002C0672">
        <w:rPr>
          <w:rFonts w:ascii="Arial" w:eastAsia="Arial" w:hAnsi="Arial" w:cs="Arial"/>
          <w:spacing w:val="8"/>
        </w:rPr>
        <w:t xml:space="preserve">., 2012; Roy and Lloyd, 2012). Family support for social prescribing and participation of family members or carers could additionally augment compliance and patient outcome (Baig </w:t>
      </w:r>
      <w:r w:rsidRPr="002C0672">
        <w:rPr>
          <w:rFonts w:ascii="Arial" w:eastAsia="Arial" w:hAnsi="Arial" w:cs="Arial"/>
          <w:i/>
          <w:iCs/>
          <w:spacing w:val="8"/>
        </w:rPr>
        <w:t>et al</w:t>
      </w:r>
      <w:r w:rsidRPr="002C0672">
        <w:rPr>
          <w:rFonts w:ascii="Arial" w:eastAsia="Arial" w:hAnsi="Arial" w:cs="Arial"/>
          <w:spacing w:val="8"/>
        </w:rPr>
        <w:t xml:space="preserve">., 2015; NICE, 2023). </w:t>
      </w:r>
    </w:p>
    <w:p w14:paraId="0DD2B344" w14:textId="17E6BA30" w:rsidR="008D646C" w:rsidRPr="002C0672" w:rsidRDefault="008D646C" w:rsidP="00EC1F2D">
      <w:pPr>
        <w:pStyle w:val="w7sjnrxzl6krnffuzhqe"/>
        <w:spacing w:before="0" w:beforeAutospacing="0" w:after="150" w:afterAutospacing="0" w:line="276" w:lineRule="auto"/>
        <w:textAlignment w:val="baseline"/>
        <w:rPr>
          <w:rFonts w:ascii="Arial" w:eastAsia="Arial" w:hAnsi="Arial" w:cs="Arial"/>
          <w:spacing w:val="8"/>
        </w:rPr>
      </w:pPr>
      <w:r w:rsidRPr="002C0672">
        <w:rPr>
          <w:rFonts w:ascii="Arial" w:eastAsia="Arial" w:hAnsi="Arial" w:cs="Arial"/>
          <w:spacing w:val="8"/>
        </w:rPr>
        <w:t>End of Life, Frailty Care. For older patients with multimorbidity or frailty, diabetes care should emphasise quality of life and reduce treatment need. Accordingly, NICE advises on lowered glycaemic targets, shorter treatment regimes and early advance care planning when feasible (NICE, 2016).</w:t>
      </w:r>
    </w:p>
    <w:p w14:paraId="46326298" w14:textId="77777777" w:rsidR="00657F0E" w:rsidRPr="002C0672" w:rsidRDefault="00657F0E" w:rsidP="00EC1F2D">
      <w:pPr>
        <w:pStyle w:val="w7sjnrxzl6krnffuzhqe"/>
        <w:spacing w:before="0" w:beforeAutospacing="0" w:after="150" w:afterAutospacing="0" w:line="276" w:lineRule="auto"/>
        <w:textAlignment w:val="baseline"/>
        <w:rPr>
          <w:rFonts w:ascii="Arial" w:eastAsia="Arial" w:hAnsi="Arial" w:cs="Arial"/>
          <w:spacing w:val="8"/>
        </w:rPr>
      </w:pPr>
    </w:p>
    <w:p w14:paraId="01BE92C9" w14:textId="77777777" w:rsidR="00730DFA" w:rsidRPr="002C0672" w:rsidRDefault="00730DFA" w:rsidP="00EC1F2D">
      <w:pPr>
        <w:spacing w:line="276" w:lineRule="auto"/>
        <w:rPr>
          <w:rStyle w:val="Strong"/>
          <w:rFonts w:ascii="Arial" w:hAnsi="Arial" w:cs="Arial"/>
        </w:rPr>
      </w:pPr>
      <w:r w:rsidRPr="002C0672">
        <w:rPr>
          <w:rStyle w:val="Strong"/>
          <w:rFonts w:ascii="Arial" w:hAnsi="Arial" w:cs="Arial"/>
        </w:rPr>
        <w:t>Conclusion.</w:t>
      </w:r>
    </w:p>
    <w:p w14:paraId="2E881441" w14:textId="77777777" w:rsidR="0039221E" w:rsidRPr="002C0672" w:rsidRDefault="00730DFA" w:rsidP="00EC1F2D">
      <w:pPr>
        <w:spacing w:line="276" w:lineRule="auto"/>
        <w:rPr>
          <w:rFonts w:ascii="Arial" w:eastAsia="Arial" w:hAnsi="Arial" w:cs="Arial"/>
          <w:spacing w:val="8"/>
          <w:shd w:val="clear" w:color="auto" w:fill="FFFFFF"/>
        </w:rPr>
      </w:pPr>
      <w:r w:rsidRPr="002C0672">
        <w:rPr>
          <w:rFonts w:ascii="Arial" w:eastAsia="Arial" w:hAnsi="Arial" w:cs="Arial"/>
          <w:spacing w:val="8"/>
          <w:shd w:val="clear" w:color="auto" w:fill="FFFFFF"/>
        </w:rPr>
        <w:t xml:space="preserve"> Type 2 diabetes mellitus (T2DM) is a leading long-term condition with implications on health of the population in the UK and worldwide. Increasing prevalence rates, worsening multimorbidity and worsening socioeconomic disparities present formidable challenges for individuals, families and healthcare systems. These consequences of T2DM go beyond metabolic dysfunction, </w:t>
      </w:r>
      <w:proofErr w:type="gramStart"/>
      <w:r w:rsidRPr="002C0672">
        <w:rPr>
          <w:rFonts w:ascii="Arial" w:eastAsia="Arial" w:hAnsi="Arial" w:cs="Arial"/>
          <w:spacing w:val="8"/>
          <w:shd w:val="clear" w:color="auto" w:fill="FFFFFF"/>
        </w:rPr>
        <w:t>and also</w:t>
      </w:r>
      <w:proofErr w:type="gramEnd"/>
      <w:r w:rsidRPr="002C0672">
        <w:rPr>
          <w:rFonts w:ascii="Arial" w:eastAsia="Arial" w:hAnsi="Arial" w:cs="Arial"/>
          <w:spacing w:val="8"/>
          <w:shd w:val="clear" w:color="auto" w:fill="FFFFFF"/>
        </w:rPr>
        <w:t xml:space="preserve"> involve physical, psychological and </w:t>
      </w:r>
      <w:r w:rsidRPr="002C0672">
        <w:rPr>
          <w:rFonts w:ascii="Arial" w:eastAsia="Arial" w:hAnsi="Arial" w:cs="Arial"/>
          <w:spacing w:val="8"/>
          <w:shd w:val="clear" w:color="auto" w:fill="FFFFFF"/>
        </w:rPr>
        <w:lastRenderedPageBreak/>
        <w:t xml:space="preserve">social consequences that impede an individual’s ability to effectively self-manage (Arnold et al., 2022; Fisher et al., 2012). The NHS provides systematic clinical guidance, such as the NICE NG28 guidelines, however evidence of continued variation in the quality of care delivered and treatment goal achievement is available from the National Diabetes Audit across geographic and population groups (NHS Digital, 2025; Tahir et al., 2025). </w:t>
      </w:r>
    </w:p>
    <w:p w14:paraId="3A25522B" w14:textId="0050959B" w:rsidR="006C03C2" w:rsidRPr="002C0672" w:rsidRDefault="00730DFA" w:rsidP="00EC1F2D">
      <w:pPr>
        <w:spacing w:line="276" w:lineRule="auto"/>
        <w:rPr>
          <w:rFonts w:ascii="Arial" w:hAnsi="Arial" w:cs="Arial"/>
        </w:rPr>
      </w:pPr>
      <w:r w:rsidRPr="002C0672">
        <w:rPr>
          <w:rFonts w:ascii="Arial" w:eastAsia="Arial" w:hAnsi="Arial" w:cs="Arial"/>
          <w:spacing w:val="8"/>
          <w:shd w:val="clear" w:color="auto" w:fill="FFFFFF"/>
        </w:rPr>
        <w:t xml:space="preserve">Both the House of Care framework and the Chronic Care Model emphasise that better outcomes are premised on system-level collaboration and patient </w:t>
      </w:r>
      <w:r w:rsidRPr="002C0672">
        <w:rPr>
          <w:rFonts w:ascii="Arial" w:hAnsi="Arial" w:cs="Arial"/>
          <w:spacing w:val="8"/>
          <w:shd w:val="clear" w:color="auto" w:fill="FFFFFF"/>
        </w:rPr>
        <w:t>connection (Coulter, Roberts and Dixon, 2013; Bodenheimer, Wagner and Grumbach, 2002). Promisingly, sustainable improvements in diabetes outcomes need integrated, person-centred care; addressing clinical management while also addressing determinants of health across the continuum of care.</w:t>
      </w:r>
      <w:r w:rsidR="00D20C63" w:rsidRPr="002C0672">
        <w:rPr>
          <w:rFonts w:ascii="Arial" w:hAnsi="Arial" w:cs="Arial"/>
        </w:rPr>
        <w:br w:type="page"/>
      </w:r>
    </w:p>
    <w:p w14:paraId="03EEFB0A" w14:textId="77777777" w:rsidR="006C03C2" w:rsidRPr="002C0672" w:rsidRDefault="006C03C2" w:rsidP="00EC1F2D">
      <w:pPr>
        <w:spacing w:line="276" w:lineRule="auto"/>
        <w:rPr>
          <w:rFonts w:ascii="Arial" w:hAnsi="Arial" w:cs="Arial"/>
        </w:rPr>
      </w:pPr>
    </w:p>
    <w:p w14:paraId="75D649F8" w14:textId="5DB5249C" w:rsidR="00227ECA" w:rsidRPr="002C0672" w:rsidRDefault="00227ECA" w:rsidP="00EC1F2D">
      <w:pPr>
        <w:spacing w:line="276" w:lineRule="auto"/>
        <w:rPr>
          <w:rFonts w:ascii="Arial" w:hAnsi="Arial" w:cs="Arial"/>
        </w:rPr>
        <w:sectPr w:rsidR="00227ECA" w:rsidRPr="002C0672" w:rsidSect="00042184">
          <w:type w:val="continuous"/>
          <w:pgSz w:w="11906" w:h="16838"/>
          <w:pgMar w:top="1440" w:right="1440" w:bottom="1440" w:left="1440" w:header="708" w:footer="708" w:gutter="0"/>
          <w:pgNumType w:start="0"/>
          <w:cols w:num="2" w:space="708"/>
          <w:titlePg/>
          <w:docGrid w:linePitch="360"/>
        </w:sectPr>
      </w:pPr>
    </w:p>
    <w:p w14:paraId="07ADAD48" w14:textId="3A427FC6" w:rsidR="00E70988" w:rsidRPr="002C0672" w:rsidRDefault="00B476CA" w:rsidP="00EC1F2D">
      <w:pPr>
        <w:spacing w:line="276" w:lineRule="auto"/>
        <w:rPr>
          <w:rFonts w:ascii="Arial" w:hAnsi="Arial" w:cs="Arial"/>
        </w:rPr>
      </w:pPr>
      <w:r w:rsidRPr="002C0672">
        <w:rPr>
          <w:rFonts w:ascii="Arial" w:hAnsi="Arial" w:cs="Arial"/>
        </w:rPr>
        <w:t>Refer</w:t>
      </w:r>
      <w:r w:rsidR="00227ECA" w:rsidRPr="002C0672">
        <w:rPr>
          <w:rFonts w:ascii="Arial" w:hAnsi="Arial" w:cs="Arial"/>
        </w:rPr>
        <w:t xml:space="preserve">ence </w:t>
      </w:r>
    </w:p>
    <w:p w14:paraId="4595CF80" w14:textId="77777777" w:rsidR="004028B1" w:rsidRPr="002C0672" w:rsidRDefault="004028B1" w:rsidP="00EC1F2D">
      <w:pPr>
        <w:spacing w:line="276" w:lineRule="auto"/>
        <w:rPr>
          <w:rFonts w:ascii="Arial" w:hAnsi="Arial" w:cs="Arial"/>
        </w:rPr>
      </w:pPr>
      <w:r w:rsidRPr="002C0672">
        <w:rPr>
          <w:rFonts w:ascii="Arial" w:hAnsi="Arial" w:cs="Arial"/>
        </w:rPr>
        <w:t xml:space="preserve">American Diabetes Association (2024) </w:t>
      </w:r>
      <w:r w:rsidRPr="002C0672">
        <w:rPr>
          <w:rFonts w:ascii="Arial" w:hAnsi="Arial" w:cs="Arial"/>
          <w:i/>
          <w:iCs/>
        </w:rPr>
        <w:t>Standards of Care in Diabetes—2024</w:t>
      </w:r>
      <w:r w:rsidRPr="002C0672">
        <w:rPr>
          <w:rFonts w:ascii="Arial" w:hAnsi="Arial" w:cs="Arial"/>
        </w:rPr>
        <w:t xml:space="preserve">. Diabetes Care, 47(Suppl. 1). Available at: </w:t>
      </w:r>
      <w:hyperlink r:id="rId15" w:tgtFrame="_new" w:history="1">
        <w:r w:rsidRPr="002C0672">
          <w:rPr>
            <w:rStyle w:val="Hyperlink"/>
            <w:rFonts w:ascii="Arial" w:hAnsi="Arial" w:cs="Arial"/>
          </w:rPr>
          <w:t>https://diabetesjournals.org/care/issue/47/Supplement_1</w:t>
        </w:r>
      </w:hyperlink>
      <w:r w:rsidRPr="002C0672">
        <w:rPr>
          <w:rFonts w:ascii="Arial" w:hAnsi="Arial" w:cs="Arial"/>
        </w:rPr>
        <w:t xml:space="preserve"> (Accessed: 14 February 2026).</w:t>
      </w:r>
    </w:p>
    <w:p w14:paraId="1F46393E" w14:textId="77777777" w:rsidR="004028B1" w:rsidRPr="002C0672" w:rsidRDefault="004028B1" w:rsidP="00EC1F2D">
      <w:pPr>
        <w:spacing w:after="240" w:line="276" w:lineRule="auto"/>
        <w:rPr>
          <w:rFonts w:ascii="Arial" w:hAnsi="Arial" w:cs="Arial"/>
        </w:rPr>
      </w:pPr>
      <w:r w:rsidRPr="002C0672">
        <w:rPr>
          <w:rFonts w:ascii="Arial" w:eastAsia="Times New Roman" w:hAnsi="Arial" w:cs="Arial"/>
          <w:lang w:val="de-DE"/>
        </w:rPr>
        <w:t xml:space="preserve">Ansari, R.M., Harris, M.F., Hosseinzadeh, H. and Zwar, N. (2021). </w:t>
      </w:r>
      <w:r w:rsidRPr="002C0672">
        <w:rPr>
          <w:rFonts w:ascii="Arial" w:eastAsia="Times New Roman" w:hAnsi="Arial" w:cs="Arial"/>
        </w:rPr>
        <w:t xml:space="preserve">Applications of a Chronic Care Model for Self-Management of Type 2 Diabetes: A Qualitative Analysis. </w:t>
      </w:r>
      <w:r w:rsidRPr="002C0672">
        <w:rPr>
          <w:rFonts w:ascii="Arial" w:eastAsia="Times New Roman" w:hAnsi="Arial" w:cs="Arial"/>
          <w:i/>
          <w:iCs/>
        </w:rPr>
        <w:t>International Journal of Environmental Research and Public Health</w:t>
      </w:r>
      <w:r w:rsidRPr="002C0672">
        <w:rPr>
          <w:rFonts w:ascii="Arial" w:eastAsia="Times New Roman" w:hAnsi="Arial" w:cs="Arial"/>
        </w:rPr>
        <w:t xml:space="preserve">, 18(20), p.10840. </w:t>
      </w:r>
      <w:proofErr w:type="spellStart"/>
      <w:r w:rsidRPr="002C0672">
        <w:rPr>
          <w:rFonts w:ascii="Arial" w:eastAsia="Times New Roman" w:hAnsi="Arial" w:cs="Arial"/>
        </w:rPr>
        <w:t>doi:https</w:t>
      </w:r>
      <w:proofErr w:type="spellEnd"/>
      <w:r w:rsidRPr="002C0672">
        <w:rPr>
          <w:rFonts w:ascii="Arial" w:eastAsia="Times New Roman" w:hAnsi="Arial" w:cs="Arial"/>
        </w:rPr>
        <w:t>://doi.org/10.3390/ijerph182010840.</w:t>
      </w:r>
    </w:p>
    <w:p w14:paraId="640ECDE6" w14:textId="77777777" w:rsidR="004028B1" w:rsidRPr="002C0672" w:rsidRDefault="004028B1" w:rsidP="00EC1F2D">
      <w:pPr>
        <w:spacing w:line="276" w:lineRule="auto"/>
        <w:rPr>
          <w:rFonts w:ascii="Arial" w:hAnsi="Arial" w:cs="Arial"/>
          <w:lang w:val="de-DE"/>
        </w:rPr>
      </w:pPr>
      <w:r w:rsidRPr="002C0672">
        <w:rPr>
          <w:rFonts w:ascii="Arial" w:hAnsi="Arial" w:cs="Arial"/>
        </w:rPr>
        <w:t xml:space="preserve">Anson, M., Henney, A.E., Edwards, H., </w:t>
      </w:r>
      <w:proofErr w:type="spellStart"/>
      <w:r w:rsidRPr="002C0672">
        <w:rPr>
          <w:rFonts w:ascii="Arial" w:hAnsi="Arial" w:cs="Arial"/>
        </w:rPr>
        <w:t>Ibarburu</w:t>
      </w:r>
      <w:proofErr w:type="spellEnd"/>
      <w:r w:rsidRPr="002C0672">
        <w:rPr>
          <w:rFonts w:ascii="Arial" w:hAnsi="Arial" w:cs="Arial"/>
        </w:rPr>
        <w:t xml:space="preserve">, G.H., Mordi, I., Jaffar, S., </w:t>
      </w:r>
      <w:proofErr w:type="spellStart"/>
      <w:r w:rsidRPr="002C0672">
        <w:rPr>
          <w:rFonts w:ascii="Arial" w:hAnsi="Arial" w:cs="Arial"/>
        </w:rPr>
        <w:t>Garrib</w:t>
      </w:r>
      <w:proofErr w:type="spellEnd"/>
      <w:r w:rsidRPr="002C0672">
        <w:rPr>
          <w:rFonts w:ascii="Arial" w:hAnsi="Arial" w:cs="Arial"/>
        </w:rPr>
        <w:t xml:space="preserve">, A., Lip, G.Y.H., Wang, D., </w:t>
      </w:r>
      <w:proofErr w:type="spellStart"/>
      <w:r w:rsidRPr="002C0672">
        <w:rPr>
          <w:rFonts w:ascii="Arial" w:hAnsi="Arial" w:cs="Arial"/>
        </w:rPr>
        <w:t>Nabrdalik</w:t>
      </w:r>
      <w:proofErr w:type="spellEnd"/>
      <w:r w:rsidRPr="002C0672">
        <w:rPr>
          <w:rFonts w:ascii="Arial" w:hAnsi="Arial" w:cs="Arial"/>
        </w:rPr>
        <w:t xml:space="preserve">, K., Perkins, B.A. and Alam, U. (2025) ‘The rapidly increasing incidence of type 2 diabetes and macrovascular and microvascular complications disproportionately affects younger age groups: A decade of evidence from an international federated database’, </w:t>
      </w:r>
      <w:r w:rsidRPr="002C0672">
        <w:rPr>
          <w:rFonts w:ascii="Arial" w:hAnsi="Arial" w:cs="Arial"/>
          <w:i/>
          <w:iCs/>
        </w:rPr>
        <w:t>Diabetes Research and Clinical Practice</w:t>
      </w:r>
      <w:r w:rsidRPr="002C0672">
        <w:rPr>
          <w:rFonts w:ascii="Arial" w:hAnsi="Arial" w:cs="Arial"/>
        </w:rPr>
        <w:t xml:space="preserve">, p.112431. </w:t>
      </w:r>
      <w:hyperlink r:id="rId16">
        <w:r w:rsidRPr="002C0672">
          <w:rPr>
            <w:rStyle w:val="Hyperlink"/>
            <w:rFonts w:ascii="Arial" w:hAnsi="Arial" w:cs="Arial"/>
            <w:lang w:val="de-DE"/>
          </w:rPr>
          <w:t>https://doi.org/10.1016/j.diabres.2025.112431</w:t>
        </w:r>
      </w:hyperlink>
    </w:p>
    <w:p w14:paraId="26FDCA3F" w14:textId="77777777" w:rsidR="004028B1" w:rsidRPr="002C0672" w:rsidRDefault="004028B1" w:rsidP="00EC1F2D">
      <w:pPr>
        <w:spacing w:line="276" w:lineRule="auto"/>
        <w:rPr>
          <w:rFonts w:ascii="Arial" w:hAnsi="Arial" w:cs="Arial"/>
        </w:rPr>
      </w:pPr>
      <w:r w:rsidRPr="002C0672">
        <w:rPr>
          <w:rFonts w:ascii="Arial" w:hAnsi="Arial" w:cs="Arial"/>
        </w:rPr>
        <w:t xml:space="preserve">Arnold, S.V., </w:t>
      </w:r>
      <w:proofErr w:type="spellStart"/>
      <w:r w:rsidRPr="002C0672">
        <w:rPr>
          <w:rFonts w:ascii="Arial" w:hAnsi="Arial" w:cs="Arial"/>
        </w:rPr>
        <w:t>Khunti</w:t>
      </w:r>
      <w:proofErr w:type="spellEnd"/>
      <w:r w:rsidRPr="002C0672">
        <w:rPr>
          <w:rFonts w:ascii="Arial" w:hAnsi="Arial" w:cs="Arial"/>
        </w:rPr>
        <w:t xml:space="preserve">, K., Tang, F., Chen, H., Nicolucci, A., Gomes, M.B., Ji, L., Shestakova, M.V., Watada, H., Cooper, A., </w:t>
      </w:r>
      <w:proofErr w:type="spellStart"/>
      <w:r w:rsidRPr="002C0672">
        <w:rPr>
          <w:rFonts w:ascii="Arial" w:hAnsi="Arial" w:cs="Arial"/>
        </w:rPr>
        <w:t>Fenici</w:t>
      </w:r>
      <w:proofErr w:type="spellEnd"/>
      <w:r w:rsidRPr="002C0672">
        <w:rPr>
          <w:rFonts w:ascii="Arial" w:hAnsi="Arial" w:cs="Arial"/>
        </w:rPr>
        <w:t xml:space="preserve">, P., Hammar, N., Medina, J. and </w:t>
      </w:r>
      <w:proofErr w:type="spellStart"/>
      <w:r w:rsidRPr="002C0672">
        <w:rPr>
          <w:rFonts w:ascii="Arial" w:hAnsi="Arial" w:cs="Arial"/>
        </w:rPr>
        <w:t>Kosiborod</w:t>
      </w:r>
      <w:proofErr w:type="spellEnd"/>
      <w:r w:rsidRPr="002C0672">
        <w:rPr>
          <w:rFonts w:ascii="Arial" w:hAnsi="Arial" w:cs="Arial"/>
        </w:rPr>
        <w:t>, M. (2022) ‘Impact of micro</w:t>
      </w:r>
      <w:r w:rsidRPr="002C0672">
        <w:rPr>
          <w:rFonts w:ascii="Cambria Math" w:hAnsi="Cambria Math" w:cs="Cambria Math"/>
        </w:rPr>
        <w:t>‐</w:t>
      </w:r>
      <w:r w:rsidRPr="002C0672">
        <w:rPr>
          <w:rFonts w:ascii="Arial" w:hAnsi="Arial" w:cs="Arial"/>
        </w:rPr>
        <w:t xml:space="preserve"> and macrovascular complications of type 2 diabetes on quality of life: Insights from the DISCOVER prospective cohort study’, </w:t>
      </w:r>
      <w:r w:rsidRPr="002C0672">
        <w:rPr>
          <w:rFonts w:ascii="Arial" w:hAnsi="Arial" w:cs="Arial"/>
          <w:i/>
          <w:iCs/>
        </w:rPr>
        <w:t>Endocrinology, Diabetes &amp; Metabolism</w:t>
      </w:r>
      <w:r w:rsidRPr="002C0672">
        <w:rPr>
          <w:rFonts w:ascii="Arial" w:hAnsi="Arial" w:cs="Arial"/>
        </w:rPr>
        <w:t xml:space="preserve">, 5(2). </w:t>
      </w:r>
      <w:hyperlink r:id="rId17" w:tgtFrame="_new" w:history="1">
        <w:r w:rsidRPr="002C0672">
          <w:rPr>
            <w:rStyle w:val="Hyperlink"/>
            <w:rFonts w:ascii="Arial" w:hAnsi="Arial" w:cs="Arial"/>
          </w:rPr>
          <w:t>https://doi.org/10.1002/edm2.321</w:t>
        </w:r>
      </w:hyperlink>
    </w:p>
    <w:p w14:paraId="7144969F" w14:textId="77777777" w:rsidR="004028B1" w:rsidRPr="002C0672" w:rsidRDefault="004028B1" w:rsidP="00EC1F2D">
      <w:pPr>
        <w:spacing w:line="276" w:lineRule="auto"/>
        <w:rPr>
          <w:rFonts w:ascii="Arial" w:hAnsi="Arial" w:cs="Arial"/>
        </w:rPr>
      </w:pPr>
      <w:r w:rsidRPr="002C0672">
        <w:rPr>
          <w:rFonts w:ascii="Arial" w:hAnsi="Arial" w:cs="Arial"/>
        </w:rPr>
        <w:t xml:space="preserve">Baig, A.A., Benitez, A., Quinn, M.T. and Burnet, D.L. (2015) ‘Family interventions to improve diabetes outcomes for adults’, </w:t>
      </w:r>
      <w:r w:rsidRPr="002C0672">
        <w:rPr>
          <w:rFonts w:ascii="Arial" w:hAnsi="Arial" w:cs="Arial"/>
          <w:i/>
          <w:iCs/>
        </w:rPr>
        <w:t>Annals of the New York Academy of Sciences</w:t>
      </w:r>
      <w:r w:rsidRPr="002C0672">
        <w:rPr>
          <w:rFonts w:ascii="Arial" w:hAnsi="Arial" w:cs="Arial"/>
        </w:rPr>
        <w:t xml:space="preserve">, 1353(1), pp.89–112. </w:t>
      </w:r>
      <w:hyperlink r:id="rId18" w:tgtFrame="_new" w:history="1">
        <w:r w:rsidRPr="002C0672">
          <w:rPr>
            <w:rStyle w:val="Hyperlink"/>
            <w:rFonts w:ascii="Arial" w:hAnsi="Arial" w:cs="Arial"/>
          </w:rPr>
          <w:t>https://doi.org/10.1111/nyas.12844</w:t>
        </w:r>
      </w:hyperlink>
    </w:p>
    <w:p w14:paraId="6F533364" w14:textId="77777777" w:rsidR="004028B1" w:rsidRPr="002C0672" w:rsidRDefault="004028B1" w:rsidP="00EC1F2D">
      <w:pPr>
        <w:spacing w:line="276" w:lineRule="auto"/>
        <w:rPr>
          <w:rFonts w:ascii="Arial" w:hAnsi="Arial" w:cs="Arial"/>
        </w:rPr>
      </w:pPr>
      <w:r w:rsidRPr="002C0672">
        <w:rPr>
          <w:rFonts w:ascii="Arial" w:hAnsi="Arial" w:cs="Arial"/>
        </w:rPr>
        <w:t xml:space="preserve">Bambra, C., Smith, K.E. and Pearce, J. (2015) ‘Scaling up: The politics of health and place’, </w:t>
      </w:r>
      <w:r w:rsidRPr="002C0672">
        <w:rPr>
          <w:rFonts w:ascii="Arial" w:hAnsi="Arial" w:cs="Arial"/>
          <w:i/>
          <w:iCs/>
        </w:rPr>
        <w:t>Journal of Epidemiology and Community Health</w:t>
      </w:r>
      <w:r w:rsidRPr="002C0672">
        <w:rPr>
          <w:rFonts w:ascii="Arial" w:hAnsi="Arial" w:cs="Arial"/>
        </w:rPr>
        <w:t>, 69(10), pp.952–954.</w:t>
      </w:r>
    </w:p>
    <w:p w14:paraId="65E7773D" w14:textId="77777777" w:rsidR="004028B1" w:rsidRPr="002C0672" w:rsidRDefault="004028B1" w:rsidP="00EC1F2D">
      <w:pPr>
        <w:spacing w:line="276" w:lineRule="auto"/>
        <w:rPr>
          <w:rFonts w:ascii="Arial" w:hAnsi="Arial" w:cs="Arial"/>
        </w:rPr>
      </w:pPr>
      <w:r w:rsidRPr="002C0672">
        <w:rPr>
          <w:rFonts w:ascii="Arial" w:hAnsi="Arial" w:cs="Arial"/>
        </w:rPr>
        <w:t xml:space="preserve">Barnett, K., Mercer, S.W., Norbury, M., Watt, G., Wyke, S. and Guthrie, B. (2012) ‘Epidemiology of multimorbidity and implications for health care, research, and medical education: A cross-sectional study’, </w:t>
      </w:r>
      <w:r w:rsidRPr="002C0672">
        <w:rPr>
          <w:rFonts w:ascii="Arial" w:hAnsi="Arial" w:cs="Arial"/>
          <w:i/>
          <w:iCs/>
        </w:rPr>
        <w:t>The Lancet</w:t>
      </w:r>
      <w:r w:rsidRPr="002C0672">
        <w:rPr>
          <w:rFonts w:ascii="Arial" w:hAnsi="Arial" w:cs="Arial"/>
        </w:rPr>
        <w:t xml:space="preserve">, 380(9836), pp.37–43. </w:t>
      </w:r>
      <w:hyperlink r:id="rId19" w:tgtFrame="_new" w:history="1">
        <w:r w:rsidRPr="002C0672">
          <w:rPr>
            <w:rStyle w:val="Hyperlink"/>
            <w:rFonts w:ascii="Arial" w:hAnsi="Arial" w:cs="Arial"/>
          </w:rPr>
          <w:t>https://doi.org/10.1016/S0140-6736(12)60240-2</w:t>
        </w:r>
      </w:hyperlink>
    </w:p>
    <w:p w14:paraId="7BD65F5C" w14:textId="77777777" w:rsidR="004028B1" w:rsidRPr="002C0672" w:rsidRDefault="004028B1" w:rsidP="00EC1F2D">
      <w:pPr>
        <w:spacing w:line="276" w:lineRule="auto"/>
        <w:rPr>
          <w:rFonts w:ascii="Arial" w:hAnsi="Arial" w:cs="Arial"/>
        </w:rPr>
      </w:pPr>
      <w:r w:rsidRPr="002C0672">
        <w:rPr>
          <w:rFonts w:ascii="Arial" w:hAnsi="Arial" w:cs="Arial"/>
        </w:rPr>
        <w:t xml:space="preserve">Bednarska, N.G. (2022) ‘Critical assessment of current health policies used for managing diabetes in the United Kingdom’, </w:t>
      </w:r>
      <w:r w:rsidRPr="002C0672">
        <w:rPr>
          <w:rFonts w:ascii="Arial" w:hAnsi="Arial" w:cs="Arial"/>
          <w:i/>
          <w:iCs/>
        </w:rPr>
        <w:t>Journal of Community Medicine &amp; Public Health</w:t>
      </w:r>
      <w:r w:rsidRPr="002C0672">
        <w:rPr>
          <w:rFonts w:ascii="Arial" w:hAnsi="Arial" w:cs="Arial"/>
        </w:rPr>
        <w:t xml:space="preserve">, 6, p.260. </w:t>
      </w:r>
      <w:hyperlink r:id="rId20" w:tgtFrame="_new" w:history="1">
        <w:r w:rsidRPr="002C0672">
          <w:rPr>
            <w:rStyle w:val="Hyperlink"/>
            <w:rFonts w:ascii="Arial" w:hAnsi="Arial" w:cs="Arial"/>
          </w:rPr>
          <w:t>https://doi.org/10.29011/2577-2228.100260</w:t>
        </w:r>
      </w:hyperlink>
    </w:p>
    <w:p w14:paraId="6A154474" w14:textId="77777777" w:rsidR="004028B1" w:rsidRPr="002C0672" w:rsidRDefault="004028B1" w:rsidP="00EC1F2D">
      <w:pPr>
        <w:spacing w:line="276" w:lineRule="auto"/>
        <w:rPr>
          <w:rFonts w:ascii="Arial" w:hAnsi="Arial" w:cs="Arial"/>
        </w:rPr>
      </w:pPr>
      <w:r w:rsidRPr="002C0672">
        <w:rPr>
          <w:rFonts w:ascii="Arial" w:hAnsi="Arial" w:cs="Arial"/>
        </w:rPr>
        <w:t xml:space="preserve">Bodenheimer, T., Wagner, E.H. and Grumbach, K. (2002) ‘Improving primary care for patients with chronic illness’, </w:t>
      </w:r>
      <w:r w:rsidRPr="002C0672">
        <w:rPr>
          <w:rFonts w:ascii="Arial" w:hAnsi="Arial" w:cs="Arial"/>
          <w:i/>
          <w:iCs/>
        </w:rPr>
        <w:t>JAMA</w:t>
      </w:r>
      <w:r w:rsidRPr="002C0672">
        <w:rPr>
          <w:rFonts w:ascii="Arial" w:hAnsi="Arial" w:cs="Arial"/>
        </w:rPr>
        <w:t xml:space="preserve">, 288(15), pp.1909–1914. </w:t>
      </w:r>
      <w:hyperlink r:id="rId21" w:tgtFrame="_new" w:history="1">
        <w:r w:rsidRPr="002C0672">
          <w:rPr>
            <w:rStyle w:val="Hyperlink"/>
            <w:rFonts w:ascii="Arial" w:hAnsi="Arial" w:cs="Arial"/>
          </w:rPr>
          <w:t>https://doi.org/10.1001/jama.288.15.1909</w:t>
        </w:r>
      </w:hyperlink>
    </w:p>
    <w:p w14:paraId="4CF0160B" w14:textId="77777777" w:rsidR="004028B1" w:rsidRPr="002C0672" w:rsidRDefault="004028B1" w:rsidP="00EC1F2D">
      <w:pPr>
        <w:spacing w:line="276" w:lineRule="auto"/>
        <w:rPr>
          <w:rFonts w:ascii="Arial" w:hAnsi="Arial" w:cs="Arial"/>
        </w:rPr>
      </w:pPr>
      <w:r w:rsidRPr="002C0672">
        <w:rPr>
          <w:rFonts w:ascii="Arial" w:hAnsi="Arial" w:cs="Arial"/>
        </w:rPr>
        <w:t xml:space="preserve">Brunton, L., </w:t>
      </w:r>
      <w:proofErr w:type="spellStart"/>
      <w:r w:rsidRPr="002C0672">
        <w:rPr>
          <w:rFonts w:ascii="Arial" w:hAnsi="Arial" w:cs="Arial"/>
        </w:rPr>
        <w:t>Soiland</w:t>
      </w:r>
      <w:proofErr w:type="spellEnd"/>
      <w:r w:rsidRPr="002C0672">
        <w:rPr>
          <w:rFonts w:ascii="Arial" w:hAnsi="Arial" w:cs="Arial"/>
        </w:rPr>
        <w:t xml:space="preserve">-Reyes, C. and Wilson, P. (2022) </w:t>
      </w:r>
      <w:r w:rsidRPr="002C0672">
        <w:rPr>
          <w:rFonts w:ascii="Arial" w:hAnsi="Arial" w:cs="Arial"/>
          <w:i/>
          <w:iCs/>
        </w:rPr>
        <w:t xml:space="preserve">Implications for future policy implementation: A qualitative evaluation of the national rollout of a diabetes </w:t>
      </w:r>
      <w:r w:rsidRPr="002C0672">
        <w:rPr>
          <w:rFonts w:ascii="Arial" w:hAnsi="Arial" w:cs="Arial"/>
          <w:i/>
          <w:iCs/>
        </w:rPr>
        <w:lastRenderedPageBreak/>
        <w:t>prevention programme in England</w:t>
      </w:r>
      <w:r w:rsidRPr="002C0672">
        <w:rPr>
          <w:rFonts w:ascii="Arial" w:hAnsi="Arial" w:cs="Arial"/>
        </w:rPr>
        <w:t>. Research Square. https://doi.org/10.21203/rs.3.rs-1776086/v1</w:t>
      </w:r>
    </w:p>
    <w:p w14:paraId="3CC60FBA" w14:textId="5305D0BD" w:rsidR="00CE1451" w:rsidRPr="002C0672" w:rsidRDefault="004135EE" w:rsidP="00EC1F2D">
      <w:pPr>
        <w:spacing w:line="276" w:lineRule="auto"/>
        <w:rPr>
          <w:rFonts w:ascii="Arial" w:hAnsi="Arial" w:cs="Arial"/>
        </w:rPr>
      </w:pPr>
      <w:r w:rsidRPr="004135EE">
        <w:rPr>
          <w:rFonts w:ascii="Arial" w:hAnsi="Arial" w:cs="Arial"/>
        </w:rPr>
        <w:t xml:space="preserve">Coulter, A., Kramer, G., Warren, T. and Salisbury, C. (2016). Building the House of Care for People with long-term conditions: the Foundation of the House of Care Framework. </w:t>
      </w:r>
      <w:r w:rsidRPr="004135EE">
        <w:rPr>
          <w:rFonts w:ascii="Arial" w:hAnsi="Arial" w:cs="Arial"/>
          <w:i/>
          <w:iCs/>
        </w:rPr>
        <w:t>British Journal of General Practice</w:t>
      </w:r>
      <w:r w:rsidRPr="004135EE">
        <w:rPr>
          <w:rFonts w:ascii="Arial" w:hAnsi="Arial" w:cs="Arial"/>
        </w:rPr>
        <w:t xml:space="preserve">, [online] 66(645), pp.288–290. </w:t>
      </w:r>
      <w:proofErr w:type="spellStart"/>
      <w:r w:rsidRPr="004135EE">
        <w:rPr>
          <w:rFonts w:ascii="Arial" w:hAnsi="Arial" w:cs="Arial"/>
        </w:rPr>
        <w:t>doi:https</w:t>
      </w:r>
      <w:proofErr w:type="spellEnd"/>
      <w:r w:rsidRPr="004135EE">
        <w:rPr>
          <w:rFonts w:ascii="Arial" w:hAnsi="Arial" w:cs="Arial"/>
        </w:rPr>
        <w:t>://doi.org/10.3399/bjgp16x684745.</w:t>
      </w:r>
    </w:p>
    <w:p w14:paraId="318A8029" w14:textId="6174113C" w:rsidR="004028B1" w:rsidRPr="002C0672" w:rsidRDefault="004028B1" w:rsidP="00EC1F2D">
      <w:pPr>
        <w:spacing w:line="276" w:lineRule="auto"/>
        <w:rPr>
          <w:rFonts w:ascii="Arial" w:hAnsi="Arial" w:cs="Arial"/>
        </w:rPr>
      </w:pPr>
      <w:r w:rsidRPr="002C0672">
        <w:rPr>
          <w:rFonts w:ascii="Arial" w:hAnsi="Arial" w:cs="Arial"/>
        </w:rPr>
        <w:t xml:space="preserve">Davies, M.J., Heller, S., Skinner, T.C., Campbell, M.J., Carey, M.E., Cradock, S., </w:t>
      </w:r>
      <w:proofErr w:type="spellStart"/>
      <w:r w:rsidRPr="002C0672">
        <w:rPr>
          <w:rFonts w:ascii="Arial" w:hAnsi="Arial" w:cs="Arial"/>
        </w:rPr>
        <w:t>Dallosso</w:t>
      </w:r>
      <w:proofErr w:type="spellEnd"/>
      <w:r w:rsidRPr="002C0672">
        <w:rPr>
          <w:rFonts w:ascii="Arial" w:hAnsi="Arial" w:cs="Arial"/>
        </w:rPr>
        <w:t xml:space="preserve">, H.M., Daly, H., Doherty, Y., Eaton, S., Fox, C., Oliver, L., </w:t>
      </w:r>
      <w:proofErr w:type="spellStart"/>
      <w:r w:rsidRPr="002C0672">
        <w:rPr>
          <w:rFonts w:ascii="Arial" w:hAnsi="Arial" w:cs="Arial"/>
        </w:rPr>
        <w:t>Rantell</w:t>
      </w:r>
      <w:proofErr w:type="spellEnd"/>
      <w:r w:rsidRPr="002C0672">
        <w:rPr>
          <w:rFonts w:ascii="Arial" w:hAnsi="Arial" w:cs="Arial"/>
        </w:rPr>
        <w:t xml:space="preserve">, K., Rayman, G. and </w:t>
      </w:r>
      <w:proofErr w:type="spellStart"/>
      <w:r w:rsidRPr="002C0672">
        <w:rPr>
          <w:rFonts w:ascii="Arial" w:hAnsi="Arial" w:cs="Arial"/>
        </w:rPr>
        <w:t>Khunti</w:t>
      </w:r>
      <w:proofErr w:type="spellEnd"/>
      <w:r w:rsidRPr="002C0672">
        <w:rPr>
          <w:rFonts w:ascii="Arial" w:hAnsi="Arial" w:cs="Arial"/>
        </w:rPr>
        <w:t xml:space="preserve">, K. (2008) ‘Effectiveness of the diabetes education and self-management for ongoing and newly diagnosed (DESMOND) programme’, </w:t>
      </w:r>
      <w:r w:rsidRPr="002C0672">
        <w:rPr>
          <w:rFonts w:ascii="Arial" w:hAnsi="Arial" w:cs="Arial"/>
          <w:i/>
          <w:iCs/>
        </w:rPr>
        <w:t>BMJ</w:t>
      </w:r>
      <w:r w:rsidRPr="002C0672">
        <w:rPr>
          <w:rFonts w:ascii="Arial" w:hAnsi="Arial" w:cs="Arial"/>
        </w:rPr>
        <w:t xml:space="preserve">, 336(7642), pp.491–495. </w:t>
      </w:r>
      <w:hyperlink r:id="rId22" w:tgtFrame="_new" w:history="1">
        <w:r w:rsidRPr="002C0672">
          <w:rPr>
            <w:rStyle w:val="Hyperlink"/>
            <w:rFonts w:ascii="Arial" w:hAnsi="Arial" w:cs="Arial"/>
          </w:rPr>
          <w:t>https://doi.org/10.1136/bmj.39474.922025.BE</w:t>
        </w:r>
      </w:hyperlink>
    </w:p>
    <w:p w14:paraId="762624C2" w14:textId="77777777" w:rsidR="00E861A3" w:rsidRPr="00E861A3" w:rsidRDefault="00E861A3" w:rsidP="00EC1F2D">
      <w:pPr>
        <w:spacing w:line="276" w:lineRule="auto"/>
        <w:rPr>
          <w:rFonts w:ascii="Arial" w:hAnsi="Arial" w:cs="Arial"/>
          <w:i/>
          <w:iCs/>
        </w:rPr>
      </w:pPr>
      <w:r w:rsidRPr="00E861A3">
        <w:rPr>
          <w:rFonts w:ascii="Arial" w:hAnsi="Arial" w:cs="Arial"/>
          <w:i/>
          <w:iCs/>
        </w:rPr>
        <w:t>SIGN (2017b). SIGN 154 • Pharmacological management of glycaemic control in people with type 2 diabetes. [online] Available at: https://www.sign.ac.uk/media/1090/sign154.pdf.</w:t>
      </w:r>
    </w:p>
    <w:p w14:paraId="25D09711" w14:textId="77777777" w:rsidR="004028B1" w:rsidRPr="002C0672" w:rsidRDefault="004028B1" w:rsidP="00EC1F2D">
      <w:pPr>
        <w:spacing w:line="276" w:lineRule="auto"/>
        <w:rPr>
          <w:rFonts w:ascii="Arial" w:hAnsi="Arial" w:cs="Arial"/>
        </w:rPr>
      </w:pPr>
      <w:r w:rsidRPr="002C0672">
        <w:rPr>
          <w:rFonts w:ascii="Arial" w:hAnsi="Arial" w:cs="Arial"/>
        </w:rPr>
        <w:t xml:space="preserve">Diabetes UK (2023) </w:t>
      </w:r>
      <w:r w:rsidRPr="002C0672">
        <w:rPr>
          <w:rFonts w:ascii="Arial" w:hAnsi="Arial" w:cs="Arial"/>
          <w:i/>
          <w:iCs/>
        </w:rPr>
        <w:t>Diabetes statistics in the UK</w:t>
      </w:r>
      <w:r w:rsidRPr="002C0672">
        <w:rPr>
          <w:rFonts w:ascii="Arial" w:hAnsi="Arial" w:cs="Arial"/>
        </w:rPr>
        <w:t xml:space="preserve">. Available at: </w:t>
      </w:r>
      <w:hyperlink r:id="rId23" w:tgtFrame="_new" w:history="1">
        <w:r w:rsidRPr="002C0672">
          <w:rPr>
            <w:rStyle w:val="Hyperlink"/>
            <w:rFonts w:ascii="Arial" w:hAnsi="Arial" w:cs="Arial"/>
          </w:rPr>
          <w:t>https://www.diabetes.org.uk/about-us/about-the-charity/our-strategy/statistics</w:t>
        </w:r>
      </w:hyperlink>
      <w:r w:rsidRPr="002C0672">
        <w:rPr>
          <w:rFonts w:ascii="Arial" w:hAnsi="Arial" w:cs="Arial"/>
        </w:rPr>
        <w:t xml:space="preserve"> (Accessed: 17 February 2026).</w:t>
      </w:r>
    </w:p>
    <w:p w14:paraId="4E4038D9" w14:textId="77777777" w:rsidR="004028B1" w:rsidRPr="002C0672" w:rsidRDefault="004028B1" w:rsidP="00EC1F2D">
      <w:pPr>
        <w:spacing w:line="276" w:lineRule="auto"/>
        <w:rPr>
          <w:rFonts w:ascii="Arial" w:hAnsi="Arial" w:cs="Arial"/>
        </w:rPr>
      </w:pPr>
      <w:r w:rsidRPr="002C0672">
        <w:rPr>
          <w:rFonts w:ascii="Arial" w:hAnsi="Arial" w:cs="Arial"/>
        </w:rPr>
        <w:t xml:space="preserve">Fisher, L., Hessler, D.M., Polonsky, W.H. and Mullan, J. (2012) ‘When is diabetes distress clinically meaningful?’, </w:t>
      </w:r>
      <w:r w:rsidRPr="002C0672">
        <w:rPr>
          <w:rFonts w:ascii="Arial" w:hAnsi="Arial" w:cs="Arial"/>
          <w:i/>
          <w:iCs/>
        </w:rPr>
        <w:t>Diabetes Care</w:t>
      </w:r>
      <w:r w:rsidRPr="002C0672">
        <w:rPr>
          <w:rFonts w:ascii="Arial" w:hAnsi="Arial" w:cs="Arial"/>
        </w:rPr>
        <w:t xml:space="preserve">, 35(2), pp.259–264. </w:t>
      </w:r>
      <w:hyperlink r:id="rId24">
        <w:r w:rsidRPr="002C0672">
          <w:rPr>
            <w:rStyle w:val="Hyperlink"/>
            <w:rFonts w:ascii="Arial" w:hAnsi="Arial" w:cs="Arial"/>
          </w:rPr>
          <w:t>https://doi.org/10.2337/dc11-1572</w:t>
        </w:r>
      </w:hyperlink>
    </w:p>
    <w:p w14:paraId="10D1B63A" w14:textId="77777777" w:rsidR="004028B1" w:rsidRPr="002C0672" w:rsidRDefault="004028B1" w:rsidP="00EC1F2D">
      <w:pPr>
        <w:spacing w:line="276" w:lineRule="auto"/>
        <w:rPr>
          <w:rFonts w:ascii="Arial" w:hAnsi="Arial" w:cs="Arial"/>
        </w:rPr>
      </w:pPr>
      <w:r w:rsidRPr="002C0672">
        <w:rPr>
          <w:rFonts w:ascii="Arial" w:hAnsi="Arial" w:cs="Arial"/>
        </w:rPr>
        <w:t xml:space="preserve">Hessler, D., Fisher, L., Dickinson, M., Dickinson, P., Parra, J. and Potter, M.B. (2022) ‘Enhancing self-management support for diabetes in community health centres’, </w:t>
      </w:r>
      <w:r w:rsidRPr="002C0672">
        <w:rPr>
          <w:rFonts w:ascii="Arial" w:hAnsi="Arial" w:cs="Arial"/>
          <w:i/>
          <w:iCs/>
        </w:rPr>
        <w:t xml:space="preserve">Translational </w:t>
      </w:r>
      <w:proofErr w:type="spellStart"/>
      <w:r w:rsidRPr="002C0672">
        <w:rPr>
          <w:rFonts w:ascii="Arial" w:hAnsi="Arial" w:cs="Arial"/>
          <w:i/>
          <w:iCs/>
        </w:rPr>
        <w:t>Behavioral</w:t>
      </w:r>
      <w:proofErr w:type="spellEnd"/>
      <w:r w:rsidRPr="002C0672">
        <w:rPr>
          <w:rFonts w:ascii="Arial" w:hAnsi="Arial" w:cs="Arial"/>
          <w:i/>
          <w:iCs/>
        </w:rPr>
        <w:t xml:space="preserve"> Medicine</w:t>
      </w:r>
      <w:r w:rsidRPr="002C0672">
        <w:rPr>
          <w:rFonts w:ascii="Arial" w:hAnsi="Arial" w:cs="Arial"/>
        </w:rPr>
        <w:t xml:space="preserve">, 12(9), pp.909–918. </w:t>
      </w:r>
      <w:hyperlink r:id="rId25" w:tgtFrame="_new" w:history="1">
        <w:r w:rsidRPr="002C0672">
          <w:rPr>
            <w:rStyle w:val="Hyperlink"/>
            <w:rFonts w:ascii="Arial" w:hAnsi="Arial" w:cs="Arial"/>
          </w:rPr>
          <w:t>https://doi.org/10.1093/tbm/ibac046</w:t>
        </w:r>
      </w:hyperlink>
    </w:p>
    <w:p w14:paraId="584876EE" w14:textId="77777777" w:rsidR="004028B1" w:rsidRPr="002C0672" w:rsidRDefault="004028B1" w:rsidP="00EC1F2D">
      <w:pPr>
        <w:spacing w:line="276" w:lineRule="auto"/>
        <w:rPr>
          <w:rFonts w:ascii="Arial" w:hAnsi="Arial" w:cs="Arial"/>
        </w:rPr>
      </w:pPr>
      <w:r w:rsidRPr="002C0672">
        <w:rPr>
          <w:rFonts w:ascii="Arial" w:hAnsi="Arial" w:cs="Arial"/>
        </w:rPr>
        <w:t xml:space="preserve">Hex, N., Bartlett, C., Wright, D., Taylor, M. and Varley, D. (2012) ‘Estimating the current and future costs of Type 1 and Type 2 diabetes in the UK’, </w:t>
      </w:r>
      <w:r w:rsidRPr="002C0672">
        <w:rPr>
          <w:rFonts w:ascii="Arial" w:hAnsi="Arial" w:cs="Arial"/>
          <w:i/>
          <w:iCs/>
        </w:rPr>
        <w:t>Diabetic Medicine</w:t>
      </w:r>
      <w:r w:rsidRPr="002C0672">
        <w:rPr>
          <w:rFonts w:ascii="Arial" w:hAnsi="Arial" w:cs="Arial"/>
        </w:rPr>
        <w:t xml:space="preserve">, 29(7), pp.855–862. </w:t>
      </w:r>
      <w:hyperlink r:id="rId26" w:tgtFrame="_new" w:history="1">
        <w:r w:rsidRPr="002C0672">
          <w:rPr>
            <w:rStyle w:val="Hyperlink"/>
            <w:rFonts w:ascii="Arial" w:hAnsi="Arial" w:cs="Arial"/>
          </w:rPr>
          <w:t>https://doi.org/10.1111/j.1464-5491.2012.03698.x</w:t>
        </w:r>
      </w:hyperlink>
    </w:p>
    <w:p w14:paraId="6F077A93" w14:textId="77777777" w:rsidR="004028B1" w:rsidRPr="002C0672" w:rsidRDefault="004028B1" w:rsidP="00EC1F2D">
      <w:pPr>
        <w:spacing w:line="276" w:lineRule="auto"/>
        <w:rPr>
          <w:rFonts w:ascii="Arial" w:hAnsi="Arial" w:cs="Arial"/>
        </w:rPr>
      </w:pPr>
      <w:r w:rsidRPr="002C0672">
        <w:rPr>
          <w:rFonts w:ascii="Arial" w:hAnsi="Arial" w:cs="Arial"/>
        </w:rPr>
        <w:t xml:space="preserve">Hill, J.O., Wyatt, H.R. and Peters, J.C. (2012) ‘Energy balance and obesity’, </w:t>
      </w:r>
      <w:r w:rsidRPr="002C0672">
        <w:rPr>
          <w:rFonts w:ascii="Arial" w:hAnsi="Arial" w:cs="Arial"/>
          <w:i/>
          <w:iCs/>
        </w:rPr>
        <w:t>Circulation</w:t>
      </w:r>
      <w:r w:rsidRPr="002C0672">
        <w:rPr>
          <w:rFonts w:ascii="Arial" w:hAnsi="Arial" w:cs="Arial"/>
        </w:rPr>
        <w:t xml:space="preserve">, 126(1), pp.126–132. </w:t>
      </w:r>
      <w:hyperlink r:id="rId27">
        <w:r w:rsidRPr="002C0672">
          <w:rPr>
            <w:rStyle w:val="Hyperlink"/>
            <w:rFonts w:ascii="Arial" w:hAnsi="Arial" w:cs="Arial"/>
          </w:rPr>
          <w:t>https://doi.org/10.1161/CIRCULATIONAHA.111.087213</w:t>
        </w:r>
      </w:hyperlink>
    </w:p>
    <w:p w14:paraId="0CF64BBF" w14:textId="77777777" w:rsidR="004028B1" w:rsidRPr="002C0672" w:rsidRDefault="004028B1" w:rsidP="00EC1F2D">
      <w:pPr>
        <w:spacing w:after="240" w:line="276" w:lineRule="auto"/>
        <w:rPr>
          <w:rFonts w:ascii="Arial" w:hAnsi="Arial" w:cs="Arial"/>
        </w:rPr>
      </w:pPr>
      <w:r w:rsidRPr="002C0672">
        <w:rPr>
          <w:rFonts w:ascii="Arial" w:eastAsia="Times New Roman" w:hAnsi="Arial" w:cs="Arial"/>
        </w:rPr>
        <w:t xml:space="preserve">Hornstein, A. (2021). </w:t>
      </w:r>
      <w:r w:rsidRPr="002C0672">
        <w:rPr>
          <w:rFonts w:ascii="Arial" w:eastAsia="Times New Roman" w:hAnsi="Arial" w:cs="Arial"/>
          <w:i/>
          <w:iCs/>
        </w:rPr>
        <w:t>Diabetes Awareness Month</w:t>
      </w:r>
      <w:r w:rsidRPr="002C0672">
        <w:rPr>
          <w:rFonts w:ascii="Arial" w:eastAsia="Times New Roman" w:hAnsi="Arial" w:cs="Arial"/>
        </w:rPr>
        <w:t xml:space="preserve">. [online] Dr. Segal’s . Available at: </w:t>
      </w:r>
      <w:hyperlink r:id="rId28">
        <w:r w:rsidRPr="002C0672">
          <w:rPr>
            <w:rStyle w:val="Hyperlink"/>
            <w:rFonts w:ascii="Arial" w:eastAsia="Times New Roman" w:hAnsi="Arial" w:cs="Arial"/>
          </w:rPr>
          <w:t>https://www.drsegals.com/blogs/news/diabetes-awareness-month?srsltid=AfmBOoocmt3fsKv9qqkcjEkj0RXmNB-pZeYPfX4-IVOcB-JRXvkBOCWS</w:t>
        </w:r>
      </w:hyperlink>
      <w:r w:rsidRPr="002C0672">
        <w:rPr>
          <w:rFonts w:ascii="Arial" w:eastAsia="Times New Roman" w:hAnsi="Arial" w:cs="Arial"/>
        </w:rPr>
        <w:t xml:space="preserve"> [Accessed 13 Mar. 2026].</w:t>
      </w:r>
    </w:p>
    <w:p w14:paraId="18BDD063" w14:textId="77777777" w:rsidR="004028B1" w:rsidRPr="002C0672" w:rsidRDefault="004028B1" w:rsidP="00EC1F2D">
      <w:pPr>
        <w:spacing w:after="240" w:line="276" w:lineRule="auto"/>
        <w:rPr>
          <w:rFonts w:ascii="Arial" w:hAnsi="Arial" w:cs="Arial"/>
        </w:rPr>
      </w:pPr>
      <w:r w:rsidRPr="002C0672">
        <w:rPr>
          <w:rFonts w:ascii="Arial" w:eastAsia="Times New Roman" w:hAnsi="Arial" w:cs="Arial"/>
        </w:rPr>
        <w:t xml:space="preserve">Longwoods.com. (2026). Available at: </w:t>
      </w:r>
      <w:hyperlink r:id="rId29">
        <w:r w:rsidRPr="002C0672">
          <w:rPr>
            <w:rStyle w:val="Hyperlink"/>
            <w:rFonts w:ascii="Arial" w:eastAsia="Times New Roman" w:hAnsi="Arial" w:cs="Arial"/>
          </w:rPr>
          <w:t>https://www.longwoods.com/articles/images/HQ71VBarretalF1.jpg</w:t>
        </w:r>
      </w:hyperlink>
      <w:r w:rsidRPr="002C0672">
        <w:rPr>
          <w:rFonts w:ascii="Arial" w:eastAsia="Times New Roman" w:hAnsi="Arial" w:cs="Arial"/>
        </w:rPr>
        <w:t xml:space="preserve"> [Accessed 13 Mar. 2026].</w:t>
      </w:r>
    </w:p>
    <w:p w14:paraId="44F0128C" w14:textId="77777777" w:rsidR="004028B1" w:rsidRPr="002C0672" w:rsidRDefault="004028B1" w:rsidP="00EC1F2D">
      <w:pPr>
        <w:spacing w:line="276" w:lineRule="auto"/>
        <w:rPr>
          <w:rFonts w:ascii="Arial" w:hAnsi="Arial" w:cs="Arial"/>
        </w:rPr>
      </w:pPr>
      <w:r w:rsidRPr="002C0672">
        <w:rPr>
          <w:rFonts w:ascii="Arial" w:hAnsi="Arial" w:cs="Arial"/>
        </w:rPr>
        <w:lastRenderedPageBreak/>
        <w:t xml:space="preserve">Magliano, D.J. and Boyko, E.J. (2021) </w:t>
      </w:r>
      <w:r w:rsidRPr="002C0672">
        <w:rPr>
          <w:rFonts w:ascii="Arial" w:hAnsi="Arial" w:cs="Arial"/>
          <w:i/>
          <w:iCs/>
        </w:rPr>
        <w:t>IDF Diabetes Atlas</w:t>
      </w:r>
      <w:r w:rsidRPr="002C0672">
        <w:rPr>
          <w:rFonts w:ascii="Arial" w:hAnsi="Arial" w:cs="Arial"/>
        </w:rPr>
        <w:t>. International Diabetes Federation.</w:t>
      </w:r>
    </w:p>
    <w:p w14:paraId="4904619F" w14:textId="77777777" w:rsidR="004028B1" w:rsidRPr="002C0672" w:rsidRDefault="004028B1" w:rsidP="00EC1F2D">
      <w:pPr>
        <w:spacing w:after="240" w:line="276" w:lineRule="auto"/>
        <w:rPr>
          <w:rFonts w:ascii="Arial" w:hAnsi="Arial" w:cs="Arial"/>
        </w:rPr>
      </w:pPr>
      <w:r w:rsidRPr="002C0672">
        <w:rPr>
          <w:rFonts w:ascii="Arial" w:eastAsia="Times New Roman" w:hAnsi="Arial" w:cs="Arial"/>
        </w:rPr>
        <w:t xml:space="preserve">Mdpi-res.com. (2026). Available at: </w:t>
      </w:r>
      <w:hyperlink r:id="rId30">
        <w:r w:rsidRPr="002C0672">
          <w:rPr>
            <w:rStyle w:val="Hyperlink"/>
            <w:rFonts w:ascii="Arial" w:eastAsia="Times New Roman" w:hAnsi="Arial" w:cs="Arial"/>
          </w:rPr>
          <w:t>https://pub.mdpi-res.com/ijerph/ijerph-18-10840/article_deploy/html/images/ijerph-18-10840-g002.png</w:t>
        </w:r>
      </w:hyperlink>
      <w:r w:rsidRPr="002C0672">
        <w:rPr>
          <w:rFonts w:ascii="Arial" w:eastAsia="Times New Roman" w:hAnsi="Arial" w:cs="Arial"/>
        </w:rPr>
        <w:t xml:space="preserve"> [Accessed 13 Mar. 2026].</w:t>
      </w:r>
    </w:p>
    <w:p w14:paraId="4821E5A8" w14:textId="77777777" w:rsidR="004028B1" w:rsidRPr="002C0672" w:rsidRDefault="004028B1" w:rsidP="00EC1F2D">
      <w:pPr>
        <w:spacing w:line="276" w:lineRule="auto"/>
        <w:rPr>
          <w:rFonts w:ascii="Arial" w:hAnsi="Arial" w:cs="Arial"/>
        </w:rPr>
      </w:pPr>
      <w:r w:rsidRPr="002C0672">
        <w:rPr>
          <w:rFonts w:ascii="Arial" w:hAnsi="Arial" w:cs="Arial"/>
        </w:rPr>
        <w:t xml:space="preserve">National Institute for Health and Care Excellence (NICE) (2016) </w:t>
      </w:r>
      <w:r w:rsidRPr="002C0672">
        <w:rPr>
          <w:rFonts w:ascii="Arial" w:hAnsi="Arial" w:cs="Arial"/>
          <w:i/>
          <w:iCs/>
        </w:rPr>
        <w:t>Multimorbidity: Clinical assessment and management (NG56)</w:t>
      </w:r>
      <w:r w:rsidRPr="002C0672">
        <w:rPr>
          <w:rFonts w:ascii="Arial" w:hAnsi="Arial" w:cs="Arial"/>
        </w:rPr>
        <w:t xml:space="preserve">. Available at: </w:t>
      </w:r>
      <w:hyperlink r:id="rId31" w:tgtFrame="_new" w:history="1">
        <w:r w:rsidRPr="002C0672">
          <w:rPr>
            <w:rStyle w:val="Hyperlink"/>
            <w:rFonts w:ascii="Arial" w:hAnsi="Arial" w:cs="Arial"/>
          </w:rPr>
          <w:t>https://www.nice.org.uk/guidance/ng56</w:t>
        </w:r>
      </w:hyperlink>
    </w:p>
    <w:p w14:paraId="57743027" w14:textId="77777777" w:rsidR="004028B1" w:rsidRPr="002C0672" w:rsidRDefault="004028B1" w:rsidP="00EC1F2D">
      <w:pPr>
        <w:spacing w:line="276" w:lineRule="auto"/>
        <w:rPr>
          <w:rFonts w:ascii="Arial" w:hAnsi="Arial" w:cs="Arial"/>
        </w:rPr>
      </w:pPr>
      <w:r w:rsidRPr="002C0672">
        <w:rPr>
          <w:rFonts w:ascii="Arial" w:hAnsi="Arial" w:cs="Arial"/>
        </w:rPr>
        <w:t xml:space="preserve">National Institute for Health and Care Excellence (NICE) (2023) </w:t>
      </w:r>
      <w:r w:rsidRPr="002C0672">
        <w:rPr>
          <w:rFonts w:ascii="Arial" w:hAnsi="Arial" w:cs="Arial"/>
          <w:i/>
          <w:iCs/>
        </w:rPr>
        <w:t>Type 2 diabetes in adults: Quality standard QS209</w:t>
      </w:r>
      <w:r w:rsidRPr="002C0672">
        <w:rPr>
          <w:rFonts w:ascii="Arial" w:hAnsi="Arial" w:cs="Arial"/>
        </w:rPr>
        <w:t xml:space="preserve">. Available at: </w:t>
      </w:r>
      <w:hyperlink r:id="rId32" w:tgtFrame="_new" w:history="1">
        <w:r w:rsidRPr="002C0672">
          <w:rPr>
            <w:rStyle w:val="Hyperlink"/>
            <w:rFonts w:ascii="Arial" w:hAnsi="Arial" w:cs="Arial"/>
          </w:rPr>
          <w:t>https://www.nice.org.uk/guidance/qs209</w:t>
        </w:r>
      </w:hyperlink>
    </w:p>
    <w:p w14:paraId="1F682502" w14:textId="77777777" w:rsidR="004028B1" w:rsidRPr="002C0672" w:rsidRDefault="004028B1" w:rsidP="00EC1F2D">
      <w:pPr>
        <w:spacing w:line="276" w:lineRule="auto"/>
        <w:rPr>
          <w:rFonts w:ascii="Arial" w:hAnsi="Arial" w:cs="Arial"/>
        </w:rPr>
      </w:pPr>
      <w:r w:rsidRPr="002C0672">
        <w:rPr>
          <w:rFonts w:ascii="Arial" w:hAnsi="Arial" w:cs="Arial"/>
        </w:rPr>
        <w:t xml:space="preserve">National Institute for Health and Care Excellence (NICE) (2024) </w:t>
      </w:r>
      <w:r w:rsidRPr="002C0672">
        <w:rPr>
          <w:rFonts w:ascii="Arial" w:hAnsi="Arial" w:cs="Arial"/>
          <w:i/>
          <w:iCs/>
        </w:rPr>
        <w:t>Type 2 diabetes in adults: Management (NG28)</w:t>
      </w:r>
      <w:r w:rsidRPr="002C0672">
        <w:rPr>
          <w:rFonts w:ascii="Arial" w:hAnsi="Arial" w:cs="Arial"/>
        </w:rPr>
        <w:t xml:space="preserve">. Available at: </w:t>
      </w:r>
      <w:hyperlink r:id="rId33" w:tgtFrame="_new" w:history="1">
        <w:r w:rsidRPr="002C0672">
          <w:rPr>
            <w:rStyle w:val="Hyperlink"/>
            <w:rFonts w:ascii="Arial" w:hAnsi="Arial" w:cs="Arial"/>
          </w:rPr>
          <w:t>https://www.nice.org.uk/guidance/ng28</w:t>
        </w:r>
      </w:hyperlink>
    </w:p>
    <w:p w14:paraId="79607339" w14:textId="77777777" w:rsidR="004028B1" w:rsidRPr="002C0672" w:rsidRDefault="004028B1" w:rsidP="00EC1F2D">
      <w:pPr>
        <w:spacing w:line="276" w:lineRule="auto"/>
        <w:rPr>
          <w:rFonts w:ascii="Arial" w:hAnsi="Arial" w:cs="Arial"/>
        </w:rPr>
      </w:pPr>
      <w:r w:rsidRPr="002C0672">
        <w:rPr>
          <w:rFonts w:ascii="Arial" w:hAnsi="Arial" w:cs="Arial"/>
        </w:rPr>
        <w:t xml:space="preserve">NHS Digital (2025) </w:t>
      </w:r>
      <w:r w:rsidRPr="002C0672">
        <w:rPr>
          <w:rFonts w:ascii="Arial" w:hAnsi="Arial" w:cs="Arial"/>
          <w:i/>
          <w:iCs/>
        </w:rPr>
        <w:t>National Diabetes Audit: Care processes and treatment targets report 2024–25</w:t>
      </w:r>
      <w:r w:rsidRPr="002C0672">
        <w:rPr>
          <w:rFonts w:ascii="Arial" w:hAnsi="Arial" w:cs="Arial"/>
        </w:rPr>
        <w:t xml:space="preserve">. Available at: </w:t>
      </w:r>
      <w:hyperlink r:id="rId34" w:tgtFrame="_new" w:history="1">
        <w:r w:rsidRPr="002C0672">
          <w:rPr>
            <w:rStyle w:val="Hyperlink"/>
            <w:rFonts w:ascii="Arial" w:hAnsi="Arial" w:cs="Arial"/>
          </w:rPr>
          <w:t>https://digital.nhs.uk/data-and-information/publications/statistical/national-diabetes-audit</w:t>
        </w:r>
      </w:hyperlink>
    </w:p>
    <w:p w14:paraId="04314613" w14:textId="77777777" w:rsidR="004028B1" w:rsidRPr="002C0672" w:rsidRDefault="004028B1" w:rsidP="00EC1F2D">
      <w:pPr>
        <w:spacing w:line="276" w:lineRule="auto"/>
        <w:rPr>
          <w:rFonts w:ascii="Arial" w:hAnsi="Arial" w:cs="Arial"/>
        </w:rPr>
      </w:pPr>
      <w:r w:rsidRPr="002C0672">
        <w:rPr>
          <w:rFonts w:ascii="Arial" w:hAnsi="Arial" w:cs="Arial"/>
        </w:rPr>
        <w:t xml:space="preserve">NHS England (2019a) </w:t>
      </w:r>
      <w:r w:rsidRPr="002C0672">
        <w:rPr>
          <w:rFonts w:ascii="Arial" w:hAnsi="Arial" w:cs="Arial"/>
          <w:i/>
          <w:iCs/>
        </w:rPr>
        <w:t>The NHS Long Term Plan</w:t>
      </w:r>
      <w:r w:rsidRPr="002C0672">
        <w:rPr>
          <w:rFonts w:ascii="Arial" w:hAnsi="Arial" w:cs="Arial"/>
        </w:rPr>
        <w:t xml:space="preserve">. Available at: </w:t>
      </w:r>
      <w:hyperlink r:id="rId35" w:tgtFrame="_new" w:history="1">
        <w:r w:rsidRPr="002C0672">
          <w:rPr>
            <w:rStyle w:val="Hyperlink"/>
            <w:rFonts w:ascii="Arial" w:hAnsi="Arial" w:cs="Arial"/>
          </w:rPr>
          <w:t>https://www.longtermplan.nhs.uk</w:t>
        </w:r>
      </w:hyperlink>
    </w:p>
    <w:p w14:paraId="7159FDD2" w14:textId="77777777" w:rsidR="004028B1" w:rsidRPr="002C0672" w:rsidRDefault="004028B1" w:rsidP="00EC1F2D">
      <w:pPr>
        <w:spacing w:line="276" w:lineRule="auto"/>
        <w:rPr>
          <w:rFonts w:ascii="Arial" w:hAnsi="Arial" w:cs="Arial"/>
        </w:rPr>
      </w:pPr>
      <w:r w:rsidRPr="002C0672">
        <w:rPr>
          <w:rFonts w:ascii="Arial" w:hAnsi="Arial" w:cs="Arial"/>
        </w:rPr>
        <w:t xml:space="preserve">NHS England (2019b) </w:t>
      </w:r>
      <w:r w:rsidRPr="002C0672">
        <w:rPr>
          <w:rFonts w:ascii="Arial" w:hAnsi="Arial" w:cs="Arial"/>
          <w:i/>
          <w:iCs/>
        </w:rPr>
        <w:t>Universal personalised care: Implementing the comprehensive model</w:t>
      </w:r>
      <w:r w:rsidRPr="002C0672">
        <w:rPr>
          <w:rFonts w:ascii="Arial" w:hAnsi="Arial" w:cs="Arial"/>
        </w:rPr>
        <w:t xml:space="preserve">. Available at: </w:t>
      </w:r>
      <w:hyperlink r:id="rId36" w:tgtFrame="_new" w:history="1">
        <w:r w:rsidRPr="002C0672">
          <w:rPr>
            <w:rStyle w:val="Hyperlink"/>
            <w:rFonts w:ascii="Arial" w:hAnsi="Arial" w:cs="Arial"/>
          </w:rPr>
          <w:t>https://www.england.nhs.uk/personalisedcare/comprehensive-model/</w:t>
        </w:r>
      </w:hyperlink>
    </w:p>
    <w:p w14:paraId="44EBEBB9" w14:textId="77777777" w:rsidR="00F06DDE" w:rsidRPr="00F06DDE" w:rsidRDefault="00F06DDE" w:rsidP="00EC1F2D">
      <w:pPr>
        <w:spacing w:line="276" w:lineRule="auto"/>
        <w:rPr>
          <w:rFonts w:ascii="Arial" w:hAnsi="Arial" w:cs="Arial"/>
        </w:rPr>
      </w:pPr>
      <w:r w:rsidRPr="00F06DDE">
        <w:rPr>
          <w:rFonts w:ascii="Arial" w:hAnsi="Arial" w:cs="Arial"/>
        </w:rPr>
        <w:t xml:space="preserve">Public Health England (2015). </w:t>
      </w:r>
      <w:r w:rsidRPr="00F06DDE">
        <w:rPr>
          <w:rFonts w:ascii="Arial" w:hAnsi="Arial" w:cs="Arial"/>
          <w:i/>
          <w:iCs/>
        </w:rPr>
        <w:t>A systematic review and meta- analysis assessing the effectiveness of pragmatic lifestyle interventions for the prevention of type 2 diabetes mellitus in routine practice</w:t>
      </w:r>
      <w:r w:rsidRPr="00F06DDE">
        <w:rPr>
          <w:rFonts w:ascii="Arial" w:hAnsi="Arial" w:cs="Arial"/>
        </w:rPr>
        <w:t>. [online] Available at: https://assets.publishing.service.gov.uk/media/5b6c484ae5274a2967e4cfc0/PHE_Evidence_Review_of_diabetes_prevention_programmes-_FINAL.pdf.</w:t>
      </w:r>
    </w:p>
    <w:p w14:paraId="246B66F7" w14:textId="77777777" w:rsidR="004028B1" w:rsidRPr="002C0672" w:rsidRDefault="004028B1" w:rsidP="00EC1F2D">
      <w:pPr>
        <w:spacing w:line="276" w:lineRule="auto"/>
        <w:rPr>
          <w:rFonts w:ascii="Arial" w:hAnsi="Arial" w:cs="Arial"/>
        </w:rPr>
      </w:pPr>
      <w:r w:rsidRPr="002C0672">
        <w:rPr>
          <w:rFonts w:ascii="Arial" w:hAnsi="Arial" w:cs="Arial"/>
        </w:rPr>
        <w:t xml:space="preserve">Rao </w:t>
      </w:r>
      <w:proofErr w:type="spellStart"/>
      <w:r w:rsidRPr="002C0672">
        <w:rPr>
          <w:rFonts w:ascii="Arial" w:hAnsi="Arial" w:cs="Arial"/>
        </w:rPr>
        <w:t>Kondapally</w:t>
      </w:r>
      <w:proofErr w:type="spellEnd"/>
      <w:r w:rsidRPr="002C0672">
        <w:rPr>
          <w:rFonts w:ascii="Arial" w:hAnsi="Arial" w:cs="Arial"/>
        </w:rPr>
        <w:t xml:space="preserve"> Seshasai, S. et al. (2011) ‘Diabetes mellitus, fasting glucose and risk of cause-specific death’, </w:t>
      </w:r>
      <w:r w:rsidRPr="002C0672">
        <w:rPr>
          <w:rFonts w:ascii="Arial" w:hAnsi="Arial" w:cs="Arial"/>
          <w:i/>
          <w:iCs/>
        </w:rPr>
        <w:t>New England Journal of Medicine</w:t>
      </w:r>
      <w:r w:rsidRPr="002C0672">
        <w:rPr>
          <w:rFonts w:ascii="Arial" w:hAnsi="Arial" w:cs="Arial"/>
        </w:rPr>
        <w:t>, 364(9), pp.829–841.</w:t>
      </w:r>
    </w:p>
    <w:p w14:paraId="4759C701" w14:textId="77777777" w:rsidR="004028B1" w:rsidRPr="002C0672" w:rsidRDefault="004028B1" w:rsidP="00EC1F2D">
      <w:pPr>
        <w:spacing w:after="240" w:line="276" w:lineRule="auto"/>
        <w:rPr>
          <w:rFonts w:ascii="Arial" w:hAnsi="Arial" w:cs="Arial"/>
        </w:rPr>
      </w:pPr>
      <w:r w:rsidRPr="002C0672">
        <w:rPr>
          <w:rFonts w:ascii="Arial" w:eastAsia="Times New Roman" w:hAnsi="Arial" w:cs="Arial"/>
        </w:rPr>
        <w:t xml:space="preserve">Rebolledo-Perales, L.E., </w:t>
      </w:r>
      <w:proofErr w:type="spellStart"/>
      <w:r w:rsidRPr="002C0672">
        <w:rPr>
          <w:rFonts w:ascii="Arial" w:eastAsia="Times New Roman" w:hAnsi="Arial" w:cs="Arial"/>
        </w:rPr>
        <w:t>Prisciliano</w:t>
      </w:r>
      <w:proofErr w:type="spellEnd"/>
      <w:r w:rsidRPr="002C0672">
        <w:rPr>
          <w:rFonts w:ascii="Arial" w:eastAsia="Times New Roman" w:hAnsi="Arial" w:cs="Arial"/>
        </w:rPr>
        <w:t xml:space="preserve"> Hernández, Alvarez, A. and Daniel Hernández Ramírez (2023). Trends on the Development of Non-Enzymatic Electrochemical Sensors Modified with Metal-Organic Frameworks for the Quantification of Glucose. </w:t>
      </w:r>
      <w:r w:rsidRPr="002C0672">
        <w:rPr>
          <w:rFonts w:ascii="Arial" w:eastAsia="Times New Roman" w:hAnsi="Arial" w:cs="Arial"/>
          <w:i/>
          <w:iCs/>
        </w:rPr>
        <w:t>Journal of The Electrochemical Society</w:t>
      </w:r>
      <w:r w:rsidRPr="002C0672">
        <w:rPr>
          <w:rFonts w:ascii="Arial" w:eastAsia="Times New Roman" w:hAnsi="Arial" w:cs="Arial"/>
        </w:rPr>
        <w:t xml:space="preserve">, 170(8), pp.087507–087507. </w:t>
      </w:r>
      <w:proofErr w:type="spellStart"/>
      <w:r w:rsidRPr="002C0672">
        <w:rPr>
          <w:rFonts w:ascii="Arial" w:eastAsia="Times New Roman" w:hAnsi="Arial" w:cs="Arial"/>
        </w:rPr>
        <w:t>doi:https</w:t>
      </w:r>
      <w:proofErr w:type="spellEnd"/>
      <w:r w:rsidRPr="002C0672">
        <w:rPr>
          <w:rFonts w:ascii="Arial" w:eastAsia="Times New Roman" w:hAnsi="Arial" w:cs="Arial"/>
        </w:rPr>
        <w:t>://doi.org/10.1149/1945-7111/aced6f.</w:t>
      </w:r>
    </w:p>
    <w:p w14:paraId="3B9ED730" w14:textId="77777777" w:rsidR="00D73070" w:rsidRPr="00D73070" w:rsidRDefault="00D73070" w:rsidP="00EC1F2D">
      <w:pPr>
        <w:spacing w:line="276" w:lineRule="auto"/>
        <w:rPr>
          <w:rFonts w:ascii="Arial" w:hAnsi="Arial" w:cs="Arial"/>
        </w:rPr>
      </w:pPr>
      <w:r w:rsidRPr="00D73070">
        <w:rPr>
          <w:rFonts w:ascii="Arial" w:hAnsi="Arial" w:cs="Arial"/>
        </w:rPr>
        <w:t xml:space="preserve">Roy, T. and Lloyd, C.E. (2012). Epidemiology of depression and diabetes: A systematic review. </w:t>
      </w:r>
      <w:r w:rsidRPr="00D73070">
        <w:rPr>
          <w:rFonts w:ascii="Arial" w:hAnsi="Arial" w:cs="Arial"/>
          <w:i/>
          <w:iCs/>
        </w:rPr>
        <w:t>Journal of Affective Disorders</w:t>
      </w:r>
      <w:r w:rsidRPr="00D73070">
        <w:rPr>
          <w:rFonts w:ascii="Arial" w:hAnsi="Arial" w:cs="Arial"/>
        </w:rPr>
        <w:t xml:space="preserve">, [online] 142(142), pp.S8–S21. </w:t>
      </w:r>
      <w:proofErr w:type="spellStart"/>
      <w:r w:rsidRPr="00D73070">
        <w:rPr>
          <w:rFonts w:ascii="Arial" w:hAnsi="Arial" w:cs="Arial"/>
        </w:rPr>
        <w:t>doi:https</w:t>
      </w:r>
      <w:proofErr w:type="spellEnd"/>
      <w:r w:rsidRPr="00D73070">
        <w:rPr>
          <w:rFonts w:ascii="Arial" w:hAnsi="Arial" w:cs="Arial"/>
        </w:rPr>
        <w:t>://doi.org/10.1016/s0165-0327(12)70004-6.</w:t>
      </w:r>
    </w:p>
    <w:p w14:paraId="5B3DAE15" w14:textId="77777777" w:rsidR="00087D93" w:rsidRPr="00087D93" w:rsidRDefault="00087D93" w:rsidP="00EC1F2D">
      <w:pPr>
        <w:spacing w:line="276" w:lineRule="auto"/>
        <w:rPr>
          <w:rFonts w:ascii="Arial" w:hAnsi="Arial" w:cs="Arial"/>
        </w:rPr>
      </w:pPr>
      <w:r w:rsidRPr="00087D93">
        <w:rPr>
          <w:rFonts w:ascii="Arial" w:hAnsi="Arial" w:cs="Arial"/>
        </w:rPr>
        <w:lastRenderedPageBreak/>
        <w:t xml:space="preserve">Seidu, S., Avery, L., Bell, H., Brown, P., Diggle, J., Down, S., Dua, R., Holmes, P., Mohan, R., Milne, N., Min, T., Ridgeway, J., Tahir, W. and Tanna, S. (2024). Removing barriers to management of adults with type 2 diabetes on insulin using continuous glucose monitoring in UK primary care practice: An expert consensus. </w:t>
      </w:r>
      <w:r w:rsidRPr="00087D93">
        <w:rPr>
          <w:rFonts w:ascii="Arial" w:hAnsi="Arial" w:cs="Arial"/>
          <w:i/>
          <w:iCs/>
        </w:rPr>
        <w:t>Diabetic Medicine</w:t>
      </w:r>
      <w:r w:rsidRPr="00087D93">
        <w:rPr>
          <w:rFonts w:ascii="Arial" w:hAnsi="Arial" w:cs="Arial"/>
        </w:rPr>
        <w:t xml:space="preserve">, 42(3). </w:t>
      </w:r>
      <w:proofErr w:type="spellStart"/>
      <w:r w:rsidRPr="00087D93">
        <w:rPr>
          <w:rFonts w:ascii="Arial" w:hAnsi="Arial" w:cs="Arial"/>
        </w:rPr>
        <w:t>doi:https</w:t>
      </w:r>
      <w:proofErr w:type="spellEnd"/>
      <w:r w:rsidRPr="00087D93">
        <w:rPr>
          <w:rFonts w:ascii="Arial" w:hAnsi="Arial" w:cs="Arial"/>
        </w:rPr>
        <w:t>://doi.org/10.1111/dme.15500.</w:t>
      </w:r>
    </w:p>
    <w:p w14:paraId="32D60281" w14:textId="77777777" w:rsidR="004028B1" w:rsidRPr="002C0672" w:rsidRDefault="004028B1" w:rsidP="00EC1F2D">
      <w:pPr>
        <w:spacing w:line="276" w:lineRule="auto"/>
        <w:rPr>
          <w:rFonts w:ascii="Arial" w:hAnsi="Arial" w:cs="Arial"/>
        </w:rPr>
      </w:pPr>
      <w:r w:rsidRPr="002C0672">
        <w:rPr>
          <w:rFonts w:ascii="Arial" w:hAnsi="Arial" w:cs="Arial"/>
        </w:rPr>
        <w:t xml:space="preserve">Sergey Shityakov, Nagai, M., Süleyman Ergün, Braunger, B.M. and Förster, C. (2022). The Protective Effects of Neurotrophins and MicroRNA in Diabetic Retinopathy, Nephropathy and Heart Failure via Regulating Endothelial Function. 12(8), pp.1113–1113. </w:t>
      </w:r>
      <w:proofErr w:type="spellStart"/>
      <w:r w:rsidRPr="002C0672">
        <w:rPr>
          <w:rFonts w:ascii="Arial" w:hAnsi="Arial" w:cs="Arial"/>
        </w:rPr>
        <w:t>doi:https</w:t>
      </w:r>
      <w:proofErr w:type="spellEnd"/>
      <w:r w:rsidRPr="002C0672">
        <w:rPr>
          <w:rFonts w:ascii="Arial" w:hAnsi="Arial" w:cs="Arial"/>
        </w:rPr>
        <w:t>://doi.org/10.3390/biom12081113.</w:t>
      </w:r>
    </w:p>
    <w:p w14:paraId="572AD2D2" w14:textId="77777777" w:rsidR="004028B1" w:rsidRPr="002C0672" w:rsidRDefault="004028B1" w:rsidP="00EC1F2D">
      <w:pPr>
        <w:spacing w:line="276" w:lineRule="auto"/>
        <w:rPr>
          <w:rFonts w:ascii="Arial" w:hAnsi="Arial" w:cs="Arial"/>
          <w:i/>
          <w:iCs/>
        </w:rPr>
        <w:sectPr w:rsidR="004028B1" w:rsidRPr="002C0672" w:rsidSect="004028B1">
          <w:type w:val="continuous"/>
          <w:pgSz w:w="11906" w:h="16838"/>
          <w:pgMar w:top="1440" w:right="1440" w:bottom="1440" w:left="1440" w:header="708" w:footer="708" w:gutter="0"/>
          <w:pgNumType w:start="0"/>
          <w:cols w:space="708"/>
          <w:titlePg/>
          <w:docGrid w:linePitch="360"/>
        </w:sectPr>
      </w:pPr>
      <w:r w:rsidRPr="002C0672">
        <w:rPr>
          <w:rFonts w:ascii="Arial" w:hAnsi="Arial" w:cs="Arial"/>
        </w:rPr>
        <w:t xml:space="preserve">SIGN (2017) </w:t>
      </w:r>
      <w:r w:rsidRPr="002C0672">
        <w:rPr>
          <w:rFonts w:ascii="Arial" w:hAnsi="Arial" w:cs="Arial"/>
          <w:i/>
          <w:iCs/>
        </w:rPr>
        <w:t xml:space="preserve">Pharmacological management of glycaemic control in people with type 2 </w:t>
      </w:r>
    </w:p>
    <w:p w14:paraId="20E6B8D4" w14:textId="77777777" w:rsidR="004028B1" w:rsidRPr="002C0672" w:rsidRDefault="004028B1" w:rsidP="00EC1F2D">
      <w:pPr>
        <w:spacing w:line="276" w:lineRule="auto"/>
        <w:rPr>
          <w:rFonts w:ascii="Arial" w:hAnsi="Arial" w:cs="Arial"/>
        </w:rPr>
      </w:pPr>
      <w:r w:rsidRPr="002C0672">
        <w:rPr>
          <w:rFonts w:ascii="Arial" w:hAnsi="Arial" w:cs="Arial"/>
        </w:rPr>
        <w:t xml:space="preserve">Sreeramareddy, C.T. and Sathyanarayana, T. (2019) ‘Decentralised versus centralised governance of health services’, </w:t>
      </w:r>
      <w:r w:rsidRPr="002C0672">
        <w:rPr>
          <w:rFonts w:ascii="Arial" w:hAnsi="Arial" w:cs="Arial"/>
          <w:i/>
          <w:iCs/>
        </w:rPr>
        <w:t>Cochrane Database of Systematic Reviews</w:t>
      </w:r>
      <w:r w:rsidRPr="002C0672">
        <w:rPr>
          <w:rFonts w:ascii="Arial" w:hAnsi="Arial" w:cs="Arial"/>
        </w:rPr>
        <w:t>, CD010830.</w:t>
      </w:r>
    </w:p>
    <w:p w14:paraId="4E4D5E21" w14:textId="77777777" w:rsidR="004028B1" w:rsidRPr="002C0672" w:rsidRDefault="004028B1" w:rsidP="00EC1F2D">
      <w:pPr>
        <w:spacing w:line="276" w:lineRule="auto"/>
        <w:rPr>
          <w:rFonts w:ascii="Arial" w:hAnsi="Arial" w:cs="Arial"/>
        </w:rPr>
        <w:sectPr w:rsidR="004028B1" w:rsidRPr="002C0672" w:rsidSect="004028B1">
          <w:type w:val="continuous"/>
          <w:pgSz w:w="11906" w:h="16838"/>
          <w:pgMar w:top="1440" w:right="1440" w:bottom="1440" w:left="1440" w:header="708" w:footer="708" w:gutter="0"/>
          <w:pgNumType w:start="0"/>
          <w:cols w:space="708"/>
          <w:titlePg/>
          <w:docGrid w:linePitch="360"/>
        </w:sectPr>
      </w:pPr>
      <w:r w:rsidRPr="002C0672">
        <w:rPr>
          <w:rFonts w:ascii="Arial" w:hAnsi="Arial" w:cs="Arial"/>
        </w:rPr>
        <w:t xml:space="preserve">Stellefson, M., Dipnarine, K. and Stopka, C. (2013) ‘The Chronic Care Model and </w:t>
      </w:r>
    </w:p>
    <w:p w14:paraId="0920EBE9" w14:textId="77777777" w:rsidR="004028B1" w:rsidRPr="002C0672" w:rsidRDefault="004028B1" w:rsidP="00EC1F2D">
      <w:pPr>
        <w:spacing w:line="276" w:lineRule="auto"/>
        <w:rPr>
          <w:rFonts w:ascii="Arial" w:hAnsi="Arial" w:cs="Arial"/>
        </w:rPr>
      </w:pPr>
      <w:r w:rsidRPr="002C0672">
        <w:rPr>
          <w:rFonts w:ascii="Arial" w:hAnsi="Arial" w:cs="Arial"/>
        </w:rPr>
        <w:t xml:space="preserve">Tahir, W. et al. (2025) ‘Solutions to improve implementation of NICE guideline NG28’, </w:t>
      </w:r>
      <w:r w:rsidRPr="002C0672">
        <w:rPr>
          <w:rFonts w:ascii="Arial" w:hAnsi="Arial" w:cs="Arial"/>
          <w:i/>
          <w:iCs/>
        </w:rPr>
        <w:t>BMJ Open</w:t>
      </w:r>
      <w:r w:rsidRPr="002C0672">
        <w:rPr>
          <w:rFonts w:ascii="Arial" w:hAnsi="Arial" w:cs="Arial"/>
        </w:rPr>
        <w:t>, 15(6).</w:t>
      </w:r>
    </w:p>
    <w:p w14:paraId="4F070DE7" w14:textId="77777777" w:rsidR="004028B1" w:rsidRPr="002C0672" w:rsidRDefault="004028B1" w:rsidP="00EC1F2D">
      <w:pPr>
        <w:spacing w:after="240" w:line="276" w:lineRule="auto"/>
        <w:rPr>
          <w:rFonts w:ascii="Arial" w:eastAsia="Times New Roman" w:hAnsi="Arial" w:cs="Arial"/>
        </w:rPr>
      </w:pPr>
      <w:r w:rsidRPr="002C0672">
        <w:rPr>
          <w:rFonts w:ascii="Arial" w:eastAsia="Times New Roman" w:hAnsi="Arial" w:cs="Arial"/>
        </w:rPr>
        <w:t xml:space="preserve">The Scottish Government (2016). </w:t>
      </w:r>
      <w:r w:rsidRPr="002C0672">
        <w:rPr>
          <w:rFonts w:ascii="Arial" w:eastAsia="Times New Roman" w:hAnsi="Arial" w:cs="Arial"/>
          <w:i/>
          <w:iCs/>
        </w:rPr>
        <w:t>Person-centred care: guidance for non-executive directors</w:t>
      </w:r>
      <w:r w:rsidRPr="002C0672">
        <w:rPr>
          <w:rFonts w:ascii="Arial" w:eastAsia="Times New Roman" w:hAnsi="Arial" w:cs="Arial"/>
        </w:rPr>
        <w:t xml:space="preserve">. [online] </w:t>
      </w:r>
      <w:proofErr w:type="spellStart"/>
      <w:r w:rsidRPr="002C0672">
        <w:rPr>
          <w:rFonts w:ascii="Arial" w:eastAsia="Times New Roman" w:hAnsi="Arial" w:cs="Arial"/>
        </w:rPr>
        <w:t>Gov.scot</w:t>
      </w:r>
      <w:proofErr w:type="spellEnd"/>
      <w:r w:rsidRPr="002C0672">
        <w:rPr>
          <w:rFonts w:ascii="Arial" w:eastAsia="Times New Roman" w:hAnsi="Arial" w:cs="Arial"/>
        </w:rPr>
        <w:t xml:space="preserve">. Available at: </w:t>
      </w:r>
      <w:hyperlink r:id="rId37">
        <w:r w:rsidRPr="002C0672">
          <w:rPr>
            <w:rStyle w:val="Hyperlink"/>
            <w:rFonts w:ascii="Arial" w:eastAsia="Times New Roman" w:hAnsi="Arial" w:cs="Arial"/>
          </w:rPr>
          <w:t>https://www.gov.scot/publications/person-centred-care-non-executive-directors/pages/7/?utm_source</w:t>
        </w:r>
      </w:hyperlink>
    </w:p>
    <w:p w14:paraId="140245B9" w14:textId="77777777" w:rsidR="00CA0BA9" w:rsidRPr="00CA0BA9" w:rsidRDefault="00CA0BA9" w:rsidP="00EC1F2D">
      <w:pPr>
        <w:spacing w:line="276" w:lineRule="auto"/>
        <w:rPr>
          <w:rFonts w:ascii="Arial" w:hAnsi="Arial" w:cs="Arial"/>
        </w:rPr>
      </w:pPr>
      <w:r w:rsidRPr="00CA0BA9">
        <w:rPr>
          <w:rFonts w:ascii="Arial" w:hAnsi="Arial" w:cs="Arial"/>
        </w:rPr>
        <w:t xml:space="preserve">Usman, M. (2026). </w:t>
      </w:r>
      <w:r w:rsidRPr="00CA0BA9">
        <w:rPr>
          <w:rFonts w:ascii="Arial" w:hAnsi="Arial" w:cs="Arial"/>
          <w:i/>
          <w:iCs/>
        </w:rPr>
        <w:t>NICE NG28 Update 2026: Type 2 Diabetes Prescribing Changes</w:t>
      </w:r>
      <w:r w:rsidRPr="00CA0BA9">
        <w:rPr>
          <w:rFonts w:ascii="Arial" w:hAnsi="Arial" w:cs="Arial"/>
        </w:rPr>
        <w:t xml:space="preserve">. [online] </w:t>
      </w:r>
      <w:proofErr w:type="spellStart"/>
      <w:r w:rsidRPr="00CA0BA9">
        <w:rPr>
          <w:rFonts w:ascii="Arial" w:hAnsi="Arial" w:cs="Arial"/>
        </w:rPr>
        <w:t>CliniLink</w:t>
      </w:r>
      <w:proofErr w:type="spellEnd"/>
      <w:r w:rsidRPr="00CA0BA9">
        <w:rPr>
          <w:rFonts w:ascii="Arial" w:hAnsi="Arial" w:cs="Arial"/>
        </w:rPr>
        <w:t xml:space="preserve"> Ltd - Continuing Professional Development (CPD) for UK Healthcare Professionals. Available at: https://clinilink.co.uk/nice-ng28-update-2026-key-changes-in-type-2-diabetes-management/.</w:t>
      </w:r>
    </w:p>
    <w:p w14:paraId="0328EA9C" w14:textId="77777777" w:rsidR="00CA0BA9" w:rsidRPr="002C0672" w:rsidRDefault="00CA0BA9" w:rsidP="00EC1F2D">
      <w:pPr>
        <w:spacing w:line="276" w:lineRule="auto"/>
        <w:rPr>
          <w:rFonts w:ascii="Arial" w:hAnsi="Arial" w:cs="Arial"/>
        </w:rPr>
      </w:pPr>
    </w:p>
    <w:p w14:paraId="5CAD42F7" w14:textId="784ED406" w:rsidR="004028B1" w:rsidRPr="002C0672" w:rsidRDefault="004028B1" w:rsidP="00EC1F2D">
      <w:pPr>
        <w:spacing w:line="276" w:lineRule="auto"/>
        <w:rPr>
          <w:rFonts w:ascii="Arial" w:hAnsi="Arial" w:cs="Arial"/>
        </w:rPr>
      </w:pPr>
      <w:proofErr w:type="spellStart"/>
      <w:r w:rsidRPr="002C0672">
        <w:rPr>
          <w:rFonts w:ascii="Arial" w:hAnsi="Arial" w:cs="Arial"/>
        </w:rPr>
        <w:t>Valabhji</w:t>
      </w:r>
      <w:proofErr w:type="spellEnd"/>
      <w:r w:rsidRPr="002C0672">
        <w:rPr>
          <w:rFonts w:ascii="Arial" w:hAnsi="Arial" w:cs="Arial"/>
        </w:rPr>
        <w:t xml:space="preserve">, J. et al. (2020) ‘Early outcomes from the English NHS Diabetes Prevention Programme’, </w:t>
      </w:r>
      <w:r w:rsidRPr="002C0672">
        <w:rPr>
          <w:rFonts w:ascii="Arial" w:hAnsi="Arial" w:cs="Arial"/>
          <w:i/>
          <w:iCs/>
        </w:rPr>
        <w:t>Diabetes Care</w:t>
      </w:r>
      <w:r w:rsidRPr="002C0672">
        <w:rPr>
          <w:rFonts w:ascii="Arial" w:hAnsi="Arial" w:cs="Arial"/>
        </w:rPr>
        <w:t>, 43(1), pp.152–160.</w:t>
      </w:r>
    </w:p>
    <w:p w14:paraId="7DEED4B8" w14:textId="77777777" w:rsidR="004028B1" w:rsidRPr="002C0672" w:rsidRDefault="004028B1" w:rsidP="00EC1F2D">
      <w:pPr>
        <w:pStyle w:val="NormalWeb"/>
        <w:spacing w:before="0" w:beforeAutospacing="0" w:after="240" w:afterAutospacing="0" w:line="276" w:lineRule="auto"/>
        <w:rPr>
          <w:rFonts w:ascii="Arial" w:hAnsi="Arial" w:cs="Arial"/>
        </w:rPr>
      </w:pPr>
      <w:proofErr w:type="spellStart"/>
      <w:r w:rsidRPr="002C0672">
        <w:rPr>
          <w:rFonts w:ascii="Arial" w:hAnsi="Arial" w:cs="Arial"/>
        </w:rPr>
        <w:t>Zaidalkilani</w:t>
      </w:r>
      <w:proofErr w:type="spellEnd"/>
      <w:r w:rsidRPr="002C0672">
        <w:rPr>
          <w:rFonts w:ascii="Arial" w:hAnsi="Arial" w:cs="Arial"/>
        </w:rPr>
        <w:t>, A.T., Al</w:t>
      </w:r>
      <w:r w:rsidRPr="002C0672">
        <w:rPr>
          <w:rFonts w:ascii="Cambria Math" w:hAnsi="Cambria Math" w:cs="Cambria Math"/>
        </w:rPr>
        <w:t>‐</w:t>
      </w:r>
      <w:proofErr w:type="spellStart"/>
      <w:r w:rsidRPr="002C0672">
        <w:rPr>
          <w:rFonts w:ascii="Arial" w:hAnsi="Arial" w:cs="Arial"/>
        </w:rPr>
        <w:t>kuraishy</w:t>
      </w:r>
      <w:proofErr w:type="spellEnd"/>
      <w:r w:rsidRPr="002C0672">
        <w:rPr>
          <w:rFonts w:ascii="Arial" w:hAnsi="Arial" w:cs="Arial"/>
        </w:rPr>
        <w:t>, H.M., Fahad, E.H., Al</w:t>
      </w:r>
      <w:r w:rsidRPr="002C0672">
        <w:rPr>
          <w:rFonts w:ascii="Cambria Math" w:hAnsi="Cambria Math" w:cs="Cambria Math"/>
        </w:rPr>
        <w:t>‐</w:t>
      </w:r>
      <w:r w:rsidRPr="002C0672">
        <w:rPr>
          <w:rFonts w:ascii="Arial" w:hAnsi="Arial" w:cs="Arial"/>
        </w:rPr>
        <w:t>Gareeb, A.I., Elewa, Y.H.A., Zahran, M.H., Alexiou, A., Papadakis, M., AL</w:t>
      </w:r>
      <w:r w:rsidRPr="002C0672">
        <w:rPr>
          <w:rFonts w:ascii="Cambria Math" w:hAnsi="Cambria Math" w:cs="Cambria Math"/>
        </w:rPr>
        <w:t>‐</w:t>
      </w:r>
      <w:proofErr w:type="spellStart"/>
      <w:r w:rsidRPr="002C0672">
        <w:rPr>
          <w:rFonts w:ascii="Arial" w:hAnsi="Arial" w:cs="Arial"/>
        </w:rPr>
        <w:t>Farga</w:t>
      </w:r>
      <w:proofErr w:type="spellEnd"/>
      <w:r w:rsidRPr="002C0672">
        <w:rPr>
          <w:rFonts w:ascii="Arial" w:hAnsi="Arial" w:cs="Arial"/>
        </w:rPr>
        <w:t xml:space="preserve">, A. and </w:t>
      </w:r>
      <w:proofErr w:type="spellStart"/>
      <w:r w:rsidRPr="002C0672">
        <w:rPr>
          <w:rFonts w:ascii="Arial" w:hAnsi="Arial" w:cs="Arial"/>
        </w:rPr>
        <w:t>Batiha</w:t>
      </w:r>
      <w:proofErr w:type="spellEnd"/>
      <w:r w:rsidRPr="002C0672">
        <w:rPr>
          <w:rFonts w:ascii="Arial" w:hAnsi="Arial" w:cs="Arial"/>
        </w:rPr>
        <w:t xml:space="preserve">, G.E. (2024). Autophagy modulators in type 2 diabetes: A new perspective. </w:t>
      </w:r>
      <w:r w:rsidRPr="002C0672">
        <w:rPr>
          <w:rFonts w:ascii="Arial" w:hAnsi="Arial" w:cs="Arial"/>
          <w:i/>
          <w:iCs/>
        </w:rPr>
        <w:t>Journal of Diabetes</w:t>
      </w:r>
      <w:r w:rsidRPr="002C0672">
        <w:rPr>
          <w:rFonts w:ascii="Arial" w:hAnsi="Arial" w:cs="Arial"/>
        </w:rPr>
        <w:t xml:space="preserve">, 16(12). </w:t>
      </w:r>
      <w:proofErr w:type="spellStart"/>
      <w:r w:rsidRPr="002C0672">
        <w:rPr>
          <w:rFonts w:ascii="Arial" w:hAnsi="Arial" w:cs="Arial"/>
        </w:rPr>
        <w:t>doi:https</w:t>
      </w:r>
      <w:proofErr w:type="spellEnd"/>
      <w:r w:rsidRPr="002C0672">
        <w:rPr>
          <w:rFonts w:ascii="Arial" w:hAnsi="Arial" w:cs="Arial"/>
        </w:rPr>
        <w:t>://doi.org/10.1111/1753-0407.70010.</w:t>
      </w:r>
    </w:p>
    <w:p w14:paraId="4E6392A0" w14:textId="77777777" w:rsidR="004028B1" w:rsidRPr="002C0672" w:rsidRDefault="004028B1" w:rsidP="00EC1F2D">
      <w:pPr>
        <w:spacing w:line="276" w:lineRule="auto"/>
        <w:rPr>
          <w:rFonts w:ascii="Arial" w:hAnsi="Arial" w:cs="Arial"/>
        </w:rPr>
      </w:pPr>
      <w:r w:rsidRPr="002C0672">
        <w:rPr>
          <w:rFonts w:ascii="Arial" w:hAnsi="Arial" w:cs="Arial"/>
          <w:lang w:val="nl-NL"/>
        </w:rPr>
        <w:t xml:space="preserve">Zelniker, T.A. et al. </w:t>
      </w:r>
      <w:r w:rsidRPr="002C0672">
        <w:rPr>
          <w:rFonts w:ascii="Arial" w:hAnsi="Arial" w:cs="Arial"/>
        </w:rPr>
        <w:t xml:space="preserve">(2019) ‘SGLT2 inhibitors for cardiovascular and renal outcomes in type 2 diabetes’, </w:t>
      </w:r>
      <w:r w:rsidRPr="002C0672">
        <w:rPr>
          <w:rFonts w:ascii="Arial" w:hAnsi="Arial" w:cs="Arial"/>
          <w:i/>
          <w:iCs/>
        </w:rPr>
        <w:t>The Lancet</w:t>
      </w:r>
      <w:r w:rsidRPr="002C0672">
        <w:rPr>
          <w:rFonts w:ascii="Arial" w:hAnsi="Arial" w:cs="Arial"/>
        </w:rPr>
        <w:t>, 393(10166), pp.31–39.</w:t>
      </w:r>
    </w:p>
    <w:p w14:paraId="597FD7D2" w14:textId="77777777" w:rsidR="00B476CA" w:rsidRPr="002C0672" w:rsidRDefault="00B476CA" w:rsidP="00EC1F2D">
      <w:pPr>
        <w:spacing w:line="276" w:lineRule="auto"/>
        <w:rPr>
          <w:rFonts w:ascii="Arial" w:hAnsi="Arial" w:cs="Arial"/>
        </w:rPr>
        <w:sectPr w:rsidR="00B476CA" w:rsidRPr="002C0672" w:rsidSect="00B476CA">
          <w:type w:val="continuous"/>
          <w:pgSz w:w="11906" w:h="16838"/>
          <w:pgMar w:top="1440" w:right="1440" w:bottom="1440" w:left="1440" w:header="708" w:footer="708" w:gutter="0"/>
          <w:pgNumType w:start="0"/>
          <w:cols w:space="708"/>
          <w:titlePg/>
          <w:docGrid w:linePitch="360"/>
        </w:sectPr>
      </w:pPr>
    </w:p>
    <w:p w14:paraId="180FFF99" w14:textId="77777777" w:rsidR="002817BF" w:rsidRPr="002C0672" w:rsidRDefault="002817BF" w:rsidP="00EC1F2D">
      <w:pPr>
        <w:spacing w:line="276" w:lineRule="auto"/>
        <w:rPr>
          <w:rFonts w:ascii="Arial" w:hAnsi="Arial" w:cs="Arial"/>
        </w:rPr>
      </w:pPr>
    </w:p>
    <w:sectPr w:rsidR="002817BF" w:rsidRPr="002C0672" w:rsidSect="006C03C2">
      <w:type w:val="continuous"/>
      <w:pgSz w:w="11906" w:h="16838"/>
      <w:pgMar w:top="1440" w:right="1440" w:bottom="1440" w:left="1440" w:header="708" w:footer="708" w:gutter="0"/>
      <w:pgNumType w:start="0"/>
      <w:cols w:num="2"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Yu Gothic Light">
    <w:panose1 w:val="020B0300000000000000"/>
    <w:charset w:val="80"/>
    <w:family w:val="swiss"/>
    <w:pitch w:val="variable"/>
    <w:sig w:usb0="E00002FF" w:usb1="2AC7FDFF" w:usb2="00000016" w:usb3="00000000" w:csb0="0002009F" w:csb1="00000000"/>
  </w:font>
  <w:font w:name="Times New Roman">
    <w:panose1 w:val="02020603050405020304"/>
    <w:charset w:val="00"/>
    <w:family w:val="roman"/>
    <w:pitch w:val="variable"/>
    <w:sig w:usb0="E0002EFF" w:usb1="C000785B" w:usb2="00000009" w:usb3="00000000" w:csb0="000001FF" w:csb1="00000000"/>
  </w:font>
  <w:font w:name="Yu Mincho">
    <w:charset w:val="80"/>
    <w:family w:val="roman"/>
    <w:pitch w:val="variable"/>
    <w:sig w:usb0="800002E7" w:usb1="2AC7FCFF" w:usb2="00000012" w:usb3="00000000" w:csb0="0002009F" w:csb1="00000000"/>
  </w:font>
  <w:font w:name="Cambria Math">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20C63"/>
    <w:rsid w:val="00002BD1"/>
    <w:rsid w:val="00006834"/>
    <w:rsid w:val="00010034"/>
    <w:rsid w:val="00025482"/>
    <w:rsid w:val="000359D5"/>
    <w:rsid w:val="00037A82"/>
    <w:rsid w:val="00041334"/>
    <w:rsid w:val="00042184"/>
    <w:rsid w:val="00045BB2"/>
    <w:rsid w:val="00060FBD"/>
    <w:rsid w:val="000645D9"/>
    <w:rsid w:val="00067C48"/>
    <w:rsid w:val="000739E7"/>
    <w:rsid w:val="00082299"/>
    <w:rsid w:val="00085707"/>
    <w:rsid w:val="00087D93"/>
    <w:rsid w:val="000A3B7A"/>
    <w:rsid w:val="000A7D3B"/>
    <w:rsid w:val="000B666C"/>
    <w:rsid w:val="000B68D8"/>
    <w:rsid w:val="000B7658"/>
    <w:rsid w:val="000B7EF0"/>
    <w:rsid w:val="000C484E"/>
    <w:rsid w:val="000D1FB9"/>
    <w:rsid w:val="000E6FBC"/>
    <w:rsid w:val="000E7790"/>
    <w:rsid w:val="00104BC3"/>
    <w:rsid w:val="0011583C"/>
    <w:rsid w:val="001303D3"/>
    <w:rsid w:val="0014327F"/>
    <w:rsid w:val="00145F97"/>
    <w:rsid w:val="00151CE2"/>
    <w:rsid w:val="00151DB5"/>
    <w:rsid w:val="0015317B"/>
    <w:rsid w:val="0016093C"/>
    <w:rsid w:val="00166C8D"/>
    <w:rsid w:val="001C07BB"/>
    <w:rsid w:val="001E4E32"/>
    <w:rsid w:val="001E51E3"/>
    <w:rsid w:val="001E670E"/>
    <w:rsid w:val="0020175D"/>
    <w:rsid w:val="002047A1"/>
    <w:rsid w:val="00214ABE"/>
    <w:rsid w:val="00220974"/>
    <w:rsid w:val="002270E0"/>
    <w:rsid w:val="00227ECA"/>
    <w:rsid w:val="002346BB"/>
    <w:rsid w:val="00242A7B"/>
    <w:rsid w:val="00242C20"/>
    <w:rsid w:val="00254632"/>
    <w:rsid w:val="00254A12"/>
    <w:rsid w:val="00257040"/>
    <w:rsid w:val="00257964"/>
    <w:rsid w:val="002817BF"/>
    <w:rsid w:val="002865F6"/>
    <w:rsid w:val="002917AD"/>
    <w:rsid w:val="00292102"/>
    <w:rsid w:val="002964B9"/>
    <w:rsid w:val="002A4229"/>
    <w:rsid w:val="002A6C0C"/>
    <w:rsid w:val="002C0672"/>
    <w:rsid w:val="002C3B7B"/>
    <w:rsid w:val="002E7088"/>
    <w:rsid w:val="00312C1B"/>
    <w:rsid w:val="003535BE"/>
    <w:rsid w:val="00355EA9"/>
    <w:rsid w:val="00362D14"/>
    <w:rsid w:val="0039000A"/>
    <w:rsid w:val="00390F80"/>
    <w:rsid w:val="00391045"/>
    <w:rsid w:val="0039221E"/>
    <w:rsid w:val="003B5F64"/>
    <w:rsid w:val="003C6B24"/>
    <w:rsid w:val="003D1C8D"/>
    <w:rsid w:val="003D578B"/>
    <w:rsid w:val="003E3F28"/>
    <w:rsid w:val="003E3F6A"/>
    <w:rsid w:val="003F3971"/>
    <w:rsid w:val="004028B1"/>
    <w:rsid w:val="00403FB1"/>
    <w:rsid w:val="004064AA"/>
    <w:rsid w:val="004135EE"/>
    <w:rsid w:val="004150CE"/>
    <w:rsid w:val="00424119"/>
    <w:rsid w:val="0043794D"/>
    <w:rsid w:val="00444374"/>
    <w:rsid w:val="00447001"/>
    <w:rsid w:val="00453298"/>
    <w:rsid w:val="00471AEF"/>
    <w:rsid w:val="004959B7"/>
    <w:rsid w:val="004A0795"/>
    <w:rsid w:val="004C3F32"/>
    <w:rsid w:val="004D29CE"/>
    <w:rsid w:val="004F3D22"/>
    <w:rsid w:val="00523DD4"/>
    <w:rsid w:val="00541762"/>
    <w:rsid w:val="0054193A"/>
    <w:rsid w:val="005440A2"/>
    <w:rsid w:val="00575EA2"/>
    <w:rsid w:val="005909FB"/>
    <w:rsid w:val="00597503"/>
    <w:rsid w:val="005A1E8F"/>
    <w:rsid w:val="005A778C"/>
    <w:rsid w:val="005B39BA"/>
    <w:rsid w:val="005C21A4"/>
    <w:rsid w:val="005D4054"/>
    <w:rsid w:val="005F7BC9"/>
    <w:rsid w:val="00605AA7"/>
    <w:rsid w:val="00617C1B"/>
    <w:rsid w:val="00621FFD"/>
    <w:rsid w:val="00630A63"/>
    <w:rsid w:val="00633629"/>
    <w:rsid w:val="00642C8A"/>
    <w:rsid w:val="0064374E"/>
    <w:rsid w:val="00657F0E"/>
    <w:rsid w:val="00662394"/>
    <w:rsid w:val="00663A4D"/>
    <w:rsid w:val="00670DFD"/>
    <w:rsid w:val="0067242E"/>
    <w:rsid w:val="006774B1"/>
    <w:rsid w:val="006A19E3"/>
    <w:rsid w:val="006C03C2"/>
    <w:rsid w:val="006C4F02"/>
    <w:rsid w:val="006E61F3"/>
    <w:rsid w:val="006F387B"/>
    <w:rsid w:val="00702C75"/>
    <w:rsid w:val="0071234A"/>
    <w:rsid w:val="00715898"/>
    <w:rsid w:val="00726F79"/>
    <w:rsid w:val="00727DB3"/>
    <w:rsid w:val="00730DFA"/>
    <w:rsid w:val="00733387"/>
    <w:rsid w:val="00736F16"/>
    <w:rsid w:val="00761072"/>
    <w:rsid w:val="00766E64"/>
    <w:rsid w:val="00792A1D"/>
    <w:rsid w:val="00792E0F"/>
    <w:rsid w:val="00793B28"/>
    <w:rsid w:val="00796419"/>
    <w:rsid w:val="007A44D6"/>
    <w:rsid w:val="007A5EA0"/>
    <w:rsid w:val="007C6778"/>
    <w:rsid w:val="007C793C"/>
    <w:rsid w:val="007D3B69"/>
    <w:rsid w:val="007E5675"/>
    <w:rsid w:val="008044FD"/>
    <w:rsid w:val="00810018"/>
    <w:rsid w:val="00814E8C"/>
    <w:rsid w:val="008246C7"/>
    <w:rsid w:val="00826CF8"/>
    <w:rsid w:val="00834A86"/>
    <w:rsid w:val="00835D24"/>
    <w:rsid w:val="0084111C"/>
    <w:rsid w:val="00843B5D"/>
    <w:rsid w:val="00867E8C"/>
    <w:rsid w:val="00884D90"/>
    <w:rsid w:val="00886D14"/>
    <w:rsid w:val="00890B14"/>
    <w:rsid w:val="008B0923"/>
    <w:rsid w:val="008B33D0"/>
    <w:rsid w:val="008B4F0F"/>
    <w:rsid w:val="008B559D"/>
    <w:rsid w:val="008D27C7"/>
    <w:rsid w:val="008D646C"/>
    <w:rsid w:val="008E130A"/>
    <w:rsid w:val="008E39C4"/>
    <w:rsid w:val="008E6030"/>
    <w:rsid w:val="0090219B"/>
    <w:rsid w:val="0092080A"/>
    <w:rsid w:val="0094087D"/>
    <w:rsid w:val="009733FD"/>
    <w:rsid w:val="0097610D"/>
    <w:rsid w:val="00980D3C"/>
    <w:rsid w:val="00983A3C"/>
    <w:rsid w:val="00987E2F"/>
    <w:rsid w:val="00996861"/>
    <w:rsid w:val="009B69DA"/>
    <w:rsid w:val="009B7C39"/>
    <w:rsid w:val="009C1796"/>
    <w:rsid w:val="009C2A26"/>
    <w:rsid w:val="009C5E4B"/>
    <w:rsid w:val="009D12C1"/>
    <w:rsid w:val="009E7719"/>
    <w:rsid w:val="009F68A7"/>
    <w:rsid w:val="00A016D8"/>
    <w:rsid w:val="00A05AFE"/>
    <w:rsid w:val="00A139BD"/>
    <w:rsid w:val="00A14E6A"/>
    <w:rsid w:val="00A3323C"/>
    <w:rsid w:val="00A6350A"/>
    <w:rsid w:val="00A66F4C"/>
    <w:rsid w:val="00A76590"/>
    <w:rsid w:val="00A77E01"/>
    <w:rsid w:val="00A8465D"/>
    <w:rsid w:val="00A86145"/>
    <w:rsid w:val="00A86F20"/>
    <w:rsid w:val="00A93294"/>
    <w:rsid w:val="00AA6378"/>
    <w:rsid w:val="00AC3B98"/>
    <w:rsid w:val="00AF3E35"/>
    <w:rsid w:val="00B03407"/>
    <w:rsid w:val="00B15813"/>
    <w:rsid w:val="00B2090E"/>
    <w:rsid w:val="00B476CA"/>
    <w:rsid w:val="00B53344"/>
    <w:rsid w:val="00B57671"/>
    <w:rsid w:val="00B627D2"/>
    <w:rsid w:val="00B806CB"/>
    <w:rsid w:val="00B93146"/>
    <w:rsid w:val="00B9572B"/>
    <w:rsid w:val="00BB0291"/>
    <w:rsid w:val="00BB3B71"/>
    <w:rsid w:val="00BF12E8"/>
    <w:rsid w:val="00C25BDC"/>
    <w:rsid w:val="00C42E8D"/>
    <w:rsid w:val="00C524B2"/>
    <w:rsid w:val="00C61E2C"/>
    <w:rsid w:val="00C73538"/>
    <w:rsid w:val="00C84070"/>
    <w:rsid w:val="00C96732"/>
    <w:rsid w:val="00C9DE40"/>
    <w:rsid w:val="00CA0BA9"/>
    <w:rsid w:val="00CB00B7"/>
    <w:rsid w:val="00CB44AF"/>
    <w:rsid w:val="00CC2C97"/>
    <w:rsid w:val="00CC6176"/>
    <w:rsid w:val="00CC73BA"/>
    <w:rsid w:val="00CE1451"/>
    <w:rsid w:val="00CE2A3F"/>
    <w:rsid w:val="00CF2268"/>
    <w:rsid w:val="00D00468"/>
    <w:rsid w:val="00D022C5"/>
    <w:rsid w:val="00D07282"/>
    <w:rsid w:val="00D20C63"/>
    <w:rsid w:val="00D33CDE"/>
    <w:rsid w:val="00D366E5"/>
    <w:rsid w:val="00D3743B"/>
    <w:rsid w:val="00D56CA2"/>
    <w:rsid w:val="00D574D9"/>
    <w:rsid w:val="00D60BC8"/>
    <w:rsid w:val="00D67367"/>
    <w:rsid w:val="00D73070"/>
    <w:rsid w:val="00D83131"/>
    <w:rsid w:val="00D92548"/>
    <w:rsid w:val="00D958DB"/>
    <w:rsid w:val="00DA0C37"/>
    <w:rsid w:val="00DA49A2"/>
    <w:rsid w:val="00DB0092"/>
    <w:rsid w:val="00DB1AD4"/>
    <w:rsid w:val="00DD2A8F"/>
    <w:rsid w:val="00DD5702"/>
    <w:rsid w:val="00DE01E3"/>
    <w:rsid w:val="00DE4A9E"/>
    <w:rsid w:val="00DF1253"/>
    <w:rsid w:val="00E0292B"/>
    <w:rsid w:val="00E04932"/>
    <w:rsid w:val="00E11D9B"/>
    <w:rsid w:val="00E222D5"/>
    <w:rsid w:val="00E33FC8"/>
    <w:rsid w:val="00E57069"/>
    <w:rsid w:val="00E70988"/>
    <w:rsid w:val="00E70AB0"/>
    <w:rsid w:val="00E77D28"/>
    <w:rsid w:val="00E82B06"/>
    <w:rsid w:val="00E861A3"/>
    <w:rsid w:val="00E87359"/>
    <w:rsid w:val="00E94254"/>
    <w:rsid w:val="00EA37DD"/>
    <w:rsid w:val="00EB2223"/>
    <w:rsid w:val="00EB5619"/>
    <w:rsid w:val="00EC1F2D"/>
    <w:rsid w:val="00ED59FF"/>
    <w:rsid w:val="00EE2DF7"/>
    <w:rsid w:val="00EF1255"/>
    <w:rsid w:val="00EF2FAC"/>
    <w:rsid w:val="00EF468F"/>
    <w:rsid w:val="00F01537"/>
    <w:rsid w:val="00F06DDE"/>
    <w:rsid w:val="00F3081D"/>
    <w:rsid w:val="00F54D16"/>
    <w:rsid w:val="00F61489"/>
    <w:rsid w:val="00F63A70"/>
    <w:rsid w:val="00F66DEE"/>
    <w:rsid w:val="00F849CC"/>
    <w:rsid w:val="00FA7551"/>
    <w:rsid w:val="00FB3B65"/>
    <w:rsid w:val="00FC1B01"/>
    <w:rsid w:val="00FD0327"/>
    <w:rsid w:val="00FE64C7"/>
    <w:rsid w:val="019EE30B"/>
    <w:rsid w:val="03689600"/>
    <w:rsid w:val="038CDA4D"/>
    <w:rsid w:val="03C8DDCA"/>
    <w:rsid w:val="06499714"/>
    <w:rsid w:val="075338EA"/>
    <w:rsid w:val="0768246B"/>
    <w:rsid w:val="0AC140D6"/>
    <w:rsid w:val="0B4AD0E9"/>
    <w:rsid w:val="0BD47228"/>
    <w:rsid w:val="0BD80AC5"/>
    <w:rsid w:val="0BE5D4D4"/>
    <w:rsid w:val="0C88D65A"/>
    <w:rsid w:val="0E33F6C1"/>
    <w:rsid w:val="0F0A96BD"/>
    <w:rsid w:val="0F4BD5A4"/>
    <w:rsid w:val="0F857698"/>
    <w:rsid w:val="0FCB2AEF"/>
    <w:rsid w:val="104076D7"/>
    <w:rsid w:val="109EEE29"/>
    <w:rsid w:val="10A4DDC0"/>
    <w:rsid w:val="11243C55"/>
    <w:rsid w:val="113E23A6"/>
    <w:rsid w:val="12128C4A"/>
    <w:rsid w:val="1525E7FD"/>
    <w:rsid w:val="158959DA"/>
    <w:rsid w:val="167413F1"/>
    <w:rsid w:val="16A72C24"/>
    <w:rsid w:val="17300F89"/>
    <w:rsid w:val="18BB29F5"/>
    <w:rsid w:val="193CCAA4"/>
    <w:rsid w:val="19C181C0"/>
    <w:rsid w:val="1A449125"/>
    <w:rsid w:val="1AE8D535"/>
    <w:rsid w:val="1B6D90AE"/>
    <w:rsid w:val="1B84FF90"/>
    <w:rsid w:val="1B86DB92"/>
    <w:rsid w:val="1C508085"/>
    <w:rsid w:val="1DEB4553"/>
    <w:rsid w:val="1E663629"/>
    <w:rsid w:val="1F28F926"/>
    <w:rsid w:val="1FC80EAD"/>
    <w:rsid w:val="20383EE2"/>
    <w:rsid w:val="2173EEEC"/>
    <w:rsid w:val="23071416"/>
    <w:rsid w:val="233743B0"/>
    <w:rsid w:val="2636FFEA"/>
    <w:rsid w:val="26D34662"/>
    <w:rsid w:val="27BF7913"/>
    <w:rsid w:val="28E4B805"/>
    <w:rsid w:val="2B18A7BF"/>
    <w:rsid w:val="2B877640"/>
    <w:rsid w:val="2C0B152F"/>
    <w:rsid w:val="2E5514E3"/>
    <w:rsid w:val="2EA04569"/>
    <w:rsid w:val="2F809318"/>
    <w:rsid w:val="3005F3D5"/>
    <w:rsid w:val="31635BBC"/>
    <w:rsid w:val="31EA6E73"/>
    <w:rsid w:val="32CA8EFA"/>
    <w:rsid w:val="344D2C3B"/>
    <w:rsid w:val="35A97270"/>
    <w:rsid w:val="35C1D959"/>
    <w:rsid w:val="3668D3C8"/>
    <w:rsid w:val="37F1F049"/>
    <w:rsid w:val="38FCE270"/>
    <w:rsid w:val="3C78E51A"/>
    <w:rsid w:val="3D4D49BA"/>
    <w:rsid w:val="3D7BB6C5"/>
    <w:rsid w:val="3F15738D"/>
    <w:rsid w:val="3F215088"/>
    <w:rsid w:val="3FA82D62"/>
    <w:rsid w:val="40B4EA19"/>
    <w:rsid w:val="41902CD5"/>
    <w:rsid w:val="4234293E"/>
    <w:rsid w:val="428B151A"/>
    <w:rsid w:val="437CF382"/>
    <w:rsid w:val="4510BF53"/>
    <w:rsid w:val="45CBAD1F"/>
    <w:rsid w:val="4631A1E8"/>
    <w:rsid w:val="47376334"/>
    <w:rsid w:val="47386240"/>
    <w:rsid w:val="484080B2"/>
    <w:rsid w:val="4AC08535"/>
    <w:rsid w:val="4B4EAB0A"/>
    <w:rsid w:val="4BB1D1DE"/>
    <w:rsid w:val="4BBFC254"/>
    <w:rsid w:val="4F75A676"/>
    <w:rsid w:val="514A50BD"/>
    <w:rsid w:val="524CD146"/>
    <w:rsid w:val="542CF878"/>
    <w:rsid w:val="54951B82"/>
    <w:rsid w:val="55F0DC93"/>
    <w:rsid w:val="56D9503B"/>
    <w:rsid w:val="57BDD2DB"/>
    <w:rsid w:val="5918B6F1"/>
    <w:rsid w:val="5AD0F164"/>
    <w:rsid w:val="5B00663C"/>
    <w:rsid w:val="5B7BF73A"/>
    <w:rsid w:val="5B7FD86D"/>
    <w:rsid w:val="5BB64085"/>
    <w:rsid w:val="5C1A6056"/>
    <w:rsid w:val="5C70CBAC"/>
    <w:rsid w:val="5D65C12F"/>
    <w:rsid w:val="5D8DF29F"/>
    <w:rsid w:val="5DA286FB"/>
    <w:rsid w:val="5DCA6293"/>
    <w:rsid w:val="5E00854F"/>
    <w:rsid w:val="5E3DA871"/>
    <w:rsid w:val="5E8CBC57"/>
    <w:rsid w:val="601D7FB6"/>
    <w:rsid w:val="604A2BE9"/>
    <w:rsid w:val="60768001"/>
    <w:rsid w:val="6102F9FE"/>
    <w:rsid w:val="6504AC9E"/>
    <w:rsid w:val="6637A0EB"/>
    <w:rsid w:val="669EF3E3"/>
    <w:rsid w:val="679D0108"/>
    <w:rsid w:val="69150C08"/>
    <w:rsid w:val="6B61CB67"/>
    <w:rsid w:val="6CC9F7F6"/>
    <w:rsid w:val="6D25D3AE"/>
    <w:rsid w:val="6E2AB096"/>
    <w:rsid w:val="700224BA"/>
    <w:rsid w:val="707E5978"/>
    <w:rsid w:val="71005CDD"/>
    <w:rsid w:val="7227FD68"/>
    <w:rsid w:val="730BFDA0"/>
    <w:rsid w:val="73B3017A"/>
    <w:rsid w:val="757812D6"/>
    <w:rsid w:val="76DC9756"/>
    <w:rsid w:val="77513164"/>
    <w:rsid w:val="7800A512"/>
    <w:rsid w:val="7892D3C0"/>
    <w:rsid w:val="79A8E2C5"/>
    <w:rsid w:val="7E759EF0"/>
    <w:rsid w:val="7EF97F16"/>
    <w:rsid w:val="7FAE2659"/>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7D0FB6"/>
  <w15:chartTrackingRefBased/>
  <w15:docId w15:val="{7CBDB0C7-2548-4EF9-995B-4E6936E6DCF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qFormat="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440A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D20C6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D20C6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20C6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20C6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20C6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20C6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20C6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20C6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OC1">
    <w:name w:val="toc 1"/>
    <w:aliases w:val="TOC 1.1"/>
    <w:next w:val="Heading1"/>
    <w:link w:val="TOC1Char"/>
    <w:autoRedefine/>
    <w:uiPriority w:val="39"/>
    <w:unhideWhenUsed/>
    <w:qFormat/>
    <w:rsid w:val="005440A2"/>
    <w:pPr>
      <w:tabs>
        <w:tab w:val="right" w:leader="dot" w:pos="9016"/>
      </w:tabs>
      <w:spacing w:before="120" w:after="0"/>
    </w:pPr>
    <w:rPr>
      <w:rFonts w:ascii="Arial" w:hAnsi="Arial"/>
      <w:bCs/>
      <w:iCs/>
      <w:noProof/>
      <w:color w:val="000000" w:themeColor="text1"/>
    </w:rPr>
  </w:style>
  <w:style w:type="character" w:customStyle="1" w:styleId="TOC1Char">
    <w:name w:val="TOC 1 Char"/>
    <w:aliases w:val="TOC 1.1 Char"/>
    <w:basedOn w:val="DefaultParagraphFont"/>
    <w:link w:val="TOC1"/>
    <w:uiPriority w:val="39"/>
    <w:rsid w:val="005440A2"/>
    <w:rPr>
      <w:rFonts w:ascii="Arial" w:hAnsi="Arial"/>
      <w:bCs/>
      <w:iCs/>
      <w:noProof/>
      <w:color w:val="000000" w:themeColor="text1"/>
    </w:rPr>
  </w:style>
  <w:style w:type="character" w:customStyle="1" w:styleId="Heading1Char">
    <w:name w:val="Heading 1 Char"/>
    <w:basedOn w:val="DefaultParagraphFont"/>
    <w:link w:val="Heading1"/>
    <w:uiPriority w:val="9"/>
    <w:rsid w:val="005440A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D20C6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D20C6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20C6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20C6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20C6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20C6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20C6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20C63"/>
    <w:rPr>
      <w:rFonts w:eastAsiaTheme="majorEastAsia" w:cstheme="majorBidi"/>
      <w:color w:val="272727" w:themeColor="text1" w:themeTint="D8"/>
    </w:rPr>
  </w:style>
  <w:style w:type="paragraph" w:styleId="Title">
    <w:name w:val="Title"/>
    <w:basedOn w:val="Normal"/>
    <w:next w:val="Normal"/>
    <w:link w:val="TitleChar"/>
    <w:uiPriority w:val="10"/>
    <w:qFormat/>
    <w:rsid w:val="00D20C6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20C6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20C6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20C6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20C63"/>
    <w:pPr>
      <w:spacing w:before="160"/>
      <w:jc w:val="center"/>
    </w:pPr>
    <w:rPr>
      <w:i/>
      <w:iCs/>
      <w:color w:val="404040" w:themeColor="text1" w:themeTint="BF"/>
    </w:rPr>
  </w:style>
  <w:style w:type="character" w:customStyle="1" w:styleId="QuoteChar">
    <w:name w:val="Quote Char"/>
    <w:basedOn w:val="DefaultParagraphFont"/>
    <w:link w:val="Quote"/>
    <w:uiPriority w:val="29"/>
    <w:rsid w:val="00D20C63"/>
    <w:rPr>
      <w:i/>
      <w:iCs/>
      <w:color w:val="404040" w:themeColor="text1" w:themeTint="BF"/>
    </w:rPr>
  </w:style>
  <w:style w:type="paragraph" w:styleId="ListParagraph">
    <w:name w:val="List Paragraph"/>
    <w:basedOn w:val="Normal"/>
    <w:uiPriority w:val="34"/>
    <w:qFormat/>
    <w:rsid w:val="00D20C63"/>
    <w:pPr>
      <w:ind w:left="720"/>
      <w:contextualSpacing/>
    </w:pPr>
  </w:style>
  <w:style w:type="character" w:styleId="IntenseEmphasis">
    <w:name w:val="Intense Emphasis"/>
    <w:basedOn w:val="DefaultParagraphFont"/>
    <w:uiPriority w:val="21"/>
    <w:qFormat/>
    <w:rsid w:val="00D20C63"/>
    <w:rPr>
      <w:i/>
      <w:iCs/>
      <w:color w:val="0F4761" w:themeColor="accent1" w:themeShade="BF"/>
    </w:rPr>
  </w:style>
  <w:style w:type="paragraph" w:styleId="IntenseQuote">
    <w:name w:val="Intense Quote"/>
    <w:basedOn w:val="Normal"/>
    <w:next w:val="Normal"/>
    <w:link w:val="IntenseQuoteChar"/>
    <w:uiPriority w:val="30"/>
    <w:qFormat/>
    <w:rsid w:val="00D20C6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20C63"/>
    <w:rPr>
      <w:i/>
      <w:iCs/>
      <w:color w:val="0F4761" w:themeColor="accent1" w:themeShade="BF"/>
    </w:rPr>
  </w:style>
  <w:style w:type="character" w:styleId="IntenseReference">
    <w:name w:val="Intense Reference"/>
    <w:basedOn w:val="DefaultParagraphFont"/>
    <w:uiPriority w:val="32"/>
    <w:qFormat/>
    <w:rsid w:val="00D20C63"/>
    <w:rPr>
      <w:b/>
      <w:bCs/>
      <w:smallCaps/>
      <w:color w:val="0F4761" w:themeColor="accent1" w:themeShade="BF"/>
      <w:spacing w:val="5"/>
    </w:rPr>
  </w:style>
  <w:style w:type="paragraph" w:styleId="NoSpacing">
    <w:name w:val="No Spacing"/>
    <w:link w:val="NoSpacingChar"/>
    <w:uiPriority w:val="1"/>
    <w:qFormat/>
    <w:rsid w:val="00D20C63"/>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D20C63"/>
    <w:rPr>
      <w:rFonts w:eastAsiaTheme="minorEastAsia"/>
      <w:kern w:val="0"/>
      <w:sz w:val="22"/>
      <w:szCs w:val="22"/>
      <w:lang w:val="en-US"/>
      <w14:ligatures w14:val="none"/>
    </w:rPr>
  </w:style>
  <w:style w:type="paragraph" w:styleId="TOCHeading">
    <w:name w:val="TOC Heading"/>
    <w:basedOn w:val="Heading1"/>
    <w:next w:val="Normal"/>
    <w:uiPriority w:val="39"/>
    <w:unhideWhenUsed/>
    <w:qFormat/>
    <w:rsid w:val="00D20C63"/>
    <w:pPr>
      <w:spacing w:before="240" w:after="0" w:line="259" w:lineRule="auto"/>
      <w:outlineLvl w:val="9"/>
    </w:pPr>
    <w:rPr>
      <w:kern w:val="0"/>
      <w:sz w:val="32"/>
      <w:szCs w:val="32"/>
      <w:lang w:val="en-US"/>
      <w14:ligatures w14:val="none"/>
    </w:rPr>
  </w:style>
  <w:style w:type="character" w:styleId="Hyperlink">
    <w:name w:val="Hyperlink"/>
    <w:basedOn w:val="DefaultParagraphFont"/>
    <w:uiPriority w:val="99"/>
    <w:unhideWhenUsed/>
    <w:rsid w:val="006C03C2"/>
    <w:rPr>
      <w:color w:val="467886" w:themeColor="hyperlink"/>
      <w:u w:val="single"/>
    </w:rPr>
  </w:style>
  <w:style w:type="character" w:styleId="UnresolvedMention">
    <w:name w:val="Unresolved Mention"/>
    <w:basedOn w:val="DefaultParagraphFont"/>
    <w:uiPriority w:val="99"/>
    <w:semiHidden/>
    <w:unhideWhenUsed/>
    <w:rsid w:val="006C03C2"/>
    <w:rPr>
      <w:color w:val="605E5C"/>
      <w:shd w:val="clear" w:color="auto" w:fill="E1DFDD"/>
    </w:rPr>
  </w:style>
  <w:style w:type="paragraph" w:customStyle="1" w:styleId="w7sjnrxzl6krnffuzhqe">
    <w:name w:val="w7sjnrxzl6krnffuzhqe"/>
    <w:basedOn w:val="Normal"/>
    <w:rsid w:val="00AC3B98"/>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styleId="NormalWeb">
    <w:name w:val="Normal (Web)"/>
    <w:basedOn w:val="Normal"/>
    <w:uiPriority w:val="99"/>
    <w:semiHidden/>
    <w:unhideWhenUsed/>
    <w:rsid w:val="0071234A"/>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Strong">
    <w:name w:val="Strong"/>
    <w:basedOn w:val="DefaultParagraphFont"/>
    <w:uiPriority w:val="22"/>
    <w:qFormat/>
    <w:rsid w:val="002E7088"/>
    <w:rPr>
      <w:b/>
      <w:bCs/>
    </w:rPr>
  </w:style>
  <w:style w:type="character" w:styleId="BookTitle">
    <w:name w:val="Book Title"/>
    <w:basedOn w:val="DefaultParagraphFont"/>
    <w:uiPriority w:val="33"/>
    <w:qFormat/>
    <w:rsid w:val="00D3743B"/>
    <w:rPr>
      <w:b/>
      <w:bCs/>
      <w:i/>
      <w:iCs/>
      <w:spacing w:val="5"/>
    </w:rPr>
  </w:style>
  <w:style w:type="paragraph" w:styleId="TOC3">
    <w:name w:val="toc 3"/>
    <w:basedOn w:val="Normal"/>
    <w:next w:val="Normal"/>
    <w:autoRedefine/>
    <w:uiPriority w:val="39"/>
    <w:unhideWhenUsed/>
    <w:rsid w:val="00FA7551"/>
    <w:pPr>
      <w:spacing w:after="100"/>
      <w:ind w:left="480"/>
    </w:pPr>
  </w:style>
  <w:style w:type="paragraph" w:styleId="TOC2">
    <w:name w:val="toc 2"/>
    <w:basedOn w:val="Normal"/>
    <w:next w:val="Normal"/>
    <w:autoRedefine/>
    <w:uiPriority w:val="39"/>
    <w:unhideWhenUsed/>
    <w:rsid w:val="00FA7551"/>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8.png"/><Relationship Id="rId18" Type="http://schemas.openxmlformats.org/officeDocument/2006/relationships/hyperlink" Target="https://doi.org/10.1111/nyas.12844" TargetMode="External"/><Relationship Id="rId26" Type="http://schemas.openxmlformats.org/officeDocument/2006/relationships/hyperlink" Target="https://doi.org/10.1111/j.1464-5491.2012.03698.x" TargetMode="External"/><Relationship Id="rId39" Type="http://schemas.openxmlformats.org/officeDocument/2006/relationships/theme" Target="theme/theme1.xml"/><Relationship Id="rId21" Type="http://schemas.openxmlformats.org/officeDocument/2006/relationships/hyperlink" Target="https://doi.org/10.1001/jama.288.15.1909" TargetMode="External"/><Relationship Id="rId34" Type="http://schemas.openxmlformats.org/officeDocument/2006/relationships/hyperlink" Target="https://digital.nhs.uk/data-and-information/publications/statistical/national-diabetes-audit?utm_source=chatgpt.com" TargetMode="External"/><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hyperlink" Target="https://doi.org/10.1002/edm2.321" TargetMode="External"/><Relationship Id="rId25" Type="http://schemas.openxmlformats.org/officeDocument/2006/relationships/hyperlink" Target="https://doi.org/10.1093/tbm/ibac046" TargetMode="External"/><Relationship Id="rId33" Type="http://schemas.openxmlformats.org/officeDocument/2006/relationships/hyperlink" Target="https://www.nice.org.uk/guidance/ng28?utm_source=chatgpt.com" TargetMode="External"/><Relationship Id="rId38"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doi.org/10.1016/j.diabres.2025.112431" TargetMode="External"/><Relationship Id="rId20" Type="http://schemas.openxmlformats.org/officeDocument/2006/relationships/hyperlink" Target="https://doi.org/10.29011/2577-2228.100260" TargetMode="External"/><Relationship Id="rId29" Type="http://schemas.openxmlformats.org/officeDocument/2006/relationships/hyperlink" Target="https://www.longwoods.com/articles/images/HQ71VBarretalF1.jpg" TargetMode="Externa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24" Type="http://schemas.openxmlformats.org/officeDocument/2006/relationships/hyperlink" Target="https://doi.org/10.2337/dc11-1572" TargetMode="External"/><Relationship Id="rId32" Type="http://schemas.openxmlformats.org/officeDocument/2006/relationships/hyperlink" Target="https://www.nice.org.uk/guidance/qs209" TargetMode="External"/><Relationship Id="rId37" Type="http://schemas.openxmlformats.org/officeDocument/2006/relationships/hyperlink" Target="https://www.gov.scot/publications/person-centred-care-non-executive-directors/pages/7/?utm_source=chatgpt.com" TargetMode="External"/><Relationship Id="rId5" Type="http://schemas.openxmlformats.org/officeDocument/2006/relationships/webSettings" Target="webSettings.xml"/><Relationship Id="rId15" Type="http://schemas.openxmlformats.org/officeDocument/2006/relationships/hyperlink" Target="https://diabetesjournals.org/care/issue/47/Supplement_1" TargetMode="External"/><Relationship Id="rId23" Type="http://schemas.openxmlformats.org/officeDocument/2006/relationships/hyperlink" Target="https://www.diabetes.org.uk/about-us/about-the-charity/our-strategy/statistics" TargetMode="External"/><Relationship Id="rId28" Type="http://schemas.openxmlformats.org/officeDocument/2006/relationships/hyperlink" Target="https://www.drsegals.com/blogs/news/diabetes-awareness-month?srsltid=AfmBOoocmt3fsKv9qqkcjEkj0RXmNB-pZeYPfX4-IVOcB-JRXvkBOCWS" TargetMode="External"/><Relationship Id="rId36" Type="http://schemas.openxmlformats.org/officeDocument/2006/relationships/hyperlink" Target="https://www.england.nhs.uk/personalisedcare/comprehensive-model/" TargetMode="External"/><Relationship Id="rId10" Type="http://schemas.openxmlformats.org/officeDocument/2006/relationships/image" Target="media/image5.png"/><Relationship Id="rId19" Type="http://schemas.openxmlformats.org/officeDocument/2006/relationships/hyperlink" Target="https://doi.org/10.1016/S0140-6736(12)60240-2" TargetMode="External"/><Relationship Id="rId31" Type="http://schemas.openxmlformats.org/officeDocument/2006/relationships/hyperlink" Target="https://www.nice.org.uk/guidance/ng56" TargetMode="External"/><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9.png"/><Relationship Id="rId22" Type="http://schemas.openxmlformats.org/officeDocument/2006/relationships/hyperlink" Target="https://doi.org/10.1136/bmj.39474.922025.BE" TargetMode="External"/><Relationship Id="rId27" Type="http://schemas.openxmlformats.org/officeDocument/2006/relationships/hyperlink" Target="https://doi.org/10.1161/CIRCULATIONAHA.111.087213" TargetMode="External"/><Relationship Id="rId30" Type="http://schemas.openxmlformats.org/officeDocument/2006/relationships/hyperlink" Target="https://pub.mdpi-res.com/ijerph/ijerph-18-10840/article_deploy/html/images/ijerph-18-10840-g002.png" TargetMode="External"/><Relationship Id="rId35" Type="http://schemas.openxmlformats.org/officeDocument/2006/relationships/hyperlink" Target="https://www.longtermplan.nhs.uk" TargetMode="External"/><Relationship Id="rId8" Type="http://schemas.openxmlformats.org/officeDocument/2006/relationships/image" Target="media/image3.jpeg"/><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65BA21F-5504-49F4-B121-345802E5E64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18</Pages>
  <Words>5183</Words>
  <Characters>35405</Characters>
  <Application>Microsoft Office Word</Application>
  <DocSecurity>0</DocSecurity>
  <Lines>1142</Lines>
  <Paragraphs>149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40439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Patience Edo</dc:creator>
  <cp:keywords/>
  <dc:description/>
  <cp:lastModifiedBy>Patience Edo</cp:lastModifiedBy>
  <cp:revision>2</cp:revision>
  <dcterms:created xsi:type="dcterms:W3CDTF">2026-03-14T23:19:00Z</dcterms:created>
  <dcterms:modified xsi:type="dcterms:W3CDTF">2026-03-14T23:19:00Z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6e31f92b-1bc3-42e4-8bcc-f2c175765755</vt:lpwstr>
  </property>
</Properties>
</file>