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9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bookmarkStart w:id="0" w:name="_GoBack"/>
            <w:bookmarkEnd w:id="0"/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Code</w:t>
            </w:r>
          </w:p>
        </w:tc>
        <w:tc>
          <w:tcPr>
            <w:tcW w:w="6822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ECES6009</w:t>
            </w:r>
          </w:p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Title</w:t>
            </w:r>
          </w:p>
        </w:tc>
        <w:tc>
          <w:tcPr>
            <w:tcW w:w="6822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Making a Difference</w:t>
            </w:r>
          </w:p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sz w:val="22"/>
              <w:szCs w:val="22"/>
              <w:lang w:val="en-GB"/>
            </w:rPr>
            <w:id w:val="-54939865"/>
            <w:placeholder>
              <w:docPart w:val="2664F1205F5F41DB8F68703227DE0484"/>
            </w:placeholder>
            <w:date w:fullDate="2019-03-29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B36E13" w:rsidRPr="00B36E13" w:rsidRDefault="00B36E13" w:rsidP="003B096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  <w:t>29/03/2019</w:t>
                </w:r>
              </w:p>
            </w:tc>
          </w:sdtContent>
        </w:sdt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sz w:val="22"/>
              <w:szCs w:val="22"/>
              <w:lang w:val="en-GB"/>
            </w:rPr>
            <w:id w:val="-112599854"/>
            <w:placeholder>
              <w:docPart w:val="5876749D54B04DE7966BDBF525F6AA2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B36E13" w:rsidRPr="00B36E13" w:rsidRDefault="00B36E13" w:rsidP="003B0967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  <w:t>6</w:t>
                </w:r>
              </w:p>
            </w:tc>
          </w:sdtContent>
        </w:sdt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Credits</w:t>
            </w:r>
          </w:p>
        </w:tc>
        <w:tc>
          <w:tcPr>
            <w:tcW w:w="6822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20</w:t>
            </w:r>
          </w:p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Pre-Requisites</w:t>
            </w:r>
          </w:p>
        </w:tc>
        <w:tc>
          <w:tcPr>
            <w:tcW w:w="6822" w:type="dxa"/>
          </w:tcPr>
          <w:p w:rsidR="00B36E13" w:rsidRPr="00B36E13" w:rsidRDefault="00B36E13" w:rsidP="003B096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None</w:t>
            </w:r>
          </w:p>
        </w:tc>
      </w:tr>
    </w:tbl>
    <w:p w:rsidR="00B36E13" w:rsidRPr="00B36E13" w:rsidRDefault="00B36E13" w:rsidP="00B36E13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AIM(S)</w:t>
      </w:r>
    </w:p>
    <w:p w:rsidR="00B36E13" w:rsidRPr="00B36E13" w:rsidRDefault="00B36E13" w:rsidP="00B36E13">
      <w:pPr>
        <w:pStyle w:val="ListParagraph"/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To enable students to critically appraise the principles and practice of multi-agency working.</w:t>
      </w:r>
    </w:p>
    <w:p w:rsidR="00B36E13" w:rsidRPr="00B36E13" w:rsidRDefault="00B36E13" w:rsidP="00B36E13">
      <w:pPr>
        <w:pStyle w:val="ListParagraph"/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pStyle w:val="ListParagraph"/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To provide a critical understanding of the principles and practice of person-centred planning.</w:t>
      </w: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LEARNING OUTCOMES</w:t>
      </w: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:rsidR="00B36E13" w:rsidRPr="00B36E13" w:rsidRDefault="00B36E13" w:rsidP="00B36E1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Critically analyse the models, dynamics and application of multi-agency working in the promotion of individual voice, well-being and the transformation of life chances.</w:t>
      </w:r>
    </w:p>
    <w:p w:rsidR="00B36E13" w:rsidRPr="00B36E13" w:rsidRDefault="00B36E13" w:rsidP="00B36E13">
      <w:pPr>
        <w:pStyle w:val="ListParagraph"/>
        <w:overflowPunct w:val="0"/>
        <w:autoSpaceDE w:val="0"/>
        <w:autoSpaceDN w:val="0"/>
        <w:adjustRightInd w:val="0"/>
        <w:spacing w:before="120" w:after="0" w:line="240" w:lineRule="auto"/>
        <w:ind w:left="851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Critically discuss key values and frameworks for practice, including person-centred planning, which guide communities in the move towards inclusive and enabling environments.</w:t>
      </w:r>
    </w:p>
    <w:p w:rsidR="00B36E13" w:rsidRPr="00B36E13" w:rsidRDefault="00B36E13" w:rsidP="00B36E13">
      <w:pPr>
        <w:pStyle w:val="ListParagraph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Critically appraise the historical context of practice and the underpinning models such as the social model of disability.</w:t>
      </w:r>
    </w:p>
    <w:p w:rsidR="00B36E13" w:rsidRPr="00B36E13" w:rsidRDefault="00B36E13" w:rsidP="00B36E13">
      <w:pPr>
        <w:pStyle w:val="ListParagraph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pStyle w:val="ListParagraph"/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Organise their knowledge and learning through the use of a range of information sources, including ICT and present their work at the appropriate level.</w:t>
      </w: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 xml:space="preserve">An in-depth study of the current and evolving legislative framework within Wales and the UK that guides practice across the sectors with a review of the relevant policy context.  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 xml:space="preserve">An overview of the anti-oppressive perspectives from which person-centred planning is derived. 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An exploration of the agencies, and the skills of the disciplines which contribute to the empowerment of individuals with additional needs.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An in-depth examination of the principles and practice of person-centred planning and how this relates to issue of empowerment.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A review of the principles of partnership working with the identification of elements of good practice and recognition of the potential organisational and strategic barriers to collaboration.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An examination of issues in Wales, the UK and beyond that have led to the development of person-centred planning in a variety of contexts relevant to children and young people.</w:t>
      </w:r>
    </w:p>
    <w:p w:rsidR="00B36E13" w:rsidRPr="00B36E13" w:rsidRDefault="00B36E13" w:rsidP="00B36E13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425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A placement in a multi-agency setting to focus on key module themes.</w:t>
      </w: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lastRenderedPageBreak/>
        <w:t>Study Time Allocation</w:t>
      </w: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36E13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:rsidR="00B36E13" w:rsidRPr="00B36E13" w:rsidRDefault="00B36E13" w:rsidP="00B36E13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9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36E13" w:rsidRPr="00B36E13" w:rsidTr="003B096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B36E13" w:rsidRPr="00B36E13" w:rsidTr="003B0967">
        <w:tc>
          <w:tcPr>
            <w:tcW w:w="3969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Scheduled learning</w:t>
            </w:r>
          </w:p>
        </w:tc>
        <w:tc>
          <w:tcPr>
            <w:tcW w:w="170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30</w:t>
            </w:r>
          </w:p>
        </w:tc>
        <w:tc>
          <w:tcPr>
            <w:tcW w:w="1843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15%</w:t>
            </w:r>
          </w:p>
        </w:tc>
      </w:tr>
      <w:tr w:rsidR="00B36E13" w:rsidRPr="00B36E13" w:rsidTr="003B0967">
        <w:tc>
          <w:tcPr>
            <w:tcW w:w="3969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150</w:t>
            </w:r>
          </w:p>
        </w:tc>
        <w:tc>
          <w:tcPr>
            <w:tcW w:w="1843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75%</w:t>
            </w:r>
          </w:p>
        </w:tc>
      </w:tr>
      <w:tr w:rsidR="00B36E13" w:rsidRPr="00B36E13" w:rsidTr="003B0967">
        <w:tc>
          <w:tcPr>
            <w:tcW w:w="3969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Placement learning</w:t>
            </w:r>
          </w:p>
        </w:tc>
        <w:tc>
          <w:tcPr>
            <w:tcW w:w="170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20</w:t>
            </w:r>
          </w:p>
        </w:tc>
        <w:tc>
          <w:tcPr>
            <w:tcW w:w="1843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10%</w:t>
            </w:r>
          </w:p>
        </w:tc>
      </w:tr>
      <w:tr w:rsidR="00B36E13" w:rsidRPr="00B36E13" w:rsidTr="003B0967">
        <w:tc>
          <w:tcPr>
            <w:tcW w:w="3969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70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200</w:t>
            </w:r>
          </w:p>
        </w:tc>
        <w:tc>
          <w:tcPr>
            <w:tcW w:w="1843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ASSESSMENT</w:t>
      </w:r>
    </w:p>
    <w:p w:rsidR="00B36E13" w:rsidRPr="00B36E13" w:rsidRDefault="00B36E13" w:rsidP="00B36E1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Assessment Component 1</w:t>
      </w: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ind w:left="360"/>
        <w:jc w:val="both"/>
        <w:textAlignment w:val="baseline"/>
        <w:rPr>
          <w:rFonts w:ascii="Arial" w:eastAsia="Times New Roman" w:hAnsi="Arial" w:cs="Arial"/>
          <w:b/>
          <w:i/>
          <w:lang w:val="en-GB" w:eastAsia="en-GB"/>
        </w:rPr>
      </w:pPr>
    </w:p>
    <w:tbl>
      <w:tblPr>
        <w:tblStyle w:val="TableGrid9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66"/>
        <w:gridCol w:w="2174"/>
        <w:gridCol w:w="766"/>
        <w:gridCol w:w="2322"/>
        <w:gridCol w:w="766"/>
        <w:gridCol w:w="2232"/>
      </w:tblGrid>
      <w:tr w:rsidR="00B36E13" w:rsidRPr="00B36E13" w:rsidTr="003B0967">
        <w:sdt>
          <w:sdtPr>
            <w:rPr>
              <w:rFonts w:ascii="Arial" w:hAnsi="Arial" w:cs="Arial"/>
              <w:sz w:val="22"/>
              <w:szCs w:val="22"/>
              <w:lang w:val="en-GB"/>
            </w:rPr>
            <w:id w:val="-13184933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en-GB"/>
            </w:rPr>
            <w:id w:val="-185456729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en-GB"/>
            </w:rPr>
            <w:id w:val="-12629845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both"/>
                  <w:textAlignment w:val="baseline"/>
                  <w:rPr>
                    <w:rFonts w:ascii="Arial" w:hAnsi="Arial" w:cs="Arial"/>
                    <w:b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Practical</w:t>
            </w:r>
          </w:p>
        </w:tc>
      </w:tr>
    </w:tbl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9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36E13" w:rsidRPr="00B36E13" w:rsidTr="003B0967">
        <w:tc>
          <w:tcPr>
            <w:tcW w:w="3256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Mode of assessment</w:t>
            </w:r>
          </w:p>
        </w:tc>
        <w:tc>
          <w:tcPr>
            <w:tcW w:w="3969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Volume</w:t>
            </w:r>
          </w:p>
        </w:tc>
        <w:tc>
          <w:tcPr>
            <w:tcW w:w="1559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Weighting</w:t>
            </w:r>
          </w:p>
        </w:tc>
      </w:tr>
      <w:tr w:rsidR="00B36E13" w:rsidRPr="00B36E13" w:rsidTr="003B0967">
        <w:tc>
          <w:tcPr>
            <w:tcW w:w="3256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Portfolio</w:t>
            </w:r>
          </w:p>
        </w:tc>
        <w:tc>
          <w:tcPr>
            <w:tcW w:w="3969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8 elements (equivalent to 5000 words)</w:t>
            </w:r>
          </w:p>
        </w:tc>
        <w:tc>
          <w:tcPr>
            <w:tcW w:w="1559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100%</w:t>
            </w:r>
          </w:p>
        </w:tc>
      </w:tr>
    </w:tbl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B36E13" w:rsidRPr="00B36E13" w:rsidRDefault="00B36E13" w:rsidP="00B36E13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9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36E13" w:rsidRPr="00B36E13" w:rsidTr="003B096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Activity type</w:t>
            </w:r>
          </w:p>
        </w:tc>
        <w:tc>
          <w:tcPr>
            <w:tcW w:w="1842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Percentage</w:t>
            </w:r>
          </w:p>
        </w:tc>
      </w:tr>
      <w:tr w:rsidR="00B36E13" w:rsidRPr="00B36E13" w:rsidTr="003B0967">
        <w:tc>
          <w:tcPr>
            <w:tcW w:w="326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Written exam</w:t>
            </w:r>
          </w:p>
        </w:tc>
        <w:tc>
          <w:tcPr>
            <w:tcW w:w="1842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B36E13" w:rsidRPr="00B36E13" w:rsidTr="003B0967">
        <w:tc>
          <w:tcPr>
            <w:tcW w:w="326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Coursework</w:t>
            </w:r>
          </w:p>
        </w:tc>
        <w:tc>
          <w:tcPr>
            <w:tcW w:w="1842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100%</w:t>
            </w:r>
          </w:p>
        </w:tc>
      </w:tr>
      <w:tr w:rsidR="00B36E13" w:rsidRPr="00B36E13" w:rsidTr="003B0967">
        <w:tc>
          <w:tcPr>
            <w:tcW w:w="326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Practical</w:t>
            </w:r>
          </w:p>
        </w:tc>
        <w:tc>
          <w:tcPr>
            <w:tcW w:w="1842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B36E13" w:rsidRPr="00B36E13" w:rsidTr="003B0967">
        <w:tc>
          <w:tcPr>
            <w:tcW w:w="3261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TOTAL</w:t>
            </w:r>
          </w:p>
        </w:tc>
        <w:tc>
          <w:tcPr>
            <w:tcW w:w="1842" w:type="dxa"/>
          </w:tcPr>
          <w:p w:rsidR="00B36E13" w:rsidRPr="00B36E13" w:rsidRDefault="00B36E13" w:rsidP="003B0967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100%</w:t>
            </w:r>
          </w:p>
        </w:tc>
      </w:tr>
    </w:tbl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36E13">
        <w:rPr>
          <w:rFonts w:ascii="Arial" w:eastAsia="Times New Roman" w:hAnsi="Arial" w:cs="Arial"/>
          <w:b/>
          <w:lang w:val="en-GB" w:eastAsia="en-GB"/>
        </w:rPr>
        <w:t>READING LIST</w:t>
      </w:r>
    </w:p>
    <w:p w:rsidR="00B36E13" w:rsidRPr="00B36E13" w:rsidRDefault="00B36E13" w:rsidP="00B36E13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9"/>
        <w:tblW w:w="0" w:type="auto"/>
        <w:tblLayout w:type="fixed"/>
        <w:tblLook w:val="04A0" w:firstRow="1" w:lastRow="0" w:firstColumn="1" w:lastColumn="0" w:noHBand="0" w:noVBand="1"/>
      </w:tblPr>
      <w:tblGrid>
        <w:gridCol w:w="1838"/>
        <w:gridCol w:w="5589"/>
        <w:gridCol w:w="1633"/>
      </w:tblGrid>
      <w:tr w:rsidR="00B36E13" w:rsidRPr="00B36E13" w:rsidTr="003B0967">
        <w:tc>
          <w:tcPr>
            <w:tcW w:w="1838" w:type="dxa"/>
            <w:shd w:val="clear" w:color="auto" w:fill="BFBFBF" w:themeFill="background1" w:themeFillShade="BF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Code</w:t>
            </w:r>
          </w:p>
        </w:tc>
        <w:tc>
          <w:tcPr>
            <w:tcW w:w="7222" w:type="dxa"/>
            <w:gridSpan w:val="2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ECES6009</w:t>
            </w:r>
          </w:p>
        </w:tc>
      </w:tr>
      <w:tr w:rsidR="00B36E13" w:rsidRPr="00B36E13" w:rsidTr="003B0967">
        <w:tc>
          <w:tcPr>
            <w:tcW w:w="1838" w:type="dxa"/>
            <w:shd w:val="clear" w:color="auto" w:fill="BFBFBF" w:themeFill="background1" w:themeFillShade="BF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Module Title</w:t>
            </w:r>
          </w:p>
        </w:tc>
        <w:tc>
          <w:tcPr>
            <w:tcW w:w="7222" w:type="dxa"/>
            <w:gridSpan w:val="2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Making a Difference</w:t>
            </w:r>
          </w:p>
        </w:tc>
      </w:tr>
      <w:tr w:rsidR="00B36E13" w:rsidRPr="00B36E13" w:rsidTr="003B0967">
        <w:tc>
          <w:tcPr>
            <w:tcW w:w="1838" w:type="dxa"/>
            <w:shd w:val="clear" w:color="auto" w:fill="BFBFBF" w:themeFill="background1" w:themeFillShade="BF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Classification</w:t>
            </w:r>
          </w:p>
        </w:tc>
        <w:tc>
          <w:tcPr>
            <w:tcW w:w="5589" w:type="dxa"/>
            <w:shd w:val="clear" w:color="auto" w:fill="BFBFBF" w:themeFill="background1" w:themeFillShade="BF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Reading List entry</w:t>
            </w:r>
          </w:p>
        </w:tc>
        <w:tc>
          <w:tcPr>
            <w:tcW w:w="1633" w:type="dxa"/>
            <w:shd w:val="clear" w:color="auto" w:fill="BFBFBF" w:themeFill="background1" w:themeFillShade="BF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Electronic*</w:t>
            </w:r>
          </w:p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Brotherton, G., Davies, H. &amp; McGillivray, G. (2010)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Working with Children, Young People and Families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, London: Sage.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9276229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Dunhill, A. Elliot, B. and Shaw, A. (2010)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Effective Communication and Engagement with Children and Young People, their Families and Carers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, Exeter: Learning Matters.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-6098960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Essential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Wales: Welsh Government (2015) Person-centred reviews toolkit. A guide for early years, schools and colleges in Wales. Cardiff: HMSO. Available at </w:t>
            </w:r>
            <w:hyperlink r:id="rId5" w:history="1">
              <w:r w:rsidRPr="00B36E13">
                <w:rPr>
                  <w:rStyle w:val="Hyperlink"/>
                  <w:rFonts w:ascii="Arial" w:hAnsi="Arial" w:cs="Arial"/>
                  <w:sz w:val="22"/>
                  <w:szCs w:val="22"/>
                  <w:lang w:val="en-GB"/>
                </w:rPr>
                <w:t>https://beta.gov.wales/sites/default/files/publications/2018-12/person-centred-reviews-toolkit.pdf</w:t>
              </w:r>
            </w:hyperlink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-11873629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B36E13">
              <w:rPr>
                <w:rFonts w:ascii="Arial" w:hAnsi="Arial" w:cs="Arial"/>
                <w:sz w:val="22"/>
                <w:szCs w:val="22"/>
                <w:shd w:val="clear" w:color="auto" w:fill="FFFFFF"/>
                <w:lang w:val="en-GB"/>
              </w:rPr>
              <w:t>Anning</w:t>
            </w:r>
            <w:proofErr w:type="spellEnd"/>
            <w:r w:rsidRPr="00B36E13">
              <w:rPr>
                <w:rFonts w:ascii="Arial" w:hAnsi="Arial" w:cs="Arial"/>
                <w:sz w:val="22"/>
                <w:szCs w:val="22"/>
                <w:shd w:val="clear" w:color="auto" w:fill="FFFFFF"/>
                <w:lang w:val="en-GB"/>
              </w:rPr>
              <w:t>, A., 2010. </w:t>
            </w:r>
            <w:r w:rsidRPr="00B36E13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val="en-GB"/>
              </w:rPr>
              <w:t>Developing multi-professional teamwork for integrated children's services [</w:t>
            </w:r>
            <w:proofErr w:type="spellStart"/>
            <w:r w:rsidRPr="00B36E13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val="en-GB"/>
              </w:rPr>
              <w:t>ebook</w:t>
            </w:r>
            <w:proofErr w:type="spellEnd"/>
            <w:r w:rsidRPr="00B36E13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  <w:lang w:val="en-GB"/>
              </w:rPr>
              <w:t>] research, policy and practice</w:t>
            </w:r>
            <w:r w:rsidRPr="00B36E13">
              <w:rPr>
                <w:rFonts w:ascii="Arial" w:hAnsi="Arial" w:cs="Arial"/>
                <w:sz w:val="22"/>
                <w:szCs w:val="22"/>
                <w:shd w:val="clear" w:color="auto" w:fill="FFFFFF"/>
                <w:lang w:val="en-GB"/>
              </w:rPr>
              <w:t>2nd ed., Maidenhead: McGraw-Hill Open University Press.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3974058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Cheminais</w:t>
            </w:r>
            <w:proofErr w:type="spellEnd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, R. (2009)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Developing and Evaluating Multi-Agency Partnerships: A Practical Toolkit for Schools and Children’s Centre Managers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, London: Routledge.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-4099197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Edwards, A., Daniels, H., Gallagher, T., </w:t>
            </w:r>
            <w:proofErr w:type="spellStart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Leadbetter</w:t>
            </w:r>
            <w:proofErr w:type="spellEnd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, J. &amp; Warrington, P. (2009)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Improving Inter-professional Collaborations: Multi-Agency Working for Children’s Wellbeing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, London: Routledge.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-9009764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Holburn</w:t>
            </w:r>
            <w:proofErr w:type="spellEnd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, S. and </w:t>
            </w:r>
            <w:proofErr w:type="spellStart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Vietze</w:t>
            </w:r>
            <w:proofErr w:type="spellEnd"/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, P. (2002)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Person-</w:t>
            </w:r>
            <w:proofErr w:type="spellStart"/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centered</w:t>
            </w:r>
            <w:proofErr w:type="spellEnd"/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planning: research, practice, and future directions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 Baltimore: Paul H Brookes Publishers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5996913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☐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Wales: Welsh Government (2015) </w:t>
            </w:r>
            <w:r w:rsidRPr="00B36E13">
              <w:rPr>
                <w:rFonts w:ascii="Arial" w:hAnsi="Arial" w:cs="Arial"/>
                <w:i/>
                <w:sz w:val="22"/>
                <w:szCs w:val="22"/>
                <w:lang w:val="en-GB"/>
              </w:rPr>
              <w:t>Wellbeing of Future Generations Act (Wales) 2015.</w:t>
            </w: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 Cardiff: HMSO. Available at </w:t>
            </w:r>
            <w:hyperlink r:id="rId6" w:history="1">
              <w:r w:rsidRPr="00B36E13">
                <w:rPr>
                  <w:rStyle w:val="Hyperlink"/>
                  <w:rFonts w:ascii="Arial" w:hAnsi="Arial" w:cs="Arial"/>
                  <w:sz w:val="22"/>
                  <w:szCs w:val="22"/>
                  <w:lang w:val="en-GB"/>
                </w:rPr>
                <w:t>http://gov.wales/topics/people-and-communities/people/future-generations-act/?lang=en</w:t>
              </w:r>
            </w:hyperlink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633" w:type="dxa"/>
          </w:tcPr>
          <w:sdt>
            <w:sdtPr>
              <w:rPr>
                <w:rFonts w:ascii="Arial" w:hAnsi="Arial" w:cs="Arial"/>
                <w:sz w:val="22"/>
                <w:szCs w:val="22"/>
                <w:lang w:val="en-GB"/>
              </w:rPr>
              <w:id w:val="-14397605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B36E13" w:rsidRPr="00B36E13" w:rsidRDefault="00B36E13" w:rsidP="003B0967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ind w:left="360"/>
                  <w:jc w:val="center"/>
                  <w:textAlignment w:val="baseline"/>
                  <w:rPr>
                    <w:rFonts w:ascii="Arial" w:eastAsia="MS Gothic" w:hAnsi="Arial" w:cs="Arial"/>
                    <w:sz w:val="22"/>
                    <w:szCs w:val="22"/>
                    <w:lang w:val="en-GB"/>
                  </w:rPr>
                </w:pPr>
                <w:r w:rsidRPr="00B36E13">
                  <w:rPr>
                    <w:rFonts w:ascii="Segoe UI Symbol" w:hAnsi="Segoe UI Symbol" w:cs="Segoe UI Symbol"/>
                    <w:sz w:val="22"/>
                    <w:szCs w:val="22"/>
                    <w:lang w:val="en-GB"/>
                  </w:rPr>
                  <w:t>☒</w:t>
                </w:r>
              </w:p>
            </w:sdtContent>
          </w:sdt>
        </w:tc>
      </w:tr>
      <w:tr w:rsidR="00B36E13" w:rsidRPr="00B36E13" w:rsidTr="003B0967">
        <w:tc>
          <w:tcPr>
            <w:tcW w:w="1838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Further</w:t>
            </w:r>
          </w:p>
        </w:tc>
        <w:tc>
          <w:tcPr>
            <w:tcW w:w="5589" w:type="dxa"/>
          </w:tcPr>
          <w:p w:rsidR="00B36E13" w:rsidRPr="00B36E13" w:rsidRDefault="00B36E13" w:rsidP="003B096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6E13">
              <w:rPr>
                <w:rFonts w:ascii="Arial" w:hAnsi="Arial" w:cs="Arial"/>
                <w:sz w:val="22"/>
                <w:szCs w:val="22"/>
                <w:lang w:val="en-GB"/>
              </w:rPr>
              <w:t>Walker, G. (2018) Working Together for Children: A Critical Introduction to Multi-agency Working, London: Continuum.</w:t>
            </w:r>
          </w:p>
        </w:tc>
        <w:tc>
          <w:tcPr>
            <w:tcW w:w="1633" w:type="dxa"/>
          </w:tcPr>
          <w:p w:rsidR="00B36E13" w:rsidRPr="00B36E13" w:rsidRDefault="00B36E13" w:rsidP="003B0967">
            <w:pPr>
              <w:overflowPunct w:val="0"/>
              <w:autoSpaceDE w:val="0"/>
              <w:autoSpaceDN w:val="0"/>
              <w:adjustRightInd w:val="0"/>
              <w:spacing w:after="0" w:line="240" w:lineRule="auto"/>
              <w:ind w:left="360"/>
              <w:jc w:val="center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:rsidR="0047132A" w:rsidRPr="00B36E13" w:rsidRDefault="0047132A">
      <w:pPr>
        <w:rPr>
          <w:rFonts w:ascii="Arial" w:hAnsi="Arial" w:cs="Arial"/>
        </w:rPr>
      </w:pPr>
    </w:p>
    <w:sectPr w:rsidR="0047132A" w:rsidRPr="00B36E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F25B92"/>
    <w:multiLevelType w:val="hybridMultilevel"/>
    <w:tmpl w:val="61B0F6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F0638D5"/>
    <w:multiLevelType w:val="hybridMultilevel"/>
    <w:tmpl w:val="00C612A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75F07E1"/>
    <w:multiLevelType w:val="hybridMultilevel"/>
    <w:tmpl w:val="DA9885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6E13"/>
    <w:rsid w:val="0047132A"/>
    <w:rsid w:val="00B36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EDCE148-C8AC-4B50-9D9B-52DFFEFD48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36E13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B36E13"/>
    <w:pPr>
      <w:ind w:left="720"/>
      <w:contextualSpacing/>
    </w:pPr>
  </w:style>
  <w:style w:type="character" w:styleId="Hyperlink">
    <w:name w:val="Hyperlink"/>
    <w:uiPriority w:val="99"/>
    <w:unhideWhenUsed/>
    <w:rsid w:val="00B36E13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B36E13"/>
    <w:rPr>
      <w:rFonts w:ascii="Calibri" w:eastAsia="Calibri" w:hAnsi="Calibri" w:cs="Times New Roman"/>
      <w:lang w:val="en-US"/>
    </w:rPr>
  </w:style>
  <w:style w:type="table" w:customStyle="1" w:styleId="TableGrid9">
    <w:name w:val="Table Grid9"/>
    <w:basedOn w:val="TableNormal"/>
    <w:next w:val="TableGrid"/>
    <w:uiPriority w:val="59"/>
    <w:rsid w:val="00B36E1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B36E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gov.wales/topics/people-and-communities/people/future-generations-act/?lang=en" TargetMode="External"/><Relationship Id="rId5" Type="http://schemas.openxmlformats.org/officeDocument/2006/relationships/hyperlink" Target="https://beta.gov.wales/sites/default/files/publications/2018-12/person-centred-reviews-toolkit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2664F1205F5F41DB8F68703227DE04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3B4FB4-05F4-46D2-8251-23EF13C9A592}"/>
      </w:docPartPr>
      <w:docPartBody>
        <w:p w:rsidR="00000000" w:rsidRDefault="00CF5890" w:rsidP="00CF5890">
          <w:pPr>
            <w:pStyle w:val="2664F1205F5F41DB8F68703227DE0484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876749D54B04DE7966BDBF525F6AA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AFCAA2-3988-454E-B3EA-36D10AAC6067}"/>
      </w:docPartPr>
      <w:docPartBody>
        <w:p w:rsidR="00000000" w:rsidRDefault="00CF5890" w:rsidP="00CF5890">
          <w:pPr>
            <w:pStyle w:val="5876749D54B04DE7966BDBF525F6AA2D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5890"/>
    <w:rsid w:val="00CF5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F5890"/>
    <w:rPr>
      <w:color w:val="808080"/>
    </w:rPr>
  </w:style>
  <w:style w:type="paragraph" w:customStyle="1" w:styleId="2664F1205F5F41DB8F68703227DE0484">
    <w:name w:val="2664F1205F5F41DB8F68703227DE0484"/>
    <w:rsid w:val="00CF5890"/>
  </w:style>
  <w:style w:type="paragraph" w:customStyle="1" w:styleId="5876749D54B04DE7966BDBF525F6AA2D">
    <w:name w:val="5876749D54B04DE7966BDBF525F6AA2D"/>
    <w:rsid w:val="00CF58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670</Words>
  <Characters>3825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Thomas</dc:creator>
  <cp:keywords/>
  <dc:description/>
  <cp:lastModifiedBy>Ruth Thomas</cp:lastModifiedBy>
  <cp:revision>1</cp:revision>
  <dcterms:created xsi:type="dcterms:W3CDTF">2019-04-04T13:35:00Z</dcterms:created>
  <dcterms:modified xsi:type="dcterms:W3CDTF">2019-04-04T13:35:00Z</dcterms:modified>
</cp:coreProperties>
</file>