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C50F75" w14:textId="562DA9BF" w:rsidR="00C51EC1" w:rsidRPr="00157908" w:rsidRDefault="000C4574" w:rsidP="000C4574">
      <w:pPr>
        <w:pStyle w:val="papertitle"/>
        <w:spacing w:line="276" w:lineRule="auto"/>
        <w:rPr>
          <w:lang w:val="en-GB"/>
        </w:rPr>
      </w:pPr>
      <w:r w:rsidRPr="00157908">
        <w:rPr>
          <w:iCs/>
          <w:lang w:val="en-GB"/>
        </w:rPr>
        <w:t xml:space="preserve">Geographical Information Systems: </w:t>
      </w:r>
      <w:r w:rsidRPr="00157908">
        <w:rPr>
          <w:i/>
          <w:iCs/>
          <w:lang w:val="en-GB"/>
        </w:rPr>
        <w:t xml:space="preserve">Public Health and Meningitis </w:t>
      </w:r>
      <w:r w:rsidR="00373C9B">
        <w:rPr>
          <w:i/>
          <w:iCs/>
          <w:lang w:val="en-GB"/>
        </w:rPr>
        <w:t>in</w:t>
      </w:r>
      <w:r w:rsidRPr="00157908">
        <w:rPr>
          <w:i/>
          <w:iCs/>
          <w:lang w:val="en-GB"/>
        </w:rPr>
        <w:t xml:space="preserve"> Swansea</w:t>
      </w:r>
    </w:p>
    <w:p w14:paraId="4CEEBF9D" w14:textId="77777777" w:rsidR="000C4574" w:rsidRPr="00157908" w:rsidRDefault="000C4574" w:rsidP="000C4574">
      <w:pPr>
        <w:pStyle w:val="Author"/>
        <w:rPr>
          <w:lang w:val="en-GB"/>
        </w:rPr>
      </w:pPr>
      <w:bookmarkStart w:id="0" w:name="authorName"/>
      <w:bookmarkEnd w:id="0"/>
      <w:r w:rsidRPr="00157908">
        <w:rPr>
          <w:lang w:val="en-GB"/>
        </w:rPr>
        <w:t xml:space="preserve">   Henry COBBOLD</w:t>
      </w:r>
    </w:p>
    <w:p w14:paraId="7E39C824" w14:textId="77777777" w:rsidR="000C4574" w:rsidRPr="00157908" w:rsidRDefault="000C4574" w:rsidP="000C4574">
      <w:pPr>
        <w:pStyle w:val="Affiliation"/>
        <w:rPr>
          <w:lang w:val="en-GB"/>
        </w:rPr>
      </w:pPr>
      <w:r w:rsidRPr="00157908">
        <w:rPr>
          <w:lang w:val="en-GB"/>
        </w:rPr>
        <w:t xml:space="preserve">      ‘School of Applied Computing’ (SOAC)</w:t>
      </w:r>
    </w:p>
    <w:p w14:paraId="09C012AE" w14:textId="77777777" w:rsidR="000C4574" w:rsidRPr="00157908" w:rsidRDefault="000C4574" w:rsidP="000C4574">
      <w:pPr>
        <w:pStyle w:val="Affiliation"/>
        <w:rPr>
          <w:i/>
          <w:lang w:val="en-GB"/>
        </w:rPr>
      </w:pPr>
      <w:r w:rsidRPr="00157908">
        <w:rPr>
          <w:i/>
          <w:lang w:val="en-GB"/>
        </w:rPr>
        <w:t xml:space="preserve">     University of Wales Trinity Saint David</w:t>
      </w:r>
    </w:p>
    <w:p w14:paraId="28994B98" w14:textId="77777777" w:rsidR="000C4574" w:rsidRPr="00157908" w:rsidRDefault="000C4574" w:rsidP="000C4574">
      <w:pPr>
        <w:pStyle w:val="Affiliation"/>
        <w:rPr>
          <w:lang w:val="en-GB"/>
        </w:rPr>
      </w:pPr>
      <w:r w:rsidRPr="00157908">
        <w:rPr>
          <w:lang w:val="en-GB"/>
        </w:rPr>
        <w:t xml:space="preserve">    Swansea, County of Swansea</w:t>
      </w:r>
    </w:p>
    <w:p w14:paraId="1BF5CA68" w14:textId="77777777" w:rsidR="000C4574" w:rsidRPr="00157908" w:rsidRDefault="000C4574" w:rsidP="000C4574">
      <w:pPr>
        <w:pStyle w:val="Affiliation"/>
        <w:rPr>
          <w:lang w:val="en-GB"/>
        </w:rPr>
      </w:pPr>
      <w:r w:rsidRPr="00157908">
        <w:rPr>
          <w:lang w:val="en-GB"/>
        </w:rPr>
        <w:t xml:space="preserve">    hcobbold.149234@student.uwtsd.ac.uk</w:t>
      </w:r>
    </w:p>
    <w:p w14:paraId="49000140" w14:textId="77777777" w:rsidR="00C51EC1" w:rsidRPr="00157908" w:rsidRDefault="00C51EC1" w:rsidP="000C4574">
      <w:pPr>
        <w:pStyle w:val="IEEEAbstract"/>
        <w:ind w:firstLine="0"/>
        <w:rPr>
          <w:lang w:val="en-GB"/>
        </w:rPr>
      </w:pPr>
      <w:bookmarkStart w:id="1" w:name="abstract"/>
      <w:bookmarkEnd w:id="1"/>
    </w:p>
    <w:p w14:paraId="203CC94C" w14:textId="77777777" w:rsidR="00C51EC1" w:rsidRPr="00157908" w:rsidRDefault="00C51EC1" w:rsidP="000C4574">
      <w:pPr>
        <w:pStyle w:val="IEEEHeading1"/>
        <w:numPr>
          <w:ilvl w:val="0"/>
          <w:numId w:val="13"/>
        </w:numPr>
        <w:rPr>
          <w:lang w:val="en-GB"/>
        </w:rPr>
      </w:pPr>
      <w:bookmarkStart w:id="2" w:name="sectionHeads1"/>
      <w:bookmarkEnd w:id="2"/>
      <w:r w:rsidRPr="00157908">
        <w:rPr>
          <w:lang w:val="en-GB"/>
        </w:rPr>
        <w:t>Introduction</w:t>
      </w:r>
    </w:p>
    <w:p w14:paraId="370DF8DC" w14:textId="1BE3D320" w:rsidR="000C4574" w:rsidRDefault="000C4574" w:rsidP="00373C9B">
      <w:pPr>
        <w:pStyle w:val="IEEEText"/>
        <w:ind w:firstLine="0"/>
        <w:rPr>
          <w:lang w:val="en-GB"/>
        </w:rPr>
      </w:pPr>
    </w:p>
    <w:p w14:paraId="3E167CCD" w14:textId="130A4D36" w:rsidR="00E84B46" w:rsidRDefault="002D5FB0" w:rsidP="00373C9B">
      <w:pPr>
        <w:pStyle w:val="IEEEText"/>
        <w:ind w:firstLine="720"/>
        <w:rPr>
          <w:lang w:val="en-GB"/>
        </w:rPr>
      </w:pPr>
      <w:r>
        <w:rPr>
          <w:lang w:val="en-GB"/>
        </w:rPr>
        <w:t>Geographical Information Systems (GIS)</w:t>
      </w:r>
      <w:r w:rsidR="00754787">
        <w:rPr>
          <w:lang w:val="en-GB"/>
        </w:rPr>
        <w:t xml:space="preserve"> are a </w:t>
      </w:r>
      <w:r w:rsidR="00862E7D">
        <w:rPr>
          <w:lang w:val="en-GB"/>
        </w:rPr>
        <w:t xml:space="preserve">type of information technology </w:t>
      </w:r>
      <w:r w:rsidR="00A12F6A">
        <w:rPr>
          <w:lang w:val="en-GB"/>
        </w:rPr>
        <w:fldChar w:fldCharType="begin" w:fldLock="1"/>
      </w:r>
      <w:r w:rsidR="00A12F6A">
        <w:rPr>
          <w:lang w:val="en-GB"/>
        </w:rPr>
        <w:instrText>ADDIN CSL_CITATION {"citationItems":[{"id":"ITEM-1","itemData":{"ISBN":"1559-4122 (Electronic)\\r1559-4122 (Linking)","ISSN":"1559-4122","PMID":"18698429","abstract":"Differences in access to healthcare services and the resulting adverse health outcomes are major public health priorities. The Institute of Medicine and the Department of Health and Human Services have identified the need for strategies to improve access to healthcare services and to support the improvement of health outcomes. The literature documents health disparities associated with healthcare access and health outcomes from a geographic perspective. Place of residence, location of healthcare services, and geography in general are important factors in the analysis of health. Geographical information systems (GISs) are an emerging technology in the analysis of health from a geographical or location context. As a type of information technology, GISs are potentially powerful assessment tools for the investigation of healthcare access, health outcomes, and the possible resulting health disparities. Their ability to integrate health data with mapping functions allows for visualization, exploration, and modeling of health patterns. Application of GIS technology using health data can help in describing and explaining disparities in healthcare access and health outcomes. The studies reviewed demonstrated the use of GISs to investigate various aspects of healthcare access and health outcomes, including environmental variables of Lyme disease, sociodemographic variables and teen pregnancy, geographical disparities in breast cancer mortality by racial groups, PCP and AIDS prevalence, and factors of a leptospirosis disease outbreak. The literature reviewed shows effective integration and analysis of health data using GIS technology.","author":[{"dropping-particle":"","family":"Graves","given":"Barbara Ann","non-dropping-particle":"","parse-names":false,"suffix":""}],"container-title":"Perspectives in health information management / AHIMA, American Health Information Management Association","id":"ITEM-1","issued":{"date-parts":[["2008"]]},"page":"11","title":"Integrative literature review: a review of literature related to GIS, healthcare","type":"article-journal","volume":"5"},"uris":["http://www.mendeley.com/documents/?uuid=eedfb5f1-44d7-4a6d-b4b9-2d1f21ea344a"]}],"mendeley":{"formattedCitation":"[1]","plainTextFormattedCitation":"[1]","previouslyFormattedCitation":"[1]"},"properties":{"noteIndex":0},"schema":"https://github.com/citation-style-language/schema/raw/master/csl-citation.json"}</w:instrText>
      </w:r>
      <w:r w:rsidR="00A12F6A">
        <w:rPr>
          <w:lang w:val="en-GB"/>
        </w:rPr>
        <w:fldChar w:fldCharType="separate"/>
      </w:r>
      <w:r w:rsidR="00A12F6A" w:rsidRPr="00A12F6A">
        <w:rPr>
          <w:noProof/>
          <w:lang w:val="en-GB"/>
        </w:rPr>
        <w:t>[1]</w:t>
      </w:r>
      <w:r w:rsidR="00A12F6A">
        <w:rPr>
          <w:lang w:val="en-GB"/>
        </w:rPr>
        <w:fldChar w:fldCharType="end"/>
      </w:r>
      <w:r w:rsidR="00A12F6A">
        <w:rPr>
          <w:lang w:val="en-GB"/>
        </w:rPr>
        <w:t xml:space="preserve"> </w:t>
      </w:r>
      <w:r w:rsidR="00862E7D">
        <w:rPr>
          <w:lang w:val="en-GB"/>
        </w:rPr>
        <w:t xml:space="preserve">that </w:t>
      </w:r>
      <w:r w:rsidR="00E10669">
        <w:rPr>
          <w:lang w:val="en-GB"/>
        </w:rPr>
        <w:t>involves the</w:t>
      </w:r>
      <w:r w:rsidR="00F92BB0">
        <w:rPr>
          <w:lang w:val="en-GB"/>
        </w:rPr>
        <w:t xml:space="preserve"> process of hypothesising, manipulating and </w:t>
      </w:r>
      <w:r w:rsidR="00E10669">
        <w:rPr>
          <w:lang w:val="en-GB"/>
        </w:rPr>
        <w:t>analysi</w:t>
      </w:r>
      <w:r w:rsidR="00F92BB0">
        <w:rPr>
          <w:lang w:val="en-GB"/>
        </w:rPr>
        <w:t>ng</w:t>
      </w:r>
      <w:r w:rsidR="00E10669">
        <w:rPr>
          <w:lang w:val="en-GB"/>
        </w:rPr>
        <w:t xml:space="preserve"> </w:t>
      </w:r>
      <w:r w:rsidR="00F92BB0">
        <w:rPr>
          <w:lang w:val="en-GB"/>
        </w:rPr>
        <w:t xml:space="preserve">data sources in a </w:t>
      </w:r>
      <w:r w:rsidR="00864EFE">
        <w:rPr>
          <w:lang w:val="en-GB"/>
        </w:rPr>
        <w:t xml:space="preserve">virtual </w:t>
      </w:r>
      <w:r w:rsidR="00F92BB0">
        <w:rPr>
          <w:lang w:val="en-GB"/>
        </w:rPr>
        <w:t xml:space="preserve">spacial environment </w:t>
      </w:r>
      <w:r w:rsidR="009B7A0A">
        <w:rPr>
          <w:lang w:val="en-GB"/>
        </w:rPr>
        <w:t xml:space="preserve">in relation to </w:t>
      </w:r>
      <w:r w:rsidR="00864EFE">
        <w:rPr>
          <w:lang w:val="en-GB"/>
        </w:rPr>
        <w:t xml:space="preserve">the attributes </w:t>
      </w:r>
      <w:r w:rsidR="009B7A0A">
        <w:rPr>
          <w:lang w:val="en-GB"/>
        </w:rPr>
        <w:t>of the physical environment</w:t>
      </w:r>
      <w:r w:rsidR="00864EFE">
        <w:rPr>
          <w:lang w:val="en-GB"/>
        </w:rPr>
        <w:t xml:space="preserve"> from which such data is derived</w:t>
      </w:r>
      <w:r w:rsidR="009B7A0A">
        <w:rPr>
          <w:lang w:val="en-GB"/>
        </w:rPr>
        <w:t xml:space="preserve"> </w:t>
      </w:r>
      <w:r w:rsidR="00F92BB0">
        <w:rPr>
          <w:lang w:val="en-GB"/>
        </w:rPr>
        <w:fldChar w:fldCharType="begin" w:fldLock="1"/>
      </w:r>
      <w:r w:rsidR="00C03CFD">
        <w:rPr>
          <w:lang w:val="en-GB"/>
        </w:rPr>
        <w:instrText>ADDIN CSL_CITATION {"citationItems":[{"id":"ITEM-1","itemData":{"DOI":"10.1080/02693799108927858","ISBN":"0269-3798","ISSN":"02693798","abstract":"Geographical information systems (GIS) provide the decision-maker with a powerful set of tools for the manipulation and analysis of spatial information. The functionality of GIS is, however, limited to certain deterministic analyses in key application areas such as spatial search. The integration of multi-criteria evaluation (MCE) techniques with GIS is forwarded as providing the user with the means to evaluate various alternatives on the basis of multiple and conflicting criteria and objectives. An example application based on the search for suitable sites for the disposal of radioactive waste in the UK using the Arc/Info GIS is included. The potential use of a combined GIS-MCE approach in the development of spatial decision support systems is considered.","author":[{"dropping-particle":"","family":"Carver","given":"Stephen J.","non-dropping-particle":"","parse-names":false,"suffix":""}],"container-title":"International Journal of Geographical Information Systems","id":"ITEM-1","issue":"3","issued":{"date-parts":[["1991"]]},"page":"321-339","title":"Integrating multi-criteria evaluation with geographical information systems","type":"article-journal","volume":"5"},"uris":["http://www.mendeley.com/documents/?uuid=3929f14f-3ecd-463f-aedf-a86b95bfbffc"]}],"mendeley":{"formattedCitation":"[2]","plainTextFormattedCitation":"[2]","previouslyFormattedCitation":"[2]"},"properties":{"noteIndex":0},"schema":"https://github.com/citation-style-language/schema/raw/master/csl-citation.json"}</w:instrText>
      </w:r>
      <w:r w:rsidR="00F92BB0">
        <w:rPr>
          <w:lang w:val="en-GB"/>
        </w:rPr>
        <w:fldChar w:fldCharType="separate"/>
      </w:r>
      <w:r w:rsidR="00F92BB0" w:rsidRPr="00F92BB0">
        <w:rPr>
          <w:noProof/>
          <w:lang w:val="en-GB"/>
        </w:rPr>
        <w:t>[2]</w:t>
      </w:r>
      <w:r w:rsidR="00F92BB0">
        <w:rPr>
          <w:lang w:val="en-GB"/>
        </w:rPr>
        <w:fldChar w:fldCharType="end"/>
      </w:r>
      <w:r w:rsidR="009B7A0A">
        <w:rPr>
          <w:lang w:val="en-GB"/>
        </w:rPr>
        <w:t>,</w:t>
      </w:r>
      <w:r w:rsidR="00864EFE">
        <w:rPr>
          <w:lang w:val="en-GB"/>
        </w:rPr>
        <w:fldChar w:fldCharType="begin" w:fldLock="1"/>
      </w:r>
      <w:r w:rsidR="00C13FEA">
        <w:rPr>
          <w:lang w:val="en-GB"/>
        </w:rPr>
        <w:instrText>ADDIN CSL_CITATION {"citationItems":[{"id":"ITEM-1","itemData":{"DOI":"10.1080/19475680903250715","ISBN":"1878-5220","ISSN":"19475691","PMID":"27062657","abstract":"Geographic information is defined as information linking locations on or near the Earth's surface to properties of those locations. The technologies for handling such information include GPS, remote sensing, and geographic information systems. Behind the technologies are a set of fundamental, researchable issues whose study has been termed geographic information science. I review these technologies under four headings: positioning, data acquisition, data dissemination, and analysis. Recent research has led to substantial advances in specific areas of GIScience. I outline five future scenarios that are all technically feasible given current technology, and discuss the research advances that will be needed to make them a reality. In the conclusion I comment on the changing needs of education in geographic information systems and science. © 2009.","author":[{"dropping-particle":"","family":"Goodchild","given":"Michael F.","non-dropping-particle":"","parse-names":false,"suffix":""}],"container-title":"Procedia Earth and Planetary Science","id":"ITEM-1","issue":"1","issued":{"date-parts":[["2009"]]},"page":"1037-1043","publisher":"Elsevier B.V.","title":"Geographic information systems and science: Today and tomorrow","type":"article-journal"},"uris":["http://www.mendeley.com/documents/?uuid=00bde903-11a3-4787-97dc-10dcc74c8be8"]}],"mendeley":{"formattedCitation":"[3]","plainTextFormattedCitation":"[3]","previouslyFormattedCitation":"[3]"},"properties":{"noteIndex":0},"schema":"https://github.com/citation-style-language/schema/raw/master/csl-citation.json"}</w:instrText>
      </w:r>
      <w:r w:rsidR="00864EFE">
        <w:rPr>
          <w:lang w:val="en-GB"/>
        </w:rPr>
        <w:fldChar w:fldCharType="separate"/>
      </w:r>
      <w:r w:rsidR="00864EFE" w:rsidRPr="00864EFE">
        <w:rPr>
          <w:noProof/>
          <w:lang w:val="en-GB"/>
        </w:rPr>
        <w:t>[3]</w:t>
      </w:r>
      <w:r w:rsidR="00864EFE">
        <w:rPr>
          <w:lang w:val="en-GB"/>
        </w:rPr>
        <w:fldChar w:fldCharType="end"/>
      </w:r>
      <w:r w:rsidR="00864EFE">
        <w:rPr>
          <w:lang w:val="en-GB"/>
        </w:rPr>
        <w:t>.</w:t>
      </w:r>
      <w:r w:rsidR="007502F6">
        <w:rPr>
          <w:lang w:val="en-GB"/>
        </w:rPr>
        <w:t xml:space="preserve"> This paper will more specifically concentrate on p</w:t>
      </w:r>
      <w:r w:rsidR="000C4574" w:rsidRPr="00157908">
        <w:rPr>
          <w:lang w:val="en-GB"/>
        </w:rPr>
        <w:t xml:space="preserve">ublic participation geographic information systems (PPGIS) </w:t>
      </w:r>
      <w:r w:rsidR="007502F6">
        <w:rPr>
          <w:lang w:val="en-GB"/>
        </w:rPr>
        <w:t>and</w:t>
      </w:r>
      <w:r w:rsidR="000C4574" w:rsidRPr="00157908">
        <w:rPr>
          <w:lang w:val="en-GB"/>
        </w:rPr>
        <w:t xml:space="preserve"> the process of obtaining public domain-related data with the aim of influencing policy and organisational decision-making activities, a powerful tool that can both directly, and indirectly influence governmental and non-government organisations. The aim of such work being improvements to the municipal quality of life </w:t>
      </w:r>
      <w:r w:rsidR="000C4574" w:rsidRPr="00157908">
        <w:rPr>
          <w:lang w:val="en-GB"/>
        </w:rPr>
        <w:fldChar w:fldCharType="begin" w:fldLock="1"/>
      </w:r>
      <w:r w:rsidR="00C13FEA">
        <w:rPr>
          <w:lang w:val="en-GB"/>
        </w:rPr>
        <w:instrText>ADDIN CSL_CITATION {"citationItems":[{"id":"ITEM-1","itemData":{"DOI":"10.1111/j.1467-8306.2006.00702.x","ISBN":"0004-5608","ISSN":"00045608","PMID":"22172454","abstract":"Public participation geographic information systems (PPGIS) pertains to the use of geographic information systems (GIS) to broaden public involvement in policymaking as well as to the value of GIS to promote the goals of nongovernmental organizations, grassroots groups, and community-based organizations. The article first traces the social history of PPGIS. It then argues that PPGIS has been socially constructed by a broad set of actors in research across disciplines and in practice across sectors. This produced and reproduced concept is then explicated through four major themes found across the breadth of the PPGIS literature: place and people, technology and data, process, and outcome and evaluation. The themes constitute a framework for evaluating current PPGIS activities and a roadmap for future PPGIS research and practice.","author":[{"dropping-particle":"","family":"Sieber","given":"Renee","non-dropping-particle":"","parse-names":false,"suffix":""}],"container-title":"Annals of the Association of American Geographers","id":"ITEM-1","issue":"3","issued":{"date-parts":[["2006"]]},"page":"491-507","title":"Public participation geographic information systems: A literature review and framework","type":"article-journal","volume":"96"},"uris":["http://www.mendeley.com/documents/?uuid=2da6deb4-2272-40fa-8123-c914b7f27e4b"]}],"mendeley":{"formattedCitation":"[4]","plainTextFormattedCitation":"[4]","previouslyFormattedCitation":"[4]"},"properties":{"noteIndex":0},"schema":"https://github.com/citation-style-language/schema/raw/master/csl-citation.json"}</w:instrText>
      </w:r>
      <w:r w:rsidR="000C4574" w:rsidRPr="00157908">
        <w:rPr>
          <w:lang w:val="en-GB"/>
        </w:rPr>
        <w:fldChar w:fldCharType="separate"/>
      </w:r>
      <w:r w:rsidR="00864EFE" w:rsidRPr="00864EFE">
        <w:rPr>
          <w:noProof/>
          <w:lang w:val="en-GB"/>
        </w:rPr>
        <w:t>[4]</w:t>
      </w:r>
      <w:r w:rsidR="000C4574" w:rsidRPr="00157908">
        <w:rPr>
          <w:lang w:val="en-GB"/>
        </w:rPr>
        <w:fldChar w:fldCharType="end"/>
      </w:r>
      <w:r w:rsidR="000C4574" w:rsidRPr="00157908">
        <w:rPr>
          <w:lang w:val="en-GB"/>
        </w:rPr>
        <w:t xml:space="preserve">. PPGIS projects tend </w:t>
      </w:r>
      <w:r w:rsidR="00BA0494">
        <w:rPr>
          <w:lang w:val="en-GB"/>
        </w:rPr>
        <w:t xml:space="preserve">not </w:t>
      </w:r>
      <w:r w:rsidR="000C4574" w:rsidRPr="00157908">
        <w:rPr>
          <w:lang w:val="en-GB"/>
        </w:rPr>
        <w:t xml:space="preserve">to be </w:t>
      </w:r>
      <w:r w:rsidR="00BA0494">
        <w:rPr>
          <w:lang w:val="en-GB"/>
        </w:rPr>
        <w:t>an academic exercise, but more an</w:t>
      </w:r>
      <w:r w:rsidR="000C4574" w:rsidRPr="00157908">
        <w:rPr>
          <w:lang w:val="en-GB"/>
        </w:rPr>
        <w:t xml:space="preserve"> imprecise science, typically with grass-route motives </w:t>
      </w:r>
      <w:r w:rsidR="002A4CBD">
        <w:rPr>
          <w:lang w:val="en-GB"/>
        </w:rPr>
        <w:t>in</w:t>
      </w:r>
      <w:r w:rsidR="000C4574" w:rsidRPr="00157908">
        <w:rPr>
          <w:lang w:val="en-GB"/>
        </w:rPr>
        <w:t xml:space="preserve"> enabl</w:t>
      </w:r>
      <w:r w:rsidR="002A4CBD">
        <w:rPr>
          <w:lang w:val="en-GB"/>
        </w:rPr>
        <w:t>ing</w:t>
      </w:r>
      <w:r w:rsidR="000C4574" w:rsidRPr="00157908">
        <w:rPr>
          <w:lang w:val="en-GB"/>
        </w:rPr>
        <w:t xml:space="preserve"> </w:t>
      </w:r>
      <w:r w:rsidR="00BA0494">
        <w:rPr>
          <w:lang w:val="en-GB"/>
        </w:rPr>
        <w:t xml:space="preserve">or identifying the need for </w:t>
      </w:r>
      <w:r w:rsidR="000C4574" w:rsidRPr="00157908">
        <w:rPr>
          <w:lang w:val="en-GB"/>
        </w:rPr>
        <w:t>societal change</w:t>
      </w:r>
      <w:r w:rsidR="00BA0494">
        <w:rPr>
          <w:lang w:val="en-GB"/>
        </w:rPr>
        <w:t xml:space="preserve"> </w:t>
      </w:r>
      <w:r w:rsidR="000C4574" w:rsidRPr="00157908">
        <w:rPr>
          <w:lang w:val="en-GB"/>
        </w:rPr>
        <w:fldChar w:fldCharType="begin" w:fldLock="1"/>
      </w:r>
      <w:r w:rsidR="00C13FEA">
        <w:rPr>
          <w:lang w:val="en-GB"/>
        </w:rPr>
        <w:instrText>ADDIN CSL_CITATION {"citationItems":[{"id":"ITEM-1","itemData":{"DOI":"10.1111/j.1467-8306.2006.00702.x","ISBN":"0004-5608","ISSN":"00045608","PMID":"22172454","abstract":"Public participation geographic information systems (PPGIS) pertains to the use of geographic information systems (GIS) to broaden public involvement in policymaking as well as to the value of GIS to promote the goals of nongovernmental organizations, grassroots groups, and community-based organizations. The article first traces the social history of PPGIS. It then argues that PPGIS has been socially constructed by a broad set of actors in research across disciplines and in practice across sectors. This produced and reproduced concept is then explicated through four major themes found across the breadth of the PPGIS literature: place and people, technology and data, process, and outcome and evaluation. The themes constitute a framework for evaluating current PPGIS activities and a roadmap for future PPGIS research and practice.","author":[{"dropping-particle":"","family":"Sieber","given":"Renee","non-dropping-particle":"","parse-names":false,"suffix":""}],"container-title":"Annals of the Association of American Geographers","id":"ITEM-1","issue":"3","issued":{"date-parts":[["2006"]]},"page":"491-507","title":"Public participation geographic information systems: A literature review and framework","type":"article-journal","volume":"96"},"uris":["http://www.mendeley.com/documents/?uuid=2da6deb4-2272-40fa-8123-c914b7f27e4b"]}],"mendeley":{"formattedCitation":"[4]","plainTextFormattedCitation":"[4]","previouslyFormattedCitation":"[4]"},"properties":{"noteIndex":0},"schema":"https://github.com/citation-style-language/schema/raw/master/csl-citation.json"}</w:instrText>
      </w:r>
      <w:r w:rsidR="000C4574" w:rsidRPr="00157908">
        <w:rPr>
          <w:lang w:val="en-GB"/>
        </w:rPr>
        <w:fldChar w:fldCharType="separate"/>
      </w:r>
      <w:r w:rsidR="00864EFE" w:rsidRPr="00864EFE">
        <w:rPr>
          <w:noProof/>
          <w:lang w:val="en-GB"/>
        </w:rPr>
        <w:t>[4]</w:t>
      </w:r>
      <w:r w:rsidR="000C4574" w:rsidRPr="00157908">
        <w:rPr>
          <w:lang w:val="en-GB"/>
        </w:rPr>
        <w:fldChar w:fldCharType="end"/>
      </w:r>
      <w:r w:rsidR="006A76EA">
        <w:rPr>
          <w:lang w:val="en-GB"/>
        </w:rPr>
        <w:t xml:space="preserve">, that in this case will aim to more precisely guide the provision of </w:t>
      </w:r>
      <w:r w:rsidR="00E65D92">
        <w:rPr>
          <w:lang w:val="en-GB"/>
        </w:rPr>
        <w:t>a vaccine for the Meningitis virus.</w:t>
      </w:r>
    </w:p>
    <w:p w14:paraId="4F0566E0" w14:textId="77777777" w:rsidR="00D61B43" w:rsidRPr="00D61B43" w:rsidRDefault="00D61B43" w:rsidP="00E65D92">
      <w:pPr>
        <w:pStyle w:val="IEEEHeading2"/>
        <w:ind w:hanging="348"/>
        <w:rPr>
          <w:i w:val="0"/>
          <w:lang w:val="en-GB"/>
        </w:rPr>
      </w:pPr>
    </w:p>
    <w:p w14:paraId="0BE89947" w14:textId="29976DBD" w:rsidR="00E65D92" w:rsidRPr="00373C9B" w:rsidRDefault="00157908" w:rsidP="00373C9B">
      <w:pPr>
        <w:pStyle w:val="IEEEHeading1"/>
        <w:numPr>
          <w:ilvl w:val="0"/>
          <w:numId w:val="13"/>
        </w:numPr>
        <w:rPr>
          <w:lang w:val="en-GB"/>
        </w:rPr>
      </w:pPr>
      <w:r>
        <w:rPr>
          <w:lang w:val="en-GB"/>
        </w:rPr>
        <w:t>Geographical Information Systems</w:t>
      </w:r>
    </w:p>
    <w:p w14:paraId="6C1B1022" w14:textId="0EB7B6A2" w:rsidR="007B03B6" w:rsidRDefault="007B03B6" w:rsidP="00BE57C9">
      <w:pPr>
        <w:rPr>
          <w:lang w:val="en-GB"/>
        </w:rPr>
      </w:pPr>
    </w:p>
    <w:p w14:paraId="6EE118F1" w14:textId="3CABC1E4" w:rsidR="007B03B6" w:rsidRDefault="007B03B6" w:rsidP="007B03B6">
      <w:pPr>
        <w:pStyle w:val="Heading4"/>
        <w:keepNext w:val="0"/>
        <w:numPr>
          <w:ilvl w:val="0"/>
          <w:numId w:val="15"/>
        </w:numPr>
        <w:spacing w:before="40" w:after="40" w:line="240" w:lineRule="auto"/>
        <w:rPr>
          <w:lang w:val="en-GB"/>
        </w:rPr>
      </w:pPr>
      <w:r w:rsidRPr="003119BB">
        <w:rPr>
          <w:lang w:val="en-GB"/>
        </w:rPr>
        <w:t>Explore GIS and Cartographic origins</w:t>
      </w:r>
    </w:p>
    <w:p w14:paraId="243A1F59" w14:textId="77777777" w:rsidR="00373C9B" w:rsidRPr="00373C9B" w:rsidRDefault="00373C9B" w:rsidP="00373C9B">
      <w:pPr>
        <w:rPr>
          <w:lang w:val="en-GB"/>
        </w:rPr>
      </w:pPr>
    </w:p>
    <w:p w14:paraId="4C86D4B4" w14:textId="77777777" w:rsidR="007B03B6" w:rsidRDefault="007B03B6" w:rsidP="007B03B6">
      <w:pPr>
        <w:rPr>
          <w:lang w:val="en-GB"/>
        </w:rPr>
      </w:pPr>
    </w:p>
    <w:p w14:paraId="318A014D" w14:textId="4B8CEEC5" w:rsidR="007B03B6" w:rsidRDefault="00373C9B" w:rsidP="00027FB0">
      <w:pPr>
        <w:spacing w:line="360" w:lineRule="auto"/>
        <w:ind w:firstLine="720"/>
        <w:rPr>
          <w:lang w:val="en-GB"/>
        </w:rPr>
      </w:pPr>
      <w:r>
        <w:rPr>
          <w:lang w:val="en-GB"/>
        </w:rPr>
        <w:t>The r</w:t>
      </w:r>
      <w:r w:rsidR="007B03B6">
        <w:rPr>
          <w:lang w:val="en-GB"/>
        </w:rPr>
        <w:t>ise of geographic rendering and subsequent geo</w:t>
      </w:r>
      <w:r w:rsidR="00CE4816">
        <w:rPr>
          <w:lang w:val="en-GB"/>
        </w:rPr>
        <w:t>-</w:t>
      </w:r>
      <w:r w:rsidR="007B03B6">
        <w:rPr>
          <w:lang w:val="en-GB"/>
        </w:rPr>
        <w:t xml:space="preserve">spacial analysis techniques started to gain momentum during the 1960s </w:t>
      </w:r>
      <w:r w:rsidR="007B03B6">
        <w:rPr>
          <w:lang w:val="en-GB"/>
        </w:rPr>
        <w:fldChar w:fldCharType="begin" w:fldLock="1"/>
      </w:r>
      <w:r w:rsidR="007B03B6">
        <w:rPr>
          <w:lang w:val="en-GB"/>
        </w:rPr>
        <w:instrText>ADDIN CSL_CITATION {"citationItems":[{"id":"ITEM-1","itemData":{"DOI":"10.1080/19475680903250715","ISBN":"1878-5220","ISSN":"19475691","PMID":"27062657","abstract":"Geographic information is defined as information linking locations on or near the Earth's surface to properties of those locations. The technologies for handling such information include GPS, remote sensing, and geographic information systems. Behind the technologies are a set of fundamental, researchable issues whose study has been termed geographic information science. I review these technologies under four headings: positioning, data acquisition, data dissemination, and analysis. Recent research has led to substantial advances in specific areas of GIScience. I outline five future scenarios that are all technically feasible given current technology, and discuss the research advances that will be needed to make them a reality. In the conclusion I comment on the changing needs of education in geographic information systems and science. © 2009.","author":[{"dropping-particle":"","family":"Goodchild","given":"Michael F.","non-dropping-particle":"","parse-names":false,"suffix":""}],"container-title":"Procedia Earth and Planetary Science","id":"ITEM-1","issue":"1","issued":{"date-parts":[["2009"]]},"page":"1037-1043","publisher":"Elsevier B.V.","title":"Geographic information systems and science: Today and tomorrow","type":"article-journal"},"uris":["http://www.mendeley.com/documents/?uuid=00bde903-11a3-4787-97dc-10dcc74c8be8"]}],"mendeley":{"formattedCitation":"[3]","plainTextFormattedCitation":"[3]","previouslyFormattedCitation":"[3]"},"properties":{"noteIndex":0},"schema":"https://github.com/citation-style-language/schema/raw/master/csl-citation.json"}</w:instrText>
      </w:r>
      <w:r w:rsidR="007B03B6">
        <w:rPr>
          <w:lang w:val="en-GB"/>
        </w:rPr>
        <w:fldChar w:fldCharType="separate"/>
      </w:r>
      <w:r w:rsidR="007B03B6" w:rsidRPr="00654943">
        <w:rPr>
          <w:noProof/>
          <w:lang w:val="en-GB"/>
        </w:rPr>
        <w:t>[3]</w:t>
      </w:r>
      <w:r w:rsidR="007B03B6">
        <w:rPr>
          <w:lang w:val="en-GB"/>
        </w:rPr>
        <w:fldChar w:fldCharType="end"/>
      </w:r>
      <w:r w:rsidR="00220615">
        <w:rPr>
          <w:lang w:val="en-GB"/>
        </w:rPr>
        <w:t xml:space="preserve"> with many industry professionals </w:t>
      </w:r>
      <w:r w:rsidR="00BB0174">
        <w:rPr>
          <w:lang w:val="en-GB"/>
        </w:rPr>
        <w:t>welcoming this new scientific-based</w:t>
      </w:r>
      <w:r w:rsidR="00220615">
        <w:rPr>
          <w:lang w:val="en-GB"/>
        </w:rPr>
        <w:t xml:space="preserve"> </w:t>
      </w:r>
      <w:r w:rsidR="00475681">
        <w:rPr>
          <w:lang w:val="en-GB"/>
        </w:rPr>
        <w:t>appr</w:t>
      </w:r>
      <w:r w:rsidR="00BB0174">
        <w:rPr>
          <w:lang w:val="en-GB"/>
        </w:rPr>
        <w:t>o</w:t>
      </w:r>
      <w:r w:rsidR="00475681">
        <w:rPr>
          <w:lang w:val="en-GB"/>
        </w:rPr>
        <w:t>ach</w:t>
      </w:r>
      <w:r w:rsidR="00652F0B">
        <w:rPr>
          <w:lang w:val="en-GB"/>
        </w:rPr>
        <w:t xml:space="preserve"> to traditional geographica</w:t>
      </w:r>
      <w:r w:rsidR="00027FB0">
        <w:rPr>
          <w:lang w:val="en-GB"/>
        </w:rPr>
        <w:t>l</w:t>
      </w:r>
      <w:r w:rsidR="00652F0B">
        <w:rPr>
          <w:lang w:val="en-GB"/>
        </w:rPr>
        <w:t xml:space="preserve"> and cartographic </w:t>
      </w:r>
      <w:r w:rsidR="003117AD">
        <w:rPr>
          <w:lang w:val="en-GB"/>
        </w:rPr>
        <w:t>assessment</w:t>
      </w:r>
      <w:r w:rsidR="00BB0174">
        <w:rPr>
          <w:lang w:val="en-GB"/>
        </w:rPr>
        <w:t xml:space="preserve">. The </w:t>
      </w:r>
      <w:r w:rsidR="00716BF4">
        <w:rPr>
          <w:lang w:val="en-GB"/>
        </w:rPr>
        <w:t>subject</w:t>
      </w:r>
      <w:r w:rsidR="003117AD">
        <w:rPr>
          <w:lang w:val="en-GB"/>
        </w:rPr>
        <w:t xml:space="preserve"> areas as a whole</w:t>
      </w:r>
      <w:r w:rsidR="00716BF4">
        <w:rPr>
          <w:lang w:val="en-GB"/>
        </w:rPr>
        <w:t xml:space="preserve"> has seen such </w:t>
      </w:r>
      <w:r w:rsidR="007B03B6">
        <w:rPr>
          <w:lang w:val="en-GB"/>
        </w:rPr>
        <w:t>popularity</w:t>
      </w:r>
      <w:r w:rsidR="00716BF4">
        <w:rPr>
          <w:lang w:val="en-GB"/>
        </w:rPr>
        <w:t xml:space="preserve"> the fundamental techniques</w:t>
      </w:r>
      <w:r w:rsidR="007B03B6">
        <w:rPr>
          <w:lang w:val="en-GB"/>
        </w:rPr>
        <w:t xml:space="preserve"> now </w:t>
      </w:r>
      <w:r w:rsidR="00716BF4">
        <w:rPr>
          <w:lang w:val="en-GB"/>
        </w:rPr>
        <w:t>form part of a broader ar</w:t>
      </w:r>
      <w:r w:rsidR="003117AD">
        <w:rPr>
          <w:lang w:val="en-GB"/>
        </w:rPr>
        <w:t>ea</w:t>
      </w:r>
      <w:r w:rsidR="00716BF4">
        <w:rPr>
          <w:lang w:val="en-GB"/>
        </w:rPr>
        <w:t xml:space="preserve"> of information tech</w:t>
      </w:r>
      <w:r w:rsidR="009C07DE">
        <w:rPr>
          <w:lang w:val="en-GB"/>
        </w:rPr>
        <w:t>nology</w:t>
      </w:r>
      <w:r w:rsidR="007B03B6">
        <w:rPr>
          <w:lang w:val="en-GB"/>
        </w:rPr>
        <w:t xml:space="preserve"> known as Geographic Information Science (</w:t>
      </w:r>
      <w:r w:rsidR="00D552EF">
        <w:rPr>
          <w:lang w:val="en-GB"/>
        </w:rPr>
        <w:t xml:space="preserve">also referred to as </w:t>
      </w:r>
      <w:r w:rsidR="00CE4816">
        <w:rPr>
          <w:lang w:val="en-GB"/>
        </w:rPr>
        <w:t>“</w:t>
      </w:r>
      <w:r w:rsidR="007B03B6">
        <w:rPr>
          <w:lang w:val="en-GB"/>
        </w:rPr>
        <w:t>GI</w:t>
      </w:r>
      <w:r w:rsidR="00CE4816">
        <w:rPr>
          <w:lang w:val="en-GB"/>
        </w:rPr>
        <w:t>-</w:t>
      </w:r>
      <w:r w:rsidR="007B03B6">
        <w:rPr>
          <w:lang w:val="en-GB"/>
        </w:rPr>
        <w:t>Science</w:t>
      </w:r>
      <w:r w:rsidR="00CE4816">
        <w:rPr>
          <w:lang w:val="en-GB"/>
        </w:rPr>
        <w:t>”</w:t>
      </w:r>
      <w:r w:rsidR="007B03B6">
        <w:rPr>
          <w:lang w:val="en-GB"/>
        </w:rPr>
        <w:t xml:space="preserve"> </w:t>
      </w:r>
      <w:r w:rsidR="007B03B6">
        <w:rPr>
          <w:lang w:val="en-GB"/>
        </w:rPr>
        <w:fldChar w:fldCharType="begin" w:fldLock="1"/>
      </w:r>
      <w:r w:rsidR="005B11D0">
        <w:rPr>
          <w:lang w:val="en-GB"/>
        </w:rPr>
        <w:instrText>ADDIN CSL_CITATION {"citationItems":[{"id":"ITEM-1","itemData":{"DOI":"10.1080/02693799208901893","ISSN":"0269-3798","abstract":"Research papers at conferences such as EGIS and the International Symposia on Spacial Data Handling address a set of intellectual and scientific questions which go well beyond the limited technical capabilities of current technology in geographical information systems","author":[{"dropping-particle":"","family":"Goodchild","given":"M.F","non-dropping-particle":"","parse-names":false,"suffix":""}],"container-title":"International Journal of Geographical Information Systems","id":"ITEM-1","issue":"1","issued":{"date-parts":[["1992"]]},"page":"31-45","title":"Geographic Information Science","type":"article-journal","volume":"6"},"uris":["http://www.mendeley.com/documents/?uuid=7d007a6e-c3b1-41a2-9704-1f5a0bddd1b6"]}],"mendeley":{"formattedCitation":"[5]","plainTextFormattedCitation":"[5]","previouslyFormattedCitation":"[5]"},"properties":{"noteIndex":0},"schema":"https://github.com/citation-style-language/schema/raw/master/csl-citation.json"}</w:instrText>
      </w:r>
      <w:r w:rsidR="007B03B6">
        <w:rPr>
          <w:lang w:val="en-GB"/>
        </w:rPr>
        <w:fldChar w:fldCharType="separate"/>
      </w:r>
      <w:r w:rsidR="007B03B6" w:rsidRPr="00654943">
        <w:rPr>
          <w:noProof/>
          <w:lang w:val="en-GB"/>
        </w:rPr>
        <w:t>[5]</w:t>
      </w:r>
      <w:r w:rsidR="007B03B6">
        <w:rPr>
          <w:lang w:val="en-GB"/>
        </w:rPr>
        <w:fldChar w:fldCharType="end"/>
      </w:r>
      <w:r w:rsidR="007B03B6">
        <w:rPr>
          <w:lang w:val="en-GB"/>
        </w:rPr>
        <w:t>)</w:t>
      </w:r>
      <w:r w:rsidR="009C07DE">
        <w:rPr>
          <w:lang w:val="en-GB"/>
        </w:rPr>
        <w:t>.</w:t>
      </w:r>
      <w:r w:rsidR="00027FB0">
        <w:rPr>
          <w:lang w:val="en-GB"/>
        </w:rPr>
        <w:t xml:space="preserve"> </w:t>
      </w:r>
      <w:r w:rsidR="00C82DDF">
        <w:rPr>
          <w:lang w:val="en-GB"/>
        </w:rPr>
        <w:t xml:space="preserve">The historical origins of cartography are discussed by </w:t>
      </w:r>
      <w:r w:rsidR="00E60F7B">
        <w:rPr>
          <w:lang w:val="en-GB"/>
        </w:rPr>
        <w:t xml:space="preserve">Waters </w:t>
      </w:r>
      <w:r w:rsidR="00E60F7B">
        <w:rPr>
          <w:lang w:val="en-GB"/>
        </w:rPr>
        <w:fldChar w:fldCharType="begin" w:fldLock="1"/>
      </w:r>
      <w:r w:rsidR="00AF66EF">
        <w:rPr>
          <w:lang w:val="en-GB"/>
        </w:rPr>
        <w:instrText>ADDIN CSL_CITATION {"citationItems":[{"id":"ITEM-1","itemData":{"DOI":"10.1002/9781118786352.wbieg0841","ISBN":"9781118786352","abstract":"An account is given of the military, government, and academic antecedents that preceded the formal development of GIS in terms of software, hardware, and conceptual developments. The widely recognized origin of the first GIS, the Canada Geographic Information System, during the 1960s is described. Accomplishments of the Harvard Laboratory for Computer Graphics and Spatial Analysis are reviewed, along with the formation of Esri and other leading software companies. Developments in academia, including the establishment of the National Center for Geographic Information and Analysis in 1988 and the University Consortium for Geographic Information Science in 1995, are discussed. The origins of geographic information science in the early 1990s and its importance in redefining the field of GIS and the reactions to this new orientation are explained. New trends in GIS, including public participation GIS, volunteered geographic information, cloud computing, big data, geodesign, and a people-based geographic information science, are reviewed.","author":[{"dropping-particle":"","family":"Waters","given":"Nigel","non-dropping-particle":"","parse-names":false,"suffix":""}],"container-title":"International Encyclopedia of Geography: People, the Earth, Environment and Technology","id":"ITEM-1","issued":{"date-parts":[["2017"]]},"page":"1-12","publisher":"John Wiley &amp; Sons, Ltd.","publisher-place":"Hoboken, NJ","title":"GIS: History","type":"chapter"},"uris":["http://www.mendeley.com/documents/?uuid=1dd705c2-e1fe-4596-9b8e-dae973505dff"]}],"mendeley":{"formattedCitation":"[6]","plainTextFormattedCitation":"[6]","previouslyFormattedCitation":"[6]"},"properties":{"noteIndex":0},"schema":"https://github.com/citation-style-language/schema/raw/master/csl-citation.json"}</w:instrText>
      </w:r>
      <w:r w:rsidR="00E60F7B">
        <w:rPr>
          <w:lang w:val="en-GB"/>
        </w:rPr>
        <w:fldChar w:fldCharType="separate"/>
      </w:r>
      <w:r w:rsidR="00E60F7B" w:rsidRPr="00E60F7B">
        <w:rPr>
          <w:noProof/>
          <w:lang w:val="en-GB"/>
        </w:rPr>
        <w:t>[6]</w:t>
      </w:r>
      <w:r w:rsidR="00E60F7B">
        <w:rPr>
          <w:lang w:val="en-GB"/>
        </w:rPr>
        <w:fldChar w:fldCharType="end"/>
      </w:r>
      <w:r w:rsidR="00E60F7B">
        <w:rPr>
          <w:lang w:val="en-GB"/>
        </w:rPr>
        <w:t xml:space="preserve"> </w:t>
      </w:r>
      <w:r w:rsidR="00C82DDF">
        <w:rPr>
          <w:lang w:val="en-GB"/>
        </w:rPr>
        <w:t xml:space="preserve">who </w:t>
      </w:r>
      <w:r w:rsidR="00E60F7B">
        <w:rPr>
          <w:lang w:val="en-GB"/>
        </w:rPr>
        <w:t xml:space="preserve">refers to </w:t>
      </w:r>
      <w:r w:rsidR="00C82DDF">
        <w:rPr>
          <w:lang w:val="en-GB"/>
        </w:rPr>
        <w:t xml:space="preserve">early activities </w:t>
      </w:r>
      <w:r w:rsidR="0095670D">
        <w:rPr>
          <w:lang w:val="en-GB"/>
        </w:rPr>
        <w:t xml:space="preserve">Berthier </w:t>
      </w:r>
      <w:r w:rsidR="00C82DDF">
        <w:rPr>
          <w:lang w:val="en-GB"/>
        </w:rPr>
        <w:t>in</w:t>
      </w:r>
      <w:r w:rsidR="0095670D">
        <w:rPr>
          <w:lang w:val="en-GB"/>
        </w:rPr>
        <w:t xml:space="preserve"> his use of map overlays du</w:t>
      </w:r>
      <w:r w:rsidR="00066EF3">
        <w:rPr>
          <w:lang w:val="en-GB"/>
        </w:rPr>
        <w:t>ring the American War of Independence</w:t>
      </w:r>
      <w:r w:rsidR="00C82DDF">
        <w:rPr>
          <w:lang w:val="en-GB"/>
        </w:rPr>
        <w:t xml:space="preserve"> to illustrate the deployment of troops across a </w:t>
      </w:r>
      <w:r w:rsidR="00D13CD2">
        <w:rPr>
          <w:lang w:val="en-GB"/>
        </w:rPr>
        <w:t>representation of the physical environment</w:t>
      </w:r>
      <w:r w:rsidR="00066EF3">
        <w:rPr>
          <w:lang w:val="en-GB"/>
        </w:rPr>
        <w:t xml:space="preserve">, and Dr. Snow and his study of </w:t>
      </w:r>
      <w:r w:rsidR="00F40742">
        <w:rPr>
          <w:lang w:val="en-GB"/>
        </w:rPr>
        <w:t xml:space="preserve">Cholera </w:t>
      </w:r>
      <w:r w:rsidR="00D13CD2">
        <w:rPr>
          <w:lang w:val="en-GB"/>
        </w:rPr>
        <w:t xml:space="preserve">transmission </w:t>
      </w:r>
      <w:r w:rsidR="00F40742">
        <w:rPr>
          <w:lang w:val="en-GB"/>
        </w:rPr>
        <w:t>in London</w:t>
      </w:r>
      <w:r w:rsidR="00720905">
        <w:rPr>
          <w:lang w:val="en-GB"/>
        </w:rPr>
        <w:t xml:space="preserve">. </w:t>
      </w:r>
      <w:r w:rsidR="00A70F02">
        <w:rPr>
          <w:lang w:val="en-GB"/>
        </w:rPr>
        <w:t xml:space="preserve">Continuing, Waters </w:t>
      </w:r>
      <w:r w:rsidR="00A70F02">
        <w:rPr>
          <w:lang w:val="en-GB"/>
        </w:rPr>
        <w:fldChar w:fldCharType="begin" w:fldLock="1"/>
      </w:r>
      <w:r w:rsidR="00AF66EF">
        <w:rPr>
          <w:lang w:val="en-GB"/>
        </w:rPr>
        <w:instrText>ADDIN CSL_CITATION {"citationItems":[{"id":"ITEM-1","itemData":{"DOI":"10.1002/9781118786352.wbieg0841","ISBN":"9781118786352","abstract":"An account is given of the military, government, and academic antecedents that preceded the formal development of GIS in terms of software, hardware, and conceptual developments. The widely recognized origin of the first GIS, the Canada Geographic Information System, during the 1960s is described. Accomplishments of the Harvard Laboratory for Computer Graphics and Spatial Analysis are reviewed, along with the formation of Esri and other leading software companies. Developments in academia, including the establishment of the National Center for Geographic Information and Analysis in 1988 and the University Consortium for Geographic Information Science in 1995, are discussed. The origins of geographic information science in the early 1990s and its importance in redefining the field of GIS and the reactions to this new orientation are explained. New trends in GIS, including public participation GIS, volunteered geographic information, cloud computing, big data, geodesign, and a people-based geographic information science, are reviewed.","author":[{"dropping-particle":"","family":"Waters","given":"Nigel","non-dropping-particle":"","parse-names":false,"suffix":""}],"container-title":"International Encyclopedia of Geography: People, the Earth, Environment and Technology","id":"ITEM-1","issued":{"date-parts":[["2017"]]},"page":"1-12","publisher":"John Wiley &amp; Sons, Ltd.","publisher-place":"Hoboken, NJ","title":"GIS: History","type":"chapter"},"uris":["http://www.mendeley.com/documents/?uuid=1dd705c2-e1fe-4596-9b8e-dae973505dff"]}],"mendeley":{"formattedCitation":"[6]","plainTextFormattedCitation":"[6]","previouslyFormattedCitation":"[6]"},"properties":{"noteIndex":0},"schema":"https://github.com/citation-style-language/schema/raw/master/csl-citation.json"}</w:instrText>
      </w:r>
      <w:r w:rsidR="00A70F02">
        <w:rPr>
          <w:lang w:val="en-GB"/>
        </w:rPr>
        <w:fldChar w:fldCharType="separate"/>
      </w:r>
      <w:r w:rsidR="00A70F02" w:rsidRPr="00E60F7B">
        <w:rPr>
          <w:noProof/>
          <w:lang w:val="en-GB"/>
        </w:rPr>
        <w:t>[6]</w:t>
      </w:r>
      <w:r w:rsidR="00A70F02">
        <w:rPr>
          <w:lang w:val="en-GB"/>
        </w:rPr>
        <w:fldChar w:fldCharType="end"/>
      </w:r>
      <w:r w:rsidR="00A70F02">
        <w:rPr>
          <w:lang w:val="en-GB"/>
        </w:rPr>
        <w:t xml:space="preserve">  suggests it is not until </w:t>
      </w:r>
      <w:r w:rsidR="00E913A0">
        <w:rPr>
          <w:i/>
          <w:lang w:val="en-GB"/>
        </w:rPr>
        <w:t>“almost a century later</w:t>
      </w:r>
      <w:r w:rsidR="006F5B67">
        <w:rPr>
          <w:i/>
          <w:lang w:val="en-GB"/>
        </w:rPr>
        <w:t>”</w:t>
      </w:r>
      <w:r w:rsidR="006F5B67">
        <w:rPr>
          <w:lang w:val="en-GB"/>
        </w:rPr>
        <w:t xml:space="preserve"> that </w:t>
      </w:r>
      <w:r w:rsidR="00AF66EF">
        <w:rPr>
          <w:lang w:val="en-GB"/>
        </w:rPr>
        <w:t xml:space="preserve">the use of </w:t>
      </w:r>
      <w:r w:rsidR="006F5B67">
        <w:rPr>
          <w:lang w:val="en-GB"/>
        </w:rPr>
        <w:t xml:space="preserve">visual mappings and overlays </w:t>
      </w:r>
      <w:r w:rsidR="00AF66EF">
        <w:rPr>
          <w:lang w:val="en-GB"/>
        </w:rPr>
        <w:t xml:space="preserve">reappear </w:t>
      </w:r>
      <w:r w:rsidR="00AF66EF">
        <w:rPr>
          <w:lang w:val="en-GB"/>
        </w:rPr>
        <w:fldChar w:fldCharType="begin" w:fldLock="1"/>
      </w:r>
      <w:r w:rsidR="00A35B2F">
        <w:rPr>
          <w:lang w:val="en-GB"/>
        </w:rPr>
        <w:instrText>ADDIN CSL_CITATION {"citationItems":[{"id":"ITEM-1","itemData":{"author":[{"dropping-particle":"","family":"Steinetz","given":"Carl","non-dropping-particle":"","parse-names":false,"suffix":""},{"dropping-particle":"","family":"Parker","given":"Paul","non-dropping-particle":"","parse-names":false,"suffix":""},{"dropping-particle":"","family":"Jordan","given":"Lawrie","non-dropping-particle":"","parse-names":false,"suffix":""}],"container-title":"Lanscape Architecture","id":"ITEM-1","issue":"5","issued":{"date-parts":[["1976"]]},"page":"444-455","title":"Hand-Drawn Overlays: Their History and Prospective Uses","type":"article-journal","volume":"66"},"uris":["http://www.mendeley.com/documents/?uuid=b2461237-0450-41d4-b65f-fa9c03fc84ab"]}],"mendeley":{"formattedCitation":"[7]","plainTextFormattedCitation":"[7]","previouslyFormattedCitation":"[7]"},"properties":{"noteIndex":0},"schema":"https://github.com/citation-style-language/schema/raw/master/csl-citation.json"}</w:instrText>
      </w:r>
      <w:r w:rsidR="00AF66EF">
        <w:rPr>
          <w:lang w:val="en-GB"/>
        </w:rPr>
        <w:fldChar w:fldCharType="separate"/>
      </w:r>
      <w:r w:rsidR="00AF66EF" w:rsidRPr="00AF66EF">
        <w:rPr>
          <w:noProof/>
          <w:lang w:val="en-GB"/>
        </w:rPr>
        <w:t>[7]</w:t>
      </w:r>
      <w:r w:rsidR="00AF66EF">
        <w:rPr>
          <w:lang w:val="en-GB"/>
        </w:rPr>
        <w:fldChar w:fldCharType="end"/>
      </w:r>
      <w:r w:rsidR="00CE58B5">
        <w:rPr>
          <w:lang w:val="en-GB"/>
        </w:rPr>
        <w:t>,</w:t>
      </w:r>
      <w:r w:rsidR="00CE58B5">
        <w:rPr>
          <w:lang w:val="en-GB"/>
        </w:rPr>
        <w:fldChar w:fldCharType="begin" w:fldLock="1"/>
      </w:r>
      <w:r w:rsidR="00CE58B5">
        <w:rPr>
          <w:lang w:val="en-GB"/>
        </w:rPr>
        <w:instrText>ADDIN CSL_CITATION {"citationItems":[{"id":"ITEM-1","itemData":{"author":[{"dropping-particle":"","family":"Waters","given":"Nigel","non-dropping-particle":"","parse-names":false,"suffix":""}],"container-title":"Encyclopedia of Library and Information Science","id":"ITEM-1","issued":{"date-parts":[["1998"]]},"page":"98-125","title":"Geographic Information Systems","type":"article-journal","volume":"63"},"uris":["http://www.mendeley.com/documents/?uuid=d45a678e-978e-49f7-8262-ee4c664b3a2d"]}],"mendeley":{"formattedCitation":"[8]","plainTextFormattedCitation":"[8]"},"properties":{"noteIndex":0},"schema":"https://github.com/citation-style-language/schema/raw/master/csl-citation.json"}</w:instrText>
      </w:r>
      <w:r w:rsidR="00CE58B5">
        <w:rPr>
          <w:lang w:val="en-GB"/>
        </w:rPr>
        <w:fldChar w:fldCharType="separate"/>
      </w:r>
      <w:r w:rsidR="00CE58B5" w:rsidRPr="00CE58B5">
        <w:rPr>
          <w:noProof/>
          <w:lang w:val="en-GB"/>
        </w:rPr>
        <w:t>[8]</w:t>
      </w:r>
      <w:r w:rsidR="00CE58B5">
        <w:rPr>
          <w:lang w:val="en-GB"/>
        </w:rPr>
        <w:fldChar w:fldCharType="end"/>
      </w:r>
      <w:r w:rsidR="00743683">
        <w:rPr>
          <w:lang w:val="en-GB"/>
        </w:rPr>
        <w:t>.</w:t>
      </w:r>
    </w:p>
    <w:p w14:paraId="65450BE6" w14:textId="08AC51B8" w:rsidR="00A97D33" w:rsidRDefault="007B03B6" w:rsidP="009D3BBC">
      <w:pPr>
        <w:spacing w:line="360" w:lineRule="auto"/>
        <w:rPr>
          <w:lang w:val="en-GB"/>
        </w:rPr>
      </w:pPr>
      <w:r>
        <w:rPr>
          <w:lang w:val="en-GB"/>
        </w:rPr>
        <w:t>The concept of cartographic has always been a visual process, though the use of technology</w:t>
      </w:r>
      <w:r w:rsidR="0052786A">
        <w:rPr>
          <w:lang w:val="en-GB"/>
        </w:rPr>
        <w:t>,</w:t>
      </w:r>
      <w:r>
        <w:rPr>
          <w:lang w:val="en-GB"/>
        </w:rPr>
        <w:t xml:space="preserve"> help turn existing cartography into ‘live’ visualisations </w:t>
      </w:r>
      <w:r>
        <w:rPr>
          <w:lang w:val="en-GB"/>
        </w:rPr>
        <w:fldChar w:fldCharType="begin" w:fldLock="1"/>
      </w:r>
      <w:r w:rsidR="00CE58B5">
        <w:rPr>
          <w:lang w:val="en-GB"/>
        </w:rPr>
        <w:instrText>ADDIN CSL_CITATION {"citationItems":[{"id":"ITEM-1","itemData":{"DOI":"10.1016/S0098-3004(97)00018-6","ISBN":"9780470742839","ISSN":"00983004","PMID":"8443202","abstract":"An approach to the visualization of georeferenced data is presented. This approach is rooted in cartography and emphasizes the use of visual methods in research and decision making. Several definitions proposed within cartography are considered and the links between 'cartographic' visualization and scientific visualization more generally are discussed. From this base, a perspective on visualization is articulated in which attention is directed to the goals for use of maps and related georeferenced displays. We argue that a use-based approach is needed in order to develope information processing environments appropriate to distinct stages of scientific research and decision making. The paper concludes by proposing a set of research problems that are prompted by taking a use-based approach to visualization, and then outlining the selection and context of the papers in this special issue.","author":[{"dropping-particle":"","family":"Maceachren","given":"A. M.","non-dropping-particle":"","parse-names":false,"suffix":""},{"dropping-particle":"","family":"Kraak","given":"M. J.","non-dropping-particle":"","parse-names":false,"suffix":""}],"container-title":"Computers and Geosciences","id":"ITEM-1","issue":"4","issued":{"date-parts":[["1997"]]},"page":"335-343","title":"Exploratory cartographic visualization advancing the agenda","type":"article-journal","volume":"23"},"uris":["http://www.mendeley.com/documents/?uuid=98d3ef3d-8976-4105-8b66-103b1041399a"]}],"mendeley":{"formattedCitation":"[9]","plainTextFormattedCitation":"[9]","previouslyFormattedCitation":"[8]"},"properties":{"noteIndex":0},"schema":"https://github.com/citation-style-language/schema/raw/master/csl-citation.json"}</w:instrText>
      </w:r>
      <w:r>
        <w:rPr>
          <w:lang w:val="en-GB"/>
        </w:rPr>
        <w:fldChar w:fldCharType="separate"/>
      </w:r>
      <w:r w:rsidR="00CE58B5" w:rsidRPr="00CE58B5">
        <w:rPr>
          <w:noProof/>
          <w:lang w:val="en-GB"/>
        </w:rPr>
        <w:t>[9]</w:t>
      </w:r>
      <w:r>
        <w:rPr>
          <w:lang w:val="en-GB"/>
        </w:rPr>
        <w:fldChar w:fldCharType="end"/>
      </w:r>
      <w:r w:rsidR="0052786A">
        <w:rPr>
          <w:lang w:val="en-GB"/>
        </w:rPr>
        <w:t>,</w:t>
      </w:r>
      <w:r w:rsidR="00BE3FF2">
        <w:rPr>
          <w:lang w:val="en-GB"/>
        </w:rPr>
        <w:t xml:space="preserve"> has risen with the increased</w:t>
      </w:r>
      <w:r w:rsidR="0037052B">
        <w:rPr>
          <w:lang w:val="en-GB"/>
        </w:rPr>
        <w:t xml:space="preserve"> access </w:t>
      </w:r>
      <w:r w:rsidR="00E565C3">
        <w:rPr>
          <w:lang w:val="en-GB"/>
        </w:rPr>
        <w:t>to and</w:t>
      </w:r>
      <w:r w:rsidR="0037052B">
        <w:rPr>
          <w:lang w:val="en-GB"/>
        </w:rPr>
        <w:t xml:space="preserve"> computational po</w:t>
      </w:r>
      <w:r w:rsidR="00E565C3">
        <w:rPr>
          <w:lang w:val="en-GB"/>
        </w:rPr>
        <w:t>wer</w:t>
      </w:r>
      <w:r w:rsidR="0037052B">
        <w:rPr>
          <w:lang w:val="en-GB"/>
        </w:rPr>
        <w:t xml:space="preserve"> o</w:t>
      </w:r>
      <w:r w:rsidR="002B7DA1">
        <w:rPr>
          <w:lang w:val="en-GB"/>
        </w:rPr>
        <w:t>f</w:t>
      </w:r>
      <w:r w:rsidR="0037052B">
        <w:rPr>
          <w:lang w:val="en-GB"/>
        </w:rPr>
        <w:t xml:space="preserve"> information systems</w:t>
      </w:r>
      <w:r>
        <w:rPr>
          <w:lang w:val="en-GB"/>
        </w:rPr>
        <w:t xml:space="preserve">. </w:t>
      </w:r>
      <w:r w:rsidR="009D3BBC">
        <w:rPr>
          <w:lang w:val="en-GB"/>
        </w:rPr>
        <w:t>This level of capacity allows t</w:t>
      </w:r>
      <w:r>
        <w:rPr>
          <w:lang w:val="en-GB"/>
        </w:rPr>
        <w:t xml:space="preserve">he ability to perform </w:t>
      </w:r>
      <w:r>
        <w:rPr>
          <w:i/>
          <w:lang w:val="en-GB"/>
        </w:rPr>
        <w:t>“deterministic overlay and buffer operations”</w:t>
      </w:r>
      <w:r w:rsidR="001148AC">
        <w:rPr>
          <w:lang w:val="en-GB"/>
        </w:rPr>
        <w:t xml:space="preserve">, enabling </w:t>
      </w:r>
      <w:r>
        <w:rPr>
          <w:lang w:val="en-GB"/>
        </w:rPr>
        <w:t>users to select</w:t>
      </w:r>
      <w:r w:rsidR="00CA0557">
        <w:rPr>
          <w:lang w:val="en-GB"/>
        </w:rPr>
        <w:t xml:space="preserve">, </w:t>
      </w:r>
      <w:r>
        <w:rPr>
          <w:lang w:val="en-GB"/>
        </w:rPr>
        <w:t>integrate</w:t>
      </w:r>
      <w:r w:rsidR="001148AC">
        <w:rPr>
          <w:lang w:val="en-GB"/>
        </w:rPr>
        <w:t xml:space="preserve"> and</w:t>
      </w:r>
      <w:r w:rsidR="00CA0557">
        <w:rPr>
          <w:lang w:val="en-GB"/>
        </w:rPr>
        <w:t xml:space="preserve"> edit </w:t>
      </w:r>
      <w:r>
        <w:rPr>
          <w:lang w:val="en-GB"/>
        </w:rPr>
        <w:t>various data sets</w:t>
      </w:r>
      <w:r w:rsidR="007F23CC">
        <w:rPr>
          <w:lang w:val="en-GB"/>
        </w:rPr>
        <w:t xml:space="preserve"> to play around with their </w:t>
      </w:r>
      <w:r w:rsidR="00CA0557">
        <w:rPr>
          <w:lang w:val="en-GB"/>
        </w:rPr>
        <w:t>corresponding and linked fields</w:t>
      </w:r>
      <w:r>
        <w:rPr>
          <w:lang w:val="en-GB"/>
        </w:rPr>
        <w:t xml:space="preserve"> </w:t>
      </w:r>
      <w:r>
        <w:rPr>
          <w:lang w:val="en-GB"/>
        </w:rPr>
        <w:fldChar w:fldCharType="begin" w:fldLock="1"/>
      </w:r>
      <w:r>
        <w:rPr>
          <w:lang w:val="en-GB"/>
        </w:rPr>
        <w:instrText>ADDIN CSL_CITATION {"citationItems":[{"id":"ITEM-1","itemData":{"DOI":"10.1080/02693799108927858","ISBN":"0269-3798","ISSN":"02693798","abstract":"Geographical information systems (GIS) provide the decision-maker with a powerful set of tools for the manipulation and analysis of spatial information. The functionality of GIS is, however, limited to certain deterministic analyses in key application areas such as spatial search. The integration of multi-criteria evaluation (MCE) techniques with GIS is forwarded as providing the user with the means to evaluate various alternatives on the basis of multiple and conflicting criteria and objectives. An example application based on the search for suitable sites for the disposal of radioactive waste in the UK using the Arc/Info GIS is included. The potential use of a combined GIS-MCE approach in the development of spatial decision support systems is considered.","author":[{"dropping-particle":"","family":"Carver","given":"Stephen J.","non-dropping-particle":"","parse-names":false,"suffix":""}],"container-title":"International Journal of Geographical Information Systems","id":"ITEM-1","issue":"3","issued":{"date-parts":[["1991"]]},"page":"321-339","title":"Integrating multi-criteria evaluation with geographical information systems","type":"article-journal","volume":"5"},"uris":["http://www.mendeley.com/documents/?uuid=3929f14f-3ecd-463f-aedf-a86b95bfbffc"]}],"mendeley":{"formattedCitation":"[2]","plainTextFormattedCitation":"[2]","previouslyFormattedCitation":"[2]"},"properties":{"noteIndex":0},"schema":"https://github.com/citation-style-language/schema/raw/master/csl-citation.json"}</w:instrText>
      </w:r>
      <w:r>
        <w:rPr>
          <w:lang w:val="en-GB"/>
        </w:rPr>
        <w:fldChar w:fldCharType="separate"/>
      </w:r>
      <w:r w:rsidRPr="00C03CFD">
        <w:rPr>
          <w:noProof/>
          <w:lang w:val="en-GB"/>
        </w:rPr>
        <w:t>[2]</w:t>
      </w:r>
      <w:r>
        <w:rPr>
          <w:lang w:val="en-GB"/>
        </w:rPr>
        <w:fldChar w:fldCharType="end"/>
      </w:r>
      <w:r w:rsidR="0037052B">
        <w:rPr>
          <w:lang w:val="en-GB"/>
        </w:rPr>
        <w:t xml:space="preserve">, a task only possible with </w:t>
      </w:r>
      <w:r w:rsidR="00E30DEF">
        <w:rPr>
          <w:lang w:val="en-GB"/>
        </w:rPr>
        <w:t xml:space="preserve">software of a certain </w:t>
      </w:r>
      <w:r w:rsidR="00A97D33">
        <w:rPr>
          <w:lang w:val="en-GB"/>
        </w:rPr>
        <w:t xml:space="preserve">rendering </w:t>
      </w:r>
      <w:r w:rsidR="00E30DEF">
        <w:rPr>
          <w:lang w:val="en-GB"/>
        </w:rPr>
        <w:t>calibre</w:t>
      </w:r>
      <w:r w:rsidR="00C11032">
        <w:rPr>
          <w:lang w:val="en-GB"/>
        </w:rPr>
        <w:t xml:space="preserve"> </w:t>
      </w:r>
      <w:r w:rsidR="00197EB7">
        <w:rPr>
          <w:lang w:val="en-GB"/>
        </w:rPr>
        <w:fldChar w:fldCharType="begin" w:fldLock="1"/>
      </w:r>
      <w:r w:rsidR="00CE58B5">
        <w:rPr>
          <w:lang w:val="en-GB"/>
        </w:rPr>
        <w:instrText>ADDIN CSL_CITATION {"citationItems":[{"id":"ITEM-1","itemData":{"abstract":"Characteristics of Visualization in Scientific Computing which are relevant to two dimensional spatial data are identified. An approach which implements them in a single envirorunent for dynamic computer cartography is then outlined. The method takes advantage of the graphical and int~active capabilities of an XlI graphical user interface (GUI) toolkit. ExampleS of the cartographic visualization techniques that are available through this. approach towards analysing spatial data are provided with illustration.","author":[{"dropping-particle":"","family":"Dykes","given":"Jason","non-dropping-particle":"","parse-names":false,"suffix":""}],"container-title":"Proceedings International Cartographic Conference","id":"ITEM-1","issued":{"date-parts":[["1995"]]},"page":"1365-1370","title":"CARTOGRAPHIC VISUALIZATION FOR SPATIAL ANALYSIS","type":"article-journal"},"uris":["http://www.mendeley.com/documents/?uuid=e8dd8fe6-6d7a-457b-9db7-0554df272889"]}],"mendeley":{"formattedCitation":"[10]","plainTextFormattedCitation":"[10]","previouslyFormattedCitation":"[9]"},"properties":{"noteIndex":0},"schema":"https://github.com/citation-style-language/schema/raw/master/csl-citation.json"}</w:instrText>
      </w:r>
      <w:r w:rsidR="00197EB7">
        <w:rPr>
          <w:lang w:val="en-GB"/>
        </w:rPr>
        <w:fldChar w:fldCharType="separate"/>
      </w:r>
      <w:r w:rsidR="00CE58B5" w:rsidRPr="00CE58B5">
        <w:rPr>
          <w:noProof/>
          <w:lang w:val="en-GB"/>
        </w:rPr>
        <w:t>[10]</w:t>
      </w:r>
      <w:r w:rsidR="00197EB7">
        <w:rPr>
          <w:lang w:val="en-GB"/>
        </w:rPr>
        <w:fldChar w:fldCharType="end"/>
      </w:r>
      <w:r>
        <w:rPr>
          <w:lang w:val="en-GB"/>
        </w:rPr>
        <w:t>.</w:t>
      </w:r>
      <w:r w:rsidR="00487512">
        <w:rPr>
          <w:lang w:val="en-GB"/>
        </w:rPr>
        <w:t xml:space="preserve"> </w:t>
      </w:r>
      <w:r w:rsidR="00A97D33">
        <w:rPr>
          <w:lang w:val="en-GB"/>
        </w:rPr>
        <w:t xml:space="preserve">Graves </w:t>
      </w:r>
      <w:r w:rsidR="00A97D33">
        <w:rPr>
          <w:lang w:val="en-GB"/>
        </w:rPr>
        <w:fldChar w:fldCharType="begin" w:fldLock="1"/>
      </w:r>
      <w:r w:rsidR="00A97D33">
        <w:rPr>
          <w:lang w:val="en-GB"/>
        </w:rPr>
        <w:instrText>ADDIN CSL_CITATION {"citationItems":[{"id":"ITEM-1","itemData":{"ISBN":"1559-4122 (Electronic)\\r1559-4122 (Linking)","ISSN":"1559-4122","PMID":"18698429","abstract":"Differences in access to healthcare services and the resulting adverse health outcomes are major public health priorities. The Institute of Medicine and the Department of Health and Human Services have identified the need for strategies to improve access to healthcare services and to support the improvement of health outcomes. The literature documents health disparities associated with healthcare access and health outcomes from a geographic perspective. Place of residence, location of healthcare services, and geography in general are important factors in the analysis of health. Geographical information systems (GISs) are an emerging technology in the analysis of health from a geographical or location context. As a type of information technology, GISs are potentially powerful assessment tools for the investigation of healthcare access, health outcomes, and the possible resulting health disparities. Their ability to integrate health data with mapping functions allows for visualization, exploration, and modeling of health patterns. Application of GIS technology using health data can help in describing and explaining disparities in healthcare access and health outcomes. The studies reviewed demonstrated the use of GISs to investigate various aspects of healthcare access and health outcomes, including environmental variables of Lyme disease, sociodemographic variables and teen pregnancy, geographical disparities in breast cancer mortality by racial groups, PCP and AIDS prevalence, and factors of a leptospirosis disease outbreak. The literature reviewed shows effective integration and analysis of health data using GIS technology.","author":[{"dropping-particle":"","family":"Graves","given":"Barbara Ann","non-dropping-particle":"","parse-names":false,"suffix":""}],"container-title":"Perspectives in health information management / AHIMA, American Health Information Management Association","id":"ITEM-1","issued":{"date-parts":[["2008"]]},"page":"11","title":"Integrative literature review: a review of literature related to GIS, healthcare","type":"article-journal","volume":"5"},"uris":["http://www.mendeley.com/documents/?uuid=eedfb5f1-44d7-4a6d-b4b9-2d1f21ea344a"]}],"mendeley":{"formattedCitation":"[1]","plainTextFormattedCitation":"[1]","previouslyFormattedCitation":"[1]"},"properties":{"noteIndex":0},"schema":"https://github.com/citation-style-language/schema/raw/master/csl-citation.json"}</w:instrText>
      </w:r>
      <w:r w:rsidR="00A97D33">
        <w:rPr>
          <w:lang w:val="en-GB"/>
        </w:rPr>
        <w:fldChar w:fldCharType="separate"/>
      </w:r>
      <w:r w:rsidR="00A97D33" w:rsidRPr="00A12F6A">
        <w:rPr>
          <w:noProof/>
          <w:lang w:val="en-GB"/>
        </w:rPr>
        <w:t>[1]</w:t>
      </w:r>
      <w:r w:rsidR="00A97D33">
        <w:rPr>
          <w:lang w:val="en-GB"/>
        </w:rPr>
        <w:fldChar w:fldCharType="end"/>
      </w:r>
      <w:r w:rsidR="00A97D33">
        <w:rPr>
          <w:lang w:val="en-GB"/>
        </w:rPr>
        <w:t xml:space="preserve"> highlights </w:t>
      </w:r>
      <w:r w:rsidR="00A97D33">
        <w:rPr>
          <w:lang w:val="en-GB"/>
        </w:rPr>
        <w:t xml:space="preserve">GIS </w:t>
      </w:r>
      <w:r w:rsidR="00A97D33">
        <w:rPr>
          <w:lang w:val="en-GB"/>
        </w:rPr>
        <w:t>tools</w:t>
      </w:r>
      <w:r w:rsidR="00A97D33">
        <w:rPr>
          <w:lang w:val="en-GB"/>
        </w:rPr>
        <w:t xml:space="preserve"> a</w:t>
      </w:r>
      <w:r w:rsidR="00A97D33">
        <w:rPr>
          <w:lang w:val="en-GB"/>
        </w:rPr>
        <w:t>s a</w:t>
      </w:r>
      <w:r w:rsidR="00A97D33">
        <w:rPr>
          <w:lang w:val="en-GB"/>
        </w:rPr>
        <w:t xml:space="preserve"> key </w:t>
      </w:r>
      <w:r w:rsidR="00A97D33">
        <w:rPr>
          <w:lang w:val="en-GB"/>
        </w:rPr>
        <w:t>resource</w:t>
      </w:r>
      <w:r w:rsidR="00A97D33">
        <w:rPr>
          <w:lang w:val="en-GB"/>
        </w:rPr>
        <w:t xml:space="preserve"> in land and natural resources</w:t>
      </w:r>
      <w:r w:rsidR="00A97D33">
        <w:rPr>
          <w:lang w:val="en-GB"/>
        </w:rPr>
        <w:t xml:space="preserve"> management</w:t>
      </w:r>
      <w:r w:rsidR="00A97D33">
        <w:rPr>
          <w:lang w:val="en-GB"/>
        </w:rPr>
        <w:t xml:space="preserve">, their use in healthcare being a relatively new use of </w:t>
      </w:r>
      <w:r w:rsidR="00487512">
        <w:rPr>
          <w:lang w:val="en-GB"/>
        </w:rPr>
        <w:t>such software packages</w:t>
      </w:r>
      <w:r w:rsidR="00A97D33">
        <w:rPr>
          <w:lang w:val="en-GB"/>
        </w:rPr>
        <w:t xml:space="preserve"> </w:t>
      </w:r>
      <w:r w:rsidR="00A97D33">
        <w:rPr>
          <w:lang w:val="en-GB"/>
        </w:rPr>
        <w:fldChar w:fldCharType="begin" w:fldLock="1"/>
      </w:r>
      <w:r w:rsidR="00A97D33">
        <w:rPr>
          <w:lang w:val="en-GB"/>
        </w:rPr>
        <w:instrText>ADDIN CSL_CITATION {"citationItems":[{"id":"ITEM-1","itemData":{"ISBN":"1559-4122 (Electronic)\\r1559-4122 (Linking)","ISSN":"1559-4122","PMID":"18698429","abstract":"Differences in access to healthcare services and the resulting adverse health outcomes are major public health priorities. The Institute of Medicine and the Department of Health and Human Services have identified the need for strategies to improve access to healthcare services and to support the improvement of health outcomes. The literature documents health disparities associated with healthcare access and health outcomes from a geographic perspective. Place of residence, location of healthcare services, and geography in general are important factors in the analysis of health. Geographical information systems (GISs) are an emerging technology in the analysis of health from a geographical or location context. As a type of information technology, GISs are potentially powerful assessment tools for the investigation of healthcare access, health outcomes, and the possible resulting health disparities. Their ability to integrate health data with mapping functions allows for visualization, exploration, and modeling of health patterns. Application of GIS technology using health data can help in describing and explaining disparities in healthcare access and health outcomes. The studies reviewed demonstrated the use of GISs to investigate various aspects of healthcare access and health outcomes, including environmental variables of Lyme disease, sociodemographic variables and teen pregnancy, geographical disparities in breast cancer mortality by racial groups, PCP and AIDS prevalence, and factors of a leptospirosis disease outbreak. The literature reviewed shows effective integration and analysis of health data using GIS technology.","author":[{"dropping-particle":"","family":"Graves","given":"Barbara Ann","non-dropping-particle":"","parse-names":false,"suffix":""}],"container-title":"Perspectives in health information management / AHIMA, American Health Information Management Association","id":"ITEM-1","issued":{"date-parts":[["2008"]]},"page":"11","title":"Integrative literature review: a review of literature related to GIS, healthcare","type":"article-journal","volume":"5"},"uris":["http://www.mendeley.com/documents/?uuid=eedfb5f1-44d7-4a6d-b4b9-2d1f21ea344a"]}],"mendeley":{"formattedCitation":"[1]","plainTextFormattedCitation":"[1]","previouslyFormattedCitation":"[1]"},"properties":{"noteIndex":0},"schema":"https://github.com/citation-style-language/schema/raw/master/csl-citation.json"}</w:instrText>
      </w:r>
      <w:r w:rsidR="00A97D33">
        <w:rPr>
          <w:lang w:val="en-GB"/>
        </w:rPr>
        <w:fldChar w:fldCharType="separate"/>
      </w:r>
      <w:r w:rsidR="00A97D33" w:rsidRPr="00A12F6A">
        <w:rPr>
          <w:noProof/>
          <w:lang w:val="en-GB"/>
        </w:rPr>
        <w:t>[1]</w:t>
      </w:r>
      <w:r w:rsidR="00A97D33">
        <w:rPr>
          <w:lang w:val="en-GB"/>
        </w:rPr>
        <w:fldChar w:fldCharType="end"/>
      </w:r>
      <w:r w:rsidR="00A97D33">
        <w:rPr>
          <w:lang w:val="en-GB"/>
        </w:rPr>
        <w:t>.</w:t>
      </w:r>
    </w:p>
    <w:p w14:paraId="38E61C86" w14:textId="77777777" w:rsidR="007B03B6" w:rsidRPr="00BE57C9" w:rsidRDefault="007B03B6" w:rsidP="00BE57C9">
      <w:pPr>
        <w:rPr>
          <w:lang w:val="en-GB"/>
        </w:rPr>
      </w:pPr>
    </w:p>
    <w:p w14:paraId="7ACFD837" w14:textId="77777777" w:rsidR="00157908" w:rsidRPr="003119BB" w:rsidRDefault="00157908" w:rsidP="00157908">
      <w:pPr>
        <w:jc w:val="both"/>
        <w:rPr>
          <w:lang w:val="en-GB"/>
        </w:rPr>
      </w:pPr>
    </w:p>
    <w:p w14:paraId="12A6B3DD" w14:textId="498B28BE" w:rsidR="00157908" w:rsidRDefault="00157908" w:rsidP="00157908">
      <w:pPr>
        <w:pStyle w:val="Heading4"/>
        <w:keepNext w:val="0"/>
        <w:numPr>
          <w:ilvl w:val="0"/>
          <w:numId w:val="15"/>
        </w:numPr>
        <w:spacing w:after="40" w:line="240" w:lineRule="auto"/>
        <w:rPr>
          <w:lang w:val="en-GB"/>
        </w:rPr>
      </w:pPr>
      <w:r w:rsidRPr="003119BB">
        <w:rPr>
          <w:lang w:val="en-GB"/>
        </w:rPr>
        <w:t>Principles of thematic mapping and data vis</w:t>
      </w:r>
      <w:r>
        <w:rPr>
          <w:lang w:val="en-GB"/>
        </w:rPr>
        <w:t>ualisation</w:t>
      </w:r>
      <w:r w:rsidRPr="003119BB">
        <w:rPr>
          <w:lang w:val="en-GB"/>
        </w:rPr>
        <w:t xml:space="preserve"> in </w:t>
      </w:r>
      <w:r>
        <w:rPr>
          <w:lang w:val="en-GB"/>
        </w:rPr>
        <w:t xml:space="preserve">a </w:t>
      </w:r>
      <w:r w:rsidRPr="003119BB">
        <w:rPr>
          <w:lang w:val="en-GB"/>
        </w:rPr>
        <w:t>software environment</w:t>
      </w:r>
    </w:p>
    <w:p w14:paraId="7AA6E6B3" w14:textId="6FED4D85" w:rsidR="00E14877" w:rsidRPr="00E14877" w:rsidRDefault="00E14877" w:rsidP="00E14877">
      <w:pPr>
        <w:rPr>
          <w:lang w:val="en-GB"/>
        </w:rPr>
      </w:pPr>
      <w:r>
        <w:rPr>
          <w:vertAlign w:val="subscript"/>
          <w:lang w:val="en-GB"/>
        </w:rPr>
        <w:softHyphen/>
      </w:r>
    </w:p>
    <w:p w14:paraId="2C61646B" w14:textId="77777777" w:rsidR="00BE57C9" w:rsidRPr="00BE57C9" w:rsidRDefault="00BE57C9" w:rsidP="00BE57C9">
      <w:pPr>
        <w:rPr>
          <w:lang w:val="en-GB"/>
        </w:rPr>
      </w:pPr>
    </w:p>
    <w:p w14:paraId="30866631" w14:textId="45D32756" w:rsidR="002E415E" w:rsidRPr="0072796E" w:rsidRDefault="00FD6163" w:rsidP="0072796E">
      <w:pPr>
        <w:spacing w:line="360" w:lineRule="auto"/>
        <w:ind w:firstLine="720"/>
        <w:rPr>
          <w:i/>
          <w:lang w:val="en-GB"/>
        </w:rPr>
      </w:pPr>
      <w:r>
        <w:rPr>
          <w:lang w:val="en-GB"/>
        </w:rPr>
        <w:t>The functions of a GIS system can be grouped roughly into four main stages. Firstly</w:t>
      </w:r>
      <w:r w:rsidR="002B47AF">
        <w:rPr>
          <w:lang w:val="en-GB"/>
        </w:rPr>
        <w:t xml:space="preserve">, the user must decide on the </w:t>
      </w:r>
      <w:r w:rsidR="002B47AF">
        <w:rPr>
          <w:i/>
          <w:lang w:val="en-GB"/>
        </w:rPr>
        <w:t xml:space="preserve">“research and/or policy issues to be solved” </w:t>
      </w:r>
      <w:r w:rsidR="005B11D0">
        <w:rPr>
          <w:lang w:val="en-GB"/>
        </w:rPr>
        <w:fldChar w:fldCharType="begin" w:fldLock="1"/>
      </w:r>
      <w:r w:rsidR="00CE58B5">
        <w:rPr>
          <w:lang w:val="en-GB"/>
        </w:rPr>
        <w:instrText>ADDIN CSL_CITATION {"citationItems":[{"id":"ITEM-1","itemData":{"ISBN":"3850370429","abstract":"This article is the position paper for the ESF-GISDATA Specialist Meeting on GIS &amp; Spatial Analysis, Amsterdam, 1-5December1993. The focus here is on the two major themes o f the meeting: Spatial Data Analysis and Spatial Modelling. Special emphasis is laid on specific problems and possibilities for interfacing spatial analysis tools (i.e. spatial data analysis techniques and spatial models) and GIS. Both GIS application fields, the environmental sciences and the social sciences, are taken into consideration.","author":[{"dropping-particle":"","family":"Fischer","given":"Manfred M.","non-dropping-particle":"","parse-names":false,"suffix":""},{"dropping-particle":"","family":"Scholten","given":"Henk J.","non-dropping-particle":"","parse-names":false,"suffix":""}],"id":"ITEM-1","issued":{"date-parts":[["1994"]]},"publisher-place":"University of Economics and Business Administration, Vienna","title":"Geographic Information Systems, Spacial Data Analysis and Spaicla Modelling: Problems and Possibilities","type":"report"},"uris":["http://www.mendeley.com/documents/?uuid=5cd42468-274a-3207-a778-41a47c300563"]}],"mendeley":{"formattedCitation":"[11]","plainTextFormattedCitation":"[11]","previouslyFormattedCitation":"[10]"},"properties":{"noteIndex":0},"schema":"https://github.com/citation-style-language/schema/raw/master/csl-citation.json"}</w:instrText>
      </w:r>
      <w:r w:rsidR="005B11D0">
        <w:rPr>
          <w:lang w:val="en-GB"/>
        </w:rPr>
        <w:fldChar w:fldCharType="separate"/>
      </w:r>
      <w:r w:rsidR="00CE58B5" w:rsidRPr="00CE58B5">
        <w:rPr>
          <w:noProof/>
          <w:lang w:val="en-GB"/>
        </w:rPr>
        <w:t>[11]</w:t>
      </w:r>
      <w:r w:rsidR="005B11D0">
        <w:rPr>
          <w:lang w:val="en-GB"/>
        </w:rPr>
        <w:fldChar w:fldCharType="end"/>
      </w:r>
      <w:r w:rsidR="005B11D0">
        <w:rPr>
          <w:lang w:val="en-GB"/>
        </w:rPr>
        <w:t xml:space="preserve">, </w:t>
      </w:r>
      <w:r w:rsidR="002B47AF">
        <w:rPr>
          <w:lang w:val="en-GB"/>
        </w:rPr>
        <w:t xml:space="preserve">a task that is both physical and metaphorically adjacent to the ‘real world’ environment, annotated </w:t>
      </w:r>
      <w:r w:rsidR="00EE3E7B">
        <w:rPr>
          <w:lang w:val="en-GB"/>
        </w:rPr>
        <w:t xml:space="preserve">in </w:t>
      </w:r>
      <w:r w:rsidR="00EE3E7B">
        <w:rPr>
          <w:b/>
          <w:i/>
          <w:lang w:val="en-GB"/>
        </w:rPr>
        <w:t xml:space="preserve">Fig. </w:t>
      </w:r>
      <w:r w:rsidR="00B5139F">
        <w:rPr>
          <w:b/>
          <w:i/>
          <w:lang w:val="en-GB"/>
        </w:rPr>
        <w:t>1</w:t>
      </w:r>
      <w:r w:rsidR="00EE3E7B">
        <w:rPr>
          <w:b/>
          <w:i/>
          <w:lang w:val="en-GB"/>
        </w:rPr>
        <w:t>.</w:t>
      </w:r>
      <w:r w:rsidR="00EE3E7B">
        <w:rPr>
          <w:lang w:val="en-GB"/>
        </w:rPr>
        <w:t>, as</w:t>
      </w:r>
      <w:r w:rsidR="002B47AF">
        <w:rPr>
          <w:lang w:val="en-GB"/>
        </w:rPr>
        <w:t xml:space="preserve"> </w:t>
      </w:r>
      <w:r w:rsidR="002B47AF" w:rsidRPr="002B47AF">
        <w:rPr>
          <w:lang w:val="en-GB"/>
        </w:rPr>
        <w:t>“</w:t>
      </w:r>
      <w:r w:rsidR="00B96D23" w:rsidRPr="002B47AF">
        <w:rPr>
          <w:lang w:val="en-GB"/>
        </w:rPr>
        <w:t>Perceived</w:t>
      </w:r>
      <w:r w:rsidR="002B47AF" w:rsidRPr="002B47AF">
        <w:rPr>
          <w:lang w:val="en-GB"/>
        </w:rPr>
        <w:t xml:space="preserve"> Reality”</w:t>
      </w:r>
      <w:r w:rsidR="005B11D0">
        <w:rPr>
          <w:lang w:val="en-GB"/>
        </w:rPr>
        <w:t xml:space="preserve"> </w:t>
      </w:r>
      <w:r w:rsidR="005B11D0">
        <w:rPr>
          <w:lang w:val="en-GB"/>
        </w:rPr>
        <w:fldChar w:fldCharType="begin" w:fldLock="1"/>
      </w:r>
      <w:r w:rsidR="00CE58B5">
        <w:rPr>
          <w:lang w:val="en-GB"/>
        </w:rPr>
        <w:instrText>ADDIN CSL_CITATION {"citationItems":[{"id":"ITEM-1","itemData":{"ISBN":"3850370429","abstract":"This article is the position paper for the ESF-GISDATA Specialist Meeting on GIS &amp; Spatial Analysis, Amsterdam, 1-5December1993. The focus here is on the two major themes o f the meeting: Spatial Data Analysis and Spatial Modelling. Special emphasis is laid on specific problems and possibilities for interfacing spatial analysis tools (i.e. spatial data analysis techniques and spatial models) and GIS. Both GIS application fields, the environmental sciences and the social sciences, are taken into consideration.","author":[{"dropping-particle":"","family":"Fischer","given":"Manfred M.","non-dropping-particle":"","parse-names":false,"suffix":""},{"dropping-particle":"","family":"Scholten","given":"Henk J.","non-dropping-particle":"","parse-names":false,"suffix":""}],"id":"ITEM-1","issued":{"date-parts":[["1994"]]},"publisher-place":"University of Economics and Business Administration, Vienna","title":"Geographic Information Systems, Spacial Data Analysis and Spaicla Modelling: Problems and Possibilities","type":"report"},"uris":["http://www.mendeley.com/documents/?uuid=5cd42468-274a-3207-a778-41a47c300563"]}],"mendeley":{"formattedCitation":"[11]","plainTextFormattedCitation":"[11]","previouslyFormattedCitation":"[10]"},"properties":{"noteIndex":0},"schema":"https://github.com/citation-style-language/schema/raw/master/csl-citation.json"}</w:instrText>
      </w:r>
      <w:r w:rsidR="005B11D0">
        <w:rPr>
          <w:lang w:val="en-GB"/>
        </w:rPr>
        <w:fldChar w:fldCharType="separate"/>
      </w:r>
      <w:r w:rsidR="00CE58B5" w:rsidRPr="00CE58B5">
        <w:rPr>
          <w:noProof/>
          <w:lang w:val="en-GB"/>
        </w:rPr>
        <w:t>[11]</w:t>
      </w:r>
      <w:r w:rsidR="005B11D0">
        <w:rPr>
          <w:lang w:val="en-GB"/>
        </w:rPr>
        <w:fldChar w:fldCharType="end"/>
      </w:r>
      <w:r w:rsidR="002B47AF">
        <w:rPr>
          <w:lang w:val="en-GB"/>
        </w:rPr>
        <w:t>.</w:t>
      </w:r>
      <w:r w:rsidR="0072796E">
        <w:rPr>
          <w:i/>
          <w:lang w:val="en-GB"/>
        </w:rPr>
        <w:t xml:space="preserve"> </w:t>
      </w:r>
      <w:r w:rsidR="002E415E">
        <w:rPr>
          <w:lang w:val="en-GB"/>
        </w:rPr>
        <w:t>Between the user and a comprehensive visual response to the research question stand the processes of “Data Input”, “Analysis” and subsequent “Output”</w:t>
      </w:r>
      <w:r w:rsidR="00C008BD">
        <w:rPr>
          <w:lang w:val="en-GB"/>
        </w:rPr>
        <w:t>. Data input can take</w:t>
      </w:r>
      <w:r w:rsidR="00FB20E9">
        <w:rPr>
          <w:lang w:val="en-GB"/>
        </w:rPr>
        <w:t xml:space="preserve"> the forms of </w:t>
      </w:r>
      <w:r w:rsidR="00FB20E9">
        <w:rPr>
          <w:i/>
          <w:lang w:val="en-GB"/>
        </w:rPr>
        <w:t xml:space="preserve">a) </w:t>
      </w:r>
      <w:r w:rsidR="00C008BD">
        <w:rPr>
          <w:lang w:val="en-GB"/>
        </w:rPr>
        <w:t xml:space="preserve">spacial components or definitions related to the construction of </w:t>
      </w:r>
      <w:r w:rsidR="00FB20E9">
        <w:rPr>
          <w:lang w:val="en-GB"/>
        </w:rPr>
        <w:t xml:space="preserve">visual parameters or </w:t>
      </w:r>
      <w:r w:rsidR="00FB20E9">
        <w:rPr>
          <w:i/>
          <w:lang w:val="en-GB"/>
        </w:rPr>
        <w:t>b)</w:t>
      </w:r>
      <w:r w:rsidR="00FB20E9">
        <w:rPr>
          <w:lang w:val="en-GB"/>
        </w:rPr>
        <w:t xml:space="preserve"> non-spacial data that forms part of layer components that sit on spacial definitions.</w:t>
      </w:r>
      <w:r w:rsidR="0097548F">
        <w:rPr>
          <w:lang w:val="en-GB"/>
        </w:rPr>
        <w:t xml:space="preserve"> The process </w:t>
      </w:r>
      <w:r w:rsidR="00470DCA">
        <w:rPr>
          <w:lang w:val="en-GB"/>
        </w:rPr>
        <w:t xml:space="preserve">of analysing data requires data rectification, such as cleansing (if required) and appropriate geocoding. </w:t>
      </w:r>
      <w:r w:rsidR="00AD20D1">
        <w:rPr>
          <w:lang w:val="en-GB"/>
        </w:rPr>
        <w:t>N</w:t>
      </w:r>
      <w:r w:rsidR="00B4136E">
        <w:rPr>
          <w:lang w:val="en-GB"/>
        </w:rPr>
        <w:t xml:space="preserve">ow a user </w:t>
      </w:r>
      <w:r w:rsidR="00AD20D1">
        <w:rPr>
          <w:lang w:val="en-GB"/>
        </w:rPr>
        <w:t xml:space="preserve">can </w:t>
      </w:r>
      <w:r w:rsidR="00B4136E">
        <w:rPr>
          <w:lang w:val="en-GB"/>
        </w:rPr>
        <w:t xml:space="preserve">analyse the </w:t>
      </w:r>
      <w:r w:rsidR="00662141">
        <w:rPr>
          <w:lang w:val="en-GB"/>
        </w:rPr>
        <w:t xml:space="preserve">selected data source(s) </w:t>
      </w:r>
      <w:r w:rsidR="007A66FA">
        <w:rPr>
          <w:lang w:val="en-GB"/>
        </w:rPr>
        <w:t xml:space="preserve">to create thematic visuals </w:t>
      </w:r>
      <w:r w:rsidR="00662141">
        <w:rPr>
          <w:lang w:val="en-GB"/>
        </w:rPr>
        <w:t xml:space="preserve">by constructing various </w:t>
      </w:r>
      <w:r w:rsidR="007A66FA">
        <w:rPr>
          <w:lang w:val="en-GB"/>
        </w:rPr>
        <w:t xml:space="preserve">views </w:t>
      </w:r>
      <w:r w:rsidR="006F45BD">
        <w:rPr>
          <w:lang w:val="en-GB"/>
        </w:rPr>
        <w:t>that either support or contradict the research question</w:t>
      </w:r>
      <w:r w:rsidR="0040619D">
        <w:rPr>
          <w:lang w:val="en-GB"/>
        </w:rPr>
        <w:t xml:space="preserve">—the results of which are displayed as </w:t>
      </w:r>
      <w:r w:rsidR="00F069D5">
        <w:rPr>
          <w:lang w:val="en-GB"/>
        </w:rPr>
        <w:t xml:space="preserve">key tools in </w:t>
      </w:r>
      <w:r w:rsidR="008F0DE7">
        <w:rPr>
          <w:lang w:val="en-GB"/>
        </w:rPr>
        <w:t>evaluating the accuracy of a research hypothesis</w:t>
      </w:r>
      <w:r w:rsidR="005B11D0">
        <w:rPr>
          <w:lang w:val="en-GB"/>
        </w:rPr>
        <w:t xml:space="preserve"> </w:t>
      </w:r>
      <w:r w:rsidR="005B11D0">
        <w:rPr>
          <w:lang w:val="en-GB"/>
        </w:rPr>
        <w:fldChar w:fldCharType="begin" w:fldLock="1"/>
      </w:r>
      <w:r w:rsidR="00CE58B5">
        <w:rPr>
          <w:lang w:val="en-GB"/>
        </w:rPr>
        <w:instrText>ADDIN CSL_CITATION {"citationItems":[{"id":"ITEM-1","itemData":{"ISBN":"3850370429","abstract":"This article is the position paper for the ESF-GISDATA Specialist Meeting on GIS &amp; Spatial Analysis, Amsterdam, 1-5December1993. The focus here is on the two major themes o f the meeting: Spatial Data Analysis and Spatial Modelling. Special emphasis is laid on specific problems and possibilities for interfacing spatial analysis tools (i.e. spatial data analysis techniques and spatial models) and GIS. Both GIS application fields, the environmental sciences and the social sciences, are taken into consideration.","author":[{"dropping-particle":"","family":"Fischer","given":"Manfred M.","non-dropping-particle":"","parse-names":false,"suffix":""},{"dropping-particle":"","family":"Scholten","given":"Henk J.","non-dropping-particle":"","parse-names":false,"suffix":""}],"id":"ITEM-1","issued":{"date-parts":[["1994"]]},"publisher-place":"University of Economics and Business Administration, Vienna","title":"Geographic Information Systems, Spacial Data Analysis and Spaicla Modelling: Problems and Possibilities","type":"report"},"uris":["http://www.mendeley.com/documents/?uuid=5cd42468-274a-3207-a778-41a47c300563"]}],"mendeley":{"formattedCitation":"[11]","plainTextFormattedCitation":"[11]","previouslyFormattedCitation":"[10]"},"properties":{"noteIndex":0},"schema":"https://github.com/citation-style-language/schema/raw/master/csl-citation.json"}</w:instrText>
      </w:r>
      <w:r w:rsidR="005B11D0">
        <w:rPr>
          <w:lang w:val="en-GB"/>
        </w:rPr>
        <w:fldChar w:fldCharType="separate"/>
      </w:r>
      <w:r w:rsidR="00CE58B5" w:rsidRPr="00CE58B5">
        <w:rPr>
          <w:noProof/>
          <w:lang w:val="en-GB"/>
        </w:rPr>
        <w:t>[11]</w:t>
      </w:r>
      <w:r w:rsidR="005B11D0">
        <w:rPr>
          <w:lang w:val="en-GB"/>
        </w:rPr>
        <w:fldChar w:fldCharType="end"/>
      </w:r>
      <w:r w:rsidR="005B11D0">
        <w:rPr>
          <w:lang w:val="en-GB"/>
        </w:rPr>
        <w:t>,</w:t>
      </w:r>
      <w:r w:rsidR="003B5693">
        <w:rPr>
          <w:lang w:val="en-GB"/>
        </w:rPr>
        <w:fldChar w:fldCharType="begin" w:fldLock="1"/>
      </w:r>
      <w:r w:rsidR="00CE58B5">
        <w:rPr>
          <w:lang w:val="en-GB"/>
        </w:rPr>
        <w:instrText>ADDIN CSL_CITATION {"citationItems":[{"id":"ITEM-1","itemData":{"author":[{"dropping-particle":"","family":"Anselin","given":"L.","non-dropping-particle":"","parse-names":false,"suffix":""},{"dropping-particle":"","family":"Getis","given":"A.","non-dropping-particle":"","parse-names":false,"suffix":""}],"container-title":"Geographic Information Systems, Spacial Modelling and Policy Evaluation","id":"ITEM-1","issued":{"date-parts":[["1992"]]},"page":"35-49","publisher":"Springer-Verlag","publisher-place":"Berlin et. al","title":"Spacial Statistical Analysis and Georgraphical Information Systems","type":"chapter"},"uris":["http://www.mendeley.com/documents/?uuid=b0046835-dff4-494a-bf22-dba3bb8a1bce"]}],"mendeley":{"formattedCitation":"[12]","plainTextFormattedCitation":"[12]","previouslyFormattedCitation":"[11]"},"properties":{"noteIndex":0},"schema":"https://github.com/citation-style-language/schema/raw/master/csl-citation.json"}</w:instrText>
      </w:r>
      <w:r w:rsidR="003B5693">
        <w:rPr>
          <w:lang w:val="en-GB"/>
        </w:rPr>
        <w:fldChar w:fldCharType="separate"/>
      </w:r>
      <w:r w:rsidR="00CE58B5" w:rsidRPr="00CE58B5">
        <w:rPr>
          <w:noProof/>
          <w:lang w:val="en-GB"/>
        </w:rPr>
        <w:t>[12]</w:t>
      </w:r>
      <w:r w:rsidR="003B5693">
        <w:rPr>
          <w:lang w:val="en-GB"/>
        </w:rPr>
        <w:fldChar w:fldCharType="end"/>
      </w:r>
      <w:r w:rsidR="008F0DE7">
        <w:rPr>
          <w:lang w:val="en-GB"/>
        </w:rPr>
        <w:t xml:space="preserve">. </w:t>
      </w:r>
    </w:p>
    <w:p w14:paraId="6ACFA605" w14:textId="77777777" w:rsidR="0029526B" w:rsidRDefault="0029526B" w:rsidP="00FD6163">
      <w:pPr>
        <w:spacing w:line="360" w:lineRule="auto"/>
        <w:rPr>
          <w:lang w:val="en-GB"/>
        </w:rPr>
      </w:pPr>
    </w:p>
    <w:p w14:paraId="2A525826" w14:textId="52955E2F" w:rsidR="00A2770C" w:rsidRDefault="0029526B" w:rsidP="00A2770C">
      <w:pPr>
        <w:keepNext/>
        <w:spacing w:line="360" w:lineRule="auto"/>
        <w:jc w:val="center"/>
      </w:pPr>
      <w:r w:rsidRPr="0029526B">
        <w:rPr>
          <w:noProof/>
          <w:lang w:val="en-GB"/>
        </w:rPr>
        <w:lastRenderedPageBreak/>
        <w:drawing>
          <wp:inline distT="0" distB="0" distL="0" distR="0" wp14:anchorId="4521AC28" wp14:editId="01364A5E">
            <wp:extent cx="2560480" cy="4174067"/>
            <wp:effectExtent l="114300" t="101600" r="119380" b="131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76977" cy="42009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74B2357" w14:textId="77777777" w:rsidR="00A2770C" w:rsidRPr="0002606B" w:rsidRDefault="00A2770C" w:rsidP="00A2770C">
      <w:pPr>
        <w:keepNext/>
        <w:spacing w:line="360" w:lineRule="auto"/>
        <w:jc w:val="center"/>
        <w:rPr>
          <w:sz w:val="13"/>
        </w:rPr>
      </w:pPr>
    </w:p>
    <w:p w14:paraId="598E2BEE" w14:textId="1601EB0B" w:rsidR="007B03B6" w:rsidRPr="0072796E" w:rsidRDefault="00A2770C" w:rsidP="0072796E">
      <w:pPr>
        <w:pStyle w:val="Caption"/>
        <w:jc w:val="center"/>
        <w:rPr>
          <w:i w:val="0"/>
          <w:color w:val="000000" w:themeColor="text1"/>
          <w:lang w:val="en-GB"/>
        </w:rPr>
      </w:pPr>
      <w:r w:rsidRPr="00A2770C">
        <w:rPr>
          <w:b/>
          <w:i w:val="0"/>
          <w:color w:val="000000" w:themeColor="text1"/>
        </w:rPr>
        <w:t xml:space="preserve">Figure </w:t>
      </w:r>
      <w:r w:rsidRPr="00A2770C">
        <w:rPr>
          <w:b/>
          <w:i w:val="0"/>
          <w:color w:val="000000" w:themeColor="text1"/>
        </w:rPr>
        <w:fldChar w:fldCharType="begin"/>
      </w:r>
      <w:r w:rsidRPr="00A2770C">
        <w:rPr>
          <w:b/>
          <w:i w:val="0"/>
          <w:color w:val="000000" w:themeColor="text1"/>
        </w:rPr>
        <w:instrText xml:space="preserve"> SEQ Figure \* ARABIC </w:instrText>
      </w:r>
      <w:r w:rsidRPr="00A2770C">
        <w:rPr>
          <w:b/>
          <w:i w:val="0"/>
          <w:color w:val="000000" w:themeColor="text1"/>
        </w:rPr>
        <w:fldChar w:fldCharType="separate"/>
      </w:r>
      <w:r w:rsidR="00D423BD">
        <w:rPr>
          <w:b/>
          <w:i w:val="0"/>
          <w:noProof/>
          <w:color w:val="000000" w:themeColor="text1"/>
        </w:rPr>
        <w:t>1</w:t>
      </w:r>
      <w:r w:rsidRPr="00A2770C">
        <w:rPr>
          <w:b/>
          <w:i w:val="0"/>
          <w:color w:val="000000" w:themeColor="text1"/>
        </w:rPr>
        <w:fldChar w:fldCharType="end"/>
      </w:r>
      <w:r w:rsidRPr="00A2770C">
        <w:rPr>
          <w:b/>
          <w:i w:val="0"/>
          <w:color w:val="000000" w:themeColor="text1"/>
        </w:rPr>
        <w:t>:</w:t>
      </w:r>
      <w:r w:rsidRPr="00A2770C">
        <w:rPr>
          <w:i w:val="0"/>
          <w:color w:val="000000" w:themeColor="text1"/>
        </w:rPr>
        <w:t xml:space="preserve"> The functions of GIS software, adapted from</w:t>
      </w:r>
      <w:r w:rsidR="00B5139F">
        <w:rPr>
          <w:i w:val="0"/>
          <w:color w:val="000000" w:themeColor="text1"/>
        </w:rPr>
        <w:t xml:space="preserve"> Fischer and Scholten </w:t>
      </w:r>
      <w:r w:rsidRPr="00A2770C">
        <w:rPr>
          <w:i w:val="0"/>
          <w:color w:val="000000" w:themeColor="text1"/>
          <w:lang w:val="en-GB"/>
        </w:rPr>
        <w:fldChar w:fldCharType="begin" w:fldLock="1"/>
      </w:r>
      <w:r w:rsidR="00CE58B5">
        <w:rPr>
          <w:i w:val="0"/>
          <w:color w:val="000000" w:themeColor="text1"/>
          <w:lang w:val="en-GB"/>
        </w:rPr>
        <w:instrText>ADDIN CSL_CITATION {"citationItems":[{"id":"ITEM-1","itemData":{"ISBN":"3850370429","abstract":"This article is the position paper for the ESF-GISDATA Specialist Meeting on GIS &amp; Spatial Analysis, Amsterdam, 1-5December1993. The focus here is on the two major themes o f the meeting: Spatial Data Analysis and Spatial Modelling. Special emphasis is laid on specific problems and possibilities for interfacing spatial analysis tools (i.e. spatial data analysis techniques and spatial models) and GIS. Both GIS application fields, the environmental sciences and the social sciences, are taken into consideration.","author":[{"dropping-particle":"","family":"Fischer","given":"Manfred M.","non-dropping-particle":"","parse-names":false,"suffix":""},{"dropping-particle":"","family":"Scholten","given":"Henk J.","non-dropping-particle":"","parse-names":false,"suffix":""}],"id":"ITEM-1","issued":{"date-parts":[["1994"]]},"publisher-place":"University of Economics and Business Administration, Vienna","title":"Geographic Information Systems, Spacial Data Analysis and Spaicla Modelling: Problems and Possibilities","type":"report"},"uris":["http://www.mendeley.com/documents/?uuid=5cd42468-274a-3207-a778-41a47c300563"]}],"mendeley":{"formattedCitation":"[11]","plainTextFormattedCitation":"[11]","previouslyFormattedCitation":"[10]"},"properties":{"noteIndex":0},"schema":"https://github.com/citation-style-language/schema/raw/master/csl-citation.json"}</w:instrText>
      </w:r>
      <w:r w:rsidRPr="00A2770C">
        <w:rPr>
          <w:i w:val="0"/>
          <w:color w:val="000000" w:themeColor="text1"/>
          <w:lang w:val="en-GB"/>
        </w:rPr>
        <w:fldChar w:fldCharType="separate"/>
      </w:r>
      <w:r w:rsidR="00CE58B5" w:rsidRPr="00CE58B5">
        <w:rPr>
          <w:i w:val="0"/>
          <w:noProof/>
          <w:color w:val="000000" w:themeColor="text1"/>
          <w:lang w:val="en-GB"/>
        </w:rPr>
        <w:t>[11]</w:t>
      </w:r>
      <w:r w:rsidRPr="00A2770C">
        <w:rPr>
          <w:i w:val="0"/>
          <w:color w:val="000000" w:themeColor="text1"/>
          <w:lang w:val="en-GB"/>
        </w:rPr>
        <w:fldChar w:fldCharType="end"/>
      </w:r>
    </w:p>
    <w:p w14:paraId="6842CC3B" w14:textId="77777777" w:rsidR="00157908" w:rsidRPr="00157908" w:rsidRDefault="00157908" w:rsidP="002E0337">
      <w:pPr>
        <w:pStyle w:val="IEEEText"/>
        <w:ind w:firstLine="0"/>
        <w:rPr>
          <w:lang w:val="en-GB"/>
        </w:rPr>
      </w:pPr>
    </w:p>
    <w:p w14:paraId="65A1DFA1" w14:textId="2D631145" w:rsidR="006207F1" w:rsidRDefault="00157908" w:rsidP="006207F1">
      <w:pPr>
        <w:pStyle w:val="IEEEHeading1"/>
        <w:numPr>
          <w:ilvl w:val="0"/>
          <w:numId w:val="13"/>
        </w:numPr>
        <w:rPr>
          <w:lang w:val="en-GB"/>
        </w:rPr>
      </w:pPr>
      <w:r>
        <w:rPr>
          <w:lang w:val="en-GB"/>
        </w:rPr>
        <w:t>Public Health Case Study</w:t>
      </w:r>
    </w:p>
    <w:p w14:paraId="4C9A52F7" w14:textId="576DB1D5" w:rsidR="002B46FA" w:rsidRDefault="002B46FA" w:rsidP="002B46FA">
      <w:pPr>
        <w:pStyle w:val="IEEEHeading2"/>
        <w:rPr>
          <w:lang w:val="en-GB"/>
        </w:rPr>
      </w:pPr>
    </w:p>
    <w:p w14:paraId="6908C3CF" w14:textId="70C5DFB1" w:rsidR="0039653A" w:rsidRDefault="00862E7D" w:rsidP="00956106">
      <w:pPr>
        <w:pStyle w:val="IEEEText"/>
        <w:ind w:firstLine="720"/>
        <w:rPr>
          <w:lang w:val="en-GB"/>
        </w:rPr>
      </w:pPr>
      <w:r>
        <w:rPr>
          <w:lang w:val="en-GB"/>
        </w:rPr>
        <w:t xml:space="preserve">It is widely understood that the state of public health is that it is geographically varying across the physical environment </w:t>
      </w:r>
      <w:r w:rsidR="00A12F6A">
        <w:rPr>
          <w:lang w:val="en-GB"/>
        </w:rPr>
        <w:fldChar w:fldCharType="begin" w:fldLock="1"/>
      </w:r>
      <w:r w:rsidR="000F0A8B">
        <w:rPr>
          <w:lang w:val="en-GB"/>
        </w:rPr>
        <w:instrText>ADDIN CSL_CITATION {"citationItems":[{"id":"ITEM-1","itemData":{"ISBN":"1559-4122 (Electronic)\\r1559-4122 (Linking)","ISSN":"1559-4122","PMID":"18698429","abstract":"Differences in access to healthcare services and the resulting adverse health outcomes are major public health priorities. The Institute of Medicine and the Department of Health and Human Services have identified the need for strategies to improve access to healthcare services and to support the improvement of health outcomes. The literature documents health disparities associated with healthcare access and health outcomes from a geographic perspective. Place of residence, location of healthcare services, and geography in general are important factors in the analysis of health. Geographical information systems (GISs) are an emerging technology in the analysis of health from a geographical or location context. As a type of information technology, GISs are potentially powerful assessment tools for the investigation of healthcare access, health outcomes, and the possible resulting health disparities. Their ability to integrate health data with mapping functions allows for visualization, exploration, and modeling of health patterns. Application of GIS technology using health data can help in describing and explaining disparities in healthcare access and health outcomes. The studies reviewed demonstrated the use of GISs to investigate various aspects of healthcare access and health outcomes, including environmental variables of Lyme disease, sociodemographic variables and teen pregnancy, geographical disparities in breast cancer mortality by racial groups, PCP and AIDS prevalence, and factors of a leptospirosis disease outbreak. The literature reviewed shows effective integration and analysis of health data using GIS technology.","author":[{"dropping-particle":"","family":"Graves","given":"Barbara Ann","non-dropping-particle":"","parse-names":false,"suffix":""}],"container-title":"Perspectives in health information management / AHIMA, American Health Information Management Association","id":"ITEM-1","issued":{"date-parts":[["2008"]]},"page":"11","title":"Integrative literature review: a review of literature related to GIS, healthcare","type":"article-journal","volume":"5"},"uris":["http://www.mendeley.com/documents/?uuid=eedfb5f1-44d7-4a6d-b4b9-2d1f21ea344a"]}],"mendeley":{"formattedCitation":"[1]","plainTextFormattedCitation":"[1]","previouslyFormattedCitation":"[1]"},"properties":{"noteIndex":0},"schema":"https://github.com/citation-style-language/schema/raw/master/csl-citation.json"}</w:instrText>
      </w:r>
      <w:r w:rsidR="00A12F6A">
        <w:rPr>
          <w:lang w:val="en-GB"/>
        </w:rPr>
        <w:fldChar w:fldCharType="separate"/>
      </w:r>
      <w:r w:rsidR="00A12F6A" w:rsidRPr="00A12F6A">
        <w:rPr>
          <w:noProof/>
          <w:lang w:val="en-GB"/>
        </w:rPr>
        <w:t>[1]</w:t>
      </w:r>
      <w:r w:rsidR="00A12F6A">
        <w:rPr>
          <w:lang w:val="en-GB"/>
        </w:rPr>
        <w:fldChar w:fldCharType="end"/>
      </w:r>
      <w:r>
        <w:rPr>
          <w:lang w:val="en-GB"/>
        </w:rPr>
        <w:t xml:space="preserve">. </w:t>
      </w:r>
      <w:r w:rsidR="00F72085">
        <w:rPr>
          <w:lang w:val="en-GB"/>
        </w:rPr>
        <w:t>The field of GIS and its associated sciences is typically used</w:t>
      </w:r>
      <w:r w:rsidR="00CB5651" w:rsidRPr="00CB5651">
        <w:rPr>
          <w:lang w:val="en-GB"/>
        </w:rPr>
        <w:t xml:space="preserve"> to view the </w:t>
      </w:r>
      <w:r w:rsidR="00CB5651" w:rsidRPr="00F72085">
        <w:rPr>
          <w:i/>
          <w:lang w:val="en-GB"/>
        </w:rPr>
        <w:t>“racial, ethnic and geographical disparities in health outcomes”</w:t>
      </w:r>
      <w:r w:rsidR="00F72085" w:rsidRPr="00F72085">
        <w:rPr>
          <w:i/>
          <w:lang w:val="en-GB"/>
        </w:rPr>
        <w:t xml:space="preserve"> </w:t>
      </w:r>
      <w:r w:rsidR="00F72085" w:rsidRPr="00CB5651">
        <w:rPr>
          <w:i/>
          <w:lang w:val="en-GB"/>
        </w:rPr>
        <w:fldChar w:fldCharType="begin" w:fldLock="1"/>
      </w:r>
      <w:r w:rsidR="00F72085">
        <w:rPr>
          <w:lang w:val="en-GB"/>
        </w:rPr>
        <w:instrText>ADDIN CSL_CITATION {"citationItems":[{"id":"ITEM-1","itemData":{"ISBN":"1559-4122 (Electronic)\\r1559-4122 (Linking)","ISSN":"1559-4122","PMID":"18698429","abstract":"Differences in access to healthcare services and the resulting adverse health outcomes are major public health priorities. The Institute of Medicine and the Department of Health and Human Services have identified the need for strategies to improve access to healthcare services and to support the improvement of health outcomes. The literature documents health disparities associated with healthcare access and health outcomes from a geographic perspective. Place of residence, location of healthcare services, and geography in general are important factors in the analysis of health. Geographical information systems (GISs) are an emerging technology in the analysis of health from a geographical or location context. As a type of information technology, GISs are potentially powerful assessment tools for the investigation of healthcare access, health outcomes, and the possible resulting health disparities. Their ability to integrate health data with mapping functions allows for visualization, exploration, and modeling of health patterns. Application of GIS technology using health data can help in describing and explaining disparities in healthcare access and health outcomes. The studies reviewed demonstrated the use of GISs to investigate various aspects of healthcare access and health outcomes, including environmental variables of Lyme disease, sociodemographic variables and teen pregnancy, geographical disparities in breast cancer mortality by racial groups, PCP and AIDS prevalence, and factors of a leptospirosis disease outbreak. The literature reviewed shows effective integration and analysis of health data using GIS technology.","author":[{"dropping-particle":"","family":"Graves","given":"Barbara Ann","non-dropping-particle":"","parse-names":false,"suffix":""}],"container-title":"Perspectives in health information management / AHIMA, American Health Information Management Association","id":"ITEM-1","issued":{"date-parts":[["2008"]]},"page":"11","title":"Integrative literature review: a review of literature related to GIS, healthcare","type":"article-journal","volume":"5"},"uris":["http://www.mendeley.com/documents/?uuid=eedfb5f1-44d7-4a6d-b4b9-2d1f21ea344a"]}],"mendeley":{"formattedCitation":"[1]","plainTextFormattedCitation":"[1]","previouslyFormattedCitation":"[1]"},"properties":{"noteIndex":0},"schema":"https://github.com/citation-style-language/schema/raw/master/csl-citation.json"}</w:instrText>
      </w:r>
      <w:r w:rsidR="00F72085" w:rsidRPr="00CB5651">
        <w:rPr>
          <w:i/>
          <w:lang w:val="en-GB"/>
        </w:rPr>
        <w:fldChar w:fldCharType="separate"/>
      </w:r>
      <w:r w:rsidR="00F72085" w:rsidRPr="00CB5651">
        <w:rPr>
          <w:noProof/>
          <w:lang w:val="en-GB"/>
        </w:rPr>
        <w:t>[1]</w:t>
      </w:r>
      <w:r w:rsidR="00F72085" w:rsidRPr="00CB5651">
        <w:rPr>
          <w:i/>
          <w:lang w:val="en-GB"/>
        </w:rPr>
        <w:fldChar w:fldCharType="end"/>
      </w:r>
      <w:r w:rsidR="00CB5651" w:rsidRPr="00F72085">
        <w:rPr>
          <w:i/>
          <w:lang w:val="en-GB"/>
        </w:rPr>
        <w:t xml:space="preserve"> </w:t>
      </w:r>
      <w:r w:rsidR="00F72085">
        <w:rPr>
          <w:lang w:val="en-GB"/>
        </w:rPr>
        <w:t xml:space="preserve">in order </w:t>
      </w:r>
      <w:r w:rsidR="006C516D">
        <w:rPr>
          <w:lang w:val="en-GB"/>
        </w:rPr>
        <w:t xml:space="preserve">to provide a broad view </w:t>
      </w:r>
      <w:r w:rsidR="007E6666">
        <w:rPr>
          <w:lang w:val="en-GB"/>
        </w:rPr>
        <w:t>of the state of the</w:t>
      </w:r>
      <w:r w:rsidR="006C516D">
        <w:rPr>
          <w:lang w:val="en-GB"/>
        </w:rPr>
        <w:t xml:space="preserve"> public-healthcare relationship</w:t>
      </w:r>
      <w:r w:rsidR="00CB5651">
        <w:rPr>
          <w:lang w:val="en-GB"/>
        </w:rPr>
        <w:t>.</w:t>
      </w:r>
      <w:r w:rsidR="007E6666">
        <w:rPr>
          <w:lang w:val="en-GB"/>
        </w:rPr>
        <w:t xml:space="preserve"> </w:t>
      </w:r>
      <w:r w:rsidR="00A1303C">
        <w:rPr>
          <w:lang w:val="en-GB"/>
        </w:rPr>
        <w:t xml:space="preserve">To fulfil this role </w:t>
      </w:r>
      <w:r w:rsidR="003E0B5A">
        <w:rPr>
          <w:lang w:val="en-GB"/>
        </w:rPr>
        <w:t xml:space="preserve">spacial analysis </w:t>
      </w:r>
      <w:r w:rsidR="003D2A31">
        <w:rPr>
          <w:lang w:val="en-GB"/>
        </w:rPr>
        <w:t xml:space="preserve">software </w:t>
      </w:r>
      <w:r w:rsidR="00A1303C">
        <w:rPr>
          <w:lang w:val="en-GB"/>
        </w:rPr>
        <w:t xml:space="preserve">supports a broad </w:t>
      </w:r>
      <w:r w:rsidR="00C24526">
        <w:rPr>
          <w:lang w:val="en-GB"/>
        </w:rPr>
        <w:t>scale</w:t>
      </w:r>
      <w:r w:rsidR="00A1303C">
        <w:rPr>
          <w:lang w:val="en-GB"/>
        </w:rPr>
        <w:t xml:space="preserve"> range</w:t>
      </w:r>
      <w:r w:rsidR="00C24526">
        <w:rPr>
          <w:lang w:val="en-GB"/>
        </w:rPr>
        <w:t xml:space="preserve">, </w:t>
      </w:r>
      <w:r w:rsidR="00A1303C">
        <w:rPr>
          <w:lang w:val="en-GB"/>
        </w:rPr>
        <w:t xml:space="preserve">clearly highlights </w:t>
      </w:r>
      <w:r w:rsidR="00C24526">
        <w:rPr>
          <w:lang w:val="en-GB"/>
        </w:rPr>
        <w:t xml:space="preserve">trends, relationships and other correlations </w:t>
      </w:r>
      <w:r w:rsidR="00F23DD8">
        <w:rPr>
          <w:lang w:val="en-GB"/>
        </w:rPr>
        <w:t>all</w:t>
      </w:r>
      <w:r w:rsidR="00C24526">
        <w:rPr>
          <w:lang w:val="en-GB"/>
        </w:rPr>
        <w:t xml:space="preserve"> in a visual manner that is striking</w:t>
      </w:r>
      <w:r w:rsidR="00F23DD8">
        <w:rPr>
          <w:lang w:val="en-GB"/>
        </w:rPr>
        <w:t xml:space="preserve">, </w:t>
      </w:r>
      <w:r w:rsidR="00C24526">
        <w:rPr>
          <w:lang w:val="en-GB"/>
        </w:rPr>
        <w:t xml:space="preserve">yet </w:t>
      </w:r>
      <w:r w:rsidR="005807B4">
        <w:rPr>
          <w:lang w:val="en-GB"/>
        </w:rPr>
        <w:t xml:space="preserve">clearly conveys the current </w:t>
      </w:r>
      <w:r w:rsidR="005E7789">
        <w:rPr>
          <w:lang w:val="en-GB"/>
        </w:rPr>
        <w:t>effectiveness of healthcare schemes</w:t>
      </w:r>
      <w:r w:rsidR="00F23DD8">
        <w:rPr>
          <w:lang w:val="en-GB"/>
        </w:rPr>
        <w:t xml:space="preserve"> across society</w:t>
      </w:r>
      <w:r w:rsidR="005807B4">
        <w:rPr>
          <w:lang w:val="en-GB"/>
        </w:rPr>
        <w:t xml:space="preserve"> </w:t>
      </w:r>
      <w:r w:rsidR="00C24526">
        <w:rPr>
          <w:lang w:val="en-GB"/>
        </w:rPr>
        <w:fldChar w:fldCharType="begin" w:fldLock="1"/>
      </w:r>
      <w:r w:rsidR="00CE58B5">
        <w:rPr>
          <w:lang w:val="en-GB"/>
        </w:rPr>
        <w:instrText>ADDIN CSL_CITATION {"citationItems":[{"id":"ITEM-1","itemData":{"DOI":"10.1177/1524839909334624","ISBN":"1552-6372\\r1524-8399","ISSN":"15248399","PMID":"19546198","abstract":"The purpose of this literature review is to identify how geographic information system (GIS) applications have been used in health-related research and to critically examine the issues, strengths, and challenges inherent to those approaches from the lenses of health promotion and public health. Through the review process, conducted in 2007, it is evident that health promotion and public health applications of GIS can be generally categorized into four predominant themes: disease surveillance (n = 227), risk analysis (n = 189), health access and planning (n = 138), and community health profiling (n = 115). This review explores how GIS approaches have been used to inform decision making and discusses the extent to which GIS can be applied to address health promotion and public health questions. The contribution of this literature review will be to generate a broader understanding of how GIS-related methodological techniques and tools developed in other disciplines can be meaningfully applied to applications in public health policy, promotion, and practice.","author":[{"dropping-particle":"","family":"Nykiforuk","given":"Candace I.J.","non-dropping-particle":"","parse-names":false,"suffix":""},{"dropping-particle":"","family":"Flaman","given":"Laura M.","non-dropping-particle":"","parse-names":false,"suffix":""}],"container-title":"Health Promotion Practice","id":"ITEM-1","issue":"1","issued":{"date-parts":[["2011"]]},"page":"63-73","title":"Geographic Information Systems (GIS) for Health Promotion and Public Health: A Review","type":"article-journal","volume":"12"},"uris":["http://www.mendeley.com/documents/?uuid=dedfb0b5-c7d7-45c8-8fe6-0f900d96f682"]}],"mendeley":{"formattedCitation":"[13]","plainTextFormattedCitation":"[13]","previouslyFormattedCitation":"[12]"},"properties":{"noteIndex":0},"schema":"https://github.com/citation-style-language/schema/raw/master/csl-citation.json"}</w:instrText>
      </w:r>
      <w:r w:rsidR="00C24526">
        <w:rPr>
          <w:lang w:val="en-GB"/>
        </w:rPr>
        <w:fldChar w:fldCharType="separate"/>
      </w:r>
      <w:r w:rsidR="00CE58B5" w:rsidRPr="00CE58B5">
        <w:rPr>
          <w:noProof/>
          <w:lang w:val="en-GB"/>
        </w:rPr>
        <w:t>[13]</w:t>
      </w:r>
      <w:r w:rsidR="00C24526">
        <w:rPr>
          <w:lang w:val="en-GB"/>
        </w:rPr>
        <w:fldChar w:fldCharType="end"/>
      </w:r>
      <w:r w:rsidR="00C24526">
        <w:rPr>
          <w:lang w:val="en-GB"/>
        </w:rPr>
        <w:t>.</w:t>
      </w:r>
      <w:r w:rsidR="00F23DD8">
        <w:rPr>
          <w:lang w:val="en-GB"/>
        </w:rPr>
        <w:t xml:space="preserve"> </w:t>
      </w:r>
      <w:r w:rsidR="00CB5651">
        <w:rPr>
          <w:lang w:val="en-GB"/>
        </w:rPr>
        <w:t>Numerous healthcare professionals have undertaken studies with the use of such software</w:t>
      </w:r>
      <w:r w:rsidR="005E7789">
        <w:rPr>
          <w:lang w:val="en-GB"/>
        </w:rPr>
        <w:t xml:space="preserve"> in the disease mapping field </w:t>
      </w:r>
      <w:r w:rsidR="005E7789">
        <w:rPr>
          <w:lang w:val="en-GB"/>
        </w:rPr>
        <w:fldChar w:fldCharType="begin" w:fldLock="1"/>
      </w:r>
      <w:r w:rsidR="00CE58B5">
        <w:rPr>
          <w:lang w:val="en-GB"/>
        </w:rPr>
        <w:instrText>ADDIN CSL_CITATION {"citationItems":[{"id":"ITEM-1","itemData":{"DOI":"10.1177/1524839909334624","ISBN":"1552-6372\\r1524-8399","ISSN":"15248399","PMID":"19546198","abstract":"The purpose of this literature review is to identify how geographic information system (GIS) applications have been used in health-related research and to critically examine the issues, strengths, and challenges inherent to those approaches from the lenses of health promotion and public health. Through the review process, conducted in 2007, it is evident that health promotion and public health applications of GIS can be generally categorized into four predominant themes: disease surveillance (n = 227), risk analysis (n = 189), health access and planning (n = 138), and community health profiling (n = 115). This review explores how GIS approaches have been used to inform decision making and discusses the extent to which GIS can be applied to address health promotion and public health questions. The contribution of this literature review will be to generate a broader understanding of how GIS-related methodological techniques and tools developed in other disciplines can be meaningfully applied to applications in public health policy, promotion, and practice.","author":[{"dropping-particle":"","family":"Nykiforuk","given":"Candace I.J.","non-dropping-particle":"","parse-names":false,"suffix":""},{"dropping-particle":"","family":"Flaman","given":"Laura M.","non-dropping-particle":"","parse-names":false,"suffix":""}],"container-title":"Health Promotion Practice","id":"ITEM-1","issue":"1","issued":{"date-parts":[["2011"]]},"page":"63-73","title":"Geographic Information Systems (GIS) for Health Promotion and Public Health: A Review","type":"article-journal","volume":"12"},"uris":["http://www.mendeley.com/documents/?uuid=dedfb0b5-c7d7-45c8-8fe6-0f900d96f682"]}],"mendeley":{"formattedCitation":"[13]","plainTextFormattedCitation":"[13]","previouslyFormattedCitation":"[12]"},"properties":{"noteIndex":0},"schema":"https://github.com/citation-style-language/schema/raw/master/csl-citation.json"}</w:instrText>
      </w:r>
      <w:r w:rsidR="005E7789">
        <w:rPr>
          <w:lang w:val="en-GB"/>
        </w:rPr>
        <w:fldChar w:fldCharType="separate"/>
      </w:r>
      <w:r w:rsidR="00CE58B5" w:rsidRPr="00CE58B5">
        <w:rPr>
          <w:noProof/>
          <w:lang w:val="en-GB"/>
        </w:rPr>
        <w:t>[13]</w:t>
      </w:r>
      <w:r w:rsidR="005E7789">
        <w:rPr>
          <w:lang w:val="en-GB"/>
        </w:rPr>
        <w:fldChar w:fldCharType="end"/>
      </w:r>
      <w:r w:rsidR="005E7789">
        <w:rPr>
          <w:lang w:val="en-GB"/>
        </w:rPr>
        <w:t>,</w:t>
      </w:r>
      <w:r w:rsidR="00CB5651">
        <w:rPr>
          <w:lang w:val="en-GB"/>
        </w:rPr>
        <w:t xml:space="preserve"> </w:t>
      </w:r>
      <w:r w:rsidR="00F23DD8">
        <w:rPr>
          <w:lang w:val="en-GB"/>
        </w:rPr>
        <w:t>so the exploration of Meningitis in a UK is not new.</w:t>
      </w:r>
      <w:r w:rsidR="00CB5651">
        <w:rPr>
          <w:lang w:val="en-GB"/>
        </w:rPr>
        <w:t xml:space="preserve"> </w:t>
      </w:r>
      <w:proofErr w:type="spellStart"/>
      <w:r w:rsidR="00CB5651">
        <w:rPr>
          <w:lang w:val="en-GB"/>
        </w:rPr>
        <w:t>Cromley</w:t>
      </w:r>
      <w:proofErr w:type="spellEnd"/>
      <w:r w:rsidR="00CB5651">
        <w:rPr>
          <w:lang w:val="en-GB"/>
        </w:rPr>
        <w:t xml:space="preserve"> </w:t>
      </w:r>
      <w:r w:rsidR="00CB5651">
        <w:rPr>
          <w:i/>
          <w:lang w:val="en-GB"/>
        </w:rPr>
        <w:t xml:space="preserve">et. </w:t>
      </w:r>
      <w:proofErr w:type="spellStart"/>
      <w:r w:rsidR="00CB5651">
        <w:rPr>
          <w:i/>
          <w:lang w:val="en-GB"/>
        </w:rPr>
        <w:t>al’s</w:t>
      </w:r>
      <w:proofErr w:type="spellEnd"/>
      <w:r w:rsidR="00CB5651">
        <w:rPr>
          <w:lang w:val="en-GB"/>
        </w:rPr>
        <w:t xml:space="preserve"> study of Lyme Disease</w:t>
      </w:r>
      <w:r w:rsidR="00F23DD8">
        <w:rPr>
          <w:lang w:val="en-GB"/>
        </w:rPr>
        <w:t xml:space="preserve"> and</w:t>
      </w:r>
      <w:r w:rsidR="00CB5651">
        <w:rPr>
          <w:lang w:val="en-GB"/>
        </w:rPr>
        <w:t xml:space="preserve"> </w:t>
      </w:r>
      <w:proofErr w:type="spellStart"/>
      <w:r w:rsidR="00CB5651">
        <w:rPr>
          <w:lang w:val="en-GB"/>
        </w:rPr>
        <w:t>Barcellos</w:t>
      </w:r>
      <w:proofErr w:type="spellEnd"/>
      <w:r w:rsidR="00CB5651">
        <w:rPr>
          <w:lang w:val="en-GB"/>
        </w:rPr>
        <w:t xml:space="preserve"> and </w:t>
      </w:r>
      <w:proofErr w:type="spellStart"/>
      <w:r w:rsidR="00CB5651">
        <w:rPr>
          <w:lang w:val="en-GB"/>
        </w:rPr>
        <w:t>Sabroza’s</w:t>
      </w:r>
      <w:proofErr w:type="spellEnd"/>
      <w:r w:rsidR="00CB5651">
        <w:rPr>
          <w:lang w:val="en-GB"/>
        </w:rPr>
        <w:t xml:space="preserve"> use of such software to prove a correlation between </w:t>
      </w:r>
      <w:r w:rsidR="00BD34CC">
        <w:rPr>
          <w:i/>
          <w:lang w:val="en-GB"/>
        </w:rPr>
        <w:t xml:space="preserve">“socio-economic factors” </w:t>
      </w:r>
      <w:r w:rsidR="00BD34CC">
        <w:rPr>
          <w:lang w:val="en-GB"/>
        </w:rPr>
        <w:t xml:space="preserve">and Leptospirosis </w:t>
      </w:r>
      <w:r w:rsidR="00BD34CC" w:rsidRPr="00BD34CC">
        <w:rPr>
          <w:lang w:val="en-GB"/>
        </w:rPr>
        <w:fldChar w:fldCharType="begin" w:fldLock="1"/>
      </w:r>
      <w:r w:rsidR="000F0A8B">
        <w:rPr>
          <w:lang w:val="en-GB"/>
        </w:rPr>
        <w:instrText>ADDIN CSL_CITATION {"citationItems":[{"id":"ITEM-1","itemData":{"ISBN":"1559-4122 (Electronic)\\r1559-4122 (Linking)","ISSN":"1559-4122","PMID":"18698429","abstract":"Differences in access to healthcare services and the resulting adverse health outcomes are major public health priorities. The Institute of Medicine and the Department of Health and Human Services have identified the need for strategies to improve access to healthcare services and to support the improvement of health outcomes. The literature documents health disparities associated with healthcare access and health outcomes from a geographic perspective. Place of residence, location of healthcare services, and geography in general are important factors in the analysis of health. Geographical information systems (GISs) are an emerging technology in the analysis of health from a geographical or location context. As a type of information technology, GISs are potentially powerful assessment tools for the investigation of healthcare access, health outcomes, and the possible resulting health disparities. Their ability to integrate health data with mapping functions allows for visualization, exploration, and modeling of health patterns. Application of GIS technology using health data can help in describing and explaining disparities in healthcare access and health outcomes. The studies reviewed demonstrated the use of GISs to investigate various aspects of healthcare access and health outcomes, including environmental variables of Lyme disease, sociodemographic variables and teen pregnancy, geographical disparities in breast cancer mortality by racial groups, PCP and AIDS prevalence, and factors of a leptospirosis disease outbreak. The literature reviewed shows effective integration and analysis of health data using GIS technology.","author":[{"dropping-particle":"","family":"Graves","given":"Barbara Ann","non-dropping-particle":"","parse-names":false,"suffix":""}],"container-title":"Perspectives in health information management / AHIMA, American Health Information Management Association","id":"ITEM-1","issued":{"date-parts":[["2008"]]},"page":"11","title":"Integrative literature review: a review of literature related to GIS, healthcare","type":"article-journal","volume":"5"},"uris":["http://www.mendeley.com/documents/?uuid=eedfb5f1-44d7-4a6d-b4b9-2d1f21ea344a"]}],"mendeley":{"formattedCitation":"[1]","plainTextFormattedCitation":"[1]","previouslyFormattedCitation":"[1]"},"properties":{"noteIndex":0},"schema":"https://github.com/citation-style-language/schema/raw/master/csl-citation.json"}</w:instrText>
      </w:r>
      <w:r w:rsidR="00BD34CC" w:rsidRPr="00BD34CC">
        <w:rPr>
          <w:lang w:val="en-GB"/>
        </w:rPr>
        <w:fldChar w:fldCharType="separate"/>
      </w:r>
      <w:r w:rsidR="00BD34CC" w:rsidRPr="00BD34CC">
        <w:rPr>
          <w:noProof/>
          <w:lang w:val="en-GB"/>
        </w:rPr>
        <w:t>[1]</w:t>
      </w:r>
      <w:r w:rsidR="00BD34CC" w:rsidRPr="00BD34CC">
        <w:rPr>
          <w:lang w:val="en-GB"/>
        </w:rPr>
        <w:fldChar w:fldCharType="end"/>
      </w:r>
      <w:r w:rsidR="000F0A8B">
        <w:rPr>
          <w:lang w:val="en-GB"/>
        </w:rPr>
        <w:t>,</w:t>
      </w:r>
      <w:r w:rsidR="000F0A8B">
        <w:rPr>
          <w:lang w:val="en-GB"/>
        </w:rPr>
        <w:fldChar w:fldCharType="begin" w:fldLock="1"/>
      </w:r>
      <w:r w:rsidR="00CE58B5">
        <w:rPr>
          <w:lang w:val="en-GB"/>
        </w:rPr>
        <w:instrText>ADDIN CSL_CITATION {"citationItems":[{"id":"ITEM-1","itemData":{"DOI":"10.1080/0960312002001500","ISBN":"0960-3123 (Print)\\r0960-3123 (Linking)","ISSN":"09603123","PMID":"11260779","abstract":"The environmental and social context in which a leptospirosis outbreak took place during the summer of 1996 in the Rio de Janeiro Western Region was examined by using spatial analysis of leptospirosis cases merged with population and environmental data in a Geographical Information System (GIS). Important differences were observed between places where residences of leptospirosis cases are concentrated and other places in the region. Water supply coverage, solid waste collection, sewerage system coverage and flood risk area were the main determining variables from an initial list of ten. The influence of these unfavorable social and environmental factors is verified hundreds of meters distant from the leptospirosis case residences, demonstrating a necessity to broaden the area of health surveillance practices. The geocoding indicated that some cases did not report contact with flood water, even though they were geographically adjacent to cases who did report this contact. Cases may only report exposures they believe are related to the disease. Geocoding is a useful tool for evaluating such bias in the exposure recall.","author":[{"dropping-particle":"","family":"Barcellos","given":"Christovam","non-dropping-particle":"","parse-names":false,"suffix":""},{"dropping-particle":"","family":"Sabroza","given":"Paulo Chagastelles","non-dropping-particle":"","parse-names":false,"suffix":""}],"container-title":"International Journal of Environmental Health Research","id":"ITEM-1","issue":"4","issued":{"date-parts":[["2000"]]},"page":"301-313","title":"Socio-environmental determinants of the leptospirosis outbreak of 1996 in western Rio de Janeiro: A geographical approach","type":"article-journal","volume":"10"},"uris":["http://www.mendeley.com/documents/?uuid=ab7ff392-cc35-4146-b0d6-805036de572c"]}],"mendeley":{"formattedCitation":"[14]","plainTextFormattedCitation":"[14]","previouslyFormattedCitation":"[13]"},"properties":{"noteIndex":0},"schema":"https://github.com/citation-style-language/schema/raw/master/csl-citation.json"}</w:instrText>
      </w:r>
      <w:r w:rsidR="000F0A8B">
        <w:rPr>
          <w:lang w:val="en-GB"/>
        </w:rPr>
        <w:fldChar w:fldCharType="separate"/>
      </w:r>
      <w:r w:rsidR="00CE58B5" w:rsidRPr="00CE58B5">
        <w:rPr>
          <w:noProof/>
          <w:lang w:val="en-GB"/>
        </w:rPr>
        <w:t>[14]</w:t>
      </w:r>
      <w:r w:rsidR="000F0A8B">
        <w:rPr>
          <w:lang w:val="en-GB"/>
        </w:rPr>
        <w:fldChar w:fldCharType="end"/>
      </w:r>
      <w:r w:rsidR="00BD34CC">
        <w:rPr>
          <w:lang w:val="en-GB"/>
        </w:rPr>
        <w:t xml:space="preserve">. </w:t>
      </w:r>
      <w:r w:rsidR="005E7789">
        <w:rPr>
          <w:lang w:val="en-GB"/>
        </w:rPr>
        <w:t xml:space="preserve">The process of disease modelling attempts </w:t>
      </w:r>
      <w:r w:rsidR="005E7789">
        <w:rPr>
          <w:lang w:val="en-GB"/>
        </w:rPr>
        <w:lastRenderedPageBreak/>
        <w:t>to forecast their spread based upon current, or estimated, future social or economic standings.</w:t>
      </w:r>
      <w:r w:rsidR="00DB68C3">
        <w:rPr>
          <w:lang w:val="en-GB"/>
        </w:rPr>
        <w:t xml:space="preserve"> It is this particular process that is of significant importance to </w:t>
      </w:r>
      <w:r w:rsidR="00DB68C3">
        <w:rPr>
          <w:i/>
          <w:lang w:val="en-GB"/>
        </w:rPr>
        <w:t>Abertawe Bro Morgannwg University Health Board</w:t>
      </w:r>
      <w:r w:rsidR="00DB68C3">
        <w:rPr>
          <w:lang w:val="en-GB"/>
        </w:rPr>
        <w:t xml:space="preserve"> </w:t>
      </w:r>
      <w:r w:rsidR="00DB68C3">
        <w:rPr>
          <w:lang w:val="en-GB"/>
        </w:rPr>
        <w:fldChar w:fldCharType="begin" w:fldLock="1"/>
      </w:r>
      <w:r w:rsidR="00CE58B5">
        <w:rPr>
          <w:lang w:val="en-GB"/>
        </w:rPr>
        <w:instrText>ADDIN CSL_CITATION {"citationItems":[{"id":"ITEM-1","itemData":{"URL":"http://www.wales.nhs.uk/sitesplus/863/page/41169","accessed":{"date-parts":[["2019","1","19"]]},"author":[{"dropping-particle":"","family":"Abertawe Bro Morgannwg University Health Board","given":"","non-dropping-particle":"","parse-names":false,"suffix":""}],"container-title":"About Us","id":"ITEM-1","issued":{"date-parts":[["2019"]]},"publisher":"Abertawe Bro Morgannwg University Health Board","title":"Abertawe Bro Morgannwg University Health Board","type":"webpage"},"uris":["http://www.mendeley.com/documents/?uuid=91a58ec2-98f2-331a-bfb7-9c3847e4f489"]}],"mendeley":{"formattedCitation":"[15]","plainTextFormattedCitation":"[15]","previouslyFormattedCitation":"[14]"},"properties":{"noteIndex":0},"schema":"https://github.com/citation-style-language/schema/raw/master/csl-citation.json"}</w:instrText>
      </w:r>
      <w:r w:rsidR="00DB68C3">
        <w:rPr>
          <w:lang w:val="en-GB"/>
        </w:rPr>
        <w:fldChar w:fldCharType="separate"/>
      </w:r>
      <w:r w:rsidR="00CE58B5" w:rsidRPr="00CE58B5">
        <w:rPr>
          <w:noProof/>
          <w:lang w:val="en-GB"/>
        </w:rPr>
        <w:t>[15]</w:t>
      </w:r>
      <w:r w:rsidR="00DB68C3">
        <w:rPr>
          <w:lang w:val="en-GB"/>
        </w:rPr>
        <w:fldChar w:fldCharType="end"/>
      </w:r>
      <w:r w:rsidR="00DB68C3">
        <w:rPr>
          <w:lang w:val="en-GB"/>
        </w:rPr>
        <w:t xml:space="preserve"> in understanding how the chance of future </w:t>
      </w:r>
      <w:proofErr w:type="spellStart"/>
      <w:r w:rsidR="00AB1001">
        <w:rPr>
          <w:lang w:val="en-GB"/>
        </w:rPr>
        <w:t>Barcellos</w:t>
      </w:r>
      <w:proofErr w:type="spellEnd"/>
      <w:r w:rsidR="00AB1001">
        <w:rPr>
          <w:lang w:val="en-GB"/>
        </w:rPr>
        <w:t xml:space="preserve"> and </w:t>
      </w:r>
      <w:proofErr w:type="spellStart"/>
      <w:r w:rsidR="00AB1001">
        <w:rPr>
          <w:lang w:val="en-GB"/>
        </w:rPr>
        <w:t>Sabroza</w:t>
      </w:r>
      <w:proofErr w:type="spellEnd"/>
      <w:r w:rsidR="00AB1001">
        <w:rPr>
          <w:lang w:val="en-GB"/>
        </w:rPr>
        <w:t xml:space="preserve"> </w:t>
      </w:r>
      <w:r w:rsidR="00AB1001">
        <w:rPr>
          <w:lang w:val="en-GB"/>
        </w:rPr>
        <w:fldChar w:fldCharType="begin" w:fldLock="1"/>
      </w:r>
      <w:r w:rsidR="00CE58B5">
        <w:rPr>
          <w:lang w:val="en-GB"/>
        </w:rPr>
        <w:instrText>ADDIN CSL_CITATION {"citationItems":[{"id":"ITEM-1","itemData":{"DOI":"10.1080/0960312002001500","ISBN":"0960-3123 (Print)\\r0960-3123 (Linking)","ISSN":"09603123","PMID":"11260779","abstract":"The environmental and social context in which a leptospirosis outbreak took place during the summer of 1996 in the Rio de Janeiro Western Region was examined by using spatial analysis of leptospirosis cases merged with population and environmental data in a Geographical Information System (GIS). Important differences were observed between places where residences of leptospirosis cases are concentrated and other places in the region. Water supply coverage, solid waste collection, sewerage system coverage and flood risk area were the main determining variables from an initial list of ten. The influence of these unfavorable social and environmental factors is verified hundreds of meters distant from the leptospirosis case residences, demonstrating a necessity to broaden the area of health surveillance practices. The geocoding indicated that some cases did not report contact with flood water, even though they were geographically adjacent to cases who did report this contact. Cases may only report exposures they believe are related to the disease. Geocoding is a useful tool for evaluating such bias in the exposure recall.","author":[{"dropping-particle":"","family":"Barcellos","given":"Christovam","non-dropping-particle":"","parse-names":false,"suffix":""},{"dropping-particle":"","family":"Sabroza","given":"Paulo Chagastelles","non-dropping-particle":"","parse-names":false,"suffix":""}],"container-title":"International Journal of Environmental Health Research","id":"ITEM-1","issue":"4","issued":{"date-parts":[["2000"]]},"page":"301-313","title":"Socio-environmental determinants of the leptospirosis outbreak of 1996 in western Rio de Janeiro: A geographical approach","type":"article-journal","volume":"10"},"uris":["http://www.mendeley.com/documents/?uuid=ab7ff392-cc35-4146-b0d6-805036de572c"]}],"mendeley":{"formattedCitation":"[14]","plainTextFormattedCitation":"[14]","previouslyFormattedCitation":"[13]"},"properties":{"noteIndex":0},"schema":"https://github.com/citation-style-language/schema/raw/master/csl-citation.json"}</w:instrText>
      </w:r>
      <w:r w:rsidR="00AB1001">
        <w:rPr>
          <w:lang w:val="en-GB"/>
        </w:rPr>
        <w:fldChar w:fldCharType="separate"/>
      </w:r>
      <w:r w:rsidR="00CE58B5" w:rsidRPr="00CE58B5">
        <w:rPr>
          <w:noProof/>
          <w:lang w:val="en-GB"/>
        </w:rPr>
        <w:t>[14]</w:t>
      </w:r>
      <w:r w:rsidR="00AB1001">
        <w:rPr>
          <w:lang w:val="en-GB"/>
        </w:rPr>
        <w:fldChar w:fldCharType="end"/>
      </w:r>
      <w:r w:rsidR="00AB1001">
        <w:rPr>
          <w:lang w:val="en-GB"/>
        </w:rPr>
        <w:t xml:space="preserve">, as a premise for this study, suggest that disease outbreaks are caused by several key factors transpiring concurrently, each of which is </w:t>
      </w:r>
      <w:r w:rsidR="00AB1001">
        <w:rPr>
          <w:i/>
          <w:lang w:val="en-GB"/>
        </w:rPr>
        <w:t xml:space="preserve">“laden with a brand of spacial expression” </w:t>
      </w:r>
      <w:r w:rsidR="00AB1001">
        <w:rPr>
          <w:lang w:val="en-GB"/>
        </w:rPr>
        <w:fldChar w:fldCharType="begin" w:fldLock="1"/>
      </w:r>
      <w:r w:rsidR="00CE58B5">
        <w:rPr>
          <w:lang w:val="en-GB"/>
        </w:rPr>
        <w:instrText>ADDIN CSL_CITATION {"citationItems":[{"id":"ITEM-1","itemData":{"DOI":"10.1080/0960312002001500","ISBN":"0960-3123 (Print)\\r0960-3123 (Linking)","ISSN":"09603123","PMID":"11260779","abstract":"The environmental and social context in which a leptospirosis outbreak took place during the summer of 1996 in the Rio de Janeiro Western Region was examined by using spatial analysis of leptospirosis cases merged with population and environmental data in a Geographical Information System (GIS). Important differences were observed between places where residences of leptospirosis cases are concentrated and other places in the region. Water supply coverage, solid waste collection, sewerage system coverage and flood risk area were the main determining variables from an initial list of ten. The influence of these unfavorable social and environmental factors is verified hundreds of meters distant from the leptospirosis case residences, demonstrating a necessity to broaden the area of health surveillance practices. The geocoding indicated that some cases did not report contact with flood water, even though they were geographically adjacent to cases who did report this contact. Cases may only report exposures they believe are related to the disease. Geocoding is a useful tool for evaluating such bias in the exposure recall.","author":[{"dropping-particle":"","family":"Barcellos","given":"Christovam","non-dropping-particle":"","parse-names":false,"suffix":""},{"dropping-particle":"","family":"Sabroza","given":"Paulo Chagastelles","non-dropping-particle":"","parse-names":false,"suffix":""}],"container-title":"International Journal of Environmental Health Research","id":"ITEM-1","issue":"4","issued":{"date-parts":[["2000"]]},"page":"301-313","title":"Socio-environmental determinants of the leptospirosis outbreak of 1996 in western Rio de Janeiro: A geographical approach","type":"article-journal","volume":"10"},"uris":["http://www.mendeley.com/documents/?uuid=ab7ff392-cc35-4146-b0d6-805036de572c"]}],"mendeley":{"formattedCitation":"[14]","plainTextFormattedCitation":"[14]","previouslyFormattedCitation":"[13]"},"properties":{"noteIndex":0},"schema":"https://github.com/citation-style-language/schema/raw/master/csl-citation.json"}</w:instrText>
      </w:r>
      <w:r w:rsidR="00AB1001">
        <w:rPr>
          <w:lang w:val="en-GB"/>
        </w:rPr>
        <w:fldChar w:fldCharType="separate"/>
      </w:r>
      <w:r w:rsidR="00CE58B5" w:rsidRPr="00CE58B5">
        <w:rPr>
          <w:noProof/>
          <w:lang w:val="en-GB"/>
        </w:rPr>
        <w:t>[14]</w:t>
      </w:r>
      <w:r w:rsidR="00AB1001">
        <w:rPr>
          <w:lang w:val="en-GB"/>
        </w:rPr>
        <w:fldChar w:fldCharType="end"/>
      </w:r>
      <w:r w:rsidR="00AB1001">
        <w:rPr>
          <w:i/>
          <w:lang w:val="en-GB"/>
        </w:rPr>
        <w:t xml:space="preserve"> </w:t>
      </w:r>
      <w:r w:rsidR="00AB1001">
        <w:rPr>
          <w:lang w:val="en-GB"/>
        </w:rPr>
        <w:t xml:space="preserve">that can be mapped thematically, a factor supporting the decision to reference the Townsend Index and the various social measures that it comprises and how such factors are likely to spread, and to where. </w:t>
      </w:r>
      <w:r w:rsidR="00CA04A5">
        <w:rPr>
          <w:lang w:val="en-GB"/>
        </w:rPr>
        <w:t xml:space="preserve">This paper revolves around the exploration of health access, a study that attempts to show societies </w:t>
      </w:r>
      <w:r w:rsidR="00CA04A5">
        <w:rPr>
          <w:i/>
          <w:lang w:val="en-GB"/>
        </w:rPr>
        <w:t>“ability to use health services when needed”</w:t>
      </w:r>
      <w:r w:rsidR="00CA04A5">
        <w:rPr>
          <w:lang w:val="en-GB"/>
        </w:rPr>
        <w:t xml:space="preserve"> </w:t>
      </w:r>
      <w:r w:rsidR="00CA04A5">
        <w:rPr>
          <w:lang w:val="en-GB"/>
        </w:rPr>
        <w:fldChar w:fldCharType="begin" w:fldLock="1"/>
      </w:r>
      <w:r w:rsidR="00CE58B5">
        <w:rPr>
          <w:lang w:val="en-GB"/>
        </w:rPr>
        <w:instrText>ADDIN CSL_CITATION {"citationItems":[{"id":"ITEM-1","itemData":{"DOI":"10.1177/1524839909334624","ISBN":"1552-6372\\r1524-8399","ISSN":"15248399","PMID":"19546198","abstract":"The purpose of this literature review is to identify how geographic information system (GIS) applications have been used in health-related research and to critically examine the issues, strengths, and challenges inherent to those approaches from the lenses of health promotion and public health. Through the review process, conducted in 2007, it is evident that health promotion and public health applications of GIS can be generally categorized into four predominant themes: disease surveillance (n = 227), risk analysis (n = 189), health access and planning (n = 138), and community health profiling (n = 115). This review explores how GIS approaches have been used to inform decision making and discusses the extent to which GIS can be applied to address health promotion and public health questions. The contribution of this literature review will be to generate a broader understanding of how GIS-related methodological techniques and tools developed in other disciplines can be meaningfully applied to applications in public health policy, promotion, and practice.","author":[{"dropping-particle":"","family":"Nykiforuk","given":"Candace I.J.","non-dropping-particle":"","parse-names":false,"suffix":""},{"dropping-particle":"","family":"Flaman","given":"Laura M.","non-dropping-particle":"","parse-names":false,"suffix":""}],"container-title":"Health Promotion Practice","id":"ITEM-1","issue":"1","issued":{"date-parts":[["2011"]]},"page":"63-73","title":"Geographic Information Systems (GIS) for Health Promotion and Public Health: A Review","type":"article-journal","volume":"12"},"uris":["http://www.mendeley.com/documents/?uuid=dedfb0b5-c7d7-45c8-8fe6-0f900d96f682"]}],"mendeley":{"formattedCitation":"[13]","plainTextFormattedCitation":"[13]","previouslyFormattedCitation":"[12]"},"properties":{"noteIndex":0},"schema":"https://github.com/citation-style-language/schema/raw/master/csl-citation.json"}</w:instrText>
      </w:r>
      <w:r w:rsidR="00CA04A5">
        <w:rPr>
          <w:lang w:val="en-GB"/>
        </w:rPr>
        <w:fldChar w:fldCharType="separate"/>
      </w:r>
      <w:r w:rsidR="00CE58B5" w:rsidRPr="00CE58B5">
        <w:rPr>
          <w:noProof/>
          <w:lang w:val="en-GB"/>
        </w:rPr>
        <w:t>[13]</w:t>
      </w:r>
      <w:r w:rsidR="00CA04A5">
        <w:rPr>
          <w:lang w:val="en-GB"/>
        </w:rPr>
        <w:fldChar w:fldCharType="end"/>
      </w:r>
      <w:r w:rsidR="00CA04A5">
        <w:rPr>
          <w:lang w:val="en-GB"/>
        </w:rPr>
        <w:t xml:space="preserve"> whereby population uptake, relative success (based on </w:t>
      </w:r>
      <w:r w:rsidR="00467CB8">
        <w:rPr>
          <w:lang w:val="en-GB"/>
        </w:rPr>
        <w:t xml:space="preserve">access to </w:t>
      </w:r>
      <w:r w:rsidR="00CA04A5">
        <w:rPr>
          <w:lang w:val="en-GB"/>
        </w:rPr>
        <w:t xml:space="preserve">suitable data) and other associated variables are required to offer an accurate response </w:t>
      </w:r>
      <w:r w:rsidR="00CA04A5">
        <w:rPr>
          <w:lang w:val="en-GB"/>
        </w:rPr>
        <w:fldChar w:fldCharType="begin" w:fldLock="1"/>
      </w:r>
      <w:r w:rsidR="00CE58B5">
        <w:rPr>
          <w:lang w:val="en-GB"/>
        </w:rPr>
        <w:instrText>ADDIN CSL_CITATION {"citationItems":[{"id":"ITEM-1","itemData":{"author":[{"dropping-particle":"","family":"Cromley","given":"Ellen K.","non-dropping-particle":"","parse-names":false,"suffix":""},{"dropping-particle":"","family":"McLafferty","given":"Sara L.","non-dropping-particle":"","parse-names":false,"suffix":""}],"edition":"2","id":"ITEM-1","issued":{"date-parts":[["2012"]]},"publisher":"Guilford Publications","publisher-place":"New York (NY)","title":"GIS and Public Health","type":"book"},"uris":["http://www.mendeley.com/documents/?uuid=642f3248-8ac1-32f3-9a65-ad7e602c7700"]}],"mendeley":{"formattedCitation":"[16]","plainTextFormattedCitation":"[16]","previouslyFormattedCitation":"[15]"},"properties":{"noteIndex":0},"schema":"https://github.com/citation-style-language/schema/raw/master/csl-citation.json"}</w:instrText>
      </w:r>
      <w:r w:rsidR="00CA04A5">
        <w:rPr>
          <w:lang w:val="en-GB"/>
        </w:rPr>
        <w:fldChar w:fldCharType="separate"/>
      </w:r>
      <w:r w:rsidR="00CE58B5" w:rsidRPr="00CE58B5">
        <w:rPr>
          <w:noProof/>
          <w:lang w:val="en-GB"/>
        </w:rPr>
        <w:t>[16]</w:t>
      </w:r>
      <w:r w:rsidR="00CA04A5">
        <w:rPr>
          <w:lang w:val="en-GB"/>
        </w:rPr>
        <w:fldChar w:fldCharType="end"/>
      </w:r>
      <w:r w:rsidR="00CA04A5">
        <w:rPr>
          <w:lang w:val="en-GB"/>
        </w:rPr>
        <w:t xml:space="preserve">. </w:t>
      </w:r>
      <w:r w:rsidR="0039653A">
        <w:rPr>
          <w:lang w:val="en-GB"/>
        </w:rPr>
        <w:t>With reference to such studies</w:t>
      </w:r>
      <w:r w:rsidR="0039653A">
        <w:rPr>
          <w:lang w:val="en-GB"/>
        </w:rPr>
        <w:t>,</w:t>
      </w:r>
      <w:r w:rsidR="0039653A">
        <w:rPr>
          <w:lang w:val="en-GB"/>
        </w:rPr>
        <w:t xml:space="preserve"> Graves </w:t>
      </w:r>
      <w:r w:rsidR="0039653A" w:rsidRPr="00BD34CC">
        <w:rPr>
          <w:lang w:val="en-GB"/>
        </w:rPr>
        <w:fldChar w:fldCharType="begin" w:fldLock="1"/>
      </w:r>
      <w:r w:rsidR="0039653A">
        <w:rPr>
          <w:lang w:val="en-GB"/>
        </w:rPr>
        <w:instrText>ADDIN CSL_CITATION {"citationItems":[{"id":"ITEM-1","itemData":{"ISBN":"1559-4122 (Electronic)\\r1559-4122 (Linking)","ISSN":"1559-4122","PMID":"18698429","abstract":"Differences in access to healthcare services and the resulting adverse health outcomes are major public health priorities. The Institute of Medicine and the Department of Health and Human Services have identified the need for strategies to improve access to healthcare services and to support the improvement of health outcomes. The literature documents health disparities associated with healthcare access and health outcomes from a geographic perspective. Place of residence, location of healthcare services, and geography in general are important factors in the analysis of health. Geographical information systems (GISs) are an emerging technology in the analysis of health from a geographical or location context. As a type of information technology, GISs are potentially powerful assessment tools for the investigation of healthcare access, health outcomes, and the possible resulting health disparities. Their ability to integrate health data with mapping functions allows for visualization, exploration, and modeling of health patterns. Application of GIS technology using health data can help in describing and explaining disparities in healthcare access and health outcomes. The studies reviewed demonstrated the use of GISs to investigate various aspects of healthcare access and health outcomes, including environmental variables of Lyme disease, sociodemographic variables and teen pregnancy, geographical disparities in breast cancer mortality by racial groups, PCP and AIDS prevalence, and factors of a leptospirosis disease outbreak. The literature reviewed shows effective integration and analysis of health data using GIS technology.","author":[{"dropping-particle":"","family":"Graves","given":"Barbara Ann","non-dropping-particle":"","parse-names":false,"suffix":""}],"container-title":"Perspectives in health information management / AHIMA, American Health Information Management Association","id":"ITEM-1","issued":{"date-parts":[["2008"]]},"page":"11","title":"Integrative literature review: a review of literature related to GIS, healthcare","type":"article-journal","volume":"5"},"uris":["http://www.mendeley.com/documents/?uuid=eedfb5f1-44d7-4a6d-b4b9-2d1f21ea344a"]}],"mendeley":{"formattedCitation":"[1]","plainTextFormattedCitation":"[1]","previouslyFormattedCitation":"[1]"},"properties":{"noteIndex":0},"schema":"https://github.com/citation-style-language/schema/raw/master/csl-citation.json"}</w:instrText>
      </w:r>
      <w:r w:rsidR="0039653A" w:rsidRPr="00BD34CC">
        <w:rPr>
          <w:lang w:val="en-GB"/>
        </w:rPr>
        <w:fldChar w:fldCharType="separate"/>
      </w:r>
      <w:r w:rsidR="0039653A" w:rsidRPr="00BD34CC">
        <w:rPr>
          <w:noProof/>
          <w:lang w:val="en-GB"/>
        </w:rPr>
        <w:t>[1]</w:t>
      </w:r>
      <w:r w:rsidR="0039653A" w:rsidRPr="00BD34CC">
        <w:rPr>
          <w:lang w:val="en-GB"/>
        </w:rPr>
        <w:fldChar w:fldCharType="end"/>
      </w:r>
      <w:r w:rsidR="0039653A">
        <w:rPr>
          <w:lang w:val="en-GB"/>
        </w:rPr>
        <w:t xml:space="preserve"> considers GIS to be both useful and highly effective given the link geographical reasoning behind uptake, access and healthcare provisions, as well as policy setting</w:t>
      </w:r>
      <w:r w:rsidR="0039653A">
        <w:rPr>
          <w:lang w:val="en-GB"/>
        </w:rPr>
        <w:t xml:space="preserve"> as part of the goal to provide services in a timely and convenient manner</w:t>
      </w:r>
      <w:r w:rsidR="0039653A">
        <w:rPr>
          <w:lang w:val="en-GB"/>
        </w:rPr>
        <w:t xml:space="preserve"> </w:t>
      </w:r>
      <w:r w:rsidR="00E96382">
        <w:rPr>
          <w:lang w:val="en-GB"/>
        </w:rPr>
        <w:t xml:space="preserve">for all </w:t>
      </w:r>
      <w:r w:rsidR="0039653A">
        <w:rPr>
          <w:lang w:val="en-GB"/>
        </w:rPr>
        <w:fldChar w:fldCharType="begin" w:fldLock="1"/>
      </w:r>
      <w:r w:rsidR="00CE58B5">
        <w:rPr>
          <w:lang w:val="en-GB"/>
        </w:rPr>
        <w:instrText>ADDIN CSL_CITATION {"citationItems":[{"id":"ITEM-1","itemData":{"DOI":"10.1177/1524839909334624","ISBN":"1552-6372\\r1524-8399","ISSN":"15248399","PMID":"19546198","abstract":"The purpose of this literature review is to identify how geographic information system (GIS) applications have been used in health-related research and to critically examine the issues, strengths, and challenges inherent to those approaches from the lenses of health promotion and public health. Through the review process, conducted in 2007, it is evident that health promotion and public health applications of GIS can be generally categorized into four predominant themes: disease surveillance (n = 227), risk analysis (n = 189), health access and planning (n = 138), and community health profiling (n = 115). This review explores how GIS approaches have been used to inform decision making and discusses the extent to which GIS can be applied to address health promotion and public health questions. The contribution of this literature review will be to generate a broader understanding of how GIS-related methodological techniques and tools developed in other disciplines can be meaningfully applied to applications in public health policy, promotion, and practice.","author":[{"dropping-particle":"","family":"Nykiforuk","given":"Candace I.J.","non-dropping-particle":"","parse-names":false,"suffix":""},{"dropping-particle":"","family":"Flaman","given":"Laura M.","non-dropping-particle":"","parse-names":false,"suffix":""}],"container-title":"Health Promotion Practice","id":"ITEM-1","issue":"1","issued":{"date-parts":[["2011"]]},"page":"63-73","title":"Geographic Information Systems (GIS) for Health Promotion and Public Health: A Review","type":"article-journal","volume":"12"},"uris":["http://www.mendeley.com/documents/?uuid=dedfb0b5-c7d7-45c8-8fe6-0f900d96f682"]}],"mendeley":{"formattedCitation":"[13]","plainTextFormattedCitation":"[13]","previouslyFormattedCitation":"[12]"},"properties":{"noteIndex":0},"schema":"https://github.com/citation-style-language/schema/raw/master/csl-citation.json"}</w:instrText>
      </w:r>
      <w:r w:rsidR="0039653A">
        <w:rPr>
          <w:lang w:val="en-GB"/>
        </w:rPr>
        <w:fldChar w:fldCharType="separate"/>
      </w:r>
      <w:r w:rsidR="00CE58B5" w:rsidRPr="00CE58B5">
        <w:rPr>
          <w:noProof/>
          <w:lang w:val="en-GB"/>
        </w:rPr>
        <w:t>[13]</w:t>
      </w:r>
      <w:r w:rsidR="0039653A">
        <w:rPr>
          <w:lang w:val="en-GB"/>
        </w:rPr>
        <w:fldChar w:fldCharType="end"/>
      </w:r>
      <w:r w:rsidR="0039653A">
        <w:rPr>
          <w:lang w:val="en-GB"/>
        </w:rPr>
        <w:t xml:space="preserve">. </w:t>
      </w:r>
    </w:p>
    <w:p w14:paraId="6B605EC0" w14:textId="77777777" w:rsidR="0039653A" w:rsidRDefault="0039653A" w:rsidP="00CA04A5">
      <w:pPr>
        <w:pStyle w:val="IEEEText"/>
        <w:ind w:firstLine="0"/>
        <w:rPr>
          <w:lang w:val="en-GB"/>
        </w:rPr>
      </w:pPr>
    </w:p>
    <w:p w14:paraId="1C26EBC7" w14:textId="0589F717" w:rsidR="0039653A" w:rsidRPr="00DB68C3" w:rsidRDefault="00CA04A5" w:rsidP="0090771D">
      <w:pPr>
        <w:pStyle w:val="IEEEText"/>
        <w:ind w:firstLine="720"/>
        <w:rPr>
          <w:lang w:val="en-GB"/>
        </w:rPr>
      </w:pPr>
      <w:r>
        <w:rPr>
          <w:lang w:val="en-GB"/>
        </w:rPr>
        <w:t>As such the following data for the Swansea MSOA and CMWD area(s) have been acquired</w:t>
      </w:r>
      <w:r w:rsidR="0039653A">
        <w:rPr>
          <w:lang w:val="en-GB"/>
        </w:rPr>
        <w:t xml:space="preserve"> </w:t>
      </w:r>
      <w:r w:rsidR="00B14FED">
        <w:rPr>
          <w:lang w:val="en-GB"/>
        </w:rPr>
        <w:fldChar w:fldCharType="begin" w:fldLock="1"/>
      </w:r>
      <w:r w:rsidR="00CE58B5">
        <w:rPr>
          <w:lang w:val="en-GB"/>
        </w:rPr>
        <w:instrText>ADDIN CSL_CITATION {"citationItems":[{"id":"ITEM-1","itemData":{"URL":"https://census.ukdataservice.ac.uk/use-data/guides/boundary-data","abstract":"Census area statistics provide counts of people or households for geographical areas broken down by socio-demographic characteristics such as age, gender or employment. Digitised boundary datasets (sometimes referred to as 'DBDs' or 'boundary data') are a digitised representation of the underlying geography of the census. They are often used within Geographical Information Systems (GIS) or Computer aided Designs (CAD) systems.","accessed":{"date-parts":[["2019","1","25"]]},"author":[{"dropping-particle":"","family":"UK Data Service","given":"","non-dropping-particle":"","parse-names":false,"suffix":""}],"container-title":"Census Support","id":"ITEM-1","issued":{"date-parts":[["2019"]]},"title":"Census Boundary Data","type":"webpage"},"uris":["http://www.mendeley.com/documents/?uuid=2000956e-1f76-3be0-a2a9-c16d7ab14c86"]}],"mendeley":{"formattedCitation":"[17]","plainTextFormattedCitation":"[17]","previouslyFormattedCitation":"[16]"},"properties":{"noteIndex":0},"schema":"https://github.com/citation-style-language/schema/raw/master/csl-citation.json"}</w:instrText>
      </w:r>
      <w:r w:rsidR="00B14FED">
        <w:rPr>
          <w:lang w:val="en-GB"/>
        </w:rPr>
        <w:fldChar w:fldCharType="separate"/>
      </w:r>
      <w:r w:rsidR="00CE58B5" w:rsidRPr="00CE58B5">
        <w:rPr>
          <w:noProof/>
          <w:lang w:val="en-GB"/>
        </w:rPr>
        <w:t>[17]</w:t>
      </w:r>
      <w:r w:rsidR="00B14FED">
        <w:rPr>
          <w:lang w:val="en-GB"/>
        </w:rPr>
        <w:fldChar w:fldCharType="end"/>
      </w:r>
      <w:r>
        <w:rPr>
          <w:lang w:val="en-GB"/>
        </w:rPr>
        <w:t xml:space="preserve">. The importance of multiple data sources in </w:t>
      </w:r>
      <w:r>
        <w:rPr>
          <w:i/>
          <w:lang w:val="en-GB"/>
        </w:rPr>
        <w:t>“risk modelling and prediction”</w:t>
      </w:r>
      <w:r w:rsidRPr="0063044A">
        <w:rPr>
          <w:lang w:val="en-GB"/>
        </w:rPr>
        <w:t xml:space="preserve"> </w:t>
      </w:r>
      <w:r>
        <w:rPr>
          <w:lang w:val="en-GB"/>
        </w:rPr>
        <w:fldChar w:fldCharType="begin" w:fldLock="1"/>
      </w:r>
      <w:r w:rsidR="00CE58B5">
        <w:rPr>
          <w:lang w:val="en-GB"/>
        </w:rPr>
        <w:instrText>ADDIN CSL_CITATION {"citationItems":[{"id":"ITEM-1","itemData":{"DOI":"10.1177/1524839909334624","ISBN":"1552-6372\\r1524-8399","ISSN":"15248399","PMID":"19546198","abstract":"The purpose of this literature review is to identify how geographic information system (GIS) applications have been used in health-related research and to critically examine the issues, strengths, and challenges inherent to those approaches from the lenses of health promotion and public health. Through the review process, conducted in 2007, it is evident that health promotion and public health applications of GIS can be generally categorized into four predominant themes: disease surveillance (n = 227), risk analysis (n = 189), health access and planning (n = 138), and community health profiling (n = 115). This review explores how GIS approaches have been used to inform decision making and discusses the extent to which GIS can be applied to address health promotion and public health questions. The contribution of this literature review will be to generate a broader understanding of how GIS-related methodological techniques and tools developed in other disciplines can be meaningfully applied to applications in public health policy, promotion, and practice.","author":[{"dropping-particle":"","family":"Nykiforuk","given":"Candace I.J.","non-dropping-particle":"","parse-names":false,"suffix":""},{"dropping-particle":"","family":"Flaman","given":"Laura M.","non-dropping-particle":"","parse-names":false,"suffix":""}],"container-title":"Health Promotion Practice","id":"ITEM-1","issue":"1","issued":{"date-parts":[["2011"]]},"page":"63-73","title":"Geographic Information Systems (GIS) for Health Promotion and Public Health: A Review","type":"article-journal","volume":"12"},"uris":["http://www.mendeley.com/documents/?uuid=dedfb0b5-c7d7-45c8-8fe6-0f900d96f682"]}],"mendeley":{"formattedCitation":"[13]","plainTextFormattedCitation":"[13]","previouslyFormattedCitation":"[12]"},"properties":{"noteIndex":0},"schema":"https://github.com/citation-style-language/schema/raw/master/csl-citation.json"}</w:instrText>
      </w:r>
      <w:r>
        <w:rPr>
          <w:lang w:val="en-GB"/>
        </w:rPr>
        <w:fldChar w:fldCharType="separate"/>
      </w:r>
      <w:r w:rsidR="00CE58B5" w:rsidRPr="00CE58B5">
        <w:rPr>
          <w:noProof/>
          <w:lang w:val="en-GB"/>
        </w:rPr>
        <w:t>[13]</w:t>
      </w:r>
      <w:r>
        <w:rPr>
          <w:lang w:val="en-GB"/>
        </w:rPr>
        <w:fldChar w:fldCharType="end"/>
      </w:r>
      <w:r>
        <w:rPr>
          <w:lang w:val="en-GB"/>
        </w:rPr>
        <w:t>,</w:t>
      </w:r>
      <w:r>
        <w:rPr>
          <w:lang w:val="en-GB"/>
        </w:rPr>
        <w:fldChar w:fldCharType="begin" w:fldLock="1"/>
      </w:r>
      <w:r w:rsidR="00CE58B5">
        <w:rPr>
          <w:lang w:val="en-GB"/>
        </w:rPr>
        <w:instrText>ADDIN CSL_CITATION {"citationItems":[{"id":"ITEM-1","itemData":{"author":[{"dropping-particle":"","family":"Cromley","given":"Ellen K.","non-dropping-particle":"","parse-names":false,"suffix":""},{"dropping-particle":"","family":"McLafferty","given":"Sara L.","non-dropping-particle":"","parse-names":false,"suffix":""}],"edition":"2","id":"ITEM-1","issued":{"date-parts":[["2012"]]},"publisher":"Guilford Publications","publisher-place":"New York (NY)","title":"GIS and Public Health","type":"book"},"uris":["http://www.mendeley.com/documents/?uuid=642f3248-8ac1-32f3-9a65-ad7e602c7700"]}],"mendeley":{"formattedCitation":"[16]","plainTextFormattedCitation":"[16]","previouslyFormattedCitation":"[15]"},"properties":{"noteIndex":0},"schema":"https://github.com/citation-style-language/schema/raw/master/csl-citation.json"}</w:instrText>
      </w:r>
      <w:r>
        <w:rPr>
          <w:lang w:val="en-GB"/>
        </w:rPr>
        <w:fldChar w:fldCharType="separate"/>
      </w:r>
      <w:r w:rsidR="00CE58B5" w:rsidRPr="00CE58B5">
        <w:rPr>
          <w:noProof/>
          <w:lang w:val="en-GB"/>
        </w:rPr>
        <w:t>[16]</w:t>
      </w:r>
      <w:r>
        <w:rPr>
          <w:lang w:val="en-GB"/>
        </w:rPr>
        <w:fldChar w:fldCharType="end"/>
      </w:r>
      <w:r>
        <w:rPr>
          <w:lang w:val="en-GB"/>
        </w:rPr>
        <w:t xml:space="preserve"> is highlighted by both </w:t>
      </w:r>
      <w:proofErr w:type="spellStart"/>
      <w:r>
        <w:rPr>
          <w:lang w:val="en-GB"/>
        </w:rPr>
        <w:t>Nykiforuk</w:t>
      </w:r>
      <w:proofErr w:type="spellEnd"/>
      <w:r>
        <w:rPr>
          <w:lang w:val="en-GB"/>
        </w:rPr>
        <w:t xml:space="preserve"> and Flaman, and </w:t>
      </w:r>
      <w:proofErr w:type="spellStart"/>
      <w:r>
        <w:rPr>
          <w:lang w:val="en-GB"/>
        </w:rPr>
        <w:t>Cromley</w:t>
      </w:r>
      <w:proofErr w:type="spellEnd"/>
      <w:r>
        <w:rPr>
          <w:lang w:val="en-GB"/>
        </w:rPr>
        <w:t xml:space="preserve"> and </w:t>
      </w:r>
      <w:proofErr w:type="spellStart"/>
      <w:r>
        <w:rPr>
          <w:lang w:val="en-GB"/>
        </w:rPr>
        <w:t>McLafferty</w:t>
      </w:r>
      <w:proofErr w:type="spellEnd"/>
      <w:r>
        <w:rPr>
          <w:lang w:val="en-GB"/>
        </w:rPr>
        <w:t>. This study has integrated the use of a general deprivation metric, the Townsend Index, to offer another dimension and aid the development of theories behind the uptake of Men</w:t>
      </w:r>
      <w:r w:rsidR="0075300D">
        <w:rPr>
          <w:lang w:val="en-GB"/>
        </w:rPr>
        <w:t>in</w:t>
      </w:r>
      <w:r>
        <w:rPr>
          <w:lang w:val="en-GB"/>
        </w:rPr>
        <w:t>gitis vaccines across the regions of Swansea, Gower and Port Talbot.</w:t>
      </w:r>
      <w:r w:rsidR="00AB0866">
        <w:rPr>
          <w:lang w:val="en-GB"/>
        </w:rPr>
        <w:t xml:space="preserve"> </w:t>
      </w:r>
      <w:r w:rsidR="0039653A">
        <w:rPr>
          <w:lang w:val="en-GB"/>
        </w:rPr>
        <w:t>Meningitis outbreaks can be reduced given the issues experienced</w:t>
      </w:r>
      <w:r w:rsidR="00AB0866">
        <w:rPr>
          <w:lang w:val="en-GB"/>
        </w:rPr>
        <w:t>, and lessons learnt, from</w:t>
      </w:r>
      <w:r w:rsidR="0039653A">
        <w:rPr>
          <w:lang w:val="en-GB"/>
        </w:rPr>
        <w:t xml:space="preserve"> past </w:t>
      </w:r>
      <w:r w:rsidR="00AB0866">
        <w:rPr>
          <w:lang w:val="en-GB"/>
        </w:rPr>
        <w:t xml:space="preserve">experiences </w:t>
      </w:r>
      <w:r w:rsidR="0039653A">
        <w:rPr>
          <w:lang w:val="en-GB"/>
        </w:rPr>
        <w:t xml:space="preserve">regarding </w:t>
      </w:r>
      <w:r w:rsidR="00AB0866">
        <w:rPr>
          <w:lang w:val="en-GB"/>
        </w:rPr>
        <w:t xml:space="preserve">contagious </w:t>
      </w:r>
      <w:r w:rsidR="0039653A">
        <w:rPr>
          <w:lang w:val="en-GB"/>
        </w:rPr>
        <w:t xml:space="preserve">disease outbreaks across the </w:t>
      </w:r>
      <w:r w:rsidR="00AB0866">
        <w:rPr>
          <w:lang w:val="en-GB"/>
        </w:rPr>
        <w:t xml:space="preserve">region </w:t>
      </w:r>
      <w:r w:rsidR="0039653A">
        <w:rPr>
          <w:lang w:val="en-GB"/>
        </w:rPr>
        <w:fldChar w:fldCharType="begin" w:fldLock="1"/>
      </w:r>
      <w:r w:rsidR="00CE58B5">
        <w:rPr>
          <w:lang w:val="en-GB"/>
        </w:rPr>
        <w:instrText>ADDIN CSL_CITATION {"citationItems":[{"id":"ITEM-1","itemData":{"URL":"https://www.independent.co.uk/news/uk/home-news/swansea-measles-outbreak-confirmed-cases-rise-to-nearly-700-8568896.html","abstract":"A big increase in measles cases has prompted health bosses to renew a plea for unvaccinated people to get their MMR jabs immediately.","accessed":{"date-parts":[["2019","1","25"]]},"author":[{"dropping-particle":"","family":"Wright","given":"Benjamin","non-dropping-particle":"","parse-names":false,"suffix":""}],"container-title":"Independent","id":"ITEM-1","issued":{"date-parts":[["2013"]]},"title":"Swansea measles outbreak: Confirmed cases rise to nearly 700","type":"webpage"},"uris":["http://www.mendeley.com/documents/?uuid=97a746c9-ab43-345b-82d8-0af179e0f6ce"]}],"mendeley":{"formattedCitation":"[18]","plainTextFormattedCitation":"[18]","previouslyFormattedCitation":"[17]"},"properties":{"noteIndex":0},"schema":"https://github.com/citation-style-language/schema/raw/master/csl-citation.json"}</w:instrText>
      </w:r>
      <w:r w:rsidR="0039653A">
        <w:rPr>
          <w:lang w:val="en-GB"/>
        </w:rPr>
        <w:fldChar w:fldCharType="separate"/>
      </w:r>
      <w:r w:rsidR="00CE58B5" w:rsidRPr="00CE58B5">
        <w:rPr>
          <w:noProof/>
          <w:lang w:val="en-GB"/>
        </w:rPr>
        <w:t>[18]</w:t>
      </w:r>
      <w:r w:rsidR="0039653A">
        <w:rPr>
          <w:lang w:val="en-GB"/>
        </w:rPr>
        <w:fldChar w:fldCharType="end"/>
      </w:r>
      <w:r w:rsidR="0039653A">
        <w:rPr>
          <w:lang w:val="en-GB"/>
        </w:rPr>
        <w:t>,</w:t>
      </w:r>
      <w:r w:rsidR="0039653A">
        <w:rPr>
          <w:lang w:val="en-GB"/>
        </w:rPr>
        <w:fldChar w:fldCharType="begin" w:fldLock="1"/>
      </w:r>
      <w:r w:rsidR="00CE58B5">
        <w:rPr>
          <w:lang w:val="en-GB"/>
        </w:rPr>
        <w:instrText>ADDIN CSL_CITATION {"citationItems":[{"id":"ITEM-1","itemData":{"author":[{"dropping-particle":"","family":"Abertawe Bro Morgannwg University Health Board","given":"","non-dropping-particle":"","parse-names":false,"suffix":""},{"dropping-particle":"","family":"Powys Health Board","given":"","non-dropping-particle":"","parse-names":false,"suffix":""},{"dropping-particle":"","family":"Hywel Dda Health Board","given":"","non-dropping-particle":"","parse-names":false,"suffix":""},{"dropping-particle":"","family":"Public Health Wales","given":"","non-dropping-particle":"","parse-names":false,"suffix":""}],"id":"ITEM-1","issued":{"date-parts":[["2013"]]},"title":"Outbreak of Measles in Wales: Nov 2012-July 2013","type":"report"},"uris":["http://www.mendeley.com/documents/?uuid=f511b60e-98d2-4c7d-a829-4e5a43b06154"]}],"mendeley":{"formattedCitation":"[19]","plainTextFormattedCitation":"[19]","previouslyFormattedCitation":"[18]"},"properties":{"noteIndex":0},"schema":"https://github.com/citation-style-language/schema/raw/master/csl-citation.json"}</w:instrText>
      </w:r>
      <w:r w:rsidR="0039653A">
        <w:rPr>
          <w:lang w:val="en-GB"/>
        </w:rPr>
        <w:fldChar w:fldCharType="separate"/>
      </w:r>
      <w:r w:rsidR="00CE58B5" w:rsidRPr="00CE58B5">
        <w:rPr>
          <w:noProof/>
          <w:lang w:val="en-GB"/>
        </w:rPr>
        <w:t>[19]</w:t>
      </w:r>
      <w:r w:rsidR="0039653A">
        <w:rPr>
          <w:lang w:val="en-GB"/>
        </w:rPr>
        <w:fldChar w:fldCharType="end"/>
      </w:r>
      <w:r w:rsidR="0039653A">
        <w:rPr>
          <w:lang w:val="en-GB"/>
        </w:rPr>
        <w:t>. The virus itself is an infection caused by naturally occurring bacteria found commonly at the back of an individual</w:t>
      </w:r>
      <w:r w:rsidR="001E79E3">
        <w:rPr>
          <w:lang w:val="en-GB"/>
        </w:rPr>
        <w:t>’</w:t>
      </w:r>
      <w:r w:rsidR="0039653A">
        <w:rPr>
          <w:lang w:val="en-GB"/>
        </w:rPr>
        <w:t xml:space="preserve">s throat, though other strains can originate from </w:t>
      </w:r>
      <w:r w:rsidR="0039653A">
        <w:rPr>
          <w:i/>
          <w:lang w:val="en-GB"/>
        </w:rPr>
        <w:t>“viruses and fungi</w:t>
      </w:r>
      <w:r w:rsidR="00AB0866">
        <w:rPr>
          <w:i/>
          <w:lang w:val="en-GB"/>
        </w:rPr>
        <w:t>”</w:t>
      </w:r>
      <w:r w:rsidR="0039653A">
        <w:rPr>
          <w:i/>
          <w:lang w:val="en-GB"/>
        </w:rPr>
        <w:t xml:space="preserve"> </w:t>
      </w:r>
      <w:r w:rsidR="0039653A">
        <w:rPr>
          <w:lang w:val="en-GB"/>
        </w:rPr>
        <w:fldChar w:fldCharType="begin" w:fldLock="1"/>
      </w:r>
      <w:r w:rsidR="00CE58B5">
        <w:rPr>
          <w:lang w:val="en-GB"/>
        </w:rPr>
        <w:instrText>ADDIN CSL_CITATION {"citationItems":[{"id":"ITEM-1","itemData":{"URL":"http://www.wales.nhs.uk/sitesplus/888/page/43792","abstract":"Meningitis is infection of the meninges, the membranes that cover the brain and spinal cord. It can be caused by a variety of different organisms, including bacteria, viruses and fungi.","accessed":{"date-parts":[["2019","1","24"]]},"author":[{"dropping-particle":"","family":"Public Health Wales Lechyd Cyhoeddus Cymru","given":"","non-dropping-particle":"","parse-names":false,"suffix":""}],"container-title":"Meningitis","id":"ITEM-1","issued":{"date-parts":[["2016"]]},"publisher":"Public Health Wales","title":"Public Health Wales - Meningitis","type":"webpage"},"uris":["http://www.mendeley.com/documents/?uuid=492bf72e-cc44-3aa2-bbd4-3cbb5d765e36"]}],"mendeley":{"formattedCitation":"[20]","plainTextFormattedCitation":"[20]","previouslyFormattedCitation":"[19]"},"properties":{"noteIndex":0},"schema":"https://github.com/citation-style-language/schema/raw/master/csl-citation.json"}</w:instrText>
      </w:r>
      <w:r w:rsidR="0039653A">
        <w:rPr>
          <w:lang w:val="en-GB"/>
        </w:rPr>
        <w:fldChar w:fldCharType="separate"/>
      </w:r>
      <w:r w:rsidR="00CE58B5" w:rsidRPr="00CE58B5">
        <w:rPr>
          <w:noProof/>
          <w:lang w:val="en-GB"/>
        </w:rPr>
        <w:t>[20]</w:t>
      </w:r>
      <w:r w:rsidR="0039653A">
        <w:rPr>
          <w:lang w:val="en-GB"/>
        </w:rPr>
        <w:fldChar w:fldCharType="end"/>
      </w:r>
      <w:r w:rsidR="00AB0866">
        <w:rPr>
          <w:lang w:val="en-GB"/>
        </w:rPr>
        <w:t>, though commonly found it is</w:t>
      </w:r>
      <w:r w:rsidR="0073170B">
        <w:rPr>
          <w:lang w:val="en-GB"/>
        </w:rPr>
        <w:t xml:space="preserve"> rare that it </w:t>
      </w:r>
      <w:r w:rsidR="0073170B">
        <w:rPr>
          <w:i/>
          <w:lang w:val="en-GB"/>
        </w:rPr>
        <w:t>“</w:t>
      </w:r>
      <w:r w:rsidR="0090771D">
        <w:rPr>
          <w:i/>
          <w:lang w:val="en-GB"/>
        </w:rPr>
        <w:t>overcome[s] the body’s defences and cause[s] meningitis”</w:t>
      </w:r>
      <w:r w:rsidR="0090771D">
        <w:rPr>
          <w:lang w:val="en-GB"/>
        </w:rPr>
        <w:t xml:space="preserve"> </w:t>
      </w:r>
      <w:r w:rsidR="0090771D">
        <w:rPr>
          <w:lang w:val="en-GB"/>
        </w:rPr>
        <w:fldChar w:fldCharType="begin" w:fldLock="1"/>
      </w:r>
      <w:r w:rsidR="00CE58B5">
        <w:rPr>
          <w:lang w:val="en-GB"/>
        </w:rPr>
        <w:instrText>ADDIN CSL_CITATION {"citationItems":[{"id":"ITEM-1","itemData":{"URL":"http://www.wales.nhs.uk/sitesplus/888/page/43792","abstract":"Meningitis is infection of the meninges, the membranes that cover the brain and spinal cord. It can be caused by a variety of different organisms, including bacteria, viruses and fungi.","accessed":{"date-parts":[["2019","1","24"]]},"author":[{"dropping-particle":"","family":"Public Health Wales Lechyd Cyhoeddus Cymru","given":"","non-dropping-particle":"","parse-names":false,"suffix":""}],"container-title":"Meningitis","id":"ITEM-1","issued":{"date-parts":[["2016"]]},"publisher":"Public Health Wales","title":"Public Health Wales - Meningitis","type":"webpage"},"uris":["http://www.mendeley.com/documents/?uuid=492bf72e-cc44-3aa2-bbd4-3cbb5d765e36"]}],"mendeley":{"formattedCitation":"[20]","plainTextFormattedCitation":"[20]","previouslyFormattedCitation":"[19]"},"properties":{"noteIndex":0},"schema":"https://github.com/citation-style-language/schema/raw/master/csl-citation.json"}</w:instrText>
      </w:r>
      <w:r w:rsidR="0090771D">
        <w:rPr>
          <w:lang w:val="en-GB"/>
        </w:rPr>
        <w:fldChar w:fldCharType="separate"/>
      </w:r>
      <w:r w:rsidR="00CE58B5" w:rsidRPr="00CE58B5">
        <w:rPr>
          <w:noProof/>
          <w:lang w:val="en-GB"/>
        </w:rPr>
        <w:t>[20]</w:t>
      </w:r>
      <w:r w:rsidR="0090771D">
        <w:rPr>
          <w:lang w:val="en-GB"/>
        </w:rPr>
        <w:fldChar w:fldCharType="end"/>
      </w:r>
      <w:r w:rsidR="0039653A">
        <w:rPr>
          <w:lang w:val="en-GB"/>
        </w:rPr>
        <w:t>.</w:t>
      </w:r>
    </w:p>
    <w:p w14:paraId="06B0DCBD" w14:textId="2DD6EF45" w:rsidR="00CB5651" w:rsidRPr="00CB5651" w:rsidRDefault="00CB5651" w:rsidP="009A4BEE">
      <w:pPr>
        <w:pStyle w:val="IEEEText"/>
        <w:ind w:firstLine="0"/>
        <w:rPr>
          <w:lang w:val="en-GB"/>
        </w:rPr>
      </w:pPr>
    </w:p>
    <w:p w14:paraId="2508BE0D" w14:textId="4C9C0990" w:rsidR="00157908" w:rsidRDefault="00E61BF8" w:rsidP="00157908">
      <w:pPr>
        <w:pStyle w:val="Heading4"/>
        <w:keepNext w:val="0"/>
        <w:numPr>
          <w:ilvl w:val="0"/>
          <w:numId w:val="16"/>
        </w:numPr>
        <w:spacing w:before="40" w:after="40" w:line="240" w:lineRule="auto"/>
        <w:rPr>
          <w:lang w:val="en-GB"/>
        </w:rPr>
      </w:pPr>
      <w:r>
        <w:rPr>
          <w:lang w:val="en-GB"/>
        </w:rPr>
        <w:t xml:space="preserve">Defining Research </w:t>
      </w:r>
      <w:r w:rsidR="00157908" w:rsidRPr="003119BB">
        <w:rPr>
          <w:lang w:val="en-GB"/>
        </w:rPr>
        <w:t>Hypothesis</w:t>
      </w:r>
      <w:r w:rsidR="009A4BEE">
        <w:rPr>
          <w:lang w:val="en-GB"/>
        </w:rPr>
        <w:t xml:space="preserve"> </w:t>
      </w:r>
    </w:p>
    <w:p w14:paraId="67800905" w14:textId="77777777" w:rsidR="00E61BF8" w:rsidRPr="00E61BF8" w:rsidRDefault="00E61BF8" w:rsidP="00E61BF8">
      <w:pPr>
        <w:rPr>
          <w:lang w:val="en-GB"/>
        </w:rPr>
      </w:pPr>
    </w:p>
    <w:p w14:paraId="5B6FAFA5" w14:textId="77777777" w:rsidR="00E27B58" w:rsidRDefault="00E27B58" w:rsidP="00E27B58">
      <w:pPr>
        <w:rPr>
          <w:lang w:val="en-GB"/>
        </w:rPr>
      </w:pPr>
    </w:p>
    <w:p w14:paraId="5C586EE3" w14:textId="581C7D75" w:rsidR="00E27B58" w:rsidRPr="002A4104" w:rsidRDefault="00BB66A8" w:rsidP="00DE16C8">
      <w:pPr>
        <w:spacing w:line="360" w:lineRule="auto"/>
        <w:jc w:val="both"/>
        <w:rPr>
          <w:lang w:val="en-GB"/>
        </w:rPr>
      </w:pPr>
      <w:r>
        <w:rPr>
          <w:lang w:val="en-GB"/>
        </w:rPr>
        <w:t>The purpose of this paper, alongside a discussion of the field of GIS and health informatics is to evaluate the uptake of the Meningitis vaccine in Swansea</w:t>
      </w:r>
      <w:r w:rsidR="00DE16C8">
        <w:rPr>
          <w:lang w:val="en-GB"/>
        </w:rPr>
        <w:t xml:space="preserve"> and the surrounding areas. </w:t>
      </w:r>
      <w:r w:rsidR="00EB2CEC">
        <w:rPr>
          <w:lang w:val="en-GB"/>
        </w:rPr>
        <w:t xml:space="preserve">To perform a study on the need for vaccination uptake, and </w:t>
      </w:r>
      <w:r w:rsidR="00113E4C">
        <w:rPr>
          <w:lang w:val="en-GB"/>
        </w:rPr>
        <w:t>where its presence is of most value in preventing future disease outbreaks, a framework for evaluating the socio</w:t>
      </w:r>
      <w:r w:rsidR="005B32B9">
        <w:rPr>
          <w:lang w:val="en-GB"/>
        </w:rPr>
        <w:t>-</w:t>
      </w:r>
      <w:r w:rsidR="00113E4C">
        <w:rPr>
          <w:lang w:val="en-GB"/>
        </w:rPr>
        <w:t xml:space="preserve">economic </w:t>
      </w:r>
      <w:r w:rsidR="00BF4F78">
        <w:rPr>
          <w:lang w:val="en-GB"/>
        </w:rPr>
        <w:t>nature of the local environment is needed, this is provided in</w:t>
      </w:r>
      <w:r w:rsidR="00912DDF">
        <w:rPr>
          <w:lang w:val="en-GB"/>
        </w:rPr>
        <w:t xml:space="preserve"> the form of </w:t>
      </w:r>
      <w:r w:rsidR="00BF4F78">
        <w:rPr>
          <w:lang w:val="en-GB"/>
        </w:rPr>
        <w:t>a wide</w:t>
      </w:r>
      <w:r w:rsidR="00912DDF">
        <w:rPr>
          <w:lang w:val="en-GB"/>
        </w:rPr>
        <w:t xml:space="preserve">ly adopted framework, as introduced in </w:t>
      </w:r>
      <w:r w:rsidR="00912DDF">
        <w:rPr>
          <w:i/>
          <w:lang w:val="en-GB"/>
        </w:rPr>
        <w:t xml:space="preserve">section III. B). </w:t>
      </w:r>
      <w:r w:rsidR="00912DDF">
        <w:rPr>
          <w:lang w:val="en-GB"/>
        </w:rPr>
        <w:t xml:space="preserve">This must be placed against the </w:t>
      </w:r>
      <w:r w:rsidR="00E61CD1">
        <w:rPr>
          <w:lang w:val="en-GB"/>
        </w:rPr>
        <w:t xml:space="preserve">research question to evaluate current progress towards the objective of reducing the likelihood of future </w:t>
      </w:r>
      <w:r w:rsidR="0075779D">
        <w:rPr>
          <w:lang w:val="en-GB"/>
        </w:rPr>
        <w:t>public disease pandemics.</w:t>
      </w:r>
      <w:r w:rsidR="00912DDF">
        <w:rPr>
          <w:i/>
          <w:lang w:val="en-GB"/>
        </w:rPr>
        <w:t xml:space="preserve"> </w:t>
      </w:r>
      <w:r w:rsidR="002A4104">
        <w:rPr>
          <w:lang w:val="en-GB"/>
        </w:rPr>
        <w:t>As such, the research question posed is as follows:</w:t>
      </w:r>
    </w:p>
    <w:p w14:paraId="520C01F4" w14:textId="77777777" w:rsidR="00DE16C8" w:rsidRPr="003119BB" w:rsidRDefault="00DE16C8" w:rsidP="00E27B58">
      <w:pPr>
        <w:jc w:val="both"/>
        <w:rPr>
          <w:lang w:val="en-GB"/>
        </w:rPr>
      </w:pPr>
    </w:p>
    <w:p w14:paraId="4DC357B1" w14:textId="3887DEA7" w:rsidR="002B46FA" w:rsidRPr="00383E50" w:rsidRDefault="007B03B6" w:rsidP="00383E50">
      <w:pPr>
        <w:pStyle w:val="Quote"/>
        <w:spacing w:line="360" w:lineRule="auto"/>
        <w:rPr>
          <w:rStyle w:val="Strong"/>
          <w:b w:val="0"/>
          <w:color w:val="000000" w:themeColor="text1"/>
        </w:rPr>
      </w:pPr>
      <w:r w:rsidRPr="00383E50">
        <w:rPr>
          <w:rStyle w:val="Strong"/>
          <w:b w:val="0"/>
          <w:color w:val="000000" w:themeColor="text1"/>
        </w:rPr>
        <w:t>H</w:t>
      </w:r>
      <w:r w:rsidRPr="00A737E9">
        <w:rPr>
          <w:rStyle w:val="Strong"/>
          <w:b w:val="0"/>
          <w:color w:val="000000" w:themeColor="text1"/>
          <w:vertAlign w:val="subscript"/>
        </w:rPr>
        <w:t>1</w:t>
      </w:r>
      <w:r w:rsidRPr="00383E50">
        <w:rPr>
          <w:rStyle w:val="Strong"/>
          <w:b w:val="0"/>
          <w:color w:val="000000" w:themeColor="text1"/>
        </w:rPr>
        <w:t xml:space="preserve">: </w:t>
      </w:r>
      <w:r w:rsidR="00E27B58" w:rsidRPr="00383E50">
        <w:rPr>
          <w:rStyle w:val="Strong"/>
          <w:b w:val="0"/>
          <w:color w:val="000000" w:themeColor="text1"/>
        </w:rPr>
        <w:t>“Th</w:t>
      </w:r>
      <w:r w:rsidR="00B07132" w:rsidRPr="00383E50">
        <w:rPr>
          <w:rStyle w:val="Strong"/>
          <w:b w:val="0"/>
          <w:color w:val="000000" w:themeColor="text1"/>
        </w:rPr>
        <w:t xml:space="preserve">ere is a direct correlation between </w:t>
      </w:r>
      <w:r w:rsidR="00E27B58" w:rsidRPr="00383E50">
        <w:rPr>
          <w:rStyle w:val="Strong"/>
          <w:b w:val="0"/>
          <w:color w:val="000000" w:themeColor="text1"/>
        </w:rPr>
        <w:t xml:space="preserve">the Townsend </w:t>
      </w:r>
      <w:r w:rsidR="00B07132" w:rsidRPr="00383E50">
        <w:rPr>
          <w:rStyle w:val="Strong"/>
          <w:b w:val="0"/>
          <w:color w:val="000000" w:themeColor="text1"/>
        </w:rPr>
        <w:t>Index,</w:t>
      </w:r>
      <w:r w:rsidR="006F457E">
        <w:rPr>
          <w:rStyle w:val="Strong"/>
          <w:b w:val="0"/>
          <w:color w:val="000000" w:themeColor="text1"/>
        </w:rPr>
        <w:t xml:space="preserve"> </w:t>
      </w:r>
      <w:r w:rsidR="00B07132" w:rsidRPr="00383E50">
        <w:rPr>
          <w:rStyle w:val="Strong"/>
          <w:b w:val="0"/>
          <w:color w:val="000000" w:themeColor="text1"/>
        </w:rPr>
        <w:t xml:space="preserve">its individual constituents and the uptake in Meningitis </w:t>
      </w:r>
      <w:r w:rsidR="006F457E">
        <w:rPr>
          <w:rStyle w:val="Strong"/>
          <w:b w:val="0"/>
          <w:color w:val="000000" w:themeColor="text1"/>
        </w:rPr>
        <w:t>i</w:t>
      </w:r>
      <w:r w:rsidR="00383E50" w:rsidRPr="00383E50">
        <w:rPr>
          <w:rStyle w:val="Strong"/>
          <w:b w:val="0"/>
          <w:color w:val="000000" w:themeColor="text1"/>
        </w:rPr>
        <w:t>mmunization</w:t>
      </w:r>
      <w:r w:rsidR="00B07132" w:rsidRPr="00383E50">
        <w:rPr>
          <w:rStyle w:val="Strong"/>
          <w:b w:val="0"/>
          <w:color w:val="000000" w:themeColor="text1"/>
        </w:rPr>
        <w:t xml:space="preserve"> </w:t>
      </w:r>
      <w:r w:rsidR="006F457E">
        <w:rPr>
          <w:rStyle w:val="Strong"/>
          <w:b w:val="0"/>
          <w:color w:val="000000" w:themeColor="text1"/>
        </w:rPr>
        <w:t xml:space="preserve">vaccines </w:t>
      </w:r>
      <w:r w:rsidR="00DA6B7D" w:rsidRPr="00383E50">
        <w:rPr>
          <w:rStyle w:val="Strong"/>
          <w:b w:val="0"/>
          <w:color w:val="000000" w:themeColor="text1"/>
        </w:rPr>
        <w:t xml:space="preserve">across </w:t>
      </w:r>
      <w:r w:rsidR="00383E50">
        <w:rPr>
          <w:rStyle w:val="Strong"/>
          <w:b w:val="0"/>
          <w:color w:val="000000" w:themeColor="text1"/>
        </w:rPr>
        <w:t xml:space="preserve">the city of </w:t>
      </w:r>
      <w:r w:rsidR="00B07132" w:rsidRPr="00383E50">
        <w:rPr>
          <w:rStyle w:val="Strong"/>
          <w:b w:val="0"/>
          <w:color w:val="000000" w:themeColor="text1"/>
        </w:rPr>
        <w:t>Swansea</w:t>
      </w:r>
      <w:r w:rsidR="00383E50">
        <w:rPr>
          <w:rStyle w:val="Strong"/>
          <w:b w:val="0"/>
          <w:color w:val="000000" w:themeColor="text1"/>
        </w:rPr>
        <w:t xml:space="preserve"> and surrounding areas</w:t>
      </w:r>
      <w:r w:rsidR="00E27B58" w:rsidRPr="00383E50">
        <w:rPr>
          <w:rStyle w:val="Strong"/>
          <w:b w:val="0"/>
          <w:color w:val="000000" w:themeColor="text1"/>
        </w:rPr>
        <w:t>”</w:t>
      </w:r>
      <w:r w:rsidR="00DA6B7D" w:rsidRPr="00383E50">
        <w:rPr>
          <w:rStyle w:val="Strong"/>
          <w:b w:val="0"/>
          <w:color w:val="000000" w:themeColor="text1"/>
        </w:rPr>
        <w:t>.</w:t>
      </w:r>
    </w:p>
    <w:p w14:paraId="4D8F1C4F" w14:textId="1E6A5C4F" w:rsidR="00E27B58" w:rsidRPr="00E27B58" w:rsidRDefault="00E27B58" w:rsidP="00E27B58">
      <w:pPr>
        <w:rPr>
          <w:lang w:val="en-GB"/>
        </w:rPr>
      </w:pPr>
    </w:p>
    <w:p w14:paraId="063DD9EB" w14:textId="77777777" w:rsidR="00157908" w:rsidRDefault="00157908" w:rsidP="00157908">
      <w:pPr>
        <w:rPr>
          <w:lang w:val="en-GB"/>
        </w:rPr>
      </w:pPr>
    </w:p>
    <w:p w14:paraId="0DDDD056" w14:textId="07E95FD8" w:rsidR="00157908" w:rsidRDefault="00157908" w:rsidP="00157908">
      <w:pPr>
        <w:pStyle w:val="Heading4"/>
        <w:keepNext w:val="0"/>
        <w:numPr>
          <w:ilvl w:val="0"/>
          <w:numId w:val="16"/>
        </w:numPr>
        <w:spacing w:before="40" w:after="40" w:line="240" w:lineRule="auto"/>
        <w:rPr>
          <w:lang w:val="en-GB"/>
        </w:rPr>
      </w:pPr>
      <w:r>
        <w:rPr>
          <w:lang w:val="en-GB"/>
        </w:rPr>
        <w:t>B</w:t>
      </w:r>
      <w:r w:rsidRPr="003119BB">
        <w:rPr>
          <w:lang w:val="en-GB"/>
        </w:rPr>
        <w:t>uilding Data Visualisations</w:t>
      </w:r>
    </w:p>
    <w:p w14:paraId="1F0E9492" w14:textId="0D667A3C" w:rsidR="00BE1DC3" w:rsidRDefault="00BE1DC3" w:rsidP="00BE1DC3">
      <w:pPr>
        <w:rPr>
          <w:lang w:val="en-GB"/>
        </w:rPr>
      </w:pPr>
    </w:p>
    <w:p w14:paraId="12469665" w14:textId="77777777" w:rsidR="00D90441" w:rsidRDefault="00D90441" w:rsidP="00EE2AB6">
      <w:pPr>
        <w:pStyle w:val="IEEEText"/>
        <w:ind w:firstLine="0"/>
        <w:rPr>
          <w:highlight w:val="yellow"/>
          <w:lang w:val="en-GB"/>
        </w:rPr>
      </w:pPr>
    </w:p>
    <w:p w14:paraId="188200B6" w14:textId="5805CF63" w:rsidR="00921C0A" w:rsidRDefault="00222A82" w:rsidP="0026466A">
      <w:pPr>
        <w:pStyle w:val="IEEEText"/>
        <w:ind w:firstLine="720"/>
        <w:rPr>
          <w:lang w:val="en-GB"/>
        </w:rPr>
      </w:pPr>
      <w:r>
        <w:rPr>
          <w:lang w:val="en-GB"/>
        </w:rPr>
        <w:t>The Townsend Index</w:t>
      </w:r>
      <w:r w:rsidR="0082704E">
        <w:rPr>
          <w:lang w:val="en-GB"/>
        </w:rPr>
        <w:t xml:space="preserve">, </w:t>
      </w:r>
      <w:r w:rsidR="003825AB">
        <w:rPr>
          <w:lang w:val="en-GB"/>
        </w:rPr>
        <w:t>based on official public census data,</w:t>
      </w:r>
      <w:r>
        <w:rPr>
          <w:lang w:val="en-GB"/>
        </w:rPr>
        <w:t xml:space="preserve"> is of considerable value </w:t>
      </w:r>
      <w:r w:rsidR="003825AB">
        <w:rPr>
          <w:lang w:val="en-GB"/>
        </w:rPr>
        <w:t xml:space="preserve">in evaluating deprivation </w:t>
      </w:r>
      <w:r>
        <w:rPr>
          <w:lang w:val="en-GB"/>
        </w:rPr>
        <w:t xml:space="preserve">considering </w:t>
      </w:r>
      <w:r w:rsidR="003825AB">
        <w:rPr>
          <w:lang w:val="en-GB"/>
        </w:rPr>
        <w:t>thanks to its</w:t>
      </w:r>
      <w:r w:rsidR="00D8432E">
        <w:rPr>
          <w:lang w:val="en-GB"/>
        </w:rPr>
        <w:t xml:space="preserve"> various socio</w:t>
      </w:r>
      <w:r w:rsidR="005B32B9">
        <w:rPr>
          <w:lang w:val="en-GB"/>
        </w:rPr>
        <w:t>-</w:t>
      </w:r>
      <w:r w:rsidR="00D8432E">
        <w:rPr>
          <w:lang w:val="en-GB"/>
        </w:rPr>
        <w:t xml:space="preserve">economic metrics </w:t>
      </w:r>
      <w:r w:rsidR="007D4C52">
        <w:rPr>
          <w:lang w:val="en-GB"/>
        </w:rPr>
        <w:t>that it comprises</w:t>
      </w:r>
      <w:r w:rsidR="00D76287">
        <w:rPr>
          <w:lang w:val="en-GB"/>
        </w:rPr>
        <w:t xml:space="preserve"> </w:t>
      </w:r>
      <w:r w:rsidR="00A35B2F">
        <w:rPr>
          <w:lang w:val="en-GB"/>
        </w:rPr>
        <w:fldChar w:fldCharType="begin" w:fldLock="1"/>
      </w:r>
      <w:r w:rsidR="00CE58B5">
        <w:rPr>
          <w:lang w:val="en-GB"/>
        </w:rPr>
        <w:instrText>ADDIN CSL_CITATION {"citationItems":[{"id":"ITEM-1","itemData":{"abstract":"This paper gives information on the production of lower super output area (LSOA) Townsend scores from unadjusted Census data, and on the methodology and data sources used. It documents an investigation into the calculation of the Index for England and Wales, including a comparison of results when using different overcrowding variables, and between scores using adjusted and unadjusted Census data.","author":[{"dropping-particle":"","family":"Gartner","given":"Andrea","non-dropping-particle":"","parse-names":false,"suffix":""},{"dropping-particle":"","family":"Lester","given":"Nathan","non-dropping-particle":"","parse-names":false,"suffix":""}],"id":"ITEM-1","issued":{"date-parts":[["2008"]]},"title":"Briefing paper on LSOA Townsend deprivation scores calculated from unadjusted Census data","type":"report"},"uris":["http://www.mendeley.com/documents/?uuid=43f69e89-bef8-3385-8a98-fa94badee023"]}],"mendeley":{"formattedCitation":"[21]","plainTextFormattedCitation":"[21]","previouslyFormattedCitation":"[20]"},"properties":{"noteIndex":0},"schema":"https://github.com/citation-style-language/schema/raw/master/csl-citation.json"}</w:instrText>
      </w:r>
      <w:r w:rsidR="00A35B2F">
        <w:rPr>
          <w:lang w:val="en-GB"/>
        </w:rPr>
        <w:fldChar w:fldCharType="separate"/>
      </w:r>
      <w:r w:rsidR="00CE58B5" w:rsidRPr="00CE58B5">
        <w:rPr>
          <w:noProof/>
          <w:lang w:val="en-GB"/>
        </w:rPr>
        <w:t>[21]</w:t>
      </w:r>
      <w:r w:rsidR="00A35B2F">
        <w:rPr>
          <w:lang w:val="en-GB"/>
        </w:rPr>
        <w:fldChar w:fldCharType="end"/>
      </w:r>
      <w:r w:rsidR="006C0B23">
        <w:rPr>
          <w:lang w:val="en-GB"/>
        </w:rPr>
        <w:t>,</w:t>
      </w:r>
      <w:r w:rsidR="00C15F7B">
        <w:rPr>
          <w:lang w:val="en-GB"/>
        </w:rPr>
        <w:fldChar w:fldCharType="begin" w:fldLock="1"/>
      </w:r>
      <w:r w:rsidR="00CE58B5">
        <w:rPr>
          <w:lang w:val="en-GB"/>
        </w:rPr>
        <w:instrText>ADDIN CSL_CITATION {"citationItems":[{"id":"ITEM-1","itemData":{"DOI":"http://dx.doi.org/10.5257/census/aggregate-2011-2","abstract":"The Townsend deprivation index is a measure of material deprivation first introduced by Peter Townsend in 1987. A Townsend score can be calculated using a combination of four census variables for any geographical area provided census data is available for that area. The measure has been widely used in research for health, education and crime to establish whether relationships exist with deprivation. 1 The following report will describe how Townsend scores were calculated for the UK based on data from the 2011 Census and include a discussion with geographical visualisations of the findings.","author":[{"dropping-particle":"","family":"Yousaf","given":"S","non-dropping-particle":"","parse-names":false,"suffix":""},{"dropping-particle":"","family":"Bonsall","given":"A","non-dropping-particle":"","parse-names":false,"suffix":""}],"container-title":"UK Data Service and Economic and Social Research Council (ESRC)","id":"ITEM-1","issue":"March 2017","issued":{"date-parts":[["2017"]]},"title":"UK Townsend Deprivation Scores from 2011 census data","type":"article-journal"},"uris":["http://www.mendeley.com/documents/?uuid=a050f2bf-c383-4a29-bfb5-4422191c0295"]}],"mendeley":{"formattedCitation":"[22]","plainTextFormattedCitation":"[22]","previouslyFormattedCitation":"[21]"},"properties":{"noteIndex":0},"schema":"https://github.com/citation-style-language/schema/raw/master/csl-citation.json"}</w:instrText>
      </w:r>
      <w:r w:rsidR="00C15F7B">
        <w:rPr>
          <w:lang w:val="en-GB"/>
        </w:rPr>
        <w:fldChar w:fldCharType="separate"/>
      </w:r>
      <w:r w:rsidR="00CE58B5" w:rsidRPr="00CE58B5">
        <w:rPr>
          <w:noProof/>
          <w:lang w:val="en-GB"/>
        </w:rPr>
        <w:t>[22]</w:t>
      </w:r>
      <w:r w:rsidR="00C15F7B">
        <w:rPr>
          <w:lang w:val="en-GB"/>
        </w:rPr>
        <w:fldChar w:fldCharType="end"/>
      </w:r>
      <w:r w:rsidR="007D4C52">
        <w:rPr>
          <w:lang w:val="en-GB"/>
        </w:rPr>
        <w:t>. W</w:t>
      </w:r>
      <w:r w:rsidR="00D8432E">
        <w:rPr>
          <w:lang w:val="en-GB"/>
        </w:rPr>
        <w:t xml:space="preserve">hen amalgamated, </w:t>
      </w:r>
      <w:r w:rsidR="007D4C52">
        <w:rPr>
          <w:lang w:val="en-GB"/>
        </w:rPr>
        <w:t xml:space="preserve">the statistics on </w:t>
      </w:r>
      <w:r w:rsidR="007D4C52">
        <w:rPr>
          <w:lang w:val="en-GB"/>
        </w:rPr>
        <w:lastRenderedPageBreak/>
        <w:t xml:space="preserve">household allowance, </w:t>
      </w:r>
      <w:r w:rsidR="005701E2">
        <w:rPr>
          <w:lang w:val="en-GB"/>
        </w:rPr>
        <w:t xml:space="preserve">car ownership and job status aim </w:t>
      </w:r>
      <w:r w:rsidR="00D8432E">
        <w:rPr>
          <w:lang w:val="en-GB"/>
        </w:rPr>
        <w:t xml:space="preserve">to provide a </w:t>
      </w:r>
      <w:r w:rsidR="005701E2">
        <w:rPr>
          <w:lang w:val="en-GB"/>
        </w:rPr>
        <w:t xml:space="preserve">holistic </w:t>
      </w:r>
      <w:r w:rsidR="00FA3F35">
        <w:rPr>
          <w:lang w:val="en-GB"/>
        </w:rPr>
        <w:t>view of social living</w:t>
      </w:r>
      <w:r w:rsidR="00D76287">
        <w:rPr>
          <w:lang w:val="en-GB"/>
        </w:rPr>
        <w:t>, most recently in 2011</w:t>
      </w:r>
      <w:r w:rsidR="00CA0267">
        <w:rPr>
          <w:lang w:val="en-GB"/>
        </w:rPr>
        <w:t xml:space="preserve"> </w:t>
      </w:r>
      <w:r w:rsidR="00C15F7B">
        <w:rPr>
          <w:lang w:val="en-GB"/>
        </w:rPr>
        <w:fldChar w:fldCharType="begin" w:fldLock="1"/>
      </w:r>
      <w:r w:rsidR="00CE58B5">
        <w:rPr>
          <w:lang w:val="en-GB"/>
        </w:rPr>
        <w:instrText>ADDIN CSL_CITATION {"citationItems":[{"id":"ITEM-1","itemData":{"DOI":"http://dx.doi.org/10.5257/census/aggregate-2011-2","abstract":"The Townsend deprivation index is a measure of material deprivation first introduced by Peter Townsend in 1987. A Townsend score can be calculated using a combination of four census variables for any geographical area provided census data is available for that area. The measure has been widely used in research for health, education and crime to establish whether relationships exist with deprivation. 1 The following report will describe how Townsend scores were calculated for the UK based on data from the 2011 Census and include a discussion with geographical visualisations of the findings.","author":[{"dropping-particle":"","family":"Yousaf","given":"S","non-dropping-particle":"","parse-names":false,"suffix":""},{"dropping-particle":"","family":"Bonsall","given":"A","non-dropping-particle":"","parse-names":false,"suffix":""}],"container-title":"UK Data Service and Economic and Social Research Council (ESRC)","id":"ITEM-1","issue":"March 2017","issued":{"date-parts":[["2017"]]},"title":"UK Townsend Deprivation Scores from 2011 census data","type":"article-journal"},"uris":["http://www.mendeley.com/documents/?uuid=a050f2bf-c383-4a29-bfb5-4422191c0295"]}],"mendeley":{"formattedCitation":"[22]","plainTextFormattedCitation":"[22]","previouslyFormattedCitation":"[21]"},"properties":{"noteIndex":0},"schema":"https://github.com/citation-style-language/schema/raw/master/csl-citation.json"}</w:instrText>
      </w:r>
      <w:r w:rsidR="00C15F7B">
        <w:rPr>
          <w:lang w:val="en-GB"/>
        </w:rPr>
        <w:fldChar w:fldCharType="separate"/>
      </w:r>
      <w:r w:rsidR="00CE58B5" w:rsidRPr="00CE58B5">
        <w:rPr>
          <w:noProof/>
          <w:lang w:val="en-GB"/>
        </w:rPr>
        <w:t>[22]</w:t>
      </w:r>
      <w:r w:rsidR="00C15F7B">
        <w:rPr>
          <w:lang w:val="en-GB"/>
        </w:rPr>
        <w:fldChar w:fldCharType="end"/>
      </w:r>
      <w:r w:rsidR="00C15F7B">
        <w:rPr>
          <w:lang w:val="en-GB"/>
        </w:rPr>
        <w:t>,</w:t>
      </w:r>
      <w:r w:rsidR="00CA0267">
        <w:rPr>
          <w:lang w:val="en-GB"/>
        </w:rPr>
        <w:fldChar w:fldCharType="begin" w:fldLock="1"/>
      </w:r>
      <w:r w:rsidR="00CE58B5">
        <w:rPr>
          <w:lang w:val="en-GB"/>
        </w:rPr>
        <w:instrText>ADDIN CSL_CITATION {"citationItems":[{"id":"ITEM-1","itemData":{"author":[{"dropping-particle":"","family":"Townsend","given":"Pete","non-dropping-particle":"","parse-names":false,"suffix":""},{"dropping-particle":"","family":"Phillimore","given":"P","non-dropping-particle":"","parse-names":false,"suffix":""},{"dropping-particle":"","family":"Beattie","given":"A","non-dropping-particle":"","parse-names":false,"suffix":""}],"id":"ITEM-1","issued":{"date-parts":[["1988"]]},"publisher":"Croome Helm","publisher-place":"Beckenham, Kent","title":"Health and deprivation: inequalities and the north","type":"book"},"uris":["http://www.mendeley.com/documents/?uuid=a6958dc3-4d49-429f-abe4-e2dfd51a1904"]}],"mendeley":{"formattedCitation":"[23]","plainTextFormattedCitation":"[23]","previouslyFormattedCitation":"[22]"},"properties":{"noteIndex":0},"schema":"https://github.com/citation-style-language/schema/raw/master/csl-citation.json"}</w:instrText>
      </w:r>
      <w:r w:rsidR="00CA0267">
        <w:rPr>
          <w:lang w:val="en-GB"/>
        </w:rPr>
        <w:fldChar w:fldCharType="separate"/>
      </w:r>
      <w:r w:rsidR="00CE58B5" w:rsidRPr="00CE58B5">
        <w:rPr>
          <w:noProof/>
          <w:lang w:val="en-GB"/>
        </w:rPr>
        <w:t>[23]</w:t>
      </w:r>
      <w:r w:rsidR="00CA0267">
        <w:rPr>
          <w:lang w:val="en-GB"/>
        </w:rPr>
        <w:fldChar w:fldCharType="end"/>
      </w:r>
      <w:r w:rsidR="00D76287">
        <w:rPr>
          <w:lang w:val="en-GB"/>
        </w:rPr>
        <w:t>.</w:t>
      </w:r>
      <w:r w:rsidR="00A63CE4">
        <w:rPr>
          <w:lang w:val="en-GB"/>
        </w:rPr>
        <w:t xml:space="preserve"> </w:t>
      </w:r>
      <w:r w:rsidR="00D90441">
        <w:rPr>
          <w:lang w:val="en-GB"/>
        </w:rPr>
        <w:t xml:space="preserve">In order to answer the proposed hypothesis a range of data visualisations have been produced. Before exploring the uptake of Meningitis vaccination, and it’s determining factors, a Townsend Index score for the Swansea region is shown, as can be seen below in </w:t>
      </w:r>
      <w:r w:rsidR="00D90441">
        <w:rPr>
          <w:b/>
          <w:i/>
          <w:lang w:val="en-GB"/>
        </w:rPr>
        <w:t>Fig. 2.</w:t>
      </w:r>
      <w:r w:rsidR="00921C0A">
        <w:rPr>
          <w:lang w:val="en-GB"/>
        </w:rPr>
        <w:t>, that comprises the following census fields:</w:t>
      </w:r>
    </w:p>
    <w:p w14:paraId="1AE2AB19" w14:textId="04CA9E73" w:rsidR="00586860" w:rsidRDefault="00586860" w:rsidP="00D90441">
      <w:pPr>
        <w:spacing w:line="360" w:lineRule="auto"/>
        <w:rPr>
          <w:lang w:val="en-GB"/>
        </w:rPr>
      </w:pPr>
    </w:p>
    <w:tbl>
      <w:tblPr>
        <w:tblStyle w:val="TableGrid"/>
        <w:tblW w:w="0" w:type="auto"/>
        <w:tblInd w:w="1696" w:type="dxa"/>
        <w:tblLook w:val="04A0" w:firstRow="1" w:lastRow="0" w:firstColumn="1" w:lastColumn="0" w:noHBand="0" w:noVBand="1"/>
      </w:tblPr>
      <w:tblGrid>
        <w:gridCol w:w="2979"/>
        <w:gridCol w:w="3400"/>
      </w:tblGrid>
      <w:tr w:rsidR="00586860" w14:paraId="0267D9FC" w14:textId="77777777" w:rsidTr="00DD4CAD">
        <w:tc>
          <w:tcPr>
            <w:tcW w:w="2979" w:type="dxa"/>
            <w:vMerge w:val="restart"/>
            <w:vAlign w:val="center"/>
          </w:tcPr>
          <w:p w14:paraId="5FB940C8" w14:textId="678E1845" w:rsidR="00586860" w:rsidRPr="006B04F2" w:rsidRDefault="006B04F2" w:rsidP="006B04F2">
            <w:pPr>
              <w:spacing w:line="360" w:lineRule="auto"/>
              <w:jc w:val="center"/>
              <w:rPr>
                <w:i/>
                <w:lang w:val="en-GB"/>
              </w:rPr>
            </w:pPr>
            <w:r w:rsidRPr="006B04F2">
              <w:rPr>
                <w:i/>
                <w:lang w:val="en-GB"/>
              </w:rPr>
              <w:t>Employment</w:t>
            </w:r>
          </w:p>
        </w:tc>
        <w:tc>
          <w:tcPr>
            <w:tcW w:w="3400" w:type="dxa"/>
            <w:vAlign w:val="center"/>
          </w:tcPr>
          <w:p w14:paraId="60F71830" w14:textId="6633133C" w:rsidR="00586860" w:rsidRDefault="00586860" w:rsidP="00DD4CAD">
            <w:pPr>
              <w:spacing w:line="360" w:lineRule="auto"/>
              <w:jc w:val="center"/>
              <w:rPr>
                <w:lang w:val="en-GB"/>
              </w:rPr>
            </w:pPr>
            <w:r w:rsidRPr="00586860">
              <w:rPr>
                <w:lang w:val="en-GB"/>
              </w:rPr>
              <w:t>“Economically Active or Unemployed”</w:t>
            </w:r>
          </w:p>
        </w:tc>
      </w:tr>
      <w:tr w:rsidR="00586860" w14:paraId="219B886E" w14:textId="77777777" w:rsidTr="00DD4CAD">
        <w:tc>
          <w:tcPr>
            <w:tcW w:w="2979" w:type="dxa"/>
            <w:vMerge/>
          </w:tcPr>
          <w:p w14:paraId="65224547" w14:textId="77777777" w:rsidR="00586860" w:rsidRDefault="00586860" w:rsidP="00D90441">
            <w:pPr>
              <w:spacing w:line="360" w:lineRule="auto"/>
              <w:rPr>
                <w:lang w:val="en-GB"/>
              </w:rPr>
            </w:pPr>
          </w:p>
        </w:tc>
        <w:tc>
          <w:tcPr>
            <w:tcW w:w="3400" w:type="dxa"/>
            <w:vAlign w:val="center"/>
          </w:tcPr>
          <w:p w14:paraId="6EC89F7E" w14:textId="3C8CED21" w:rsidR="00586860" w:rsidRDefault="00586860" w:rsidP="00DD4CAD">
            <w:pPr>
              <w:spacing w:line="360" w:lineRule="auto"/>
              <w:jc w:val="center"/>
              <w:rPr>
                <w:lang w:val="en-GB"/>
              </w:rPr>
            </w:pPr>
            <w:r w:rsidRPr="00586860">
              <w:rPr>
                <w:lang w:val="en-GB"/>
              </w:rPr>
              <w:t>“Economically Active Part-Time</w:t>
            </w:r>
          </w:p>
        </w:tc>
      </w:tr>
      <w:tr w:rsidR="00586860" w14:paraId="3D223B03" w14:textId="77777777" w:rsidTr="00DD4CAD">
        <w:tc>
          <w:tcPr>
            <w:tcW w:w="2979" w:type="dxa"/>
            <w:vMerge/>
          </w:tcPr>
          <w:p w14:paraId="66CDADEA" w14:textId="77777777" w:rsidR="00586860" w:rsidRDefault="00586860" w:rsidP="00D90441">
            <w:pPr>
              <w:spacing w:line="360" w:lineRule="auto"/>
              <w:rPr>
                <w:lang w:val="en-GB"/>
              </w:rPr>
            </w:pPr>
          </w:p>
        </w:tc>
        <w:tc>
          <w:tcPr>
            <w:tcW w:w="3400" w:type="dxa"/>
            <w:vAlign w:val="center"/>
          </w:tcPr>
          <w:p w14:paraId="7B95CE8F" w14:textId="7648578B" w:rsidR="00586860" w:rsidRDefault="00586860" w:rsidP="00DD4CAD">
            <w:pPr>
              <w:spacing w:line="360" w:lineRule="auto"/>
              <w:jc w:val="center"/>
              <w:rPr>
                <w:lang w:val="en-GB"/>
              </w:rPr>
            </w:pPr>
            <w:r w:rsidRPr="00586860">
              <w:rPr>
                <w:lang w:val="en-GB"/>
              </w:rPr>
              <w:t>“Economically Active Full-Time”</w:t>
            </w:r>
          </w:p>
        </w:tc>
      </w:tr>
      <w:tr w:rsidR="00586860" w14:paraId="29243984" w14:textId="77777777" w:rsidTr="00DD4CAD">
        <w:tc>
          <w:tcPr>
            <w:tcW w:w="2979" w:type="dxa"/>
            <w:vMerge/>
          </w:tcPr>
          <w:p w14:paraId="653EADB1" w14:textId="77777777" w:rsidR="00586860" w:rsidRDefault="00586860" w:rsidP="00D90441">
            <w:pPr>
              <w:spacing w:line="360" w:lineRule="auto"/>
              <w:rPr>
                <w:lang w:val="en-GB"/>
              </w:rPr>
            </w:pPr>
          </w:p>
        </w:tc>
        <w:tc>
          <w:tcPr>
            <w:tcW w:w="3400" w:type="dxa"/>
            <w:vAlign w:val="center"/>
          </w:tcPr>
          <w:p w14:paraId="309A43B5" w14:textId="611EE971" w:rsidR="00586860" w:rsidRDefault="00586860" w:rsidP="00DD4CAD">
            <w:pPr>
              <w:spacing w:line="360" w:lineRule="auto"/>
              <w:jc w:val="center"/>
              <w:rPr>
                <w:lang w:val="en-GB"/>
              </w:rPr>
            </w:pPr>
            <w:r w:rsidRPr="00586860">
              <w:rPr>
                <w:lang w:val="en-GB"/>
              </w:rPr>
              <w:t>“Economically Active Full-Time Student”</w:t>
            </w:r>
          </w:p>
        </w:tc>
      </w:tr>
      <w:tr w:rsidR="00586860" w14:paraId="18511032" w14:textId="77777777" w:rsidTr="00DD4CAD">
        <w:tc>
          <w:tcPr>
            <w:tcW w:w="2979" w:type="dxa"/>
            <w:vMerge/>
          </w:tcPr>
          <w:p w14:paraId="6DBF50B8" w14:textId="77777777" w:rsidR="00586860" w:rsidRDefault="00586860" w:rsidP="00D90441">
            <w:pPr>
              <w:spacing w:line="360" w:lineRule="auto"/>
              <w:rPr>
                <w:lang w:val="en-GB"/>
              </w:rPr>
            </w:pPr>
          </w:p>
        </w:tc>
        <w:tc>
          <w:tcPr>
            <w:tcW w:w="3400" w:type="dxa"/>
            <w:vAlign w:val="center"/>
          </w:tcPr>
          <w:p w14:paraId="5F88A5E4" w14:textId="63EC84EE" w:rsidR="00586860" w:rsidRDefault="00586860" w:rsidP="00DD4CAD">
            <w:pPr>
              <w:spacing w:line="360" w:lineRule="auto"/>
              <w:jc w:val="center"/>
              <w:rPr>
                <w:lang w:val="en-GB"/>
              </w:rPr>
            </w:pPr>
            <w:r w:rsidRPr="00586860">
              <w:rPr>
                <w:lang w:val="en-GB"/>
              </w:rPr>
              <w:t>“Economically Active; Full-Time Self-Employed with Employees”</w:t>
            </w:r>
          </w:p>
        </w:tc>
      </w:tr>
      <w:tr w:rsidR="00586860" w:rsidRPr="00AC3C66" w14:paraId="1F2787CC" w14:textId="77777777" w:rsidTr="00DD4CAD">
        <w:tc>
          <w:tcPr>
            <w:tcW w:w="2979" w:type="dxa"/>
            <w:vMerge/>
          </w:tcPr>
          <w:p w14:paraId="78E70502" w14:textId="77777777" w:rsidR="00586860" w:rsidRDefault="00586860" w:rsidP="00D90441">
            <w:pPr>
              <w:spacing w:line="360" w:lineRule="auto"/>
              <w:rPr>
                <w:lang w:val="en-GB"/>
              </w:rPr>
            </w:pPr>
          </w:p>
        </w:tc>
        <w:tc>
          <w:tcPr>
            <w:tcW w:w="3400" w:type="dxa"/>
            <w:vAlign w:val="center"/>
          </w:tcPr>
          <w:p w14:paraId="51B81C6E" w14:textId="3D20463E" w:rsidR="00586860" w:rsidRDefault="00586860" w:rsidP="00DD4CAD">
            <w:pPr>
              <w:spacing w:line="360" w:lineRule="auto"/>
              <w:jc w:val="center"/>
              <w:rPr>
                <w:lang w:val="en-GB"/>
              </w:rPr>
            </w:pPr>
            <w:r w:rsidRPr="00586860">
              <w:rPr>
                <w:lang w:val="en-GB"/>
              </w:rPr>
              <w:t>“Economically Active; Full-Time Self-Employed without Employees”</w:t>
            </w:r>
          </w:p>
        </w:tc>
      </w:tr>
      <w:tr w:rsidR="00AC3C66" w14:paraId="6F2AFCD3" w14:textId="77777777" w:rsidTr="00DD4CAD">
        <w:tc>
          <w:tcPr>
            <w:tcW w:w="2979" w:type="dxa"/>
            <w:vMerge w:val="restart"/>
            <w:vAlign w:val="center"/>
          </w:tcPr>
          <w:p w14:paraId="4A915CCC" w14:textId="66758398" w:rsidR="00AC3C66" w:rsidRPr="00464DEB" w:rsidRDefault="00AC3C66" w:rsidP="00464DEB">
            <w:pPr>
              <w:spacing w:line="360" w:lineRule="auto"/>
              <w:jc w:val="center"/>
              <w:rPr>
                <w:i/>
                <w:lang w:val="en-GB"/>
              </w:rPr>
            </w:pPr>
            <w:r w:rsidRPr="00464DEB">
              <w:rPr>
                <w:i/>
                <w:lang w:val="en-GB"/>
              </w:rPr>
              <w:t>Transport</w:t>
            </w:r>
          </w:p>
        </w:tc>
        <w:tc>
          <w:tcPr>
            <w:tcW w:w="3400" w:type="dxa"/>
            <w:vAlign w:val="center"/>
          </w:tcPr>
          <w:p w14:paraId="45A1E715" w14:textId="5AABCB91" w:rsidR="00AC3C66" w:rsidRDefault="00AC3C66" w:rsidP="00DD4CAD">
            <w:pPr>
              <w:spacing w:line="360" w:lineRule="auto"/>
              <w:jc w:val="center"/>
              <w:rPr>
                <w:lang w:val="en-GB"/>
              </w:rPr>
            </w:pPr>
            <w:r w:rsidRPr="00AC3C66">
              <w:rPr>
                <w:lang w:val="en-GB"/>
              </w:rPr>
              <w:t>“Total Car/Van Availability”</w:t>
            </w:r>
          </w:p>
        </w:tc>
      </w:tr>
      <w:tr w:rsidR="00AC3C66" w14:paraId="1225317F" w14:textId="77777777" w:rsidTr="00DD4CAD">
        <w:tc>
          <w:tcPr>
            <w:tcW w:w="2979" w:type="dxa"/>
            <w:vMerge/>
          </w:tcPr>
          <w:p w14:paraId="5F320F94" w14:textId="25C5C089" w:rsidR="00AC3C66" w:rsidRDefault="00AC3C66" w:rsidP="00D90441">
            <w:pPr>
              <w:spacing w:line="360" w:lineRule="auto"/>
              <w:rPr>
                <w:lang w:val="en-GB"/>
              </w:rPr>
            </w:pPr>
          </w:p>
        </w:tc>
        <w:tc>
          <w:tcPr>
            <w:tcW w:w="3400" w:type="dxa"/>
            <w:vAlign w:val="center"/>
          </w:tcPr>
          <w:p w14:paraId="1E8C9462" w14:textId="1AC26A67" w:rsidR="00AC3C66" w:rsidRDefault="00AC3C66" w:rsidP="00DD4CAD">
            <w:pPr>
              <w:spacing w:line="360" w:lineRule="auto"/>
              <w:jc w:val="center"/>
              <w:rPr>
                <w:lang w:val="en-GB"/>
              </w:rPr>
            </w:pPr>
            <w:r w:rsidRPr="00AC3C66">
              <w:rPr>
                <w:lang w:val="en-GB"/>
              </w:rPr>
              <w:t>“No Car/Van in Household”</w:t>
            </w:r>
          </w:p>
        </w:tc>
      </w:tr>
      <w:tr w:rsidR="00464DEB" w14:paraId="38C5416F" w14:textId="77777777" w:rsidTr="00DD4CAD">
        <w:tc>
          <w:tcPr>
            <w:tcW w:w="2979" w:type="dxa"/>
            <w:vMerge w:val="restart"/>
            <w:vAlign w:val="center"/>
          </w:tcPr>
          <w:p w14:paraId="25859497" w14:textId="026C1F3D" w:rsidR="00464DEB" w:rsidRPr="00464DEB" w:rsidRDefault="00464DEB" w:rsidP="00464DEB">
            <w:pPr>
              <w:spacing w:line="360" w:lineRule="auto"/>
              <w:jc w:val="center"/>
              <w:rPr>
                <w:i/>
                <w:lang w:val="en-GB"/>
              </w:rPr>
            </w:pPr>
            <w:r w:rsidRPr="00464DEB">
              <w:rPr>
                <w:i/>
                <w:lang w:val="en-GB"/>
              </w:rPr>
              <w:t>Household and Living</w:t>
            </w:r>
          </w:p>
        </w:tc>
        <w:tc>
          <w:tcPr>
            <w:tcW w:w="3400" w:type="dxa"/>
            <w:vAlign w:val="center"/>
          </w:tcPr>
          <w:p w14:paraId="10A22DD7" w14:textId="0D5934E8" w:rsidR="00464DEB" w:rsidRPr="00464DEB" w:rsidRDefault="00464DEB" w:rsidP="00DD4CAD">
            <w:pPr>
              <w:spacing w:line="360" w:lineRule="auto"/>
              <w:jc w:val="center"/>
              <w:rPr>
                <w:lang w:val="en-GB"/>
              </w:rPr>
            </w:pPr>
            <w:r w:rsidRPr="00464DEB">
              <w:rPr>
                <w:lang w:val="en-GB"/>
              </w:rPr>
              <w:t xml:space="preserve">“Total Tenure” </w:t>
            </w:r>
            <w:r>
              <w:rPr>
                <w:i/>
                <w:lang w:val="en-GB"/>
              </w:rPr>
              <w:t>(per geocoded area)</w:t>
            </w:r>
          </w:p>
        </w:tc>
      </w:tr>
      <w:tr w:rsidR="00464DEB" w14:paraId="399B1B6C" w14:textId="77777777" w:rsidTr="00DD4CAD">
        <w:tc>
          <w:tcPr>
            <w:tcW w:w="2979" w:type="dxa"/>
            <w:vMerge/>
          </w:tcPr>
          <w:p w14:paraId="356B662F" w14:textId="77777777" w:rsidR="00464DEB" w:rsidRDefault="00464DEB" w:rsidP="00D90441">
            <w:pPr>
              <w:spacing w:line="360" w:lineRule="auto"/>
              <w:rPr>
                <w:lang w:val="en-GB"/>
              </w:rPr>
            </w:pPr>
          </w:p>
        </w:tc>
        <w:tc>
          <w:tcPr>
            <w:tcW w:w="3400" w:type="dxa"/>
            <w:vAlign w:val="center"/>
          </w:tcPr>
          <w:p w14:paraId="743BEA5E" w14:textId="0BAD70E4" w:rsidR="00464DEB" w:rsidRPr="00464DEB" w:rsidRDefault="00464DEB" w:rsidP="00DD4CAD">
            <w:pPr>
              <w:spacing w:line="360" w:lineRule="auto"/>
              <w:jc w:val="center"/>
              <w:rPr>
                <w:lang w:val="en-GB"/>
              </w:rPr>
            </w:pPr>
            <w:r w:rsidRPr="00464DEB">
              <w:rPr>
                <w:lang w:val="en-GB"/>
              </w:rPr>
              <w:t>“Tenure; Owned Outright”</w:t>
            </w:r>
          </w:p>
        </w:tc>
      </w:tr>
      <w:tr w:rsidR="00464DEB" w14:paraId="17604F7E" w14:textId="77777777" w:rsidTr="00DD4CAD">
        <w:tc>
          <w:tcPr>
            <w:tcW w:w="2979" w:type="dxa"/>
            <w:vMerge/>
          </w:tcPr>
          <w:p w14:paraId="72A1DDAB" w14:textId="77777777" w:rsidR="00464DEB" w:rsidRDefault="00464DEB" w:rsidP="00D90441">
            <w:pPr>
              <w:spacing w:line="360" w:lineRule="auto"/>
              <w:rPr>
                <w:lang w:val="en-GB"/>
              </w:rPr>
            </w:pPr>
          </w:p>
        </w:tc>
        <w:tc>
          <w:tcPr>
            <w:tcW w:w="3400" w:type="dxa"/>
            <w:vAlign w:val="center"/>
          </w:tcPr>
          <w:p w14:paraId="46C1E44E" w14:textId="7583EF68" w:rsidR="00464DEB" w:rsidRPr="00464DEB" w:rsidRDefault="00464DEB" w:rsidP="00DD4CAD">
            <w:pPr>
              <w:spacing w:line="360" w:lineRule="auto"/>
              <w:jc w:val="center"/>
              <w:rPr>
                <w:lang w:val="en-GB"/>
              </w:rPr>
            </w:pPr>
            <w:r w:rsidRPr="00464DEB">
              <w:rPr>
                <w:lang w:val="en-GB"/>
              </w:rPr>
              <w:t>“Tenure; Owned with Mortgage/Loan”</w:t>
            </w:r>
          </w:p>
        </w:tc>
      </w:tr>
      <w:tr w:rsidR="00464DEB" w14:paraId="4806F701" w14:textId="77777777" w:rsidTr="00DD4CAD">
        <w:tc>
          <w:tcPr>
            <w:tcW w:w="2979" w:type="dxa"/>
            <w:vMerge/>
          </w:tcPr>
          <w:p w14:paraId="494BD2BD" w14:textId="77777777" w:rsidR="00464DEB" w:rsidRDefault="00464DEB" w:rsidP="00D90441">
            <w:pPr>
              <w:spacing w:line="360" w:lineRule="auto"/>
              <w:rPr>
                <w:lang w:val="en-GB"/>
              </w:rPr>
            </w:pPr>
          </w:p>
        </w:tc>
        <w:tc>
          <w:tcPr>
            <w:tcW w:w="3400" w:type="dxa"/>
            <w:vAlign w:val="center"/>
          </w:tcPr>
          <w:p w14:paraId="7CE0681C" w14:textId="07098F31" w:rsidR="00464DEB" w:rsidRPr="00464DEB" w:rsidRDefault="00464DEB" w:rsidP="00DD4CAD">
            <w:pPr>
              <w:spacing w:line="360" w:lineRule="auto"/>
              <w:jc w:val="center"/>
              <w:rPr>
                <w:lang w:val="en-GB"/>
              </w:rPr>
            </w:pPr>
            <w:r w:rsidRPr="00464DEB">
              <w:rPr>
                <w:lang w:val="en-GB"/>
              </w:rPr>
              <w:t>“Total Occupancy Rating”</w:t>
            </w:r>
          </w:p>
        </w:tc>
      </w:tr>
      <w:tr w:rsidR="00464DEB" w14:paraId="0C382BD5" w14:textId="77777777" w:rsidTr="00DD4CAD">
        <w:tc>
          <w:tcPr>
            <w:tcW w:w="2979" w:type="dxa"/>
            <w:vMerge/>
          </w:tcPr>
          <w:p w14:paraId="572DDA22" w14:textId="77777777" w:rsidR="00464DEB" w:rsidRDefault="00464DEB" w:rsidP="00D90441">
            <w:pPr>
              <w:spacing w:line="360" w:lineRule="auto"/>
              <w:rPr>
                <w:lang w:val="en-GB"/>
              </w:rPr>
            </w:pPr>
          </w:p>
        </w:tc>
        <w:tc>
          <w:tcPr>
            <w:tcW w:w="3400" w:type="dxa"/>
            <w:vAlign w:val="center"/>
          </w:tcPr>
          <w:p w14:paraId="15161BE0" w14:textId="569F1359" w:rsidR="00464DEB" w:rsidRPr="00464DEB" w:rsidRDefault="00464DEB" w:rsidP="00DD4CAD">
            <w:pPr>
              <w:spacing w:line="360" w:lineRule="auto"/>
              <w:jc w:val="center"/>
              <w:rPr>
                <w:lang w:val="en-GB"/>
              </w:rPr>
            </w:pPr>
            <w:r w:rsidRPr="00464DEB">
              <w:rPr>
                <w:lang w:val="en-GB"/>
              </w:rPr>
              <w:t>“Occupancy Rating; Less than or equal to -1”</w:t>
            </w:r>
          </w:p>
        </w:tc>
      </w:tr>
      <w:tr w:rsidR="00464DEB" w14:paraId="33DA0FE3" w14:textId="77777777" w:rsidTr="00DD4CAD">
        <w:tc>
          <w:tcPr>
            <w:tcW w:w="2979" w:type="dxa"/>
            <w:vMerge/>
          </w:tcPr>
          <w:p w14:paraId="16DA2FBF" w14:textId="77777777" w:rsidR="00464DEB" w:rsidRDefault="00464DEB" w:rsidP="00D90441">
            <w:pPr>
              <w:spacing w:line="360" w:lineRule="auto"/>
              <w:rPr>
                <w:lang w:val="en-GB"/>
              </w:rPr>
            </w:pPr>
          </w:p>
        </w:tc>
        <w:tc>
          <w:tcPr>
            <w:tcW w:w="3400" w:type="dxa"/>
            <w:vAlign w:val="center"/>
          </w:tcPr>
          <w:p w14:paraId="4B666FC1" w14:textId="2A38A7C4" w:rsidR="00464DEB" w:rsidRPr="00464DEB" w:rsidRDefault="00464DEB" w:rsidP="00DD4CAD">
            <w:pPr>
              <w:spacing w:line="360" w:lineRule="auto"/>
              <w:jc w:val="center"/>
              <w:rPr>
                <w:lang w:val="en-GB"/>
              </w:rPr>
            </w:pPr>
            <w:r w:rsidRPr="00464DEB">
              <w:rPr>
                <w:lang w:val="en-GB"/>
              </w:rPr>
              <w:t>“Occupancy Rating; Less than or equal to -2”</w:t>
            </w:r>
          </w:p>
        </w:tc>
      </w:tr>
    </w:tbl>
    <w:p w14:paraId="676184A9" w14:textId="77777777" w:rsidR="00822F41" w:rsidRDefault="00822F41" w:rsidP="00BD37A4">
      <w:pPr>
        <w:spacing w:line="360" w:lineRule="auto"/>
        <w:rPr>
          <w:lang w:val="en-GB"/>
        </w:rPr>
      </w:pPr>
    </w:p>
    <w:p w14:paraId="2F6C176E" w14:textId="2848E277" w:rsidR="00BE1DC3" w:rsidRPr="00BE1DC3" w:rsidRDefault="00476C1E" w:rsidP="00CB3551">
      <w:pPr>
        <w:spacing w:line="360" w:lineRule="auto"/>
        <w:ind w:firstLine="720"/>
        <w:rPr>
          <w:lang w:val="en-GB"/>
        </w:rPr>
      </w:pPr>
      <w:r>
        <w:rPr>
          <w:lang w:val="en-GB"/>
        </w:rPr>
        <w:t xml:space="preserve">This serves the purpose of providing a </w:t>
      </w:r>
      <w:r w:rsidR="005B250F">
        <w:rPr>
          <w:lang w:val="en-GB"/>
        </w:rPr>
        <w:t>contextual view to relative deprivation across the region</w:t>
      </w:r>
      <w:r w:rsidR="00B03AAB">
        <w:rPr>
          <w:lang w:val="en-GB"/>
        </w:rPr>
        <w:t>, before components of th</w:t>
      </w:r>
      <w:r w:rsidR="00CE79C7">
        <w:rPr>
          <w:lang w:val="en-GB"/>
        </w:rPr>
        <w:t>is</w:t>
      </w:r>
      <w:r w:rsidR="00B03AAB">
        <w:rPr>
          <w:lang w:val="en-GB"/>
        </w:rPr>
        <w:t xml:space="preserve"> social </w:t>
      </w:r>
      <w:r w:rsidR="00EE2AB6">
        <w:rPr>
          <w:lang w:val="en-GB"/>
        </w:rPr>
        <w:t>barometer can be compared individually to data regarding the uptake of vaccines across the city.</w:t>
      </w:r>
      <w:r w:rsidR="00EE025B">
        <w:rPr>
          <w:lang w:val="en-GB"/>
        </w:rPr>
        <w:t xml:space="preserve"> The visual representations on transport options and overcrowding will directly influence the choices </w:t>
      </w:r>
      <w:r w:rsidR="00C66999">
        <w:rPr>
          <w:lang w:val="en-GB"/>
        </w:rPr>
        <w:t>the NHS Wales board make in making the Meningitis vaccine available to the public.</w:t>
      </w:r>
    </w:p>
    <w:p w14:paraId="118E1D0E" w14:textId="77777777" w:rsidR="00157908" w:rsidRPr="00157908" w:rsidRDefault="00157908" w:rsidP="00157908">
      <w:pPr>
        <w:rPr>
          <w:lang w:val="en-GB"/>
        </w:rPr>
      </w:pPr>
    </w:p>
    <w:p w14:paraId="51D0DE88" w14:textId="2CF40D53" w:rsidR="000C3A9E" w:rsidRDefault="00DA4681" w:rsidP="000C3A9E">
      <w:pPr>
        <w:keepNext/>
        <w:jc w:val="both"/>
      </w:pPr>
      <w:r>
        <w:rPr>
          <w:noProof/>
          <w:lang w:val="en-GB"/>
        </w:rPr>
        <w:lastRenderedPageBreak/>
        <mc:AlternateContent>
          <mc:Choice Requires="wps">
            <w:drawing>
              <wp:anchor distT="0" distB="0" distL="114300" distR="114300" simplePos="0" relativeHeight="251663360" behindDoc="0" locked="0" layoutInCell="1" allowOverlap="1" wp14:anchorId="657F4CAF" wp14:editId="7D3DE91F">
                <wp:simplePos x="0" y="0"/>
                <wp:positionH relativeFrom="column">
                  <wp:posOffset>2869949</wp:posOffset>
                </wp:positionH>
                <wp:positionV relativeFrom="paragraph">
                  <wp:posOffset>3621386</wp:posOffset>
                </wp:positionV>
                <wp:extent cx="1032095" cy="885410"/>
                <wp:effectExtent l="0" t="25400" r="34925" b="16510"/>
                <wp:wrapNone/>
                <wp:docPr id="10" name="Straight Arrow Connector 10"/>
                <wp:cNvGraphicFramePr/>
                <a:graphic xmlns:a="http://schemas.openxmlformats.org/drawingml/2006/main">
                  <a:graphicData uri="http://schemas.microsoft.com/office/word/2010/wordprocessingShape">
                    <wps:wsp>
                      <wps:cNvCnPr/>
                      <wps:spPr>
                        <a:xfrm flipV="1">
                          <a:off x="0" y="0"/>
                          <a:ext cx="1032095" cy="88541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39CC855" id="_x0000_t32" coordsize="21600,21600" o:spt="32" o:oned="t" path="m,l21600,21600e" filled="f">
                <v:path arrowok="t" fillok="f" o:connecttype="none"/>
                <o:lock v:ext="edit" shapetype="t"/>
              </v:shapetype>
              <v:shape id="Straight Arrow Connector 10" o:spid="_x0000_s1026" type="#_x0000_t32" style="position:absolute;margin-left:226pt;margin-top:285.15pt;width:81.25pt;height:69.7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" strokecolor="black [3213]" strokeweight=".5pt">
                <v:stroke endarrow="block" joinstyle="miter"/>
              </v:shape>
            </w:pict>
          </mc:Fallback>
        </mc:AlternateContent>
      </w:r>
      <w:r>
        <w:rPr>
          <w:noProof/>
          <w:lang w:val="en-GB"/>
        </w:rPr>
        <mc:AlternateContent>
          <mc:Choice Requires="wps">
            <w:drawing>
              <wp:anchor distT="0" distB="0" distL="114300" distR="114300" simplePos="0" relativeHeight="251659264" behindDoc="0" locked="0" layoutInCell="1" allowOverlap="1" wp14:anchorId="35B34CEB" wp14:editId="4B253C01">
                <wp:simplePos x="0" y="0"/>
                <wp:positionH relativeFrom="column">
                  <wp:posOffset>2869949</wp:posOffset>
                </wp:positionH>
                <wp:positionV relativeFrom="paragraph">
                  <wp:posOffset>2317686</wp:posOffset>
                </wp:positionV>
                <wp:extent cx="886460" cy="2189933"/>
                <wp:effectExtent l="0" t="25400" r="40640" b="20320"/>
                <wp:wrapNone/>
                <wp:docPr id="5" name="Straight Arrow Connector 5"/>
                <wp:cNvGraphicFramePr/>
                <a:graphic xmlns:a="http://schemas.openxmlformats.org/drawingml/2006/main">
                  <a:graphicData uri="http://schemas.microsoft.com/office/word/2010/wordprocessingShape">
                    <wps:wsp>
                      <wps:cNvCnPr/>
                      <wps:spPr>
                        <a:xfrm flipV="1">
                          <a:off x="0" y="0"/>
                          <a:ext cx="886460" cy="218993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41552A" id="Straight Arrow Connector 5" o:spid="_x0000_s1026" type="#_x0000_t32" style="position:absolute;margin-left:226pt;margin-top:182.5pt;width:69.8pt;height:172.4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" strokecolor="black [3213]" strokeweight=".5pt">
                <v:stroke endarrow="block" joinstyle="miter"/>
              </v:shape>
            </w:pict>
          </mc:Fallback>
        </mc:AlternateContent>
      </w:r>
      <w:r>
        <w:rPr>
          <w:noProof/>
          <w:lang w:val="en-GB"/>
        </w:rPr>
        <mc:AlternateContent>
          <mc:Choice Requires="wps">
            <w:drawing>
              <wp:anchor distT="0" distB="0" distL="114300" distR="114300" simplePos="0" relativeHeight="251661312" behindDoc="0" locked="0" layoutInCell="1" allowOverlap="1" wp14:anchorId="4104556E" wp14:editId="6E7BC202">
                <wp:simplePos x="0" y="0"/>
                <wp:positionH relativeFrom="column">
                  <wp:posOffset>2869949</wp:posOffset>
                </wp:positionH>
                <wp:positionV relativeFrom="paragraph">
                  <wp:posOffset>1448553</wp:posOffset>
                </wp:positionV>
                <wp:extent cx="886761" cy="3059066"/>
                <wp:effectExtent l="0" t="25400" r="40640" b="14605"/>
                <wp:wrapNone/>
                <wp:docPr id="9" name="Straight Arrow Connector 9"/>
                <wp:cNvGraphicFramePr/>
                <a:graphic xmlns:a="http://schemas.openxmlformats.org/drawingml/2006/main">
                  <a:graphicData uri="http://schemas.microsoft.com/office/word/2010/wordprocessingShape">
                    <wps:wsp>
                      <wps:cNvCnPr/>
                      <wps:spPr>
                        <a:xfrm flipV="1">
                          <a:off x="0" y="0"/>
                          <a:ext cx="886761" cy="3059066"/>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B49EAF" id="Straight Arrow Connector 9" o:spid="_x0000_s1026" type="#_x0000_t32" style="position:absolute;margin-left:226pt;margin-top:114.05pt;width:69.8pt;height:240.8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" strokecolor="black [3213]" strokeweight=".5pt">
                <v:stroke endarrow="block" joinstyle="miter"/>
              </v:shape>
            </w:pict>
          </mc:Fallback>
        </mc:AlternateContent>
      </w:r>
      <w:r w:rsidR="000C3A9E">
        <w:rPr>
          <w:noProof/>
          <w:lang w:val="en-GB"/>
        </w:rPr>
        <w:drawing>
          <wp:inline distT="0" distB="0" distL="0" distR="0" wp14:anchorId="2CFACD3B" wp14:editId="373D42DD">
            <wp:extent cx="5943600" cy="4576445"/>
            <wp:effectExtent l="114300" t="101600" r="114300" b="135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SOA_Townsend_Score_Swansea.PNG"/>
                    <pic:cNvPicPr/>
                  </pic:nvPicPr>
                  <pic:blipFill>
                    <a:blip r:embed="rId9">
                      <a:extLst>
                        <a:ext uri="{28A0092B-C50C-407E-A947-70E740481C1C}">
                          <a14:useLocalDpi xmlns:a14="http://schemas.microsoft.com/office/drawing/2010/main" val="0"/>
                        </a:ext>
                      </a:extLst>
                    </a:blip>
                    <a:stretch>
                      <a:fillRect/>
                    </a:stretch>
                  </pic:blipFill>
                  <pic:spPr>
                    <a:xfrm>
                      <a:off x="0" y="0"/>
                      <a:ext cx="5943600" cy="45764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CA79F30" w14:textId="4DCA8DD5" w:rsidR="000C3A9E" w:rsidRDefault="000C3A9E" w:rsidP="000C3A9E">
      <w:pPr>
        <w:keepNext/>
        <w:jc w:val="both"/>
      </w:pPr>
    </w:p>
    <w:p w14:paraId="6ED406F0" w14:textId="03323001" w:rsidR="00E27B58" w:rsidRPr="000C3A9E" w:rsidRDefault="000C3A9E" w:rsidP="000C3A9E">
      <w:pPr>
        <w:pStyle w:val="Caption"/>
        <w:jc w:val="center"/>
        <w:rPr>
          <w:i w:val="0"/>
          <w:color w:val="000000" w:themeColor="text1"/>
          <w:lang w:val="en-GB"/>
        </w:rPr>
      </w:pPr>
      <w:r w:rsidRPr="000C3A9E">
        <w:rPr>
          <w:b/>
          <w:i w:val="0"/>
          <w:color w:val="000000" w:themeColor="text1"/>
        </w:rPr>
        <w:t xml:space="preserve">Figure </w:t>
      </w:r>
      <w:r w:rsidRPr="000C3A9E">
        <w:rPr>
          <w:b/>
          <w:i w:val="0"/>
          <w:color w:val="000000" w:themeColor="text1"/>
        </w:rPr>
        <w:fldChar w:fldCharType="begin"/>
      </w:r>
      <w:r w:rsidRPr="000C3A9E">
        <w:rPr>
          <w:b/>
          <w:i w:val="0"/>
          <w:color w:val="000000" w:themeColor="text1"/>
        </w:rPr>
        <w:instrText xml:space="preserve"> SEQ Figure \* ARABIC </w:instrText>
      </w:r>
      <w:r w:rsidRPr="000C3A9E">
        <w:rPr>
          <w:b/>
          <w:i w:val="0"/>
          <w:color w:val="000000" w:themeColor="text1"/>
        </w:rPr>
        <w:fldChar w:fldCharType="separate"/>
      </w:r>
      <w:r w:rsidR="00D423BD">
        <w:rPr>
          <w:b/>
          <w:i w:val="0"/>
          <w:noProof/>
          <w:color w:val="000000" w:themeColor="text1"/>
        </w:rPr>
        <w:t>2</w:t>
      </w:r>
      <w:r w:rsidRPr="000C3A9E">
        <w:rPr>
          <w:b/>
          <w:i w:val="0"/>
          <w:color w:val="000000" w:themeColor="text1"/>
        </w:rPr>
        <w:fldChar w:fldCharType="end"/>
      </w:r>
      <w:r w:rsidRPr="000C3A9E">
        <w:rPr>
          <w:b/>
          <w:i w:val="0"/>
          <w:color w:val="000000" w:themeColor="text1"/>
        </w:rPr>
        <w:t>:</w:t>
      </w:r>
      <w:r w:rsidRPr="000C3A9E">
        <w:rPr>
          <w:i w:val="0"/>
          <w:color w:val="000000" w:themeColor="text1"/>
        </w:rPr>
        <w:t xml:space="preserve"> The Townsend Score for Swansea’s “Lower-Super Output Area</w:t>
      </w:r>
      <w:r w:rsidR="00191B9E">
        <w:rPr>
          <w:i w:val="0"/>
          <w:color w:val="000000" w:themeColor="text1"/>
        </w:rPr>
        <w:t>s</w:t>
      </w:r>
      <w:r w:rsidRPr="000C3A9E">
        <w:rPr>
          <w:i w:val="0"/>
          <w:color w:val="000000" w:themeColor="text1"/>
        </w:rPr>
        <w:t>” (LSOA</w:t>
      </w:r>
      <w:r w:rsidR="00191B9E">
        <w:rPr>
          <w:i w:val="0"/>
          <w:color w:val="000000" w:themeColor="text1"/>
        </w:rPr>
        <w:t>s</w:t>
      </w:r>
      <w:r w:rsidRPr="000C3A9E">
        <w:rPr>
          <w:i w:val="0"/>
          <w:color w:val="000000" w:themeColor="text1"/>
        </w:rPr>
        <w:t>)</w:t>
      </w:r>
    </w:p>
    <w:p w14:paraId="6A8CF8C8" w14:textId="66DAEB9A" w:rsidR="00013133" w:rsidRDefault="00013133" w:rsidP="00F650EF">
      <w:pPr>
        <w:spacing w:line="360" w:lineRule="auto"/>
        <w:jc w:val="both"/>
        <w:rPr>
          <w:lang w:val="en-GB"/>
        </w:rPr>
      </w:pPr>
    </w:p>
    <w:p w14:paraId="1ABA63A1" w14:textId="71F1F9A7" w:rsidR="00013133" w:rsidRPr="000401C6" w:rsidRDefault="00013133" w:rsidP="00110321">
      <w:pPr>
        <w:spacing w:line="360" w:lineRule="auto"/>
        <w:ind w:firstLine="720"/>
        <w:jc w:val="both"/>
        <w:rPr>
          <w:lang w:val="en-GB"/>
        </w:rPr>
      </w:pPr>
      <w:r>
        <w:rPr>
          <w:lang w:val="en-GB"/>
        </w:rPr>
        <w:t xml:space="preserve">The </w:t>
      </w:r>
      <w:r w:rsidR="005F1822">
        <w:rPr>
          <w:lang w:val="en-GB"/>
        </w:rPr>
        <w:t xml:space="preserve">thematic </w:t>
      </w:r>
      <w:r w:rsidR="00236590">
        <w:rPr>
          <w:lang w:val="en-GB"/>
        </w:rPr>
        <w:t>scale</w:t>
      </w:r>
      <w:r w:rsidR="00236590">
        <w:rPr>
          <w:i/>
          <w:lang w:val="en-GB"/>
        </w:rPr>
        <w:t xml:space="preserve"> </w:t>
      </w:r>
      <w:r w:rsidR="005F1822">
        <w:rPr>
          <w:i/>
          <w:lang w:val="en-GB"/>
        </w:rPr>
        <w:t>(see inset)</w:t>
      </w:r>
      <w:r w:rsidR="005F1822">
        <w:rPr>
          <w:lang w:val="en-GB"/>
        </w:rPr>
        <w:t xml:space="preserve"> </w:t>
      </w:r>
      <w:r w:rsidR="00D11058">
        <w:rPr>
          <w:lang w:val="en-GB"/>
        </w:rPr>
        <w:t>shows</w:t>
      </w:r>
      <w:r w:rsidR="00236590">
        <w:rPr>
          <w:lang w:val="en-GB"/>
        </w:rPr>
        <w:t xml:space="preserve"> all </w:t>
      </w:r>
      <w:r w:rsidR="00D11058">
        <w:rPr>
          <w:lang w:val="en-GB"/>
        </w:rPr>
        <w:t xml:space="preserve">LSOA </w:t>
      </w:r>
      <w:r w:rsidR="00FB2FC3">
        <w:rPr>
          <w:lang w:val="en-GB"/>
        </w:rPr>
        <w:fldChar w:fldCharType="begin" w:fldLock="1"/>
      </w:r>
      <w:r w:rsidR="00CE58B5">
        <w:rPr>
          <w:lang w:val="en-GB"/>
        </w:rPr>
        <w:instrText>ADDIN CSL_CITATION {"citationItems":[{"id":"ITEM-1","itemData":{"abstract":"The latest Welsh Index of Multiple Deprivation (WIMD) was originally published by the Knowledge and Analytical Services Directorate of the Welsh Government (WG) in November 2014. This note incorporates the revisions to the data published by WG on 12 August 2015.","author":[{"dropping-particle":"","family":"Welsh Government: Knowledge and Analytical Services Directorate","given":"","non-dropping-particle":"","parse-names":false,"suffix":""}],"container-title":"Briefing Note: Information Research and GIS Team","id":"ITEM-1","issued":{"date-parts":[["2014"]]},"number-of-pages":"20-23","publisher-place":"City and Council of Swansea","title":"Briefing Note Welsh Index of Multiple Deprivation (WIMD) 2014","type":"report"},"uris":["http://www.mendeley.com/documents/?uuid=e58d766a-670a-44c1-8187-578e2809b83d"]}],"mendeley":{"formattedCitation":"[24]","plainTextFormattedCitation":"[24]","previouslyFormattedCitation":"[23]"},"properties":{"noteIndex":0},"schema":"https://github.com/citation-style-language/schema/raw/master/csl-citation.json"}</w:instrText>
      </w:r>
      <w:r w:rsidR="00FB2FC3">
        <w:rPr>
          <w:lang w:val="en-GB"/>
        </w:rPr>
        <w:fldChar w:fldCharType="separate"/>
      </w:r>
      <w:r w:rsidR="00CE58B5" w:rsidRPr="00CE58B5">
        <w:rPr>
          <w:noProof/>
          <w:lang w:val="en-GB"/>
        </w:rPr>
        <w:t>[24]</w:t>
      </w:r>
      <w:r w:rsidR="00FB2FC3">
        <w:rPr>
          <w:lang w:val="en-GB"/>
        </w:rPr>
        <w:fldChar w:fldCharType="end"/>
      </w:r>
      <w:r w:rsidR="00F11177">
        <w:rPr>
          <w:lang w:val="en-GB"/>
        </w:rPr>
        <w:t xml:space="preserve"> </w:t>
      </w:r>
      <w:r w:rsidR="00D11058">
        <w:rPr>
          <w:lang w:val="en-GB"/>
        </w:rPr>
        <w:t xml:space="preserve">areas that fall into the five main boundaries, developed from the </w:t>
      </w:r>
      <w:r w:rsidR="00F650EF">
        <w:rPr>
          <w:lang w:val="en-GB"/>
        </w:rPr>
        <w:t>numerical ranges displayed in the Townsend Index</w:t>
      </w:r>
      <w:r w:rsidR="00CE442D">
        <w:rPr>
          <w:lang w:val="en-GB"/>
        </w:rPr>
        <w:t xml:space="preserve"> </w:t>
      </w:r>
      <w:r w:rsidR="00B85D44">
        <w:rPr>
          <w:lang w:val="en-GB"/>
        </w:rPr>
        <w:t>and calculated by the GIS software.</w:t>
      </w:r>
      <w:r w:rsidR="001E2E19">
        <w:rPr>
          <w:lang w:val="en-GB"/>
        </w:rPr>
        <w:t xml:space="preserve"> </w:t>
      </w:r>
      <w:r w:rsidR="00B85D44">
        <w:rPr>
          <w:lang w:val="en-GB"/>
        </w:rPr>
        <w:t>T</w:t>
      </w:r>
      <w:r w:rsidR="002D5652">
        <w:rPr>
          <w:lang w:val="en-GB"/>
        </w:rPr>
        <w:t xml:space="preserve">he </w:t>
      </w:r>
      <w:r w:rsidR="00585F5B">
        <w:rPr>
          <w:lang w:val="en-GB"/>
        </w:rPr>
        <w:t>least deprived (or most aff</w:t>
      </w:r>
      <w:r w:rsidR="001E2E19">
        <w:rPr>
          <w:lang w:val="en-GB"/>
        </w:rPr>
        <w:t>luent)</w:t>
      </w:r>
      <w:r w:rsidR="002D5652">
        <w:rPr>
          <w:lang w:val="en-GB"/>
        </w:rPr>
        <w:t xml:space="preserve"> areas</w:t>
      </w:r>
      <w:r w:rsidR="001E2E19">
        <w:rPr>
          <w:lang w:val="en-GB"/>
        </w:rPr>
        <w:t xml:space="preserve"> </w:t>
      </w:r>
      <w:r w:rsidR="00B85D44">
        <w:rPr>
          <w:lang w:val="en-GB"/>
        </w:rPr>
        <w:t xml:space="preserve">of the city and surrounding areas are </w:t>
      </w:r>
      <w:r w:rsidR="002D5652">
        <w:rPr>
          <w:lang w:val="en-GB"/>
        </w:rPr>
        <w:t xml:space="preserve">displayed in a light yellow </w:t>
      </w:r>
      <w:r w:rsidR="00B85D44">
        <w:rPr>
          <w:lang w:val="en-GB"/>
        </w:rPr>
        <w:t>with</w:t>
      </w:r>
      <w:r w:rsidR="001E2E19">
        <w:rPr>
          <w:lang w:val="en-GB"/>
        </w:rPr>
        <w:t xml:space="preserve"> the most </w:t>
      </w:r>
      <w:r w:rsidR="00A76C5B">
        <w:rPr>
          <w:lang w:val="en-GB"/>
        </w:rPr>
        <w:t xml:space="preserve">deprived (or least affluent) areas appearing as a </w:t>
      </w:r>
      <w:r w:rsidR="00343AE5">
        <w:rPr>
          <w:lang w:val="en-GB"/>
        </w:rPr>
        <w:t xml:space="preserve">progressively </w:t>
      </w:r>
      <w:r w:rsidR="00A76C5B">
        <w:rPr>
          <w:lang w:val="en-GB"/>
        </w:rPr>
        <w:t>dark</w:t>
      </w:r>
      <w:r w:rsidR="00343AE5">
        <w:rPr>
          <w:lang w:val="en-GB"/>
        </w:rPr>
        <w:t>ening</w:t>
      </w:r>
      <w:r w:rsidR="00A76C5B">
        <w:rPr>
          <w:lang w:val="en-GB"/>
        </w:rPr>
        <w:t xml:space="preserve"> red.</w:t>
      </w:r>
      <w:r w:rsidR="007130D0">
        <w:rPr>
          <w:lang w:val="en-GB"/>
        </w:rPr>
        <w:t xml:space="preserve"> </w:t>
      </w:r>
      <w:r w:rsidR="00343AE5">
        <w:rPr>
          <w:lang w:val="en-GB"/>
        </w:rPr>
        <w:t>The purpose of</w:t>
      </w:r>
      <w:r w:rsidR="007130D0">
        <w:rPr>
          <w:lang w:val="en-GB"/>
        </w:rPr>
        <w:t xml:space="preserve"> </w:t>
      </w:r>
      <w:r w:rsidR="004C4126">
        <w:rPr>
          <w:lang w:val="en-GB"/>
        </w:rPr>
        <w:t>thematic</w:t>
      </w:r>
      <w:r w:rsidR="00343AE5">
        <w:rPr>
          <w:lang w:val="en-GB"/>
        </w:rPr>
        <w:t>ally</w:t>
      </w:r>
      <w:r w:rsidR="004C4126">
        <w:rPr>
          <w:lang w:val="en-GB"/>
        </w:rPr>
        <w:t xml:space="preserve"> mapping allows several key conclusions to be drawn from the numerical data, providing a greater insight into </w:t>
      </w:r>
      <w:r w:rsidR="00CA163E">
        <w:rPr>
          <w:i/>
          <w:lang w:val="en-GB"/>
        </w:rPr>
        <w:t>where</w:t>
      </w:r>
      <w:r w:rsidR="00CA163E">
        <w:rPr>
          <w:lang w:val="en-GB"/>
        </w:rPr>
        <w:t xml:space="preserve"> the existing socio</w:t>
      </w:r>
      <w:r w:rsidR="005B32B9">
        <w:rPr>
          <w:lang w:val="en-GB"/>
        </w:rPr>
        <w:t>-</w:t>
      </w:r>
      <w:r w:rsidR="00CA163E">
        <w:rPr>
          <w:lang w:val="en-GB"/>
        </w:rPr>
        <w:t xml:space="preserve">economic climate is </w:t>
      </w:r>
      <w:r w:rsidR="0029179F">
        <w:rPr>
          <w:lang w:val="en-GB"/>
        </w:rPr>
        <w:t>currently weak</w:t>
      </w:r>
      <w:r w:rsidR="00343AE5">
        <w:rPr>
          <w:lang w:val="en-GB"/>
        </w:rPr>
        <w:t xml:space="preserve">, the following </w:t>
      </w:r>
      <w:r w:rsidR="000401C6">
        <w:rPr>
          <w:lang w:val="en-GB"/>
        </w:rPr>
        <w:t xml:space="preserve">data is designed to show </w:t>
      </w:r>
      <w:r w:rsidR="000401C6">
        <w:rPr>
          <w:i/>
          <w:lang w:val="en-GB"/>
        </w:rPr>
        <w:t>why</w:t>
      </w:r>
      <w:r w:rsidR="000401C6">
        <w:rPr>
          <w:lang w:val="en-GB"/>
        </w:rPr>
        <w:t xml:space="preserve"> the trends in relative affluence might be</w:t>
      </w:r>
      <w:r w:rsidR="001E134A">
        <w:rPr>
          <w:lang w:val="en-GB"/>
        </w:rPr>
        <w:t>.</w:t>
      </w:r>
    </w:p>
    <w:p w14:paraId="16A4D9BC" w14:textId="77777777" w:rsidR="00110321" w:rsidRDefault="00110321" w:rsidP="00F650EF">
      <w:pPr>
        <w:spacing w:line="360" w:lineRule="auto"/>
        <w:jc w:val="both"/>
        <w:rPr>
          <w:lang w:val="en-GB"/>
        </w:rPr>
      </w:pPr>
    </w:p>
    <w:p w14:paraId="560507FC" w14:textId="7CDCCB17" w:rsidR="003A04BB" w:rsidRDefault="0029179F" w:rsidP="00110321">
      <w:pPr>
        <w:spacing w:line="360" w:lineRule="auto"/>
        <w:ind w:firstLine="720"/>
        <w:jc w:val="both"/>
        <w:rPr>
          <w:lang w:val="en-GB"/>
        </w:rPr>
      </w:pPr>
      <w:r>
        <w:rPr>
          <w:lang w:val="en-GB"/>
        </w:rPr>
        <w:t xml:space="preserve">The most obvious trend is the </w:t>
      </w:r>
      <w:r w:rsidR="00AA3D13">
        <w:rPr>
          <w:lang w:val="en-GB"/>
        </w:rPr>
        <w:t xml:space="preserve">group of ‘red’ areas towards the centre of </w:t>
      </w:r>
      <w:r w:rsidR="00FE647B">
        <w:rPr>
          <w:lang w:val="en-GB"/>
        </w:rPr>
        <w:t xml:space="preserve">the city of </w:t>
      </w:r>
      <w:r w:rsidR="00AA3D13">
        <w:rPr>
          <w:lang w:val="en-GB"/>
        </w:rPr>
        <w:t xml:space="preserve">Swansea and out towards </w:t>
      </w:r>
      <w:r w:rsidR="00FE647B">
        <w:rPr>
          <w:lang w:val="en-GB"/>
        </w:rPr>
        <w:t xml:space="preserve">the connected suburb of </w:t>
      </w:r>
      <w:r w:rsidR="002C333A">
        <w:rPr>
          <w:lang w:val="en-GB"/>
        </w:rPr>
        <w:t xml:space="preserve">Port Talbot. However, there </w:t>
      </w:r>
      <w:r w:rsidR="00110321">
        <w:rPr>
          <w:lang w:val="en-GB"/>
        </w:rPr>
        <w:t>are some clear exceptions</w:t>
      </w:r>
      <w:r w:rsidR="002C333A">
        <w:rPr>
          <w:lang w:val="en-GB"/>
        </w:rPr>
        <w:t xml:space="preserve">, such as </w:t>
      </w:r>
      <w:r w:rsidR="00350C1F" w:rsidRPr="00350C1F">
        <w:rPr>
          <w:i/>
          <w:lang w:val="en-GB"/>
        </w:rPr>
        <w:t>‘</w:t>
      </w:r>
      <w:proofErr w:type="spellStart"/>
      <w:r w:rsidR="00CE7CCC" w:rsidRPr="00350C1F">
        <w:rPr>
          <w:i/>
          <w:lang w:val="en-GB"/>
        </w:rPr>
        <w:t>Gorseinon</w:t>
      </w:r>
      <w:proofErr w:type="spellEnd"/>
      <w:r w:rsidR="00350C1F" w:rsidRPr="00350C1F">
        <w:rPr>
          <w:i/>
          <w:lang w:val="en-GB"/>
        </w:rPr>
        <w:t>’</w:t>
      </w:r>
      <w:r w:rsidR="002E1C8F">
        <w:rPr>
          <w:lang w:val="en-GB"/>
        </w:rPr>
        <w:t xml:space="preserve">, </w:t>
      </w:r>
      <w:r w:rsidR="00350C1F">
        <w:rPr>
          <w:i/>
          <w:lang w:val="en-GB"/>
        </w:rPr>
        <w:t>‘</w:t>
      </w:r>
      <w:proofErr w:type="spellStart"/>
      <w:r w:rsidR="00C01C0E" w:rsidRPr="00350C1F">
        <w:rPr>
          <w:i/>
          <w:lang w:val="en-GB"/>
        </w:rPr>
        <w:t>Pontarddulais</w:t>
      </w:r>
      <w:proofErr w:type="spellEnd"/>
      <w:r w:rsidR="00350C1F">
        <w:rPr>
          <w:i/>
          <w:lang w:val="en-GB"/>
        </w:rPr>
        <w:t>’</w:t>
      </w:r>
      <w:r w:rsidR="00C01C0E">
        <w:rPr>
          <w:lang w:val="en-GB"/>
        </w:rPr>
        <w:t xml:space="preserve"> and </w:t>
      </w:r>
      <w:r w:rsidR="00AA2C7A">
        <w:rPr>
          <w:lang w:val="en-GB"/>
        </w:rPr>
        <w:t xml:space="preserve">the </w:t>
      </w:r>
      <w:r w:rsidR="00350C1F">
        <w:rPr>
          <w:i/>
          <w:lang w:val="en-GB"/>
        </w:rPr>
        <w:t>‘</w:t>
      </w:r>
      <w:r w:rsidR="00AA2C7A" w:rsidRPr="00350C1F">
        <w:rPr>
          <w:i/>
          <w:lang w:val="en-GB"/>
        </w:rPr>
        <w:t>West Cross</w:t>
      </w:r>
      <w:r w:rsidR="00E11516">
        <w:rPr>
          <w:i/>
          <w:lang w:val="en-GB"/>
        </w:rPr>
        <w:t>’</w:t>
      </w:r>
      <w:r w:rsidR="00AA2C7A" w:rsidRPr="00350C1F">
        <w:rPr>
          <w:i/>
          <w:lang w:val="en-GB"/>
        </w:rPr>
        <w:t xml:space="preserve"> </w:t>
      </w:r>
      <w:r w:rsidR="00E11516">
        <w:rPr>
          <w:lang w:val="en-GB"/>
        </w:rPr>
        <w:t>e</w:t>
      </w:r>
      <w:r w:rsidR="00AA2C7A" w:rsidRPr="00E11516">
        <w:rPr>
          <w:lang w:val="en-GB"/>
        </w:rPr>
        <w:t>state</w:t>
      </w:r>
      <w:r w:rsidR="002E1C8F">
        <w:rPr>
          <w:lang w:val="en-GB"/>
        </w:rPr>
        <w:t xml:space="preserve">, the latter </w:t>
      </w:r>
      <w:r w:rsidR="00AA2C7A">
        <w:rPr>
          <w:lang w:val="en-GB"/>
        </w:rPr>
        <w:t xml:space="preserve">out </w:t>
      </w:r>
      <w:r w:rsidR="00110321">
        <w:rPr>
          <w:lang w:val="en-GB"/>
        </w:rPr>
        <w:t>being out towards</w:t>
      </w:r>
      <w:r w:rsidR="00AA2C7A">
        <w:rPr>
          <w:lang w:val="en-GB"/>
        </w:rPr>
        <w:t xml:space="preserve"> the Mumbles and Gower regions</w:t>
      </w:r>
      <w:r w:rsidR="00DC15D5">
        <w:rPr>
          <w:lang w:val="en-GB"/>
        </w:rPr>
        <w:t>—both of which</w:t>
      </w:r>
      <w:r w:rsidR="00110321">
        <w:rPr>
          <w:lang w:val="en-GB"/>
        </w:rPr>
        <w:t xml:space="preserve">, as shown above, </w:t>
      </w:r>
      <w:r w:rsidR="00DC15D5">
        <w:rPr>
          <w:lang w:val="en-GB"/>
        </w:rPr>
        <w:t>contain widespread affluenc</w:t>
      </w:r>
      <w:r w:rsidR="00110321">
        <w:rPr>
          <w:lang w:val="en-GB"/>
        </w:rPr>
        <w:t>e</w:t>
      </w:r>
      <w:r w:rsidR="00DC15D5">
        <w:rPr>
          <w:lang w:val="en-GB"/>
        </w:rPr>
        <w:t>.</w:t>
      </w:r>
      <w:r w:rsidR="00B10B38">
        <w:rPr>
          <w:lang w:val="en-GB"/>
        </w:rPr>
        <w:t xml:space="preserve"> The opposite of this is also true in that </w:t>
      </w:r>
      <w:r w:rsidR="00D55D63">
        <w:rPr>
          <w:lang w:val="en-GB"/>
        </w:rPr>
        <w:t xml:space="preserve">the </w:t>
      </w:r>
      <w:r w:rsidR="00B06F64">
        <w:rPr>
          <w:lang w:val="en-GB"/>
        </w:rPr>
        <w:t xml:space="preserve">areas of greater affluence (or reduced deprivation) </w:t>
      </w:r>
      <w:r w:rsidR="0090342E">
        <w:rPr>
          <w:lang w:val="en-GB"/>
        </w:rPr>
        <w:t xml:space="preserve">are mostly away from core urban areas and the industrialised or </w:t>
      </w:r>
      <w:r w:rsidR="00483B20">
        <w:rPr>
          <w:lang w:val="en-GB"/>
        </w:rPr>
        <w:t xml:space="preserve">economic centres, typically Gower and </w:t>
      </w:r>
      <w:r w:rsidR="003A04BB">
        <w:rPr>
          <w:lang w:val="en-GB"/>
        </w:rPr>
        <w:t xml:space="preserve">areas to the north of the city, such as </w:t>
      </w:r>
      <w:r w:rsidR="00350C1F">
        <w:rPr>
          <w:i/>
          <w:lang w:val="en-GB"/>
        </w:rPr>
        <w:t>‘</w:t>
      </w:r>
      <w:r w:rsidR="003A04BB" w:rsidRPr="00350C1F">
        <w:rPr>
          <w:i/>
          <w:lang w:val="en-GB"/>
        </w:rPr>
        <w:t>Kingsbridge</w:t>
      </w:r>
      <w:r w:rsidR="00350C1F">
        <w:rPr>
          <w:i/>
          <w:lang w:val="en-GB"/>
        </w:rPr>
        <w:t>’</w:t>
      </w:r>
      <w:r w:rsidR="001F5669" w:rsidRPr="00350C1F">
        <w:rPr>
          <w:i/>
          <w:lang w:val="en-GB"/>
        </w:rPr>
        <w:t xml:space="preserve"> </w:t>
      </w:r>
      <w:r w:rsidR="001F5669">
        <w:rPr>
          <w:lang w:val="en-GB"/>
        </w:rPr>
        <w:t xml:space="preserve">(as shown in </w:t>
      </w:r>
      <w:r w:rsidR="001F5669">
        <w:rPr>
          <w:b/>
          <w:i/>
          <w:lang w:val="en-GB"/>
        </w:rPr>
        <w:t>Fig. 3.</w:t>
      </w:r>
      <w:r w:rsidR="001F5669">
        <w:rPr>
          <w:lang w:val="en-GB"/>
        </w:rPr>
        <w:t>)</w:t>
      </w:r>
      <w:r w:rsidR="003A04BB">
        <w:rPr>
          <w:lang w:val="en-GB"/>
        </w:rPr>
        <w:t>.</w:t>
      </w:r>
    </w:p>
    <w:p w14:paraId="5454DFF8" w14:textId="63ABA7E9" w:rsidR="001F5669" w:rsidRDefault="001F5669" w:rsidP="001F5669">
      <w:pPr>
        <w:spacing w:line="360" w:lineRule="auto"/>
        <w:jc w:val="both"/>
        <w:rPr>
          <w:lang w:val="en-GB"/>
        </w:rPr>
      </w:pPr>
    </w:p>
    <w:p w14:paraId="2FD914C4" w14:textId="1A32DD5F" w:rsidR="001F5669" w:rsidRDefault="0055526A" w:rsidP="001F5669">
      <w:pPr>
        <w:keepNext/>
        <w:spacing w:line="360" w:lineRule="auto"/>
        <w:jc w:val="both"/>
      </w:pPr>
      <w:r>
        <w:rPr>
          <w:noProof/>
          <w:lang w:val="en-GB"/>
        </w:rPr>
        <mc:AlternateContent>
          <mc:Choice Requires="wps">
            <w:drawing>
              <wp:anchor distT="0" distB="0" distL="114300" distR="114300" simplePos="0" relativeHeight="251664384" behindDoc="0" locked="0" layoutInCell="1" allowOverlap="1" wp14:anchorId="2A9A486A" wp14:editId="3ED76DA7">
                <wp:simplePos x="0" y="0"/>
                <wp:positionH relativeFrom="column">
                  <wp:posOffset>1937429</wp:posOffset>
                </wp:positionH>
                <wp:positionV relativeFrom="paragraph">
                  <wp:posOffset>4047728</wp:posOffset>
                </wp:positionV>
                <wp:extent cx="1285428" cy="552060"/>
                <wp:effectExtent l="25400" t="25400" r="10160" b="19685"/>
                <wp:wrapNone/>
                <wp:docPr id="12" name="Straight Arrow Connector 12"/>
                <wp:cNvGraphicFramePr/>
                <a:graphic xmlns:a="http://schemas.openxmlformats.org/drawingml/2006/main">
                  <a:graphicData uri="http://schemas.microsoft.com/office/word/2010/wordprocessingShape">
                    <wps:wsp>
                      <wps:cNvCnPr/>
                      <wps:spPr>
                        <a:xfrm flipH="1" flipV="1">
                          <a:off x="0" y="0"/>
                          <a:ext cx="1285428" cy="5520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1ADBEF" id="Straight Arrow Connector 12" o:spid="_x0000_s1026" type="#_x0000_t32" style="position:absolute;margin-left:152.55pt;margin-top:318.7pt;width:101.2pt;height:43.4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" strokecolor="black [3213]" strokeweight=".5pt">
                <v:stroke endarrow="block" joinstyle="miter"/>
              </v:shape>
            </w:pict>
          </mc:Fallback>
        </mc:AlternateContent>
      </w:r>
      <w:r w:rsidR="001F5669">
        <w:rPr>
          <w:noProof/>
          <w:lang w:val="en-GB"/>
        </w:rPr>
        <mc:AlternateContent>
          <mc:Choice Requires="wps">
            <w:drawing>
              <wp:anchor distT="0" distB="0" distL="114300" distR="114300" simplePos="0" relativeHeight="251666432" behindDoc="0" locked="0" layoutInCell="1" allowOverlap="1" wp14:anchorId="11959F45" wp14:editId="012A4647">
                <wp:simplePos x="0" y="0"/>
                <wp:positionH relativeFrom="column">
                  <wp:posOffset>3222870</wp:posOffset>
                </wp:positionH>
                <wp:positionV relativeFrom="paragraph">
                  <wp:posOffset>2372655</wp:posOffset>
                </wp:positionV>
                <wp:extent cx="588413" cy="2226952"/>
                <wp:effectExtent l="0" t="25400" r="46990" b="8255"/>
                <wp:wrapNone/>
                <wp:docPr id="13" name="Straight Arrow Connector 13"/>
                <wp:cNvGraphicFramePr/>
                <a:graphic xmlns:a="http://schemas.openxmlformats.org/drawingml/2006/main">
                  <a:graphicData uri="http://schemas.microsoft.com/office/word/2010/wordprocessingShape">
                    <wps:wsp>
                      <wps:cNvCnPr/>
                      <wps:spPr>
                        <a:xfrm flipV="1">
                          <a:off x="0" y="0"/>
                          <a:ext cx="588413" cy="222695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B77DB6" id="Straight Arrow Connector 13" o:spid="_x0000_s1026" type="#_x0000_t32" style="position:absolute;margin-left:253.75pt;margin-top:186.8pt;width:46.35pt;height:175.3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" strokecolor="black [3213]" strokeweight=".5pt">
                <v:stroke endarrow="block" joinstyle="miter"/>
              </v:shape>
            </w:pict>
          </mc:Fallback>
        </mc:AlternateContent>
      </w:r>
      <w:r w:rsidR="001F5669">
        <w:rPr>
          <w:noProof/>
          <w:lang w:val="en-GB"/>
        </w:rPr>
        <w:drawing>
          <wp:inline distT="0" distB="0" distL="0" distR="0" wp14:anchorId="33E6BF67" wp14:editId="073760CD">
            <wp:extent cx="5943600" cy="4576445"/>
            <wp:effectExtent l="114300" t="101600" r="114300" b="135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SOA_Townsend_Score_Swansea.PNG"/>
                    <pic:cNvPicPr/>
                  </pic:nvPicPr>
                  <pic:blipFill>
                    <a:blip r:embed="rId9">
                      <a:extLst>
                        <a:ext uri="{28A0092B-C50C-407E-A947-70E740481C1C}">
                          <a14:useLocalDpi xmlns:a14="http://schemas.microsoft.com/office/drawing/2010/main" val="0"/>
                        </a:ext>
                      </a:extLst>
                    </a:blip>
                    <a:stretch>
                      <a:fillRect/>
                    </a:stretch>
                  </pic:blipFill>
                  <pic:spPr>
                    <a:xfrm>
                      <a:off x="0" y="0"/>
                      <a:ext cx="5943600" cy="45764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01973E7" w14:textId="77777777" w:rsidR="001F5669" w:rsidRDefault="001F5669" w:rsidP="001F5669">
      <w:pPr>
        <w:keepNext/>
        <w:spacing w:line="360" w:lineRule="auto"/>
        <w:jc w:val="both"/>
      </w:pPr>
    </w:p>
    <w:p w14:paraId="4B558969" w14:textId="27B5A1F7" w:rsidR="001F5669" w:rsidRPr="007D2ECF" w:rsidRDefault="001F5669" w:rsidP="001F5669">
      <w:pPr>
        <w:pStyle w:val="Caption"/>
        <w:jc w:val="center"/>
        <w:rPr>
          <w:color w:val="000000" w:themeColor="text1"/>
          <w:lang w:val="en-GB"/>
        </w:rPr>
      </w:pPr>
      <w:r w:rsidRPr="001F5669">
        <w:rPr>
          <w:b/>
          <w:i w:val="0"/>
          <w:color w:val="000000" w:themeColor="text1"/>
        </w:rPr>
        <w:t xml:space="preserve">Figure </w:t>
      </w:r>
      <w:r w:rsidRPr="001F5669">
        <w:rPr>
          <w:b/>
          <w:i w:val="0"/>
          <w:color w:val="000000" w:themeColor="text1"/>
        </w:rPr>
        <w:fldChar w:fldCharType="begin"/>
      </w:r>
      <w:r w:rsidRPr="001F5669">
        <w:rPr>
          <w:b/>
          <w:i w:val="0"/>
          <w:color w:val="000000" w:themeColor="text1"/>
        </w:rPr>
        <w:instrText xml:space="preserve"> SEQ Figure \* ARABIC </w:instrText>
      </w:r>
      <w:r w:rsidRPr="001F5669">
        <w:rPr>
          <w:b/>
          <w:i w:val="0"/>
          <w:color w:val="000000" w:themeColor="text1"/>
        </w:rPr>
        <w:fldChar w:fldCharType="separate"/>
      </w:r>
      <w:r w:rsidR="00D423BD">
        <w:rPr>
          <w:b/>
          <w:i w:val="0"/>
          <w:noProof/>
          <w:color w:val="000000" w:themeColor="text1"/>
        </w:rPr>
        <w:t>3</w:t>
      </w:r>
      <w:r w:rsidRPr="001F5669">
        <w:rPr>
          <w:b/>
          <w:i w:val="0"/>
          <w:color w:val="000000" w:themeColor="text1"/>
        </w:rPr>
        <w:fldChar w:fldCharType="end"/>
      </w:r>
      <w:r w:rsidRPr="001F5669">
        <w:rPr>
          <w:b/>
          <w:i w:val="0"/>
          <w:color w:val="000000" w:themeColor="text1"/>
        </w:rPr>
        <w:t>:</w:t>
      </w:r>
      <w:r w:rsidRPr="001F5669">
        <w:rPr>
          <w:i w:val="0"/>
          <w:color w:val="000000" w:themeColor="text1"/>
        </w:rPr>
        <w:t xml:space="preserve"> </w:t>
      </w:r>
      <w:r w:rsidRPr="007D2ECF">
        <w:rPr>
          <w:color w:val="000000" w:themeColor="text1"/>
        </w:rPr>
        <w:t>as fig. 2.</w:t>
      </w:r>
    </w:p>
    <w:p w14:paraId="08880032" w14:textId="6B2D7FFB" w:rsidR="00D55D63" w:rsidRDefault="00B06F64" w:rsidP="00FB0E7A">
      <w:pPr>
        <w:spacing w:line="360" w:lineRule="auto"/>
        <w:ind w:firstLine="720"/>
        <w:jc w:val="both"/>
        <w:rPr>
          <w:lang w:val="en-GB"/>
        </w:rPr>
      </w:pPr>
      <w:r>
        <w:rPr>
          <w:lang w:val="en-GB"/>
        </w:rPr>
        <w:t xml:space="preserve"> </w:t>
      </w:r>
    </w:p>
    <w:p w14:paraId="3F2CD4C7" w14:textId="77777777" w:rsidR="006C0B23" w:rsidRDefault="00FB0E7A" w:rsidP="0074030D">
      <w:pPr>
        <w:spacing w:line="360" w:lineRule="auto"/>
        <w:ind w:firstLine="720"/>
        <w:jc w:val="both"/>
        <w:rPr>
          <w:lang w:val="en-GB"/>
        </w:rPr>
      </w:pPr>
      <w:r>
        <w:rPr>
          <w:lang w:val="en-GB"/>
        </w:rPr>
        <w:t xml:space="preserve">However, to understand </w:t>
      </w:r>
      <w:r w:rsidR="00883496">
        <w:rPr>
          <w:lang w:val="en-GB"/>
        </w:rPr>
        <w:t xml:space="preserve">why the </w:t>
      </w:r>
      <w:r w:rsidR="00D55D63">
        <w:rPr>
          <w:lang w:val="en-GB"/>
        </w:rPr>
        <w:t>deprivation is</w:t>
      </w:r>
      <w:r w:rsidR="00883496">
        <w:rPr>
          <w:lang w:val="en-GB"/>
        </w:rPr>
        <w:t xml:space="preserve"> more or less prevalent in the various </w:t>
      </w:r>
      <w:r w:rsidR="00704AE2">
        <w:rPr>
          <w:lang w:val="en-GB"/>
        </w:rPr>
        <w:t xml:space="preserve">Output Areas (OAs) </w:t>
      </w:r>
      <w:r w:rsidR="00883496">
        <w:rPr>
          <w:lang w:val="en-GB"/>
        </w:rPr>
        <w:t xml:space="preserve">its </w:t>
      </w:r>
      <w:r w:rsidR="007A4DB8">
        <w:rPr>
          <w:lang w:val="en-GB"/>
        </w:rPr>
        <w:t xml:space="preserve">critical to look at the individual elements of the Townsend Index and how they influence the socio-economic state of local communities. A fundamental element in </w:t>
      </w:r>
      <w:r w:rsidR="008E7956">
        <w:rPr>
          <w:lang w:val="en-GB"/>
        </w:rPr>
        <w:t xml:space="preserve">poverty and deprivation of any kind is the population density and distribution. </w:t>
      </w:r>
      <w:r w:rsidR="00AD2AD1">
        <w:rPr>
          <w:b/>
          <w:i/>
          <w:lang w:val="en-GB"/>
        </w:rPr>
        <w:t>Fig. 4.</w:t>
      </w:r>
      <w:r w:rsidR="00AD2AD1">
        <w:rPr>
          <w:lang w:val="en-GB"/>
        </w:rPr>
        <w:t xml:space="preserve">, illustrated below, </w:t>
      </w:r>
      <w:r w:rsidR="00A657D6">
        <w:rPr>
          <w:lang w:val="en-GB"/>
        </w:rPr>
        <w:t xml:space="preserve">retains the Townsend Index as discussed above, </w:t>
      </w:r>
      <w:r w:rsidR="003255A5">
        <w:rPr>
          <w:lang w:val="en-GB"/>
        </w:rPr>
        <w:t xml:space="preserve">also grouped </w:t>
      </w:r>
      <w:r w:rsidR="002721DC">
        <w:rPr>
          <w:lang w:val="en-GB"/>
        </w:rPr>
        <w:t>spatially</w:t>
      </w:r>
      <w:r w:rsidR="003255A5">
        <w:rPr>
          <w:lang w:val="en-GB"/>
        </w:rPr>
        <w:t xml:space="preserve"> by the LSOA </w:t>
      </w:r>
      <w:r w:rsidR="002721DC">
        <w:rPr>
          <w:lang w:val="en-GB"/>
        </w:rPr>
        <w:t xml:space="preserve">constraint, overlaying a secondary </w:t>
      </w:r>
      <w:r w:rsidR="00821F27">
        <w:rPr>
          <w:lang w:val="en-GB"/>
        </w:rPr>
        <w:t xml:space="preserve">“data table” containing OA </w:t>
      </w:r>
      <w:r w:rsidR="008C1770">
        <w:rPr>
          <w:lang w:val="en-GB"/>
        </w:rPr>
        <w:t xml:space="preserve">household </w:t>
      </w:r>
      <w:r w:rsidR="00035B4F">
        <w:rPr>
          <w:lang w:val="en-GB"/>
        </w:rPr>
        <w:t>overcrowding</w:t>
      </w:r>
      <w:r w:rsidR="00914C98">
        <w:rPr>
          <w:lang w:val="en-GB"/>
        </w:rPr>
        <w:t xml:space="preserve"> </w:t>
      </w:r>
      <w:r w:rsidR="008C1770">
        <w:rPr>
          <w:lang w:val="en-GB"/>
        </w:rPr>
        <w:t>as a percentage (%) of the total boundary population</w:t>
      </w:r>
      <w:r w:rsidR="00821F27">
        <w:rPr>
          <w:lang w:val="en-GB"/>
        </w:rPr>
        <w:t xml:space="preserve">. </w:t>
      </w:r>
      <w:r w:rsidR="000F0C62">
        <w:rPr>
          <w:lang w:val="en-GB"/>
        </w:rPr>
        <w:t xml:space="preserve">There is a noticeable link between the Townsend Index </w:t>
      </w:r>
      <w:r w:rsidR="002B7FD3">
        <w:rPr>
          <w:lang w:val="en-GB"/>
        </w:rPr>
        <w:t>score for an area, and the degree of overcrowding that it is experiencing</w:t>
      </w:r>
      <w:r w:rsidR="003A2097">
        <w:rPr>
          <w:lang w:val="en-GB"/>
        </w:rPr>
        <w:t xml:space="preserve">. Core urban areas </w:t>
      </w:r>
      <w:r w:rsidR="00AD308A">
        <w:rPr>
          <w:lang w:val="en-GB"/>
        </w:rPr>
        <w:t xml:space="preserve">are those with higher levels of household incapacity, those towards the centre of Swansea and the </w:t>
      </w:r>
      <w:r w:rsidR="0054063B">
        <w:rPr>
          <w:lang w:val="en-GB"/>
        </w:rPr>
        <w:t xml:space="preserve">tightly populated Port Talbot region once again. </w:t>
      </w:r>
    </w:p>
    <w:p w14:paraId="217DD45B" w14:textId="74C18589" w:rsidR="00B168D1" w:rsidRDefault="0054063B" w:rsidP="0074030D">
      <w:pPr>
        <w:spacing w:line="360" w:lineRule="auto"/>
        <w:ind w:firstLine="720"/>
        <w:jc w:val="both"/>
        <w:rPr>
          <w:lang w:val="en-GB"/>
        </w:rPr>
      </w:pPr>
      <w:r>
        <w:rPr>
          <w:lang w:val="en-GB"/>
        </w:rPr>
        <w:t>The opposite of this is also evident, particularly out towards the Gower region w</w:t>
      </w:r>
      <w:r w:rsidR="00DA6886">
        <w:rPr>
          <w:lang w:val="en-GB"/>
        </w:rPr>
        <w:t xml:space="preserve">here sparsely populated areas </w:t>
      </w:r>
      <w:r w:rsidR="00A25CCF">
        <w:rPr>
          <w:lang w:val="en-GB"/>
        </w:rPr>
        <w:t>are</w:t>
      </w:r>
      <w:r w:rsidR="00DA6886">
        <w:rPr>
          <w:lang w:val="en-GB"/>
        </w:rPr>
        <w:t xml:space="preserve"> experienc</w:t>
      </w:r>
      <w:r w:rsidR="00A25CCF">
        <w:rPr>
          <w:lang w:val="en-GB"/>
        </w:rPr>
        <w:t>ing</w:t>
      </w:r>
      <w:r w:rsidR="00DA6886">
        <w:rPr>
          <w:lang w:val="en-GB"/>
        </w:rPr>
        <w:t xml:space="preserve"> little overcrowding</w:t>
      </w:r>
      <w:r w:rsidR="00A25CCF">
        <w:rPr>
          <w:lang w:val="en-GB"/>
        </w:rPr>
        <w:t xml:space="preserve">, and with it the degree of social deprivation </w:t>
      </w:r>
      <w:r w:rsidR="00DA0850">
        <w:rPr>
          <w:lang w:val="en-GB"/>
        </w:rPr>
        <w:t>felt.</w:t>
      </w:r>
      <w:r w:rsidR="00E13D74">
        <w:rPr>
          <w:lang w:val="en-GB"/>
        </w:rPr>
        <w:t xml:space="preserve"> </w:t>
      </w:r>
      <w:r w:rsidR="00CD67F3">
        <w:rPr>
          <w:lang w:val="en-GB"/>
        </w:rPr>
        <w:t xml:space="preserve">The use of </w:t>
      </w:r>
      <w:r w:rsidR="00442D9D">
        <w:rPr>
          <w:lang w:val="en-GB"/>
        </w:rPr>
        <w:t xml:space="preserve">the </w:t>
      </w:r>
      <w:r w:rsidR="00CD67F3">
        <w:rPr>
          <w:lang w:val="en-GB"/>
        </w:rPr>
        <w:t>overcrowding</w:t>
      </w:r>
      <w:r w:rsidR="00E13D74">
        <w:rPr>
          <w:lang w:val="en-GB"/>
        </w:rPr>
        <w:t xml:space="preserve"> </w:t>
      </w:r>
      <w:r w:rsidR="00442D9D">
        <w:rPr>
          <w:lang w:val="en-GB"/>
        </w:rPr>
        <w:t xml:space="preserve">metric </w:t>
      </w:r>
      <w:r w:rsidR="00E13D74">
        <w:rPr>
          <w:lang w:val="en-GB"/>
        </w:rPr>
        <w:t xml:space="preserve">should not be of sole reference </w:t>
      </w:r>
      <w:r w:rsidR="00CD67F3">
        <w:rPr>
          <w:lang w:val="en-GB"/>
        </w:rPr>
        <w:t xml:space="preserve">however </w:t>
      </w:r>
      <w:r w:rsidR="00E13D74">
        <w:rPr>
          <w:lang w:val="en-GB"/>
        </w:rPr>
        <w:t xml:space="preserve">as </w:t>
      </w:r>
      <w:r w:rsidR="00CD67F3">
        <w:rPr>
          <w:lang w:val="en-GB"/>
        </w:rPr>
        <w:t xml:space="preserve">areas such as </w:t>
      </w:r>
      <w:r w:rsidR="00350C1F" w:rsidRPr="00350C1F">
        <w:rPr>
          <w:i/>
          <w:lang w:val="en-GB"/>
        </w:rPr>
        <w:t>‘</w:t>
      </w:r>
      <w:proofErr w:type="spellStart"/>
      <w:r w:rsidR="000A08BB" w:rsidRPr="00350C1F">
        <w:rPr>
          <w:i/>
          <w:lang w:val="en-GB"/>
        </w:rPr>
        <w:t>Clydach</w:t>
      </w:r>
      <w:proofErr w:type="spellEnd"/>
      <w:r w:rsidR="00350C1F" w:rsidRPr="00350C1F">
        <w:rPr>
          <w:i/>
          <w:lang w:val="en-GB"/>
        </w:rPr>
        <w:t>’</w:t>
      </w:r>
      <w:r w:rsidR="000A08BB">
        <w:rPr>
          <w:lang w:val="en-GB"/>
        </w:rPr>
        <w:t xml:space="preserve"> appear to be experiencing considerable </w:t>
      </w:r>
      <w:r w:rsidR="003732D1">
        <w:rPr>
          <w:lang w:val="en-GB"/>
        </w:rPr>
        <w:t>levels of social hardship</w:t>
      </w:r>
      <w:r w:rsidR="00946BBA">
        <w:rPr>
          <w:lang w:val="en-GB"/>
        </w:rPr>
        <w:t xml:space="preserve"> despite </w:t>
      </w:r>
      <w:r w:rsidR="00A85D52">
        <w:rPr>
          <w:lang w:val="en-GB"/>
        </w:rPr>
        <w:t>containing relatively low levels of overcrowding</w:t>
      </w:r>
      <w:r w:rsidR="00EF53D2">
        <w:rPr>
          <w:lang w:val="en-GB"/>
        </w:rPr>
        <w:t xml:space="preserve">, around 4-10%, </w:t>
      </w:r>
      <w:r w:rsidR="00A85D52">
        <w:rPr>
          <w:lang w:val="en-GB"/>
        </w:rPr>
        <w:t xml:space="preserve">in relation to </w:t>
      </w:r>
      <w:r w:rsidR="00EF53D2">
        <w:rPr>
          <w:lang w:val="en-GB"/>
        </w:rPr>
        <w:t>city centre areas where this appears to be as high as 40%.</w:t>
      </w:r>
      <w:r w:rsidR="00CF76A4">
        <w:rPr>
          <w:lang w:val="en-GB"/>
        </w:rPr>
        <w:t xml:space="preserve"> In this instance the metric of household overcrowding could be of little use, potentially thanks to a reduced household density, other metrics such as unemployment or vehicle ownership might provide a more accurate insight into why this area was one of the most deprived in the Swansea region during 2011.</w:t>
      </w:r>
    </w:p>
    <w:p w14:paraId="14D9B946" w14:textId="194D6025" w:rsidR="002A7A03" w:rsidRDefault="002A7A03" w:rsidP="00E13D74">
      <w:pPr>
        <w:spacing w:line="360" w:lineRule="auto"/>
        <w:jc w:val="both"/>
        <w:rPr>
          <w:lang w:val="en-GB"/>
        </w:rPr>
      </w:pPr>
    </w:p>
    <w:p w14:paraId="11E28D02" w14:textId="2530C60D" w:rsidR="007D2ECF" w:rsidRDefault="00197EB7" w:rsidP="007D2ECF">
      <w:pPr>
        <w:keepNext/>
        <w:spacing w:line="360" w:lineRule="auto"/>
      </w:pPr>
      <w:r>
        <w:rPr>
          <w:noProof/>
          <w:lang w:val="en-GB"/>
        </w:rPr>
        <mc:AlternateContent>
          <mc:Choice Requires="wps">
            <w:drawing>
              <wp:anchor distT="0" distB="0" distL="114300" distR="114300" simplePos="0" relativeHeight="251667456" behindDoc="0" locked="0" layoutInCell="1" allowOverlap="1" wp14:anchorId="266C93C1" wp14:editId="133DC990">
                <wp:simplePos x="0" y="0"/>
                <wp:positionH relativeFrom="column">
                  <wp:posOffset>3639493</wp:posOffset>
                </wp:positionH>
                <wp:positionV relativeFrom="paragraph">
                  <wp:posOffset>283235</wp:posOffset>
                </wp:positionV>
                <wp:extent cx="1013988" cy="697117"/>
                <wp:effectExtent l="0" t="0" r="53340" b="40005"/>
                <wp:wrapNone/>
                <wp:docPr id="14" name="Straight Arrow Connector 14"/>
                <wp:cNvGraphicFramePr/>
                <a:graphic xmlns:a="http://schemas.openxmlformats.org/drawingml/2006/main">
                  <a:graphicData uri="http://schemas.microsoft.com/office/word/2010/wordprocessingShape">
                    <wps:wsp>
                      <wps:cNvCnPr/>
                      <wps:spPr>
                        <a:xfrm>
                          <a:off x="0" y="0"/>
                          <a:ext cx="1013988" cy="69711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338C84" id="Straight Arrow Connector 14" o:spid="_x0000_s1026" type="#_x0000_t32" style="position:absolute;margin-left:286.55pt;margin-top:22.3pt;width:79.85pt;height:54.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" strokecolor="black [3200]" strokeweight=".5pt">
                <v:stroke endarrow="block" joinstyle="miter"/>
              </v:shape>
            </w:pict>
          </mc:Fallback>
        </mc:AlternateContent>
      </w:r>
      <w:r>
        <w:rPr>
          <w:noProof/>
          <w:lang w:val="en-GB"/>
        </w:rPr>
        <mc:AlternateContent>
          <mc:Choice Requires="wps">
            <w:drawing>
              <wp:anchor distT="0" distB="0" distL="114300" distR="114300" simplePos="0" relativeHeight="251669504" behindDoc="0" locked="0" layoutInCell="1" allowOverlap="1" wp14:anchorId="75B708A1" wp14:editId="4AB67970">
                <wp:simplePos x="0" y="0"/>
                <wp:positionH relativeFrom="column">
                  <wp:posOffset>2163778</wp:posOffset>
                </wp:positionH>
                <wp:positionV relativeFrom="paragraph">
                  <wp:posOffset>283235</wp:posOffset>
                </wp:positionV>
                <wp:extent cx="1475288" cy="2598345"/>
                <wp:effectExtent l="25400" t="0" r="23495" b="31115"/>
                <wp:wrapNone/>
                <wp:docPr id="15" name="Straight Arrow Connector 15"/>
                <wp:cNvGraphicFramePr/>
                <a:graphic xmlns:a="http://schemas.openxmlformats.org/drawingml/2006/main">
                  <a:graphicData uri="http://schemas.microsoft.com/office/word/2010/wordprocessingShape">
                    <wps:wsp>
                      <wps:cNvCnPr/>
                      <wps:spPr>
                        <a:xfrm flipH="1">
                          <a:off x="0" y="0"/>
                          <a:ext cx="1475288" cy="25983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4A4D54" id="Straight Arrow Connector 15" o:spid="_x0000_s1026" type="#_x0000_t32" style="position:absolute;margin-left:170.4pt;margin-top:22.3pt;width:116.15pt;height:204.6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" strokecolor="black [3200]" strokeweight=".5pt">
                <v:stroke endarrow="block" joinstyle="miter"/>
              </v:shape>
            </w:pict>
          </mc:Fallback>
        </mc:AlternateContent>
      </w:r>
      <w:r w:rsidR="00B168D1">
        <w:rPr>
          <w:noProof/>
          <w:lang w:val="en-GB"/>
        </w:rPr>
        <w:drawing>
          <wp:inline distT="0" distB="0" distL="0" distR="0" wp14:anchorId="245722FC" wp14:editId="0D9BB640">
            <wp:extent cx="5943600" cy="4565650"/>
            <wp:effectExtent l="114300" t="101600" r="114300" b="133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SOA_by_Overcrowding_People_With_Townsend_Colours.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45656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65C30E2" w14:textId="77777777" w:rsidR="00E76036" w:rsidRDefault="00E76036" w:rsidP="007D2ECF">
      <w:pPr>
        <w:keepNext/>
        <w:spacing w:line="360" w:lineRule="auto"/>
      </w:pPr>
    </w:p>
    <w:p w14:paraId="24C85F48" w14:textId="4E34176B" w:rsidR="00B168D1" w:rsidRPr="00E76036" w:rsidRDefault="007D2ECF" w:rsidP="007D2ECF">
      <w:pPr>
        <w:pStyle w:val="Caption"/>
        <w:jc w:val="center"/>
        <w:rPr>
          <w:i w:val="0"/>
          <w:color w:val="000000" w:themeColor="text1"/>
          <w:lang w:val="en-GB"/>
        </w:rPr>
      </w:pPr>
      <w:r w:rsidRPr="00E76036">
        <w:rPr>
          <w:b/>
          <w:i w:val="0"/>
          <w:color w:val="000000" w:themeColor="text1"/>
        </w:rPr>
        <w:t xml:space="preserve">Figure </w:t>
      </w:r>
      <w:r w:rsidRPr="00E76036">
        <w:rPr>
          <w:b/>
          <w:i w:val="0"/>
          <w:color w:val="000000" w:themeColor="text1"/>
        </w:rPr>
        <w:fldChar w:fldCharType="begin"/>
      </w:r>
      <w:r w:rsidRPr="00E76036">
        <w:rPr>
          <w:b/>
          <w:i w:val="0"/>
          <w:color w:val="000000" w:themeColor="text1"/>
        </w:rPr>
        <w:instrText xml:space="preserve"> SEQ Figure \* ARABIC </w:instrText>
      </w:r>
      <w:r w:rsidRPr="00E76036">
        <w:rPr>
          <w:b/>
          <w:i w:val="0"/>
          <w:color w:val="000000" w:themeColor="text1"/>
        </w:rPr>
        <w:fldChar w:fldCharType="separate"/>
      </w:r>
      <w:r w:rsidR="00D423BD">
        <w:rPr>
          <w:b/>
          <w:i w:val="0"/>
          <w:noProof/>
          <w:color w:val="000000" w:themeColor="text1"/>
        </w:rPr>
        <w:t>4</w:t>
      </w:r>
      <w:r w:rsidRPr="00E76036">
        <w:rPr>
          <w:b/>
          <w:i w:val="0"/>
          <w:color w:val="000000" w:themeColor="text1"/>
        </w:rPr>
        <w:fldChar w:fldCharType="end"/>
      </w:r>
      <w:r w:rsidRPr="00E76036">
        <w:rPr>
          <w:b/>
          <w:i w:val="0"/>
          <w:color w:val="000000" w:themeColor="text1"/>
        </w:rPr>
        <w:t>:</w:t>
      </w:r>
      <w:r w:rsidRPr="00E76036">
        <w:rPr>
          <w:i w:val="0"/>
          <w:color w:val="000000" w:themeColor="text1"/>
        </w:rPr>
        <w:t xml:space="preserve"> Layering overcrowding on general deprivation</w:t>
      </w:r>
    </w:p>
    <w:p w14:paraId="5CEB8783" w14:textId="6599814D" w:rsidR="00F11177" w:rsidRDefault="00F11177" w:rsidP="00F650EF">
      <w:pPr>
        <w:spacing w:line="360" w:lineRule="auto"/>
        <w:jc w:val="both"/>
        <w:rPr>
          <w:lang w:val="en-GB"/>
        </w:rPr>
      </w:pPr>
    </w:p>
    <w:p w14:paraId="4D025E2F" w14:textId="0FB4E515" w:rsidR="003406F7" w:rsidRDefault="007A369E" w:rsidP="006C0B23">
      <w:pPr>
        <w:spacing w:line="360" w:lineRule="auto"/>
        <w:ind w:firstLine="720"/>
        <w:jc w:val="both"/>
        <w:rPr>
          <w:lang w:val="en-GB"/>
        </w:rPr>
      </w:pPr>
      <w:r>
        <w:rPr>
          <w:lang w:val="en-GB"/>
        </w:rPr>
        <w:t>A key element in deciding where to provide the Meningitis vaccine is its relative accessibility</w:t>
      </w:r>
      <w:r w:rsidR="00A970CC">
        <w:rPr>
          <w:lang w:val="en-GB"/>
        </w:rPr>
        <w:t xml:space="preserve"> for those that need it</w:t>
      </w:r>
      <w:r w:rsidR="0065332B">
        <w:rPr>
          <w:lang w:val="en-GB"/>
        </w:rPr>
        <w:t>.</w:t>
      </w:r>
      <w:r w:rsidR="00A970CC">
        <w:rPr>
          <w:lang w:val="en-GB"/>
        </w:rPr>
        <w:t xml:space="preserve"> </w:t>
      </w:r>
      <w:r w:rsidR="0065332B">
        <w:rPr>
          <w:lang w:val="en-GB"/>
        </w:rPr>
        <w:t xml:space="preserve"> </w:t>
      </w:r>
      <w:r w:rsidR="009059D2">
        <w:rPr>
          <w:b/>
          <w:i/>
          <w:lang w:val="en-GB"/>
        </w:rPr>
        <w:t>Fig. 5.</w:t>
      </w:r>
      <w:r w:rsidR="009D7654">
        <w:rPr>
          <w:lang w:val="en-GB"/>
        </w:rPr>
        <w:t xml:space="preserve">, seen below, aims to identify a relationship between the overcrowding experienced and the degree of </w:t>
      </w:r>
      <w:r w:rsidR="00F2398D">
        <w:rPr>
          <w:lang w:val="en-GB"/>
        </w:rPr>
        <w:t xml:space="preserve">vehicle non-ownership. </w:t>
      </w:r>
      <w:r w:rsidR="00F7713E">
        <w:rPr>
          <w:lang w:val="en-GB"/>
        </w:rPr>
        <w:t xml:space="preserve">The extent of vehicle ownership is important </w:t>
      </w:r>
      <w:r w:rsidR="00417866">
        <w:rPr>
          <w:lang w:val="en-GB"/>
        </w:rPr>
        <w:t xml:space="preserve">in deciding how to structure a vaccination roll-out program as it shows where </w:t>
      </w:r>
      <w:r w:rsidR="00A46672">
        <w:rPr>
          <w:lang w:val="en-GB"/>
        </w:rPr>
        <w:t xml:space="preserve">the public might be most physically constrained to the local area, especially where public transport networks too are lacking. Here, the </w:t>
      </w:r>
      <w:r w:rsidR="00534C1A">
        <w:rPr>
          <w:lang w:val="en-GB"/>
        </w:rPr>
        <w:t>availability of the vaccine</w:t>
      </w:r>
      <w:r w:rsidR="00A46672">
        <w:rPr>
          <w:lang w:val="en-GB"/>
        </w:rPr>
        <w:t xml:space="preserve"> should be </w:t>
      </w:r>
      <w:r w:rsidR="005E15F8">
        <w:rPr>
          <w:lang w:val="en-GB"/>
        </w:rPr>
        <w:t xml:space="preserve">most closely positioned to the public </w:t>
      </w:r>
      <w:r w:rsidR="00ED12DE">
        <w:rPr>
          <w:lang w:val="en-GB"/>
        </w:rPr>
        <w:t>in pharmaceutical</w:t>
      </w:r>
      <w:r w:rsidR="001972CC">
        <w:rPr>
          <w:lang w:val="en-GB"/>
        </w:rPr>
        <w:t xml:space="preserve"> or</w:t>
      </w:r>
      <w:r w:rsidR="00ED12DE">
        <w:rPr>
          <w:lang w:val="en-GB"/>
        </w:rPr>
        <w:t xml:space="preserve"> chemist stores</w:t>
      </w:r>
      <w:r w:rsidR="00534C1A">
        <w:rPr>
          <w:lang w:val="en-GB"/>
        </w:rPr>
        <w:t xml:space="preserve"> to accommodate the reduced level of</w:t>
      </w:r>
      <w:r w:rsidR="00CD3FCE">
        <w:rPr>
          <w:lang w:val="en-GB"/>
        </w:rPr>
        <w:t xml:space="preserve"> private transport</w:t>
      </w:r>
      <w:r w:rsidR="009A74B2">
        <w:rPr>
          <w:lang w:val="en-GB"/>
        </w:rPr>
        <w:t xml:space="preserve">, despite the presence of </w:t>
      </w:r>
      <w:r w:rsidR="00542E06">
        <w:rPr>
          <w:lang w:val="en-GB"/>
        </w:rPr>
        <w:t>Local Health Protection Teams (HPTs)</w:t>
      </w:r>
      <w:r w:rsidR="00B07091" w:rsidRPr="00B07091">
        <w:rPr>
          <w:lang w:val="en-GB"/>
        </w:rPr>
        <w:t xml:space="preserve"> </w:t>
      </w:r>
      <w:r w:rsidR="00B07091">
        <w:rPr>
          <w:lang w:val="en-GB"/>
        </w:rPr>
        <w:fldChar w:fldCharType="begin" w:fldLock="1"/>
      </w:r>
      <w:r w:rsidR="00CE58B5">
        <w:rPr>
          <w:lang w:val="en-GB"/>
        </w:rPr>
        <w:instrText>ADDIN CSL_CITATION {"citationItems":[{"id":"ITEM-1","itemData":{"URL":"http://www.wales.nhs.uk/sitesplus/888/page/43792","abstract":"Meningitis is infection of the meninges, the membranes that cover the brain and spinal cord. It can be caused by a variety of different organisms, including bacteria, viruses and fungi.","accessed":{"date-parts":[["2019","1","24"]]},"author":[{"dropping-particle":"","family":"Public Health Wales Lechyd Cyhoeddus Cymru","given":"","non-dropping-particle":"","parse-names":false,"suffix":""}],"container-title":"Meningitis","id":"ITEM-1","issued":{"date-parts":[["2016"]]},"publisher":"Public Health Wales","title":"Public Health Wales - Meningitis","type":"webpage"},"uris":["http://www.mendeley.com/documents/?uuid=492bf72e-cc44-3aa2-bbd4-3cbb5d765e36"]}],"mendeley":{"formattedCitation":"[20]","plainTextFormattedCitation":"[20]","previouslyFormattedCitation":"[19]"},"properties":{"noteIndex":0},"schema":"https://github.com/citation-style-language/schema/raw/master/csl-citation.json"}</w:instrText>
      </w:r>
      <w:r w:rsidR="00B07091">
        <w:rPr>
          <w:lang w:val="en-GB"/>
        </w:rPr>
        <w:fldChar w:fldCharType="separate"/>
      </w:r>
      <w:r w:rsidR="00CE58B5" w:rsidRPr="00CE58B5">
        <w:rPr>
          <w:noProof/>
          <w:lang w:val="en-GB"/>
        </w:rPr>
        <w:t>[20]</w:t>
      </w:r>
      <w:r w:rsidR="00B07091">
        <w:rPr>
          <w:lang w:val="en-GB"/>
        </w:rPr>
        <w:fldChar w:fldCharType="end"/>
      </w:r>
      <w:r w:rsidR="00542E06">
        <w:rPr>
          <w:lang w:val="en-GB"/>
        </w:rPr>
        <w:t xml:space="preserve"> that work closely with communities to </w:t>
      </w:r>
      <w:r w:rsidR="00A06365">
        <w:rPr>
          <w:lang w:val="en-GB"/>
        </w:rPr>
        <w:t xml:space="preserve">manage local immunisation and prevention </w:t>
      </w:r>
      <w:r w:rsidR="008A5B26">
        <w:rPr>
          <w:lang w:val="en-GB"/>
        </w:rPr>
        <w:t xml:space="preserve">programs in line with the broader health board goals </w:t>
      </w:r>
      <w:r w:rsidR="00B07091">
        <w:rPr>
          <w:lang w:val="en-GB"/>
        </w:rPr>
        <w:fldChar w:fldCharType="begin" w:fldLock="1"/>
      </w:r>
      <w:r w:rsidR="00CE58B5">
        <w:rPr>
          <w:lang w:val="en-GB"/>
        </w:rPr>
        <w:instrText>ADDIN CSL_CITATION {"citationItems":[{"id":"ITEM-1","itemData":{"URL":"http://www.wales.nhs.uk/sitesplus/888/page/43792","abstract":"Meningitis is infection of the meninges, the membranes that cover the brain and spinal cord. It can be caused by a variety of different organisms, including bacteria, viruses and fungi.","accessed":{"date-parts":[["2019","1","24"]]},"author":[{"dropping-particle":"","family":"Public Health Wales Lechyd Cyhoeddus Cymru","given":"","non-dropping-particle":"","parse-names":false,"suffix":""}],"container-title":"Meningitis","id":"ITEM-1","issued":{"date-parts":[["2016"]]},"publisher":"Public Health Wales","title":"Public Health Wales - Meningitis","type":"webpage"},"uris":["http://www.mendeley.com/documents/?uuid=492bf72e-cc44-3aa2-bbd4-3cbb5d765e36"]}],"mendeley":{"formattedCitation":"[20]","plainTextFormattedCitation":"[20]","previouslyFormattedCitation":"[19]"},"properties":{"noteIndex":0},"schema":"https://github.com/citation-style-language/schema/raw/master/csl-citation.json"}</w:instrText>
      </w:r>
      <w:r w:rsidR="00B07091">
        <w:rPr>
          <w:lang w:val="en-GB"/>
        </w:rPr>
        <w:fldChar w:fldCharType="separate"/>
      </w:r>
      <w:r w:rsidR="00CE58B5" w:rsidRPr="00CE58B5">
        <w:rPr>
          <w:noProof/>
          <w:lang w:val="en-GB"/>
        </w:rPr>
        <w:t>[20]</w:t>
      </w:r>
      <w:r w:rsidR="00B07091">
        <w:rPr>
          <w:lang w:val="en-GB"/>
        </w:rPr>
        <w:fldChar w:fldCharType="end"/>
      </w:r>
      <w:r w:rsidR="008A5B26">
        <w:rPr>
          <w:lang w:val="en-GB"/>
        </w:rPr>
        <w:t>.</w:t>
      </w:r>
      <w:r w:rsidR="00ED12DE">
        <w:rPr>
          <w:lang w:val="en-GB"/>
        </w:rPr>
        <w:t xml:space="preserve"> </w:t>
      </w:r>
    </w:p>
    <w:p w14:paraId="1FF5BCD4" w14:textId="77777777" w:rsidR="00ED12DE" w:rsidRPr="009059D2" w:rsidRDefault="00ED12DE" w:rsidP="00F650EF">
      <w:pPr>
        <w:spacing w:line="360" w:lineRule="auto"/>
        <w:jc w:val="both"/>
        <w:rPr>
          <w:lang w:val="en-GB"/>
        </w:rPr>
      </w:pPr>
    </w:p>
    <w:p w14:paraId="38E1F111" w14:textId="7588D696" w:rsidR="0065332B" w:rsidRDefault="00FD0ED5" w:rsidP="0065332B">
      <w:pPr>
        <w:keepNext/>
        <w:spacing w:line="360" w:lineRule="auto"/>
        <w:jc w:val="both"/>
      </w:pPr>
      <w:r>
        <w:rPr>
          <w:noProof/>
          <w:lang w:val="en-GB"/>
        </w:rPr>
        <mc:AlternateContent>
          <mc:Choice Requires="wps">
            <w:drawing>
              <wp:anchor distT="0" distB="0" distL="114300" distR="114300" simplePos="0" relativeHeight="251670528" behindDoc="0" locked="0" layoutInCell="1" allowOverlap="1" wp14:anchorId="1D9D4163" wp14:editId="2803790D">
                <wp:simplePos x="0" y="0"/>
                <wp:positionH relativeFrom="column">
                  <wp:posOffset>914401</wp:posOffset>
                </wp:positionH>
                <wp:positionV relativeFrom="paragraph">
                  <wp:posOffset>3305162</wp:posOffset>
                </wp:positionV>
                <wp:extent cx="995862" cy="1276539"/>
                <wp:effectExtent l="0" t="25400" r="33020" b="19050"/>
                <wp:wrapNone/>
                <wp:docPr id="17" name="Straight Arrow Connector 17"/>
                <wp:cNvGraphicFramePr/>
                <a:graphic xmlns:a="http://schemas.openxmlformats.org/drawingml/2006/main">
                  <a:graphicData uri="http://schemas.microsoft.com/office/word/2010/wordprocessingShape">
                    <wps:wsp>
                      <wps:cNvCnPr/>
                      <wps:spPr>
                        <a:xfrm flipV="1">
                          <a:off x="0" y="0"/>
                          <a:ext cx="995862" cy="127653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BA8360" id="Straight Arrow Connector 17" o:spid="_x0000_s1026" type="#_x0000_t32" style="position:absolute;margin-left:1in;margin-top:260.25pt;width:78.4pt;height:100.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" strokecolor="black [3200]" strokeweight=".5pt">
                <v:stroke endarrow="block" joinstyle="miter"/>
              </v:shape>
            </w:pict>
          </mc:Fallback>
        </mc:AlternateContent>
      </w:r>
      <w:r w:rsidR="00310E62">
        <w:rPr>
          <w:noProof/>
          <w:lang w:val="en-GB"/>
        </w:rPr>
        <w:drawing>
          <wp:inline distT="0" distB="0" distL="0" distR="0" wp14:anchorId="5210524A" wp14:editId="7515C0BB">
            <wp:extent cx="5943600" cy="4617720"/>
            <wp:effectExtent l="114300" t="101600" r="114300" b="132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MWD_2011_NoCarOrVanOwnership_With_Townsend_Overcrowding.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46177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DF2393D" w14:textId="77777777" w:rsidR="0065332B" w:rsidRDefault="0065332B" w:rsidP="0065332B">
      <w:pPr>
        <w:keepNext/>
        <w:spacing w:line="360" w:lineRule="auto"/>
        <w:jc w:val="center"/>
      </w:pPr>
    </w:p>
    <w:p w14:paraId="36FCEA22" w14:textId="53B9AD22" w:rsidR="00310E62" w:rsidRDefault="0065332B" w:rsidP="0065332B">
      <w:pPr>
        <w:pStyle w:val="Caption"/>
        <w:jc w:val="center"/>
        <w:rPr>
          <w:i w:val="0"/>
          <w:color w:val="000000" w:themeColor="text1"/>
        </w:rPr>
      </w:pPr>
      <w:r w:rsidRPr="0065332B">
        <w:rPr>
          <w:b/>
          <w:i w:val="0"/>
          <w:color w:val="000000" w:themeColor="text1"/>
        </w:rPr>
        <w:t xml:space="preserve">Figure </w:t>
      </w:r>
      <w:r w:rsidRPr="0065332B">
        <w:rPr>
          <w:b/>
          <w:i w:val="0"/>
          <w:color w:val="000000" w:themeColor="text1"/>
        </w:rPr>
        <w:fldChar w:fldCharType="begin"/>
      </w:r>
      <w:r w:rsidRPr="0065332B">
        <w:rPr>
          <w:b/>
          <w:i w:val="0"/>
          <w:color w:val="000000" w:themeColor="text1"/>
        </w:rPr>
        <w:instrText xml:space="preserve"> SEQ Figure \* ARABIC </w:instrText>
      </w:r>
      <w:r w:rsidRPr="0065332B">
        <w:rPr>
          <w:b/>
          <w:i w:val="0"/>
          <w:color w:val="000000" w:themeColor="text1"/>
        </w:rPr>
        <w:fldChar w:fldCharType="separate"/>
      </w:r>
      <w:r w:rsidR="00D423BD">
        <w:rPr>
          <w:b/>
          <w:i w:val="0"/>
          <w:noProof/>
          <w:color w:val="000000" w:themeColor="text1"/>
        </w:rPr>
        <w:t>5</w:t>
      </w:r>
      <w:r w:rsidRPr="0065332B">
        <w:rPr>
          <w:b/>
          <w:i w:val="0"/>
          <w:color w:val="000000" w:themeColor="text1"/>
        </w:rPr>
        <w:fldChar w:fldCharType="end"/>
      </w:r>
      <w:r w:rsidRPr="0065332B">
        <w:rPr>
          <w:b/>
          <w:i w:val="0"/>
          <w:color w:val="000000" w:themeColor="text1"/>
        </w:rPr>
        <w:t>:</w:t>
      </w:r>
      <w:r w:rsidRPr="0065332B">
        <w:rPr>
          <w:i w:val="0"/>
          <w:color w:val="000000" w:themeColor="text1"/>
        </w:rPr>
        <w:t xml:space="preserve"> Percentage of no-car owners in the Swansea city region</w:t>
      </w:r>
    </w:p>
    <w:p w14:paraId="2992C12E" w14:textId="7E09D567" w:rsidR="0065332B" w:rsidRDefault="0065332B" w:rsidP="0065332B"/>
    <w:p w14:paraId="4191CF50" w14:textId="167760E6" w:rsidR="00781527" w:rsidRDefault="00D651C2" w:rsidP="006C0B23">
      <w:pPr>
        <w:spacing w:line="360" w:lineRule="auto"/>
        <w:ind w:firstLine="720"/>
        <w:jc w:val="both"/>
        <w:rPr>
          <w:lang w:val="en-GB"/>
        </w:rPr>
        <w:sectPr w:rsidR="00781527">
          <w:footerReference w:type="even" r:id="rId12"/>
          <w:type w:val="continuous"/>
          <w:pgSz w:w="12240" w:h="15840" w:code="1"/>
          <w:pgMar w:top="1440" w:right="1440" w:bottom="1440" w:left="1440" w:header="960" w:footer="960" w:gutter="0"/>
          <w:cols w:space="245" w:equalWidth="0">
            <w:col w:w="9360"/>
          </w:cols>
        </w:sectPr>
      </w:pPr>
      <w:r w:rsidRPr="001A64A1">
        <w:rPr>
          <w:lang w:val="en-GB"/>
        </w:rPr>
        <w:t xml:space="preserve">As can be seen, the number of people </w:t>
      </w:r>
      <w:r w:rsidR="00DD2855" w:rsidRPr="001A64A1">
        <w:rPr>
          <w:lang w:val="en-GB"/>
        </w:rPr>
        <w:t>that do not own a car (or van) is related to population density</w:t>
      </w:r>
      <w:r w:rsidR="00CE705D" w:rsidRPr="001A64A1">
        <w:rPr>
          <w:lang w:val="en-GB"/>
        </w:rPr>
        <w:t xml:space="preserve">. </w:t>
      </w:r>
      <w:r w:rsidR="00FB21A2" w:rsidRPr="001A64A1">
        <w:rPr>
          <w:lang w:val="en-GB"/>
        </w:rPr>
        <w:t xml:space="preserve">From this visualization it is clear to see that </w:t>
      </w:r>
      <w:r w:rsidR="00814E34" w:rsidRPr="001A64A1">
        <w:rPr>
          <w:lang w:val="en-GB"/>
        </w:rPr>
        <w:t>vehicle ownership is less</w:t>
      </w:r>
      <w:r w:rsidR="00E4771A">
        <w:rPr>
          <w:lang w:val="en-GB"/>
        </w:rPr>
        <w:t xml:space="preserve"> prevalent</w:t>
      </w:r>
      <w:r w:rsidR="00814E34" w:rsidRPr="001A64A1">
        <w:rPr>
          <w:lang w:val="en-GB"/>
        </w:rPr>
        <w:t xml:space="preserve"> in </w:t>
      </w:r>
      <w:r w:rsidR="001A64A1" w:rsidRPr="001A64A1">
        <w:rPr>
          <w:lang w:val="en-GB"/>
        </w:rPr>
        <w:t xml:space="preserve">the </w:t>
      </w:r>
      <w:r w:rsidR="00E4771A">
        <w:rPr>
          <w:lang w:val="en-GB"/>
        </w:rPr>
        <w:t xml:space="preserve">Swansea </w:t>
      </w:r>
      <w:r w:rsidR="001A64A1" w:rsidRPr="001A64A1">
        <w:rPr>
          <w:lang w:val="en-GB"/>
        </w:rPr>
        <w:t xml:space="preserve">city centre and </w:t>
      </w:r>
      <w:r w:rsidR="00E4771A">
        <w:rPr>
          <w:lang w:val="en-GB"/>
        </w:rPr>
        <w:t xml:space="preserve">adjacent </w:t>
      </w:r>
      <w:r w:rsidR="001A64A1" w:rsidRPr="001A64A1">
        <w:rPr>
          <w:lang w:val="en-GB"/>
        </w:rPr>
        <w:t>urbanized areas</w:t>
      </w:r>
      <w:r w:rsidR="0030414B">
        <w:rPr>
          <w:lang w:val="en-GB"/>
        </w:rPr>
        <w:t xml:space="preserve"> with rural and suburban areas and boundaries showing the general trend of a much higher degree of ownership. </w:t>
      </w:r>
      <w:r w:rsidR="00FD0ED5">
        <w:rPr>
          <w:lang w:val="en-GB"/>
        </w:rPr>
        <w:t>Gower,</w:t>
      </w:r>
      <w:r w:rsidR="0030414B">
        <w:rPr>
          <w:lang w:val="en-GB"/>
        </w:rPr>
        <w:t xml:space="preserve"> </w:t>
      </w:r>
      <w:r w:rsidR="00103166">
        <w:rPr>
          <w:lang w:val="en-GB"/>
        </w:rPr>
        <w:t xml:space="preserve">noted </w:t>
      </w:r>
      <w:r w:rsidR="00FD0ED5">
        <w:rPr>
          <w:lang w:val="en-GB"/>
        </w:rPr>
        <w:t>on</w:t>
      </w:r>
      <w:r w:rsidR="00103166">
        <w:rPr>
          <w:lang w:val="en-GB"/>
        </w:rPr>
        <w:t xml:space="preserve"> </w:t>
      </w:r>
      <w:r w:rsidR="00103166">
        <w:rPr>
          <w:b/>
          <w:i/>
          <w:lang w:val="en-GB"/>
        </w:rPr>
        <w:t>Fig. 5.</w:t>
      </w:r>
      <w:r w:rsidR="00FD0ED5" w:rsidRPr="00FD0ED5">
        <w:rPr>
          <w:lang w:val="en-GB"/>
        </w:rPr>
        <w:t>,</w:t>
      </w:r>
      <w:r w:rsidR="00103166">
        <w:rPr>
          <w:lang w:val="en-GB"/>
        </w:rPr>
        <w:t xml:space="preserve"> shows non-vehicle ownership at roughly </w:t>
      </w:r>
      <w:r w:rsidR="00506718">
        <w:rPr>
          <w:lang w:val="en-GB"/>
        </w:rPr>
        <w:t xml:space="preserve">3% of the total area population. Here, private transport is </w:t>
      </w:r>
      <w:r w:rsidR="00A373BC">
        <w:rPr>
          <w:lang w:val="en-GB"/>
        </w:rPr>
        <w:t>often relied</w:t>
      </w:r>
      <w:r w:rsidR="00506718">
        <w:rPr>
          <w:lang w:val="en-GB"/>
        </w:rPr>
        <w:t xml:space="preserve"> </w:t>
      </w:r>
      <w:r w:rsidR="00A373BC">
        <w:rPr>
          <w:lang w:val="en-GB"/>
        </w:rPr>
        <w:t xml:space="preserve">upon </w:t>
      </w:r>
      <w:r w:rsidR="00506718">
        <w:rPr>
          <w:lang w:val="en-GB"/>
        </w:rPr>
        <w:t xml:space="preserve">to successfully </w:t>
      </w:r>
      <w:r w:rsidR="00FD0ED5">
        <w:rPr>
          <w:lang w:val="en-GB"/>
        </w:rPr>
        <w:t>access services found in suburban and urban environments</w:t>
      </w:r>
      <w:r w:rsidR="00A373BC">
        <w:rPr>
          <w:lang w:val="en-GB"/>
        </w:rPr>
        <w:t xml:space="preserve">. </w:t>
      </w:r>
      <w:r w:rsidR="00E423C7">
        <w:rPr>
          <w:lang w:val="en-GB"/>
        </w:rPr>
        <w:t xml:space="preserve">The location of which </w:t>
      </w:r>
      <w:r w:rsidR="009D6C5A">
        <w:rPr>
          <w:lang w:val="en-GB"/>
        </w:rPr>
        <w:t xml:space="preserve">Public services, such as those required for vaccination distribution </w:t>
      </w:r>
      <w:r w:rsidR="00583019">
        <w:rPr>
          <w:lang w:val="en-GB"/>
        </w:rPr>
        <w:t xml:space="preserve">are also </w:t>
      </w:r>
      <w:r w:rsidR="00B23473">
        <w:rPr>
          <w:lang w:val="en-GB"/>
        </w:rPr>
        <w:t xml:space="preserve">typically </w:t>
      </w:r>
      <w:r w:rsidR="00583019">
        <w:rPr>
          <w:lang w:val="en-GB"/>
        </w:rPr>
        <w:t>more widely distributed.</w:t>
      </w:r>
      <w:r w:rsidR="0030414B">
        <w:rPr>
          <w:lang w:val="en-GB"/>
        </w:rPr>
        <w:t xml:space="preserve"> </w:t>
      </w:r>
    </w:p>
    <w:p w14:paraId="0DAC5612" w14:textId="5EB748E4" w:rsidR="00DF1672" w:rsidRDefault="00F0765A" w:rsidP="00DF1672">
      <w:pPr>
        <w:keepNext/>
        <w:ind w:left="360"/>
        <w:jc w:val="both"/>
      </w:pPr>
      <w:r>
        <w:rPr>
          <w:noProof/>
          <w:lang w:val="en-GB"/>
        </w:rPr>
        <mc:AlternateContent>
          <mc:Choice Requires="wps">
            <w:drawing>
              <wp:anchor distT="0" distB="0" distL="114300" distR="114300" simplePos="0" relativeHeight="251676672" behindDoc="0" locked="0" layoutInCell="1" allowOverlap="1" wp14:anchorId="38744E3C" wp14:editId="3C590EC5">
                <wp:simplePos x="0" y="0"/>
                <wp:positionH relativeFrom="column">
                  <wp:posOffset>3838669</wp:posOffset>
                </wp:positionH>
                <wp:positionV relativeFrom="paragraph">
                  <wp:posOffset>4635374</wp:posOffset>
                </wp:positionV>
                <wp:extent cx="1022589" cy="687466"/>
                <wp:effectExtent l="0" t="25400" r="31750" b="24130"/>
                <wp:wrapNone/>
                <wp:docPr id="20" name="Straight Arrow Connector 20"/>
                <wp:cNvGraphicFramePr/>
                <a:graphic xmlns:a="http://schemas.openxmlformats.org/drawingml/2006/main">
                  <a:graphicData uri="http://schemas.microsoft.com/office/word/2010/wordprocessingShape">
                    <wps:wsp>
                      <wps:cNvCnPr/>
                      <wps:spPr>
                        <a:xfrm flipV="1">
                          <a:off x="0" y="0"/>
                          <a:ext cx="1022589" cy="68746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B1D1EB" id="Straight Arrow Connector 20" o:spid="_x0000_s1026" type="#_x0000_t32" style="position:absolute;margin-left:302.25pt;margin-top:365pt;width:80.5pt;height:54.1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" strokecolor="black [3200]" strokeweight=".5pt">
                <v:stroke endarrow="block" joinstyle="miter"/>
              </v:shape>
            </w:pict>
          </mc:Fallback>
        </mc:AlternateContent>
      </w:r>
      <w:r>
        <w:rPr>
          <w:noProof/>
          <w:lang w:val="en-GB"/>
        </w:rPr>
        <mc:AlternateContent>
          <mc:Choice Requires="wps">
            <w:drawing>
              <wp:anchor distT="0" distB="0" distL="114300" distR="114300" simplePos="0" relativeHeight="251672576" behindDoc="0" locked="0" layoutInCell="1" allowOverlap="1" wp14:anchorId="5318C8E7" wp14:editId="3F986A64">
                <wp:simplePos x="0" y="0"/>
                <wp:positionH relativeFrom="column">
                  <wp:posOffset>3838669</wp:posOffset>
                </wp:positionH>
                <wp:positionV relativeFrom="paragraph">
                  <wp:posOffset>4481464</wp:posOffset>
                </wp:positionV>
                <wp:extent cx="325768" cy="841375"/>
                <wp:effectExtent l="0" t="25400" r="42545" b="9525"/>
                <wp:wrapNone/>
                <wp:docPr id="18" name="Straight Arrow Connector 18"/>
                <wp:cNvGraphicFramePr/>
                <a:graphic xmlns:a="http://schemas.openxmlformats.org/drawingml/2006/main">
                  <a:graphicData uri="http://schemas.microsoft.com/office/word/2010/wordprocessingShape">
                    <wps:wsp>
                      <wps:cNvCnPr/>
                      <wps:spPr>
                        <a:xfrm flipV="1">
                          <a:off x="0" y="0"/>
                          <a:ext cx="325768" cy="8413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69F46ADA" id="Straight Arrow Connector 18" o:spid="_x0000_s1026" type="#_x0000_t32" style="position:absolute;margin-left:302.25pt;margin-top:352.85pt;width:25.65pt;height:66.25pt;flip:y;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" strokecolor="black [3200]" strokeweight=".5pt">
                <v:stroke endarrow="block" joinstyle="miter"/>
              </v:shape>
            </w:pict>
          </mc:Fallback>
        </mc:AlternateContent>
      </w:r>
      <w:r>
        <w:rPr>
          <w:noProof/>
          <w:lang w:val="en-GB"/>
        </w:rPr>
        <mc:AlternateContent>
          <mc:Choice Requires="wps">
            <w:drawing>
              <wp:anchor distT="0" distB="0" distL="114300" distR="114300" simplePos="0" relativeHeight="251674624" behindDoc="0" locked="0" layoutInCell="1" allowOverlap="1" wp14:anchorId="00783BA4" wp14:editId="55365B77">
                <wp:simplePos x="0" y="0"/>
                <wp:positionH relativeFrom="column">
                  <wp:posOffset>3838669</wp:posOffset>
                </wp:positionH>
                <wp:positionV relativeFrom="paragraph">
                  <wp:posOffset>4481464</wp:posOffset>
                </wp:positionV>
                <wp:extent cx="705737" cy="841375"/>
                <wp:effectExtent l="0" t="25400" r="31115" b="22225"/>
                <wp:wrapNone/>
                <wp:docPr id="19" name="Straight Arrow Connector 19"/>
                <wp:cNvGraphicFramePr/>
                <a:graphic xmlns:a="http://schemas.openxmlformats.org/drawingml/2006/main">
                  <a:graphicData uri="http://schemas.microsoft.com/office/word/2010/wordprocessingShape">
                    <wps:wsp>
                      <wps:cNvCnPr/>
                      <wps:spPr>
                        <a:xfrm flipV="1">
                          <a:off x="0" y="0"/>
                          <a:ext cx="705737" cy="8413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AAD77C" id="Straight Arrow Connector 19" o:spid="_x0000_s1026" type="#_x0000_t32" style="position:absolute;margin-left:302.25pt;margin-top:352.85pt;width:55.55pt;height:66.2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" strokecolor="black [3200]" strokeweight=".5pt">
                <v:stroke endarrow="block" joinstyle="miter"/>
              </v:shape>
            </w:pict>
          </mc:Fallback>
        </mc:AlternateContent>
      </w:r>
      <w:r w:rsidR="0059747A">
        <w:rPr>
          <w:noProof/>
          <w:lang w:val="en-GB"/>
        </w:rPr>
        <w:drawing>
          <wp:inline distT="0" distB="0" distL="0" distR="0" wp14:anchorId="55EC8365" wp14:editId="43AB693C">
            <wp:extent cx="7405734" cy="5415839"/>
            <wp:effectExtent l="114300" t="101600" r="113030" b="134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MWD_2011_by_Townsend_With_PrimaryAge1_2DosesUptake_14_15.PNG"/>
                    <pic:cNvPicPr/>
                  </pic:nvPicPr>
                  <pic:blipFill>
                    <a:blip r:embed="rId13">
                      <a:extLst>
                        <a:ext uri="{28A0092B-C50C-407E-A947-70E740481C1C}">
                          <a14:useLocalDpi xmlns:a14="http://schemas.microsoft.com/office/drawing/2010/main" val="0"/>
                        </a:ext>
                      </a:extLst>
                    </a:blip>
                    <a:stretch>
                      <a:fillRect/>
                    </a:stretch>
                  </pic:blipFill>
                  <pic:spPr>
                    <a:xfrm>
                      <a:off x="0" y="0"/>
                      <a:ext cx="7432277" cy="54352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237A5BB" w14:textId="77777777" w:rsidR="00DF1672" w:rsidRDefault="00DF1672" w:rsidP="00DF1672">
      <w:pPr>
        <w:keepNext/>
        <w:ind w:left="360"/>
        <w:jc w:val="both"/>
      </w:pPr>
    </w:p>
    <w:p w14:paraId="276E99C0" w14:textId="3B4F1CE1" w:rsidR="00DF1672" w:rsidRPr="00DF1672" w:rsidRDefault="00DF1672" w:rsidP="00DF1672">
      <w:pPr>
        <w:pStyle w:val="Caption"/>
        <w:ind w:left="2880"/>
        <w:jc w:val="center"/>
        <w:rPr>
          <w:i w:val="0"/>
          <w:color w:val="000000" w:themeColor="text1"/>
        </w:rPr>
      </w:pPr>
      <w:r>
        <w:rPr>
          <w:b/>
          <w:i w:val="0"/>
          <w:color w:val="000000" w:themeColor="text1"/>
        </w:rPr>
        <w:t xml:space="preserve">     </w:t>
      </w:r>
      <w:r w:rsidRPr="00DF1672">
        <w:rPr>
          <w:b/>
          <w:i w:val="0"/>
          <w:color w:val="000000" w:themeColor="text1"/>
        </w:rPr>
        <w:t xml:space="preserve">Figure </w:t>
      </w:r>
      <w:r w:rsidRPr="00DF1672">
        <w:rPr>
          <w:b/>
          <w:i w:val="0"/>
          <w:color w:val="000000" w:themeColor="text1"/>
        </w:rPr>
        <w:fldChar w:fldCharType="begin"/>
      </w:r>
      <w:r w:rsidRPr="00DF1672">
        <w:rPr>
          <w:b/>
          <w:i w:val="0"/>
          <w:color w:val="000000" w:themeColor="text1"/>
        </w:rPr>
        <w:instrText xml:space="preserve"> SEQ Figure \* ARABIC </w:instrText>
      </w:r>
      <w:r w:rsidRPr="00DF1672">
        <w:rPr>
          <w:b/>
          <w:i w:val="0"/>
          <w:color w:val="000000" w:themeColor="text1"/>
        </w:rPr>
        <w:fldChar w:fldCharType="separate"/>
      </w:r>
      <w:r w:rsidR="00D423BD">
        <w:rPr>
          <w:b/>
          <w:i w:val="0"/>
          <w:noProof/>
          <w:color w:val="000000" w:themeColor="text1"/>
        </w:rPr>
        <w:t>6</w:t>
      </w:r>
      <w:r w:rsidRPr="00DF1672">
        <w:rPr>
          <w:b/>
          <w:i w:val="0"/>
          <w:color w:val="000000" w:themeColor="text1"/>
        </w:rPr>
        <w:fldChar w:fldCharType="end"/>
      </w:r>
      <w:r w:rsidRPr="00DF1672">
        <w:rPr>
          <w:b/>
          <w:i w:val="0"/>
          <w:color w:val="000000" w:themeColor="text1"/>
        </w:rPr>
        <w:t>:</w:t>
      </w:r>
      <w:r w:rsidRPr="00DF1672">
        <w:rPr>
          <w:i w:val="0"/>
          <w:color w:val="000000" w:themeColor="text1"/>
        </w:rPr>
        <w:t xml:space="preserve"> Primary Uptake of Vaccination; Age 1</w:t>
      </w:r>
      <w:r w:rsidR="00E914D1">
        <w:rPr>
          <w:i w:val="0"/>
          <w:color w:val="000000" w:themeColor="text1"/>
        </w:rPr>
        <w:t>;</w:t>
      </w:r>
      <w:r w:rsidRPr="00DF1672">
        <w:rPr>
          <w:i w:val="0"/>
          <w:color w:val="000000" w:themeColor="text1"/>
        </w:rPr>
        <w:t xml:space="preserve"> Second Dose; 2014-2015</w:t>
      </w:r>
    </w:p>
    <w:p w14:paraId="01C5632E" w14:textId="23E6BBCB" w:rsidR="00964594" w:rsidRPr="00D423BD" w:rsidRDefault="00F0765A" w:rsidP="00D423BD">
      <w:pPr>
        <w:keepNext/>
        <w:ind w:left="2160" w:firstLine="720"/>
        <w:jc w:val="center"/>
      </w:pPr>
      <w:r w:rsidRPr="00F0765A">
        <w:rPr>
          <w:b/>
        </w:rPr>
        <mc:AlternateContent>
          <mc:Choice Requires="wps">
            <w:drawing>
              <wp:anchor distT="0" distB="0" distL="114300" distR="114300" simplePos="0" relativeHeight="251680768" behindDoc="0" locked="0" layoutInCell="1" allowOverlap="1" wp14:anchorId="1A1EFC18" wp14:editId="0DCAB431">
                <wp:simplePos x="0" y="0"/>
                <wp:positionH relativeFrom="column">
                  <wp:posOffset>3719830</wp:posOffset>
                </wp:positionH>
                <wp:positionV relativeFrom="paragraph">
                  <wp:posOffset>4761230</wp:posOffset>
                </wp:positionV>
                <wp:extent cx="1022350" cy="687070"/>
                <wp:effectExtent l="0" t="25400" r="31750" b="24130"/>
                <wp:wrapNone/>
                <wp:docPr id="23" name="Straight Arrow Connector 23"/>
                <wp:cNvGraphicFramePr/>
                <a:graphic xmlns:a="http://schemas.openxmlformats.org/drawingml/2006/main">
                  <a:graphicData uri="http://schemas.microsoft.com/office/word/2010/wordprocessingShape">
                    <wps:wsp>
                      <wps:cNvCnPr/>
                      <wps:spPr>
                        <a:xfrm flipV="1">
                          <a:off x="0" y="0"/>
                          <a:ext cx="1022350" cy="6870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08A0B0" id="Straight Arrow Connector 23" o:spid="_x0000_s1026" type="#_x0000_t32" style="position:absolute;margin-left:292.9pt;margin-top:374.9pt;width:80.5pt;height:54.1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" strokecolor="black [3200]" strokeweight=".5pt">
                <v:stroke endarrow="block" joinstyle="miter"/>
              </v:shape>
            </w:pict>
          </mc:Fallback>
        </mc:AlternateContent>
      </w:r>
      <w:r w:rsidRPr="00F0765A">
        <w:rPr>
          <w:b/>
        </w:rPr>
        <mc:AlternateContent>
          <mc:Choice Requires="wps">
            <w:drawing>
              <wp:anchor distT="0" distB="0" distL="114300" distR="114300" simplePos="0" relativeHeight="251679744" behindDoc="0" locked="0" layoutInCell="1" allowOverlap="1" wp14:anchorId="0011C95F" wp14:editId="212E71A6">
                <wp:simplePos x="0" y="0"/>
                <wp:positionH relativeFrom="column">
                  <wp:posOffset>3719830</wp:posOffset>
                </wp:positionH>
                <wp:positionV relativeFrom="paragraph">
                  <wp:posOffset>4607560</wp:posOffset>
                </wp:positionV>
                <wp:extent cx="705485" cy="841375"/>
                <wp:effectExtent l="0" t="25400" r="31115" b="22225"/>
                <wp:wrapNone/>
                <wp:docPr id="22" name="Straight Arrow Connector 22"/>
                <wp:cNvGraphicFramePr/>
                <a:graphic xmlns:a="http://schemas.openxmlformats.org/drawingml/2006/main">
                  <a:graphicData uri="http://schemas.microsoft.com/office/word/2010/wordprocessingShape">
                    <wps:wsp>
                      <wps:cNvCnPr/>
                      <wps:spPr>
                        <a:xfrm flipV="1">
                          <a:off x="0" y="0"/>
                          <a:ext cx="705485" cy="8413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5A281C" id="Straight Arrow Connector 22" o:spid="_x0000_s1026" type="#_x0000_t32" style="position:absolute;margin-left:292.9pt;margin-top:362.8pt;width:55.55pt;height:66.2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" strokecolor="black [3200]" strokeweight=".5pt">
                <v:stroke endarrow="block" joinstyle="miter"/>
              </v:shape>
            </w:pict>
          </mc:Fallback>
        </mc:AlternateContent>
      </w:r>
      <w:r w:rsidRPr="00F0765A">
        <w:rPr>
          <w:b/>
        </w:rPr>
        <mc:AlternateContent>
          <mc:Choice Requires="wps">
            <w:drawing>
              <wp:anchor distT="0" distB="0" distL="114300" distR="114300" simplePos="0" relativeHeight="251678720" behindDoc="0" locked="0" layoutInCell="1" allowOverlap="1" wp14:anchorId="5848519D" wp14:editId="0CEF1E21">
                <wp:simplePos x="0" y="0"/>
                <wp:positionH relativeFrom="column">
                  <wp:posOffset>3720270</wp:posOffset>
                </wp:positionH>
                <wp:positionV relativeFrom="paragraph">
                  <wp:posOffset>4607592</wp:posOffset>
                </wp:positionV>
                <wp:extent cx="325768" cy="841375"/>
                <wp:effectExtent l="0" t="25400" r="42545" b="9525"/>
                <wp:wrapNone/>
                <wp:docPr id="21" name="Straight Arrow Connector 21"/>
                <wp:cNvGraphicFramePr/>
                <a:graphic xmlns:a="http://schemas.openxmlformats.org/drawingml/2006/main">
                  <a:graphicData uri="http://schemas.microsoft.com/office/word/2010/wordprocessingShape">
                    <wps:wsp>
                      <wps:cNvCnPr/>
                      <wps:spPr>
                        <a:xfrm flipV="1">
                          <a:off x="0" y="0"/>
                          <a:ext cx="325768" cy="8413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6118C3B2" id="Straight Arrow Connector 21" o:spid="_x0000_s1026" type="#_x0000_t32" style="position:absolute;margin-left:292.95pt;margin-top:362.8pt;width:25.65pt;height:66.25pt;flip:y;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" strokecolor="black [3200]" strokeweight=".5pt">
                <v:stroke endarrow="block" joinstyle="miter"/>
              </v:shape>
            </w:pict>
          </mc:Fallback>
        </mc:AlternateContent>
      </w:r>
      <w:r w:rsidR="00D423BD" w:rsidRPr="00D423BD">
        <w:rPr>
          <w:b/>
          <w:noProof/>
          <w:lang w:val="en-GB"/>
        </w:rPr>
        <w:drawing>
          <wp:anchor distT="0" distB="0" distL="114300" distR="114300" simplePos="0" relativeHeight="251671552" behindDoc="1" locked="0" layoutInCell="1" allowOverlap="1" wp14:anchorId="2303B8EB" wp14:editId="0539617F">
            <wp:simplePos x="0" y="0"/>
            <wp:positionH relativeFrom="column">
              <wp:posOffset>324850</wp:posOffset>
            </wp:positionH>
            <wp:positionV relativeFrom="paragraph">
              <wp:posOffset>101600</wp:posOffset>
            </wp:positionV>
            <wp:extent cx="7449644" cy="5608981"/>
            <wp:effectExtent l="114300" t="101600" r="120015" b="131445"/>
            <wp:wrapTight wrapText="bothSides">
              <wp:wrapPolygon edited="0">
                <wp:start x="-221" y="-391"/>
                <wp:lineTo x="-331" y="-293"/>
                <wp:lineTo x="-331" y="21568"/>
                <wp:lineTo x="-221" y="22057"/>
                <wp:lineTo x="21801" y="22057"/>
                <wp:lineTo x="21911" y="21617"/>
                <wp:lineTo x="21911" y="489"/>
                <wp:lineTo x="21801" y="-245"/>
                <wp:lineTo x="21801" y="-391"/>
                <wp:lineTo x="-221" y="-391"/>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MWD_2011_by_Townsend_With_PrimaryAge1_2DosesUptake_17_18.PNG"/>
                    <pic:cNvPicPr/>
                  </pic:nvPicPr>
                  <pic:blipFill>
                    <a:blip r:embed="rId14">
                      <a:extLst>
                        <a:ext uri="{28A0092B-C50C-407E-A947-70E740481C1C}">
                          <a14:useLocalDpi xmlns:a14="http://schemas.microsoft.com/office/drawing/2010/main" val="0"/>
                        </a:ext>
                      </a:extLst>
                    </a:blip>
                    <a:stretch>
                      <a:fillRect/>
                    </a:stretch>
                  </pic:blipFill>
                  <pic:spPr>
                    <a:xfrm>
                      <a:off x="0" y="0"/>
                      <a:ext cx="7449644" cy="560898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D423BD">
        <w:rPr>
          <w:b/>
        </w:rPr>
        <w:t xml:space="preserve">  </w:t>
      </w:r>
      <w:r w:rsidR="00D423BD" w:rsidRPr="00D423BD">
        <w:rPr>
          <w:b/>
        </w:rPr>
        <w:t xml:space="preserve">Figure </w:t>
      </w:r>
      <w:r w:rsidR="00D423BD" w:rsidRPr="00D423BD">
        <w:rPr>
          <w:b/>
        </w:rPr>
        <w:fldChar w:fldCharType="begin"/>
      </w:r>
      <w:r w:rsidR="00D423BD" w:rsidRPr="00D423BD">
        <w:rPr>
          <w:b/>
        </w:rPr>
        <w:instrText xml:space="preserve"> SEQ Figure \* ARABIC </w:instrText>
      </w:r>
      <w:r w:rsidR="00D423BD" w:rsidRPr="00D423BD">
        <w:rPr>
          <w:b/>
        </w:rPr>
        <w:fldChar w:fldCharType="separate"/>
      </w:r>
      <w:r w:rsidR="00D423BD" w:rsidRPr="00D423BD">
        <w:rPr>
          <w:b/>
          <w:noProof/>
        </w:rPr>
        <w:t>7</w:t>
      </w:r>
      <w:r w:rsidR="00D423BD" w:rsidRPr="00D423BD">
        <w:rPr>
          <w:b/>
        </w:rPr>
        <w:fldChar w:fldCharType="end"/>
      </w:r>
      <w:r w:rsidR="00D423BD" w:rsidRPr="00D423BD">
        <w:rPr>
          <w:b/>
        </w:rPr>
        <w:t>:</w:t>
      </w:r>
      <w:r w:rsidR="00D423BD">
        <w:t xml:space="preserve"> </w:t>
      </w:r>
      <w:r w:rsidR="00D423BD" w:rsidRPr="00593BD6">
        <w:t>Primary Uptake of Vaccination; Age 1</w:t>
      </w:r>
      <w:r w:rsidR="00E914D1">
        <w:t>;</w:t>
      </w:r>
      <w:r w:rsidR="00D423BD" w:rsidRPr="00593BD6">
        <w:t xml:space="preserve"> Second Dose; 20</w:t>
      </w:r>
      <w:r w:rsidR="00D423BD">
        <w:t>17-18</w:t>
      </w:r>
    </w:p>
    <w:p w14:paraId="104E8438" w14:textId="69C0AF42" w:rsidR="00964594" w:rsidRDefault="00964594" w:rsidP="00B31AA3">
      <w:pPr>
        <w:pStyle w:val="IEEEText"/>
        <w:ind w:firstLine="0"/>
        <w:rPr>
          <w:lang w:val="en-GB"/>
        </w:rPr>
        <w:sectPr w:rsidR="00964594" w:rsidSect="00781527">
          <w:pgSz w:w="15840" w:h="12240" w:orient="landscape" w:code="1"/>
          <w:pgMar w:top="1440" w:right="1440" w:bottom="1440" w:left="1440" w:header="960" w:footer="960" w:gutter="0"/>
          <w:cols w:space="245" w:equalWidth="0">
            <w:col w:w="9360"/>
          </w:cols>
          <w:docGrid w:linePitch="272"/>
        </w:sectPr>
      </w:pPr>
    </w:p>
    <w:p w14:paraId="4BAF2BAC" w14:textId="3B1F61CD" w:rsidR="00A5323D" w:rsidRPr="00431FFF" w:rsidRDefault="00431FFF" w:rsidP="00551823">
      <w:pPr>
        <w:pStyle w:val="IEEEText"/>
        <w:ind w:firstLine="720"/>
        <w:rPr>
          <w:lang w:val="en-GB"/>
        </w:rPr>
      </w:pPr>
      <w:r>
        <w:rPr>
          <w:lang w:val="en-GB"/>
        </w:rPr>
        <w:t xml:space="preserve">Based on the </w:t>
      </w:r>
      <w:r w:rsidR="000A7D74">
        <w:rPr>
          <w:lang w:val="en-GB"/>
        </w:rPr>
        <w:t xml:space="preserve">visualisation of various metrics that form the Townsend score, it can be seen that </w:t>
      </w:r>
      <w:r w:rsidR="00B17B3D">
        <w:rPr>
          <w:lang w:val="en-GB"/>
        </w:rPr>
        <w:t>the areas at worst risk of contracting Meningitis</w:t>
      </w:r>
      <w:r w:rsidR="00491C5A">
        <w:rPr>
          <w:lang w:val="en-GB"/>
        </w:rPr>
        <w:t xml:space="preserve"> are </w:t>
      </w:r>
      <w:r w:rsidR="006570ED">
        <w:rPr>
          <w:lang w:val="en-GB"/>
        </w:rPr>
        <w:t xml:space="preserve">core urban areas and </w:t>
      </w:r>
      <w:r w:rsidR="00886DEC">
        <w:rPr>
          <w:lang w:val="en-GB"/>
        </w:rPr>
        <w:t>densely</w:t>
      </w:r>
      <w:r w:rsidR="006570ED">
        <w:rPr>
          <w:lang w:val="en-GB"/>
        </w:rPr>
        <w:t xml:space="preserve"> populated suburban environments. Here, the </w:t>
      </w:r>
      <w:r w:rsidR="00886DEC">
        <w:rPr>
          <w:lang w:val="en-GB"/>
        </w:rPr>
        <w:t xml:space="preserve">close nature of society provides an opening for the virus to occur and rapidly spread. </w:t>
      </w:r>
      <w:r w:rsidR="00491C5A">
        <w:rPr>
          <w:lang w:val="en-GB"/>
        </w:rPr>
        <w:t xml:space="preserve"> </w:t>
      </w:r>
      <w:r>
        <w:rPr>
          <w:b/>
          <w:i/>
          <w:lang w:val="en-GB"/>
        </w:rPr>
        <w:t xml:space="preserve">Fig’s. 6 </w:t>
      </w:r>
      <w:r>
        <w:rPr>
          <w:lang w:val="en-GB"/>
        </w:rPr>
        <w:t xml:space="preserve">and </w:t>
      </w:r>
      <w:r>
        <w:rPr>
          <w:b/>
          <w:i/>
          <w:lang w:val="en-GB"/>
        </w:rPr>
        <w:t>7.</w:t>
      </w:r>
      <w:r>
        <w:rPr>
          <w:lang w:val="en-GB"/>
        </w:rPr>
        <w:t xml:space="preserve"> </w:t>
      </w:r>
      <w:r w:rsidR="00886DEC">
        <w:rPr>
          <w:lang w:val="en-GB"/>
        </w:rPr>
        <w:t>s</w:t>
      </w:r>
      <w:r>
        <w:rPr>
          <w:lang w:val="en-GB"/>
        </w:rPr>
        <w:t xml:space="preserve">how </w:t>
      </w:r>
      <w:r w:rsidR="00886DEC">
        <w:rPr>
          <w:lang w:val="en-GB"/>
        </w:rPr>
        <w:t>where</w:t>
      </w:r>
      <w:r w:rsidR="000E4AF7">
        <w:rPr>
          <w:lang w:val="en-GB"/>
        </w:rPr>
        <w:t xml:space="preserve"> the uptake of the vaccination has been most and least successful for primary school children in between 2014/15 and </w:t>
      </w:r>
      <w:r w:rsidR="001F1413">
        <w:rPr>
          <w:lang w:val="en-GB"/>
        </w:rPr>
        <w:t xml:space="preserve">2017/18. </w:t>
      </w:r>
    </w:p>
    <w:p w14:paraId="738BF809" w14:textId="32A52B94" w:rsidR="006A4C7A" w:rsidRDefault="006A4C7A" w:rsidP="00B31AA3">
      <w:pPr>
        <w:pStyle w:val="IEEEText"/>
        <w:ind w:firstLine="0"/>
        <w:rPr>
          <w:lang w:val="en-GB"/>
        </w:rPr>
      </w:pPr>
    </w:p>
    <w:p w14:paraId="155796D0" w14:textId="6B038310" w:rsidR="00670076" w:rsidRPr="003E2DEA" w:rsidRDefault="00B01C63" w:rsidP="00551823">
      <w:pPr>
        <w:pStyle w:val="IEEEText"/>
        <w:ind w:firstLine="720"/>
        <w:rPr>
          <w:lang w:val="en-GB"/>
        </w:rPr>
      </w:pPr>
      <w:r>
        <w:rPr>
          <w:lang w:val="en-GB"/>
        </w:rPr>
        <w:t xml:space="preserve">Again, the Townsend Index has been thematically applied to show the areas where deprivation is </w:t>
      </w:r>
      <w:r w:rsidR="00F444D4">
        <w:rPr>
          <w:lang w:val="en-GB"/>
        </w:rPr>
        <w:t>most clearly experienced to highlight where a potential virus epidemic is most likely</w:t>
      </w:r>
      <w:r w:rsidR="000842EA">
        <w:rPr>
          <w:lang w:val="en-GB"/>
        </w:rPr>
        <w:t>, based on the transmission its nature,</w:t>
      </w:r>
      <w:r w:rsidR="00F444D4">
        <w:rPr>
          <w:lang w:val="en-GB"/>
        </w:rPr>
        <w:t xml:space="preserve"> to </w:t>
      </w:r>
      <w:r w:rsidR="00842F49">
        <w:rPr>
          <w:lang w:val="en-GB"/>
        </w:rPr>
        <w:t xml:space="preserve">originate. </w:t>
      </w:r>
      <w:r w:rsidR="004B34B1">
        <w:rPr>
          <w:lang w:val="en-GB"/>
        </w:rPr>
        <w:t>The degree of p</w:t>
      </w:r>
      <w:r w:rsidR="00842F49">
        <w:rPr>
          <w:lang w:val="en-GB"/>
        </w:rPr>
        <w:t xml:space="preserve">ublic uptake </w:t>
      </w:r>
      <w:r w:rsidR="00375735">
        <w:rPr>
          <w:lang w:val="en-GB"/>
        </w:rPr>
        <w:t>is layered above,</w:t>
      </w:r>
      <w:r w:rsidR="004B34B1">
        <w:rPr>
          <w:lang w:val="en-GB"/>
        </w:rPr>
        <w:t xml:space="preserve"> represented by the human icon</w:t>
      </w:r>
      <w:r w:rsidR="000842EA">
        <w:rPr>
          <w:lang w:val="en-GB"/>
        </w:rPr>
        <w:t>;</w:t>
      </w:r>
      <w:r w:rsidR="004B34B1">
        <w:rPr>
          <w:lang w:val="en-GB"/>
        </w:rPr>
        <w:t xml:space="preserve"> and at first glance </w:t>
      </w:r>
      <w:r w:rsidR="00260122">
        <w:rPr>
          <w:lang w:val="en-GB"/>
        </w:rPr>
        <w:t xml:space="preserve">uptake </w:t>
      </w:r>
      <w:r w:rsidR="004B34B1">
        <w:rPr>
          <w:lang w:val="en-GB"/>
        </w:rPr>
        <w:t>appear</w:t>
      </w:r>
      <w:r w:rsidR="00260122">
        <w:rPr>
          <w:lang w:val="en-GB"/>
        </w:rPr>
        <w:t>s</w:t>
      </w:r>
      <w:r w:rsidR="004B34B1">
        <w:rPr>
          <w:lang w:val="en-GB"/>
        </w:rPr>
        <w:t xml:space="preserve">, for both </w:t>
      </w:r>
      <w:r w:rsidR="001E75AA">
        <w:rPr>
          <w:lang w:val="en-GB"/>
        </w:rPr>
        <w:t xml:space="preserve">survey years, </w:t>
      </w:r>
      <w:r w:rsidR="00375735">
        <w:rPr>
          <w:lang w:val="en-GB"/>
        </w:rPr>
        <w:t xml:space="preserve">to be </w:t>
      </w:r>
      <w:r w:rsidR="00260122">
        <w:rPr>
          <w:lang w:val="en-GB"/>
        </w:rPr>
        <w:t>both fairly extensive and</w:t>
      </w:r>
      <w:r w:rsidR="00375735">
        <w:rPr>
          <w:lang w:val="en-GB"/>
        </w:rPr>
        <w:t xml:space="preserve"> well</w:t>
      </w:r>
      <w:r w:rsidR="00260122">
        <w:rPr>
          <w:lang w:val="en-GB"/>
        </w:rPr>
        <w:t xml:space="preserve"> balanced</w:t>
      </w:r>
      <w:r w:rsidR="006479CF">
        <w:rPr>
          <w:lang w:val="en-GB"/>
        </w:rPr>
        <w:t xml:space="preserve">. </w:t>
      </w:r>
      <w:r w:rsidR="000D19C5">
        <w:rPr>
          <w:lang w:val="en-GB"/>
        </w:rPr>
        <w:t>From a healthcare p</w:t>
      </w:r>
      <w:bookmarkStart w:id="3" w:name="_GoBack"/>
      <w:bookmarkEnd w:id="3"/>
      <w:r w:rsidR="000D19C5">
        <w:rPr>
          <w:lang w:val="en-GB"/>
        </w:rPr>
        <w:t>erspective it is</w:t>
      </w:r>
      <w:r w:rsidR="006479CF">
        <w:rPr>
          <w:lang w:val="en-GB"/>
        </w:rPr>
        <w:t xml:space="preserve"> encouraging to see</w:t>
      </w:r>
      <w:r w:rsidR="005B5ACB">
        <w:rPr>
          <w:lang w:val="en-GB"/>
        </w:rPr>
        <w:t xml:space="preserve"> that the uptake does not appear to </w:t>
      </w:r>
      <w:r w:rsidR="000D19C5">
        <w:rPr>
          <w:lang w:val="en-GB"/>
        </w:rPr>
        <w:t xml:space="preserve">be related, albeit indirectly, to broad </w:t>
      </w:r>
      <w:r w:rsidR="00363313">
        <w:rPr>
          <w:lang w:val="en-GB"/>
        </w:rPr>
        <w:t>socio</w:t>
      </w:r>
      <w:r w:rsidR="005B32B9">
        <w:rPr>
          <w:lang w:val="en-GB"/>
        </w:rPr>
        <w:t>-</w:t>
      </w:r>
      <w:r w:rsidR="00363313">
        <w:rPr>
          <w:lang w:val="en-GB"/>
        </w:rPr>
        <w:t>economic issues, such as transport or overcrowding that society experiences</w:t>
      </w:r>
      <w:r w:rsidR="00670272">
        <w:rPr>
          <w:lang w:val="en-GB"/>
        </w:rPr>
        <w:t>, factors that are grouped in the Townsend rating</w:t>
      </w:r>
      <w:r w:rsidR="00670076">
        <w:rPr>
          <w:lang w:val="en-GB"/>
        </w:rPr>
        <w:t xml:space="preserve">. </w:t>
      </w:r>
      <w:r w:rsidR="00851A6B">
        <w:rPr>
          <w:lang w:val="en-GB"/>
        </w:rPr>
        <w:t>Nevertheless, d</w:t>
      </w:r>
      <w:r w:rsidR="00670076">
        <w:rPr>
          <w:lang w:val="en-GB"/>
        </w:rPr>
        <w:t xml:space="preserve">espite this evenness there are </w:t>
      </w:r>
      <w:r w:rsidR="005D7C77">
        <w:rPr>
          <w:lang w:val="en-GB"/>
        </w:rPr>
        <w:t xml:space="preserve">some potentially </w:t>
      </w:r>
      <w:r w:rsidR="00F0765A">
        <w:rPr>
          <w:lang w:val="en-GB"/>
        </w:rPr>
        <w:t xml:space="preserve">concerning trends. The uptake in parts of Gower during 2014/15 was extremely poor in several areas </w:t>
      </w:r>
      <w:r w:rsidR="00670272">
        <w:rPr>
          <w:lang w:val="en-GB"/>
        </w:rPr>
        <w:t>and</w:t>
      </w:r>
      <w:r w:rsidR="003540D6">
        <w:rPr>
          <w:lang w:val="en-GB"/>
        </w:rPr>
        <w:t xml:space="preserve"> as of 2017/18 has not seemingly improved.</w:t>
      </w:r>
      <w:r w:rsidR="00B31E61">
        <w:rPr>
          <w:lang w:val="en-GB"/>
        </w:rPr>
        <w:t xml:space="preserve"> </w:t>
      </w:r>
      <w:r w:rsidR="003E2DEA">
        <w:rPr>
          <w:i/>
          <w:lang w:val="en-GB"/>
        </w:rPr>
        <w:t>‘Bishopston’</w:t>
      </w:r>
      <w:r w:rsidR="003E2DEA">
        <w:rPr>
          <w:lang w:val="en-GB"/>
        </w:rPr>
        <w:t xml:space="preserve">, </w:t>
      </w:r>
      <w:r w:rsidR="003E2DEA">
        <w:rPr>
          <w:i/>
          <w:lang w:val="en-GB"/>
        </w:rPr>
        <w:t>‘Newton’</w:t>
      </w:r>
      <w:r w:rsidR="003E2DEA">
        <w:rPr>
          <w:lang w:val="en-GB"/>
        </w:rPr>
        <w:t xml:space="preserve"> and </w:t>
      </w:r>
      <w:r w:rsidR="003E2DEA">
        <w:rPr>
          <w:i/>
          <w:lang w:val="en-GB"/>
        </w:rPr>
        <w:t>‘</w:t>
      </w:r>
      <w:proofErr w:type="spellStart"/>
      <w:r w:rsidR="003E2DEA">
        <w:rPr>
          <w:i/>
          <w:lang w:val="en-GB"/>
        </w:rPr>
        <w:t>Oystermouth</w:t>
      </w:r>
      <w:proofErr w:type="spellEnd"/>
      <w:r w:rsidR="003E2DEA">
        <w:rPr>
          <w:i/>
          <w:lang w:val="en-GB"/>
        </w:rPr>
        <w:t>’</w:t>
      </w:r>
      <w:r w:rsidR="00D8677E">
        <w:rPr>
          <w:lang w:val="en-GB"/>
        </w:rPr>
        <w:t xml:space="preserve">, illustrated on the </w:t>
      </w:r>
      <w:r w:rsidR="006864EB">
        <w:rPr>
          <w:lang w:val="en-GB"/>
        </w:rPr>
        <w:t xml:space="preserve">map, all showed incredibly low (yes, there a label for each of these) </w:t>
      </w:r>
      <w:r w:rsidR="001824BC">
        <w:rPr>
          <w:lang w:val="en-GB"/>
        </w:rPr>
        <w:t xml:space="preserve">uptake </w:t>
      </w:r>
      <w:r w:rsidR="006864EB">
        <w:rPr>
          <w:lang w:val="en-GB"/>
        </w:rPr>
        <w:t>counts</w:t>
      </w:r>
      <w:r w:rsidR="00674C81">
        <w:rPr>
          <w:lang w:val="en-GB"/>
        </w:rPr>
        <w:t xml:space="preserve"> de</w:t>
      </w:r>
      <w:r w:rsidR="001824BC">
        <w:rPr>
          <w:lang w:val="en-GB"/>
        </w:rPr>
        <w:t>s</w:t>
      </w:r>
      <w:r w:rsidR="00674C81">
        <w:rPr>
          <w:lang w:val="en-GB"/>
        </w:rPr>
        <w:t>pite the presence of</w:t>
      </w:r>
      <w:r w:rsidR="001A4C60">
        <w:rPr>
          <w:lang w:val="en-GB"/>
        </w:rPr>
        <w:t xml:space="preserve"> several</w:t>
      </w:r>
      <w:r w:rsidR="00674C81">
        <w:rPr>
          <w:lang w:val="en-GB"/>
        </w:rPr>
        <w:t xml:space="preserve"> primary</w:t>
      </w:r>
      <w:r w:rsidR="001A4C60">
        <w:rPr>
          <w:lang w:val="en-GB"/>
        </w:rPr>
        <w:t xml:space="preserve"> and infant</w:t>
      </w:r>
      <w:r w:rsidR="00674C81">
        <w:rPr>
          <w:lang w:val="en-GB"/>
        </w:rPr>
        <w:t xml:space="preserve"> schools </w:t>
      </w:r>
      <w:r w:rsidR="001A4C60">
        <w:rPr>
          <w:lang w:val="en-GB"/>
        </w:rPr>
        <w:t xml:space="preserve">in </w:t>
      </w:r>
      <w:r w:rsidR="00EE4608">
        <w:rPr>
          <w:lang w:val="en-GB"/>
        </w:rPr>
        <w:t>numerous</w:t>
      </w:r>
      <w:r w:rsidR="001A4C60">
        <w:rPr>
          <w:lang w:val="en-GB"/>
        </w:rPr>
        <w:t xml:space="preserve">, albeit small, built-up </w:t>
      </w:r>
      <w:r w:rsidR="00EE4608">
        <w:rPr>
          <w:lang w:val="en-GB"/>
        </w:rPr>
        <w:t>communities</w:t>
      </w:r>
      <w:r w:rsidR="001824BC">
        <w:rPr>
          <w:lang w:val="en-GB"/>
        </w:rPr>
        <w:t xml:space="preserve"> </w:t>
      </w:r>
      <w:r w:rsidR="003B12D3">
        <w:rPr>
          <w:lang w:val="en-GB"/>
        </w:rPr>
        <w:t>that</w:t>
      </w:r>
      <w:r w:rsidR="001824BC">
        <w:rPr>
          <w:lang w:val="en-GB"/>
        </w:rPr>
        <w:t xml:space="preserve"> the Meningitis virus has </w:t>
      </w:r>
      <w:r w:rsidR="008F2E9B">
        <w:rPr>
          <w:lang w:val="en-GB"/>
        </w:rPr>
        <w:t>affected in the past</w:t>
      </w:r>
      <w:r w:rsidR="003B12D3">
        <w:rPr>
          <w:lang w:val="en-GB"/>
        </w:rPr>
        <w:t xml:space="preserve"> epidemics of the disease</w:t>
      </w:r>
      <w:r w:rsidR="001A4C60">
        <w:rPr>
          <w:lang w:val="en-GB"/>
        </w:rPr>
        <w:t>.</w:t>
      </w:r>
    </w:p>
    <w:p w14:paraId="23EB6A59" w14:textId="77777777" w:rsidR="006A4C7A" w:rsidRPr="00420372" w:rsidRDefault="006A4C7A" w:rsidP="00B31AA3">
      <w:pPr>
        <w:pStyle w:val="IEEEText"/>
        <w:ind w:firstLine="0"/>
        <w:rPr>
          <w:lang w:val="en-GB"/>
        </w:rPr>
      </w:pPr>
    </w:p>
    <w:p w14:paraId="307589B1" w14:textId="733A79B3" w:rsidR="00D61B43" w:rsidRPr="00D61B43" w:rsidRDefault="009B417E" w:rsidP="00D61B43">
      <w:pPr>
        <w:pStyle w:val="IEEEHeading1"/>
        <w:numPr>
          <w:ilvl w:val="0"/>
          <w:numId w:val="13"/>
        </w:numPr>
        <w:rPr>
          <w:sz w:val="16"/>
          <w:lang w:val="en-GB"/>
        </w:rPr>
      </w:pPr>
      <w:r>
        <w:rPr>
          <w:lang w:val="en-GB"/>
        </w:rPr>
        <w:t>Hypothesis Evaluation and Conclusion</w:t>
      </w:r>
    </w:p>
    <w:p w14:paraId="283018B4" w14:textId="53537234" w:rsidR="00D61B43" w:rsidRDefault="00D61B43" w:rsidP="00DE6C9A">
      <w:pPr>
        <w:pStyle w:val="IEEEText"/>
        <w:ind w:firstLine="0"/>
        <w:rPr>
          <w:lang w:val="en-GB"/>
        </w:rPr>
      </w:pPr>
    </w:p>
    <w:p w14:paraId="43511D1E" w14:textId="5BA565BD" w:rsidR="00420FCE" w:rsidRDefault="00420FCE" w:rsidP="00420FCE">
      <w:pPr>
        <w:pStyle w:val="IEEEText"/>
        <w:numPr>
          <w:ilvl w:val="0"/>
          <w:numId w:val="24"/>
        </w:numPr>
        <w:rPr>
          <w:i/>
          <w:lang w:val="en-GB"/>
        </w:rPr>
      </w:pPr>
      <w:r>
        <w:rPr>
          <w:i/>
          <w:lang w:val="en-GB"/>
        </w:rPr>
        <w:t>What are the chances of future Meningitis epidemics?</w:t>
      </w:r>
    </w:p>
    <w:p w14:paraId="733CD840" w14:textId="0DF8C4F1" w:rsidR="00420FCE" w:rsidRDefault="00420FCE" w:rsidP="00420FCE">
      <w:pPr>
        <w:pStyle w:val="IEEEText"/>
        <w:ind w:left="720" w:firstLine="0"/>
        <w:rPr>
          <w:i/>
          <w:lang w:val="en-GB"/>
        </w:rPr>
      </w:pPr>
    </w:p>
    <w:p w14:paraId="036A57BD" w14:textId="6789C521" w:rsidR="006B3482" w:rsidRDefault="006B3482" w:rsidP="00551823">
      <w:pPr>
        <w:pStyle w:val="IEEEText"/>
        <w:ind w:firstLine="720"/>
        <w:rPr>
          <w:lang w:val="en-GB"/>
        </w:rPr>
      </w:pPr>
      <w:r>
        <w:rPr>
          <w:lang w:val="en-GB"/>
        </w:rPr>
        <w:t xml:space="preserve">From the visual constructs and the nature of the Meningitis disease it is clear the most vulnerable areas are </w:t>
      </w:r>
      <w:r w:rsidR="00995E96">
        <w:rPr>
          <w:lang w:val="en-GB"/>
        </w:rPr>
        <w:t>densely populated. Schools and Colleges across the city have been particularly hit</w:t>
      </w:r>
      <w:r w:rsidR="0068752F">
        <w:rPr>
          <w:lang w:val="en-GB"/>
        </w:rPr>
        <w:t xml:space="preserve"> in the past thanks to the congregation of </w:t>
      </w:r>
      <w:r w:rsidR="0084507A">
        <w:rPr>
          <w:lang w:val="en-GB"/>
        </w:rPr>
        <w:t>people from a variety of regions across the Swansea bay area</w:t>
      </w:r>
      <w:r w:rsidR="00554290">
        <w:rPr>
          <w:lang w:val="en-GB"/>
        </w:rPr>
        <w:t>, Swansea University suggest</w:t>
      </w:r>
      <w:r w:rsidR="004430FF">
        <w:rPr>
          <w:lang w:val="en-GB"/>
        </w:rPr>
        <w:t xml:space="preserve"> </w:t>
      </w:r>
      <w:r w:rsidR="004430FF">
        <w:rPr>
          <w:i/>
          <w:lang w:val="en-GB"/>
        </w:rPr>
        <w:t xml:space="preserve">“about one in ten people [university students]” </w:t>
      </w:r>
      <w:r w:rsidR="0084507A">
        <w:rPr>
          <w:lang w:val="en-GB"/>
        </w:rPr>
        <w:t xml:space="preserve"> </w:t>
      </w:r>
      <w:r w:rsidR="00531D35">
        <w:rPr>
          <w:lang w:val="en-GB"/>
        </w:rPr>
        <w:fldChar w:fldCharType="begin" w:fldLock="1"/>
      </w:r>
      <w:r w:rsidR="00CE58B5">
        <w:rPr>
          <w:lang w:val="en-GB"/>
        </w:rPr>
        <w:instrText>ADDIN CSL_CITATION {"citationItems":[{"id":"ITEM-1","itemData":{"URL":"https://www.swansea.ac.uk/press-office/news-archive/2018/newanimationreleasedtoencouragefresherstogetmeningitisvaccineaheadofnewuniversityterm.php","abstract":"A new Swansea University animation aims to encourage new university students to ensure that they are vaccinated against meningitis before starting at university later this month, and to raise awareness of the signs and symptoms of the infection.","accessed":{"date-parts":[["2019","1","24"]]},"author":[{"dropping-particle":"","family":"Swansea University Prifysgol Abertawe","given":"","non-dropping-particle":"","parse-names":false,"suffix":""}],"container-title":"News Archive","id":"ITEM-1","issued":{"date-parts":[["2018"]]},"title":"New animation released to encourage freshers to get meningitis vaccine ahead of new university term","type":"webpage"},"uris":["http://www.mendeley.com/documents/?uuid=f7ec0714-74e0-3fc0-b165-f3d8455b0cf8"]}],"mendeley":{"formattedCitation":"[25]","plainTextFormattedCitation":"[25]","previouslyFormattedCitation":"[24]"},"properties":{"noteIndex":0},"schema":"https://github.com/citation-style-language/schema/raw/master/csl-citation.json"}</w:instrText>
      </w:r>
      <w:r w:rsidR="00531D35">
        <w:rPr>
          <w:lang w:val="en-GB"/>
        </w:rPr>
        <w:fldChar w:fldCharType="separate"/>
      </w:r>
      <w:r w:rsidR="00CE58B5" w:rsidRPr="00CE58B5">
        <w:rPr>
          <w:noProof/>
          <w:lang w:val="en-GB"/>
        </w:rPr>
        <w:t>[25]</w:t>
      </w:r>
      <w:r w:rsidR="00531D35">
        <w:rPr>
          <w:lang w:val="en-GB"/>
        </w:rPr>
        <w:fldChar w:fldCharType="end"/>
      </w:r>
      <w:r w:rsidR="00531D35">
        <w:rPr>
          <w:lang w:val="en-GB"/>
        </w:rPr>
        <w:t xml:space="preserve"> can carry Meningitis bacteria </w:t>
      </w:r>
      <w:r w:rsidR="007502F6">
        <w:rPr>
          <w:lang w:val="en-GB"/>
        </w:rPr>
        <w:t>in such an environment. These</w:t>
      </w:r>
      <w:r w:rsidR="00050133">
        <w:rPr>
          <w:lang w:val="en-GB"/>
        </w:rPr>
        <w:t xml:space="preserve"> locations, found typically in urbanised environments, find themselves in areas that </w:t>
      </w:r>
      <w:r w:rsidR="00DC767C">
        <w:rPr>
          <w:lang w:val="en-GB"/>
        </w:rPr>
        <w:t>show as densely populated</w:t>
      </w:r>
      <w:r w:rsidR="00507B16">
        <w:rPr>
          <w:lang w:val="en-GB"/>
        </w:rPr>
        <w:t xml:space="preserve"> </w:t>
      </w:r>
      <w:r w:rsidR="00DC767C">
        <w:rPr>
          <w:lang w:val="en-GB"/>
        </w:rPr>
        <w:t xml:space="preserve">in </w:t>
      </w:r>
      <w:r w:rsidR="00DC767C">
        <w:rPr>
          <w:b/>
          <w:i/>
          <w:lang w:val="en-GB"/>
        </w:rPr>
        <w:t>Fig. 2.</w:t>
      </w:r>
      <w:r w:rsidR="00DC767C">
        <w:rPr>
          <w:lang w:val="en-GB"/>
        </w:rPr>
        <w:t xml:space="preserve"> above.</w:t>
      </w:r>
      <w:r w:rsidR="008600A0">
        <w:rPr>
          <w:lang w:val="en-GB"/>
        </w:rPr>
        <w:t xml:space="preserve">  </w:t>
      </w:r>
      <w:r w:rsidR="00DC767C">
        <w:rPr>
          <w:lang w:val="en-GB"/>
        </w:rPr>
        <w:t>In contrast the highly rural areas</w:t>
      </w:r>
      <w:r w:rsidR="00C7646B">
        <w:rPr>
          <w:lang w:val="en-GB"/>
        </w:rPr>
        <w:t xml:space="preserve">, such as Gower itself, </w:t>
      </w:r>
      <w:r w:rsidR="008F5C64">
        <w:rPr>
          <w:lang w:val="en-GB"/>
        </w:rPr>
        <w:t>could be considered</w:t>
      </w:r>
      <w:r w:rsidR="00797BD6">
        <w:rPr>
          <w:lang w:val="en-GB"/>
        </w:rPr>
        <w:t xml:space="preserve"> less at risk thanks to the reduced population density and </w:t>
      </w:r>
      <w:r w:rsidR="00C7646B">
        <w:rPr>
          <w:lang w:val="en-GB"/>
        </w:rPr>
        <w:t xml:space="preserve">seemingly </w:t>
      </w:r>
      <w:r w:rsidR="00760B00">
        <w:rPr>
          <w:lang w:val="en-GB"/>
        </w:rPr>
        <w:t>consistently high level of vaccine uptake.</w:t>
      </w:r>
    </w:p>
    <w:p w14:paraId="3C38AB88" w14:textId="77777777" w:rsidR="00A34A5C" w:rsidRPr="00DC767C" w:rsidRDefault="00A34A5C" w:rsidP="00420FCE">
      <w:pPr>
        <w:pStyle w:val="IEEEText"/>
        <w:ind w:left="720" w:firstLine="0"/>
        <w:rPr>
          <w:lang w:val="en-GB"/>
        </w:rPr>
      </w:pPr>
    </w:p>
    <w:p w14:paraId="300EE595" w14:textId="65196389" w:rsidR="00467CAD" w:rsidRDefault="00AD1F04" w:rsidP="00AD1F04">
      <w:pPr>
        <w:pStyle w:val="IEEEText"/>
        <w:numPr>
          <w:ilvl w:val="0"/>
          <w:numId w:val="24"/>
        </w:numPr>
        <w:rPr>
          <w:i/>
          <w:lang w:val="en-GB"/>
        </w:rPr>
      </w:pPr>
      <w:r>
        <w:rPr>
          <w:i/>
          <w:lang w:val="en-GB"/>
        </w:rPr>
        <w:t>Where should the vaccine be distributed?</w:t>
      </w:r>
    </w:p>
    <w:p w14:paraId="1A0C6486" w14:textId="687935C7" w:rsidR="00A34A5C" w:rsidRDefault="00A34A5C" w:rsidP="00A34A5C">
      <w:pPr>
        <w:pStyle w:val="IEEEText"/>
        <w:rPr>
          <w:i/>
          <w:lang w:val="en-GB"/>
        </w:rPr>
      </w:pPr>
    </w:p>
    <w:p w14:paraId="0D110FFA" w14:textId="244E26CE" w:rsidR="00A34A5C" w:rsidRPr="00A34A5C" w:rsidRDefault="00A34A5C" w:rsidP="00551823">
      <w:pPr>
        <w:pStyle w:val="IEEEText"/>
        <w:ind w:firstLine="720"/>
        <w:rPr>
          <w:lang w:val="en-GB"/>
        </w:rPr>
      </w:pPr>
      <w:r>
        <w:rPr>
          <w:lang w:val="en-GB"/>
        </w:rPr>
        <w:t xml:space="preserve">The rural-urban divide </w:t>
      </w:r>
      <w:r w:rsidR="00A71E8B">
        <w:rPr>
          <w:lang w:val="en-GB"/>
        </w:rPr>
        <w:t xml:space="preserve">vaccine </w:t>
      </w:r>
      <w:r>
        <w:rPr>
          <w:lang w:val="en-GB"/>
        </w:rPr>
        <w:t xml:space="preserve">uptake </w:t>
      </w:r>
      <w:r w:rsidR="00D24ACA">
        <w:rPr>
          <w:lang w:val="en-GB"/>
        </w:rPr>
        <w:t xml:space="preserve">is worrying, </w:t>
      </w:r>
      <w:r>
        <w:rPr>
          <w:lang w:val="en-GB"/>
        </w:rPr>
        <w:t xml:space="preserve">especially </w:t>
      </w:r>
      <w:r w:rsidR="00D24ACA">
        <w:rPr>
          <w:lang w:val="en-GB"/>
        </w:rPr>
        <w:t xml:space="preserve">in a built-up environment </w:t>
      </w:r>
      <w:r>
        <w:rPr>
          <w:lang w:val="en-GB"/>
        </w:rPr>
        <w:t>whe</w:t>
      </w:r>
      <w:r w:rsidR="00F62E86">
        <w:rPr>
          <w:lang w:val="en-GB"/>
        </w:rPr>
        <w:t>re children and young people mix</w:t>
      </w:r>
      <w:r w:rsidR="00A71E8B">
        <w:rPr>
          <w:lang w:val="en-GB"/>
        </w:rPr>
        <w:t>, especially with those more vulnerable to disease should a breakout occur</w:t>
      </w:r>
      <w:r w:rsidR="00F62E86">
        <w:rPr>
          <w:lang w:val="en-GB"/>
        </w:rPr>
        <w:t>.</w:t>
      </w:r>
      <w:r w:rsidR="009846CF">
        <w:rPr>
          <w:lang w:val="en-GB"/>
        </w:rPr>
        <w:t xml:space="preserve"> </w:t>
      </w:r>
      <w:r w:rsidR="00A71E8B">
        <w:rPr>
          <w:lang w:val="en-GB"/>
        </w:rPr>
        <w:t>A</w:t>
      </w:r>
      <w:r w:rsidR="009846CF">
        <w:rPr>
          <w:lang w:val="en-GB"/>
        </w:rPr>
        <w:t xml:space="preserve">reas </w:t>
      </w:r>
      <w:r w:rsidR="00A71E8B">
        <w:rPr>
          <w:lang w:val="en-GB"/>
        </w:rPr>
        <w:t xml:space="preserve">of particular </w:t>
      </w:r>
      <w:proofErr w:type="spellStart"/>
      <w:r w:rsidR="00A71E8B">
        <w:rPr>
          <w:lang w:val="en-GB"/>
        </w:rPr>
        <w:t>intest</w:t>
      </w:r>
      <w:proofErr w:type="spellEnd"/>
      <w:r w:rsidR="00A71E8B">
        <w:rPr>
          <w:lang w:val="en-GB"/>
        </w:rPr>
        <w:t xml:space="preserve"> include</w:t>
      </w:r>
      <w:r w:rsidR="009846CF">
        <w:rPr>
          <w:lang w:val="en-GB"/>
        </w:rPr>
        <w:t xml:space="preserve"> </w:t>
      </w:r>
      <w:r w:rsidR="009846CF" w:rsidRPr="009846CF">
        <w:rPr>
          <w:i/>
          <w:lang w:val="en-GB"/>
        </w:rPr>
        <w:t>West Cross</w:t>
      </w:r>
      <w:r w:rsidR="009846CF">
        <w:rPr>
          <w:lang w:val="en-GB"/>
        </w:rPr>
        <w:t xml:space="preserve">, </w:t>
      </w:r>
      <w:r w:rsidR="009846CF">
        <w:rPr>
          <w:i/>
          <w:lang w:val="en-GB"/>
        </w:rPr>
        <w:t xml:space="preserve">Mumbles, Newton </w:t>
      </w:r>
      <w:r w:rsidR="009846CF" w:rsidRPr="009846CF">
        <w:rPr>
          <w:lang w:val="en-GB"/>
        </w:rPr>
        <w:t>and</w:t>
      </w:r>
      <w:r w:rsidR="009846CF">
        <w:rPr>
          <w:i/>
          <w:lang w:val="en-GB"/>
        </w:rPr>
        <w:t xml:space="preserve"> </w:t>
      </w:r>
      <w:proofErr w:type="spellStart"/>
      <w:r w:rsidR="009846CF">
        <w:rPr>
          <w:i/>
          <w:lang w:val="en-GB"/>
        </w:rPr>
        <w:t>Oystermouth</w:t>
      </w:r>
      <w:proofErr w:type="spellEnd"/>
      <w:r w:rsidR="009846CF">
        <w:rPr>
          <w:lang w:val="en-GB"/>
        </w:rPr>
        <w:t xml:space="preserve">. Attention should also be given to ensuring continual coverage </w:t>
      </w:r>
      <w:r w:rsidR="003110CD">
        <w:rPr>
          <w:lang w:val="en-GB"/>
        </w:rPr>
        <w:t xml:space="preserve">throughout central urban areas, especially those in the centre of Swansea and Port Talbot where overcrowding, and the potential </w:t>
      </w:r>
      <w:r w:rsidR="00FC4BA3">
        <w:rPr>
          <w:lang w:val="en-GB"/>
        </w:rPr>
        <w:t>for contagious spread</w:t>
      </w:r>
      <w:r w:rsidR="00B86AC2">
        <w:rPr>
          <w:lang w:val="en-GB"/>
        </w:rPr>
        <w:t xml:space="preserve"> </w:t>
      </w:r>
      <w:r w:rsidR="0011550E">
        <w:rPr>
          <w:lang w:val="en-GB"/>
        </w:rPr>
        <w:fldChar w:fldCharType="begin" w:fldLock="1"/>
      </w:r>
      <w:r w:rsidR="00CE58B5">
        <w:rPr>
          <w:lang w:val="en-GB"/>
        </w:rPr>
        <w:instrText>ADDIN CSL_CITATION {"citationItems":[{"id":"ITEM-1","itemData":{"URL":"https://www.cdc.gov/meningitis/index.html","abstract":"Meningitis is an inflammation (swelling) of the protective membranes covering the brain and spinal cord. A bacterial or viral infection of the fluid surrounding the brain and spinal cord usually causes the swelling. However, injuries, cancer, certain drugs, and other types of infections also can cause meningitis. It is important to know the specific cause of meningitis because the treatment differs depending on the cause.","accessed":{"date-parts":[["2019","1","25"]]},"author":[{"dropping-particle":"","family":"Centres for Disease Control and Prevention (CDC)","given":"","non-dropping-particle":"","parse-names":false,"suffix":""}],"container-title":"National Centre for Immunisation and Respiratiory Disease","id":"ITEM-1","issued":{"date-parts":[["2019"]]},"title":"Meningitis","type":"webpage"},"uris":["http://www.mendeley.com/documents/?uuid=adae76f8-1b3a-375a-950f-0ce5a8facc14"]}],"mendeley":{"formattedCitation":"[26]","plainTextFormattedCitation":"[26]","previouslyFormattedCitation":"[25]"},"properties":{"noteIndex":0},"schema":"https://github.com/citation-style-language/schema/raw/master/csl-citation.json"}</w:instrText>
      </w:r>
      <w:r w:rsidR="0011550E">
        <w:rPr>
          <w:lang w:val="en-GB"/>
        </w:rPr>
        <w:fldChar w:fldCharType="separate"/>
      </w:r>
      <w:r w:rsidR="00CE58B5" w:rsidRPr="00CE58B5">
        <w:rPr>
          <w:noProof/>
          <w:lang w:val="en-GB"/>
        </w:rPr>
        <w:t>[26]</w:t>
      </w:r>
      <w:r w:rsidR="0011550E">
        <w:rPr>
          <w:lang w:val="en-GB"/>
        </w:rPr>
        <w:fldChar w:fldCharType="end"/>
      </w:r>
      <w:r w:rsidR="00FC4BA3">
        <w:rPr>
          <w:lang w:val="en-GB"/>
        </w:rPr>
        <w:t xml:space="preserve">, is persistently </w:t>
      </w:r>
      <w:r w:rsidR="004C1C66">
        <w:rPr>
          <w:lang w:val="en-GB"/>
        </w:rPr>
        <w:t>high</w:t>
      </w:r>
      <w:r w:rsidR="00A71E8B">
        <w:rPr>
          <w:lang w:val="en-GB"/>
        </w:rPr>
        <w:t>, but based on these statistics efforts are being made to immunise young children in such areas</w:t>
      </w:r>
      <w:r w:rsidR="004C1C66">
        <w:rPr>
          <w:lang w:val="en-GB"/>
        </w:rPr>
        <w:t>.</w:t>
      </w:r>
    </w:p>
    <w:p w14:paraId="4F02A2FB" w14:textId="77777777" w:rsidR="00B76F27" w:rsidRPr="00420FCE" w:rsidRDefault="00B76F27" w:rsidP="00420FCE">
      <w:pPr>
        <w:rPr>
          <w:i/>
          <w:lang w:val="en-GB"/>
        </w:rPr>
      </w:pPr>
    </w:p>
    <w:p w14:paraId="4639916E" w14:textId="77777777" w:rsidR="00C76012" w:rsidRPr="00AE6DBC" w:rsidRDefault="00C76012" w:rsidP="00AE6DBC">
      <w:pPr>
        <w:rPr>
          <w:lang w:val="en-GB"/>
        </w:rPr>
      </w:pPr>
    </w:p>
    <w:p w14:paraId="05DB3980" w14:textId="060DE961" w:rsidR="00C76012" w:rsidRDefault="00B31E61" w:rsidP="00B31E61">
      <w:pPr>
        <w:pStyle w:val="IEEEText"/>
        <w:numPr>
          <w:ilvl w:val="0"/>
          <w:numId w:val="24"/>
        </w:numPr>
        <w:rPr>
          <w:i/>
          <w:lang w:val="en-GB"/>
        </w:rPr>
      </w:pPr>
      <w:r>
        <w:rPr>
          <w:i/>
          <w:lang w:val="en-GB"/>
        </w:rPr>
        <w:t>To Summarise…</w:t>
      </w:r>
    </w:p>
    <w:p w14:paraId="29A9C5F4" w14:textId="592FF218" w:rsidR="00027134" w:rsidRDefault="00027134" w:rsidP="00864A6D">
      <w:pPr>
        <w:spacing w:line="360" w:lineRule="auto"/>
        <w:rPr>
          <w:i/>
          <w:lang w:val="en-GB"/>
        </w:rPr>
      </w:pPr>
    </w:p>
    <w:p w14:paraId="1F6760C2" w14:textId="4205D1BB" w:rsidR="00027134" w:rsidRDefault="00027134" w:rsidP="00CA712B">
      <w:pPr>
        <w:spacing w:line="360" w:lineRule="auto"/>
        <w:ind w:firstLine="360"/>
        <w:rPr>
          <w:lang w:val="en-GB"/>
        </w:rPr>
      </w:pPr>
      <w:r>
        <w:rPr>
          <w:lang w:val="en-GB"/>
        </w:rPr>
        <w:t xml:space="preserve">The use of GIS software is of considerable value beyond its native </w:t>
      </w:r>
      <w:r w:rsidR="007305D6">
        <w:rPr>
          <w:lang w:val="en-GB"/>
        </w:rPr>
        <w:t>physical landscape context when married with ‘real world’ data</w:t>
      </w:r>
      <w:r w:rsidR="007C211E">
        <w:rPr>
          <w:lang w:val="en-GB"/>
        </w:rPr>
        <w:t xml:space="preserve"> as can be shown in this case study</w:t>
      </w:r>
      <w:r w:rsidR="007305D6">
        <w:rPr>
          <w:lang w:val="en-GB"/>
        </w:rPr>
        <w:t>.</w:t>
      </w:r>
      <w:r w:rsidR="007C211E">
        <w:rPr>
          <w:lang w:val="en-GB"/>
        </w:rPr>
        <w:t xml:space="preserve"> The conclusions derived from this study would be much harder to generate </w:t>
      </w:r>
      <w:r w:rsidR="009551B1">
        <w:rPr>
          <w:lang w:val="en-GB"/>
        </w:rPr>
        <w:t xml:space="preserve">if the data was in a non-visual format. This process also brings in different data streams to build up a far more holistic view of the research problem; in this case being how to offer the best immunisation services. </w:t>
      </w:r>
    </w:p>
    <w:p w14:paraId="5D7411EE" w14:textId="07152A03" w:rsidR="007305D6" w:rsidRDefault="002532BD" w:rsidP="00864A6D">
      <w:pPr>
        <w:spacing w:line="360" w:lineRule="auto"/>
        <w:rPr>
          <w:lang w:val="en-GB"/>
        </w:rPr>
      </w:pPr>
      <w:r>
        <w:rPr>
          <w:lang w:val="en-GB"/>
        </w:rPr>
        <w:t xml:space="preserve">Though the value of such tools is evident in this scenario the </w:t>
      </w:r>
      <w:r w:rsidR="0021701D">
        <w:rPr>
          <w:lang w:val="en-GB"/>
        </w:rPr>
        <w:t xml:space="preserve">significance </w:t>
      </w:r>
      <w:r>
        <w:rPr>
          <w:lang w:val="en-GB"/>
        </w:rPr>
        <w:t xml:space="preserve">of </w:t>
      </w:r>
      <w:r w:rsidR="0021701D">
        <w:rPr>
          <w:lang w:val="en-GB"/>
        </w:rPr>
        <w:t>spatially-oriented w</w:t>
      </w:r>
      <w:r w:rsidR="007305D6">
        <w:rPr>
          <w:lang w:val="en-GB"/>
        </w:rPr>
        <w:t>ill only improve with further improvements to modelling and rendering</w:t>
      </w:r>
      <w:r w:rsidR="00136F10">
        <w:rPr>
          <w:lang w:val="en-GB"/>
        </w:rPr>
        <w:t>—both considerable topics of computer system development experienced today.</w:t>
      </w:r>
    </w:p>
    <w:p w14:paraId="35F859A7" w14:textId="409B7C56" w:rsidR="00D33FF8" w:rsidRPr="00027134" w:rsidRDefault="00136F10" w:rsidP="00181A16">
      <w:pPr>
        <w:spacing w:line="360" w:lineRule="auto"/>
        <w:rPr>
          <w:lang w:val="en-GB"/>
        </w:rPr>
      </w:pPr>
      <w:r>
        <w:rPr>
          <w:lang w:val="en-GB"/>
        </w:rPr>
        <w:t xml:space="preserve">In terms of the Meningitis </w:t>
      </w:r>
      <w:r w:rsidR="00F41C84">
        <w:rPr>
          <w:lang w:val="en-GB"/>
        </w:rPr>
        <w:t xml:space="preserve">disease in this case study location it is clear there are areas of concern thanks to </w:t>
      </w:r>
      <w:r w:rsidR="002956E6">
        <w:rPr>
          <w:lang w:val="en-GB"/>
        </w:rPr>
        <w:t>pockets of soci</w:t>
      </w:r>
      <w:r w:rsidR="001714D5">
        <w:rPr>
          <w:lang w:val="en-GB"/>
        </w:rPr>
        <w:t>o</w:t>
      </w:r>
      <w:r w:rsidR="002956E6">
        <w:rPr>
          <w:lang w:val="en-GB"/>
        </w:rPr>
        <w:t>-economic depravity in the region. These factors present opportunities through overcrowding (and the likelihood of contraction) and transport (</w:t>
      </w:r>
      <w:r w:rsidR="00974981">
        <w:rPr>
          <w:lang w:val="en-GB"/>
        </w:rPr>
        <w:t>inability to access services) as to how and why there is scope for a</w:t>
      </w:r>
      <w:r w:rsidR="001714D5">
        <w:rPr>
          <w:lang w:val="en-GB"/>
        </w:rPr>
        <w:t xml:space="preserve"> health</w:t>
      </w:r>
      <w:r w:rsidR="00974981">
        <w:rPr>
          <w:lang w:val="en-GB"/>
        </w:rPr>
        <w:t>-related</w:t>
      </w:r>
      <w:r w:rsidR="003A037B">
        <w:rPr>
          <w:lang w:val="en-GB"/>
        </w:rPr>
        <w:t xml:space="preserve"> crisis. Public Health Wales and local health boards, despite this risk are </w:t>
      </w:r>
      <w:r w:rsidR="00E15C4E">
        <w:rPr>
          <w:lang w:val="en-GB"/>
        </w:rPr>
        <w:t xml:space="preserve">clearly </w:t>
      </w:r>
      <w:r w:rsidR="003A037B">
        <w:rPr>
          <w:lang w:val="en-GB"/>
        </w:rPr>
        <w:t xml:space="preserve">marketing vaccines </w:t>
      </w:r>
      <w:r w:rsidR="00E15C4E">
        <w:rPr>
          <w:lang w:val="en-GB"/>
        </w:rPr>
        <w:t xml:space="preserve">well, with the exception of several key areas for improvement, across the region </w:t>
      </w:r>
      <w:r w:rsidR="00181A16">
        <w:rPr>
          <w:lang w:val="en-GB"/>
        </w:rPr>
        <w:t>ensuring the odds for outbreaks are as minimal as possible.</w:t>
      </w:r>
    </w:p>
    <w:p w14:paraId="5EBEE7DB" w14:textId="77777777" w:rsidR="00B31E61" w:rsidRPr="00B31E61" w:rsidRDefault="00B31E61" w:rsidP="00B31E61">
      <w:pPr>
        <w:pStyle w:val="IEEEText"/>
        <w:rPr>
          <w:lang w:val="en-GB"/>
        </w:rPr>
      </w:pPr>
    </w:p>
    <w:p w14:paraId="58307D38" w14:textId="77777777" w:rsidR="00C51EC1" w:rsidRPr="00157908" w:rsidRDefault="00C51EC1" w:rsidP="000C4574">
      <w:pPr>
        <w:pStyle w:val="IEEEHeading1"/>
        <w:rPr>
          <w:lang w:val="en-GB"/>
        </w:rPr>
      </w:pPr>
      <w:r w:rsidRPr="00157908">
        <w:rPr>
          <w:lang w:val="en-GB"/>
        </w:rPr>
        <w:t>References</w:t>
      </w:r>
      <w:r w:rsidR="000C4574" w:rsidRPr="00157908">
        <w:rPr>
          <w:lang w:val="en-GB"/>
        </w:rPr>
        <w:t xml:space="preserve"> and Cited Work(s)</w:t>
      </w:r>
    </w:p>
    <w:p w14:paraId="5740A04A" w14:textId="77777777" w:rsidR="000C4574" w:rsidRPr="00157908" w:rsidRDefault="000C4574" w:rsidP="00157908">
      <w:pPr>
        <w:pStyle w:val="IEEEHeading2"/>
        <w:ind w:left="0" w:firstLine="0"/>
        <w:rPr>
          <w:lang w:val="en-GB"/>
        </w:rPr>
      </w:pPr>
    </w:p>
    <w:p w14:paraId="759A82DE" w14:textId="19AA3443" w:rsidR="00CE58B5" w:rsidRPr="00CE58B5" w:rsidRDefault="000C4574" w:rsidP="00CE58B5">
      <w:pPr>
        <w:widowControl w:val="0"/>
        <w:autoSpaceDE w:val="0"/>
        <w:autoSpaceDN w:val="0"/>
        <w:adjustRightInd w:val="0"/>
        <w:spacing w:line="360" w:lineRule="auto"/>
        <w:ind w:left="640" w:hanging="640"/>
        <w:rPr>
          <w:noProof/>
        </w:rPr>
      </w:pPr>
      <w:r w:rsidRPr="00157908">
        <w:rPr>
          <w:lang w:val="en-GB"/>
        </w:rPr>
        <w:fldChar w:fldCharType="begin" w:fldLock="1"/>
      </w:r>
      <w:r w:rsidRPr="00157908">
        <w:rPr>
          <w:lang w:val="en-GB"/>
        </w:rPr>
        <w:instrText xml:space="preserve">ADDIN Mendeley Bibliography CSL_BIBLIOGRAPHY </w:instrText>
      </w:r>
      <w:r w:rsidRPr="00157908">
        <w:rPr>
          <w:lang w:val="en-GB"/>
        </w:rPr>
        <w:fldChar w:fldCharType="separate"/>
      </w:r>
      <w:r w:rsidR="00CE58B5" w:rsidRPr="00CE58B5">
        <w:rPr>
          <w:noProof/>
        </w:rPr>
        <w:t>[1]</w:t>
      </w:r>
      <w:r w:rsidR="00CE58B5" w:rsidRPr="00CE58B5">
        <w:rPr>
          <w:noProof/>
        </w:rPr>
        <w:tab/>
        <w:t xml:space="preserve">B. A. Graves, “Integrative literature review: a review of literature related to GIS, healthcare,” </w:t>
      </w:r>
      <w:r w:rsidR="00CE58B5" w:rsidRPr="00CE58B5">
        <w:rPr>
          <w:i/>
          <w:iCs/>
          <w:noProof/>
        </w:rPr>
        <w:t>Perspect. Health Inf. Manag.</w:t>
      </w:r>
      <w:r w:rsidR="00CE58B5" w:rsidRPr="00CE58B5">
        <w:rPr>
          <w:noProof/>
        </w:rPr>
        <w:t>, vol. 5, p. 11, 2008.</w:t>
      </w:r>
    </w:p>
    <w:p w14:paraId="439B6616"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[2]</w:t>
      </w:r>
      <w:r w:rsidRPr="00CE58B5">
        <w:rPr>
          <w:noProof/>
        </w:rPr>
        <w:tab/>
        <w:t xml:space="preserve">S. J. Carver, “Integrating multi-criteria evaluation with geographical information systems,” </w:t>
      </w:r>
      <w:r w:rsidRPr="00CE58B5">
        <w:rPr>
          <w:i/>
          <w:iCs/>
          <w:noProof/>
        </w:rPr>
        <w:t>Int. J. Geogr. Inf. Syst.</w:t>
      </w:r>
      <w:r w:rsidRPr="00CE58B5">
        <w:rPr>
          <w:noProof/>
        </w:rPr>
        <w:t>, vol. 5, no. 3, pp. 321–339, 1991.</w:t>
      </w:r>
    </w:p>
    <w:p w14:paraId="3BA83DB9"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[3]</w:t>
      </w:r>
      <w:r w:rsidRPr="00CE58B5">
        <w:rPr>
          <w:noProof/>
        </w:rPr>
        <w:tab/>
        <w:t xml:space="preserve">M. F. Goodchild, “Geographic information systems and science: Today and tomorrow,” </w:t>
      </w:r>
      <w:r w:rsidRPr="00CE58B5">
        <w:rPr>
          <w:i/>
          <w:iCs/>
          <w:noProof/>
        </w:rPr>
        <w:t>Procedia Earth Planet. Sci.</w:t>
      </w:r>
      <w:r w:rsidRPr="00CE58B5">
        <w:rPr>
          <w:noProof/>
        </w:rPr>
        <w:t>, no. 1, pp. 1037–1043, 2009.</w:t>
      </w:r>
    </w:p>
    <w:p w14:paraId="4054B2FB"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[4]</w:t>
      </w:r>
      <w:r w:rsidRPr="00CE58B5">
        <w:rPr>
          <w:noProof/>
        </w:rPr>
        <w:tab/>
        <w:t xml:space="preserve">R. Sieber, “Public participation geographic information systems: A literature review and framework,” </w:t>
      </w:r>
      <w:r w:rsidRPr="00CE58B5">
        <w:rPr>
          <w:i/>
          <w:iCs/>
          <w:noProof/>
        </w:rPr>
        <w:t>Ann. Assoc. Am. Geogr.</w:t>
      </w:r>
      <w:r w:rsidRPr="00CE58B5">
        <w:rPr>
          <w:noProof/>
        </w:rPr>
        <w:t>, vol. 96, no. 3, pp. 491–507, 2006.</w:t>
      </w:r>
    </w:p>
    <w:p w14:paraId="0C6319AF"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[5]</w:t>
      </w:r>
      <w:r w:rsidRPr="00CE58B5">
        <w:rPr>
          <w:noProof/>
        </w:rPr>
        <w:tab/>
        <w:t xml:space="preserve">M. . Goodchild, “Geographic Information Science,” </w:t>
      </w:r>
      <w:r w:rsidRPr="00CE58B5">
        <w:rPr>
          <w:i/>
          <w:iCs/>
          <w:noProof/>
        </w:rPr>
        <w:t>Int. J. Geogr. Inf. Syst.</w:t>
      </w:r>
      <w:r w:rsidRPr="00CE58B5">
        <w:rPr>
          <w:noProof/>
        </w:rPr>
        <w:t>, vol. 6, no. 1, pp. 31–45, 1992.</w:t>
      </w:r>
    </w:p>
    <w:p w14:paraId="50DD0186"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[6]</w:t>
      </w:r>
      <w:r w:rsidRPr="00CE58B5">
        <w:rPr>
          <w:noProof/>
        </w:rPr>
        <w:tab/>
        <w:t xml:space="preserve">N. Waters, “GIS: History,” in </w:t>
      </w:r>
      <w:r w:rsidRPr="00CE58B5">
        <w:rPr>
          <w:i/>
          <w:iCs/>
          <w:noProof/>
        </w:rPr>
        <w:t>International Encyclopedia of Geography: People, the Earth, Environment and Technology</w:t>
      </w:r>
      <w:r w:rsidRPr="00CE58B5">
        <w:rPr>
          <w:noProof/>
        </w:rPr>
        <w:t>, Hoboken, NJ: John Wiley &amp; Sons, Ltd., 2017, pp. 1–12.</w:t>
      </w:r>
    </w:p>
    <w:p w14:paraId="49905F4D"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[7]</w:t>
      </w:r>
      <w:r w:rsidRPr="00CE58B5">
        <w:rPr>
          <w:noProof/>
        </w:rPr>
        <w:tab/>
        <w:t xml:space="preserve">C. Steinetz, P. Parker, and L. Jordan, “Hand-Drawn Overlays: Their History and Prospective Uses,” </w:t>
      </w:r>
      <w:r w:rsidRPr="00CE58B5">
        <w:rPr>
          <w:i/>
          <w:iCs/>
          <w:noProof/>
        </w:rPr>
        <w:t>Lanscape Archit.</w:t>
      </w:r>
      <w:r w:rsidRPr="00CE58B5">
        <w:rPr>
          <w:noProof/>
        </w:rPr>
        <w:t>, vol. 66, no. 5, pp. 444–455, 1976.</w:t>
      </w:r>
    </w:p>
    <w:p w14:paraId="42A4DCD9"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[8]</w:t>
      </w:r>
      <w:r w:rsidRPr="00CE58B5">
        <w:rPr>
          <w:noProof/>
        </w:rPr>
        <w:tab/>
        <w:t xml:space="preserve">N. Waters, “Geographic Information Systems,” </w:t>
      </w:r>
      <w:r w:rsidRPr="00CE58B5">
        <w:rPr>
          <w:i/>
          <w:iCs/>
          <w:noProof/>
        </w:rPr>
        <w:t>Encycl. Libr. Inf. Sci.</w:t>
      </w:r>
      <w:r w:rsidRPr="00CE58B5">
        <w:rPr>
          <w:noProof/>
        </w:rPr>
        <w:t>, vol. 63, pp. 98–125, 1998.</w:t>
      </w:r>
    </w:p>
    <w:p w14:paraId="49B93C6F"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[9]</w:t>
      </w:r>
      <w:r w:rsidRPr="00CE58B5">
        <w:rPr>
          <w:noProof/>
        </w:rPr>
        <w:tab/>
        <w:t xml:space="preserve">A. M. Maceachren and M. J. Kraak, “Exploratory cartographic visualization advancing the agenda,” </w:t>
      </w:r>
      <w:r w:rsidRPr="00CE58B5">
        <w:rPr>
          <w:i/>
          <w:iCs/>
          <w:noProof/>
        </w:rPr>
        <w:t>Comput. Geosci.</w:t>
      </w:r>
      <w:r w:rsidRPr="00CE58B5">
        <w:rPr>
          <w:noProof/>
        </w:rPr>
        <w:t>, vol. 23, no. 4, pp. 335–343, 1997.</w:t>
      </w:r>
    </w:p>
    <w:p w14:paraId="625052BA"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[10]</w:t>
      </w:r>
      <w:r w:rsidRPr="00CE58B5">
        <w:rPr>
          <w:noProof/>
        </w:rPr>
        <w:tab/>
        <w:t xml:space="preserve">J. Dykes, “CARTOGRAPHIC VISUALIZATION FOR SPATIAL ANALYSIS,” </w:t>
      </w:r>
      <w:r w:rsidRPr="00CE58B5">
        <w:rPr>
          <w:i/>
          <w:iCs/>
          <w:noProof/>
        </w:rPr>
        <w:t>Proc. Int. Cartogr. Conf.</w:t>
      </w:r>
      <w:r w:rsidRPr="00CE58B5">
        <w:rPr>
          <w:noProof/>
        </w:rPr>
        <w:t>, pp. 1365–1370, 1995.</w:t>
      </w:r>
    </w:p>
    <w:p w14:paraId="3E8292B2"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[11]</w:t>
      </w:r>
      <w:r w:rsidRPr="00CE58B5">
        <w:rPr>
          <w:noProof/>
        </w:rPr>
        <w:tab/>
        <w:t>M. M. Fischer and H. J. Scholten, “Geographic Information Systems, Spacial Data Analysis and Spaicla Modelling: Problems and Possibilities,” University of Economics and Business Administration, Vienna, 1994.</w:t>
      </w:r>
    </w:p>
    <w:p w14:paraId="32428A6F"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[12]</w:t>
      </w:r>
      <w:r w:rsidRPr="00CE58B5">
        <w:rPr>
          <w:noProof/>
        </w:rPr>
        <w:tab/>
        <w:t xml:space="preserve">L. Anselin and A. Getis, “Spacial Statistical Analysis and Georgraphical Information Systems,” in </w:t>
      </w:r>
      <w:r w:rsidRPr="00CE58B5">
        <w:rPr>
          <w:i/>
          <w:iCs/>
          <w:noProof/>
        </w:rPr>
        <w:t>Geographic Information Systems, Spacial Modelling and Policy Evaluation</w:t>
      </w:r>
      <w:r w:rsidRPr="00CE58B5">
        <w:rPr>
          <w:noProof/>
        </w:rPr>
        <w:t>, Berlin et. al: Springer-Verlag, 1992, pp. 35–49.</w:t>
      </w:r>
    </w:p>
    <w:p w14:paraId="3DC5A103"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[13]</w:t>
      </w:r>
      <w:r w:rsidRPr="00CE58B5">
        <w:rPr>
          <w:noProof/>
        </w:rPr>
        <w:tab/>
        <w:t xml:space="preserve">C. I. J. Nykiforuk and L. M. Flaman, “Geographic Information Systems (GIS) for Health Promotion and Public Health: A Review,” </w:t>
      </w:r>
      <w:r w:rsidRPr="00CE58B5">
        <w:rPr>
          <w:i/>
          <w:iCs/>
          <w:noProof/>
        </w:rPr>
        <w:t>Health Promot. Pract.</w:t>
      </w:r>
      <w:r w:rsidRPr="00CE58B5">
        <w:rPr>
          <w:noProof/>
        </w:rPr>
        <w:t>, vol. 12, no. 1, pp. 63–73, 2011.</w:t>
      </w:r>
    </w:p>
    <w:p w14:paraId="61BEBE03"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[14]</w:t>
      </w:r>
      <w:r w:rsidRPr="00CE58B5">
        <w:rPr>
          <w:noProof/>
        </w:rPr>
        <w:tab/>
        <w:t xml:space="preserve">C. Barcellos and P. C. Sabroza, “Socio-environmental determinants of the leptospirosis outbreak of 1996 in western Rio de Janeiro: A geographical approach,” </w:t>
      </w:r>
      <w:r w:rsidRPr="00CE58B5">
        <w:rPr>
          <w:i/>
          <w:iCs/>
          <w:noProof/>
        </w:rPr>
        <w:t>Int. J. Environ. Health Res.</w:t>
      </w:r>
      <w:r w:rsidRPr="00CE58B5">
        <w:rPr>
          <w:noProof/>
        </w:rPr>
        <w:t>, vol. 10, no. 4, pp. 301–313, 2000.</w:t>
      </w:r>
    </w:p>
    <w:p w14:paraId="6D8C75B1"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[15]</w:t>
      </w:r>
      <w:r w:rsidRPr="00CE58B5">
        <w:rPr>
          <w:noProof/>
        </w:rPr>
        <w:tab/>
        <w:t xml:space="preserve">Abertawe Bro Morgannwg University Health Board, “Abertawe Bro Morgannwg University Health Board,” </w:t>
      </w:r>
      <w:r w:rsidRPr="00CE58B5">
        <w:rPr>
          <w:i/>
          <w:iCs/>
          <w:noProof/>
        </w:rPr>
        <w:t>About Us</w:t>
      </w:r>
      <w:r w:rsidRPr="00CE58B5">
        <w:rPr>
          <w:noProof/>
        </w:rPr>
        <w:t>, 2019. [Online]. Available: http://www.wales.nhs.uk/sitesplus/863/page/41169. [Accessed: 19-Jan-2019].</w:t>
      </w:r>
    </w:p>
    <w:p w14:paraId="408C0A20"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[16]</w:t>
      </w:r>
      <w:r w:rsidRPr="00CE58B5">
        <w:rPr>
          <w:noProof/>
        </w:rPr>
        <w:tab/>
        <w:t xml:space="preserve">E. K. Cromley and S. L. McLafferty, </w:t>
      </w:r>
      <w:r w:rsidRPr="00CE58B5">
        <w:rPr>
          <w:i/>
          <w:iCs/>
          <w:noProof/>
        </w:rPr>
        <w:t>GIS and Public Health</w:t>
      </w:r>
      <w:r w:rsidRPr="00CE58B5">
        <w:rPr>
          <w:noProof/>
        </w:rPr>
        <w:t>, 2nd ed. New York (NY): Guilford Publications, 2012.</w:t>
      </w:r>
    </w:p>
    <w:p w14:paraId="576D4D28"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[17]</w:t>
      </w:r>
      <w:r w:rsidRPr="00CE58B5">
        <w:rPr>
          <w:noProof/>
        </w:rPr>
        <w:tab/>
        <w:t xml:space="preserve">UK Data Service, “Census Boundary Data,” </w:t>
      </w:r>
      <w:r w:rsidRPr="00CE58B5">
        <w:rPr>
          <w:i/>
          <w:iCs/>
          <w:noProof/>
        </w:rPr>
        <w:t>Census Support</w:t>
      </w:r>
      <w:r w:rsidRPr="00CE58B5">
        <w:rPr>
          <w:noProof/>
        </w:rPr>
        <w:t>, 2019. [Online]. Available: https://census.ukdataservice.ac.uk/use-data/guides/boundary-data. [Accessed: 25-Jan-2019].</w:t>
      </w:r>
    </w:p>
    <w:p w14:paraId="1735E814"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[18]</w:t>
      </w:r>
      <w:r w:rsidRPr="00CE58B5">
        <w:rPr>
          <w:noProof/>
        </w:rPr>
        <w:tab/>
        <w:t xml:space="preserve">B. Wright, “Swansea measles outbreak: Confirmed cases rise to nearly 700,” </w:t>
      </w:r>
      <w:r w:rsidRPr="00CE58B5">
        <w:rPr>
          <w:i/>
          <w:iCs/>
          <w:noProof/>
        </w:rPr>
        <w:t>Independent</w:t>
      </w:r>
      <w:r w:rsidRPr="00CE58B5">
        <w:rPr>
          <w:noProof/>
        </w:rPr>
        <w:t>, 2013. [Online]. Available: https://www.independent.co.uk/news/uk/home-news/swansea-measles-outbreak-confirmed-cases-rise-to-nearly-700-8568896.html. [Accessed: 25-Jan-2019].</w:t>
      </w:r>
    </w:p>
    <w:p w14:paraId="0A14F400"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[19]</w:t>
      </w:r>
      <w:r w:rsidRPr="00CE58B5">
        <w:rPr>
          <w:noProof/>
        </w:rPr>
        <w:tab/>
        <w:t>Abertawe Bro Morgannwg University Health Board, Powys Health Board, Hywel Dda Health Board, and Public Health Wales, “Outbreak of Measles in Wales: Nov 2012-July 2013,” 2013.</w:t>
      </w:r>
    </w:p>
    <w:p w14:paraId="60E16855"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[20]</w:t>
      </w:r>
      <w:r w:rsidRPr="00CE58B5">
        <w:rPr>
          <w:noProof/>
        </w:rPr>
        <w:tab/>
        <w:t xml:space="preserve">Public Health Wales Lechyd Cyhoeddus Cymru, “Public Health Wales - Meningitis,” </w:t>
      </w:r>
      <w:r w:rsidRPr="00CE58B5">
        <w:rPr>
          <w:i/>
          <w:iCs/>
          <w:noProof/>
        </w:rPr>
        <w:t>Meningitis</w:t>
      </w:r>
      <w:r w:rsidRPr="00CE58B5">
        <w:rPr>
          <w:noProof/>
        </w:rPr>
        <w:t>, 2016. [Online]. Available: http://www.wales.nhs.uk/sitesplus/888/page/43792. [Accessed: 24-Jan-2019].</w:t>
      </w:r>
    </w:p>
    <w:p w14:paraId="426C77E5"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[21]</w:t>
      </w:r>
      <w:r w:rsidRPr="00CE58B5">
        <w:rPr>
          <w:noProof/>
        </w:rPr>
        <w:tab/>
        <w:t>A. Gartner and N. Lester, “Briefing paper on LSOA Townsend deprivation scores calculated from unadjusted Census data,” 2008.</w:t>
      </w:r>
    </w:p>
    <w:p w14:paraId="56405F10"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[22]</w:t>
      </w:r>
      <w:r w:rsidRPr="00CE58B5">
        <w:rPr>
          <w:noProof/>
        </w:rPr>
        <w:tab/>
        <w:t xml:space="preserve">S. Yousaf and A. Bonsall, “UK Townsend Deprivation Scores from 2011 census data,” </w:t>
      </w:r>
      <w:r w:rsidRPr="00CE58B5">
        <w:rPr>
          <w:i/>
          <w:iCs/>
          <w:noProof/>
        </w:rPr>
        <w:t>UK Data Serv. Econ. Soc. Res. Counc.</w:t>
      </w:r>
      <w:r w:rsidRPr="00CE58B5">
        <w:rPr>
          <w:noProof/>
        </w:rPr>
        <w:t>, no. March 2017, 2017.</w:t>
      </w:r>
    </w:p>
    <w:p w14:paraId="7E8BBE9A"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[23]</w:t>
      </w:r>
      <w:r w:rsidRPr="00CE58B5">
        <w:rPr>
          <w:noProof/>
        </w:rPr>
        <w:tab/>
        <w:t xml:space="preserve">P. Townsend, P. Phillimore, and A. Beattie, </w:t>
      </w:r>
      <w:r w:rsidRPr="00CE58B5">
        <w:rPr>
          <w:i/>
          <w:iCs/>
          <w:noProof/>
        </w:rPr>
        <w:t>Health and deprivation: inequalities and the north</w:t>
      </w:r>
      <w:r w:rsidRPr="00CE58B5">
        <w:rPr>
          <w:noProof/>
        </w:rPr>
        <w:t>. Beckenham, Kent: Croome Helm, 1988.</w:t>
      </w:r>
    </w:p>
    <w:p w14:paraId="521C1953"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[24]</w:t>
      </w:r>
      <w:r w:rsidRPr="00CE58B5">
        <w:rPr>
          <w:noProof/>
        </w:rPr>
        <w:tab/>
        <w:t>Welsh Government: Knowledge and Analytical Services Directorate, “Briefing Note Welsh Index of Multiple Deprivation (WIMD) 2014,” City and Council of Swansea, 2014.</w:t>
      </w:r>
    </w:p>
    <w:p w14:paraId="1B0456E7"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[25]</w:t>
      </w:r>
      <w:r w:rsidRPr="00CE58B5">
        <w:rPr>
          <w:noProof/>
        </w:rPr>
        <w:tab/>
        <w:t xml:space="preserve">Swansea University Prifysgol Abertawe, “New animation released to encourage freshers to get meningitis vaccine ahead of new university term,” </w:t>
      </w:r>
      <w:r w:rsidRPr="00CE58B5">
        <w:rPr>
          <w:i/>
          <w:iCs/>
          <w:noProof/>
        </w:rPr>
        <w:t>News Archive</w:t>
      </w:r>
      <w:r w:rsidRPr="00CE58B5">
        <w:rPr>
          <w:noProof/>
        </w:rPr>
        <w:t>, 2018. [Online]. Available: https://www.swansea.ac.uk/press-office/news-archive/2018/newanimationreleasedtoencouragefresherstogetmeningitisvaccineaheadofnewuniversityterm.php. [Accessed: 24-Jan-2019].</w:t>
      </w:r>
    </w:p>
    <w:p w14:paraId="108695EA" w14:textId="77777777" w:rsidR="00CE58B5" w:rsidRPr="00CE58B5" w:rsidRDefault="00CE58B5" w:rsidP="00CE58B5">
      <w:pPr>
        <w:widowControl w:val="0"/>
        <w:autoSpaceDE w:val="0"/>
        <w:autoSpaceDN w:val="0"/>
        <w:adjustRightInd w:val="0"/>
        <w:spacing w:line="360" w:lineRule="auto"/>
        <w:ind w:left="640" w:hanging="640"/>
        <w:rPr>
          <w:noProof/>
        </w:rPr>
      </w:pPr>
      <w:r w:rsidRPr="00CE58B5">
        <w:rPr>
          <w:noProof/>
        </w:rPr>
        <w:t>[26]</w:t>
      </w:r>
      <w:r w:rsidRPr="00CE58B5">
        <w:rPr>
          <w:noProof/>
        </w:rPr>
        <w:tab/>
        <w:t xml:space="preserve">Centres for Disease Control and Prevention (CDC), “Meningitis,” </w:t>
      </w:r>
      <w:r w:rsidRPr="00CE58B5">
        <w:rPr>
          <w:i/>
          <w:iCs/>
          <w:noProof/>
        </w:rPr>
        <w:t>National Centre for Immunisation and Respiratiory Disease</w:t>
      </w:r>
      <w:r w:rsidRPr="00CE58B5">
        <w:rPr>
          <w:noProof/>
        </w:rPr>
        <w:t>, 2019. [Online]. Available: https://www.cdc.gov/meningitis/index.html. [Accessed: 25-Jan-2019].</w:t>
      </w:r>
    </w:p>
    <w:p w14:paraId="18C875D6" w14:textId="24237F59" w:rsidR="000C4574" w:rsidRPr="00157908" w:rsidRDefault="000C4574" w:rsidP="00CE58B5">
      <w:pPr>
        <w:widowControl w:val="0"/>
        <w:autoSpaceDE w:val="0"/>
        <w:autoSpaceDN w:val="0"/>
        <w:adjustRightInd w:val="0"/>
        <w:spacing w:line="360" w:lineRule="auto"/>
        <w:ind w:left="640" w:hanging="640"/>
        <w:rPr>
          <w:lang w:val="en-GB"/>
        </w:rPr>
      </w:pPr>
      <w:r w:rsidRPr="00157908">
        <w:rPr>
          <w:lang w:val="en-GB"/>
        </w:rPr>
        <w:fldChar w:fldCharType="end"/>
      </w:r>
    </w:p>
    <w:p w14:paraId="5D5D64DD" w14:textId="77777777" w:rsidR="00C51EC1" w:rsidRPr="00157908" w:rsidRDefault="00C51EC1">
      <w:pPr>
        <w:spacing w:line="180" w:lineRule="exact"/>
        <w:ind w:left="360" w:hanging="360"/>
        <w:jc w:val="both"/>
        <w:rPr>
          <w:lang w:val="en-GB"/>
        </w:rPr>
      </w:pPr>
      <w:bookmarkStart w:id="4" w:name="references"/>
      <w:bookmarkEnd w:id="4"/>
    </w:p>
    <w:sectPr w:rsidR="00C51EC1" w:rsidRPr="00157908" w:rsidSect="00781527">
      <w:pgSz w:w="12240" w:h="15840" w:code="1"/>
      <w:pgMar w:top="1440" w:right="1440" w:bottom="1440" w:left="1440" w:header="960" w:footer="960" w:gutter="0"/>
      <w:cols w:space="245"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3B1C9" w14:textId="77777777" w:rsidR="00583FB2" w:rsidRDefault="00583FB2">
      <w:r>
        <w:separator/>
      </w:r>
    </w:p>
  </w:endnote>
  <w:endnote w:type="continuationSeparator" w:id="0">
    <w:p w14:paraId="71C202FF" w14:textId="77777777" w:rsidR="00583FB2" w:rsidRDefault="00583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w:altName w:val="Times New Roman"/>
    <w:panose1 w:val="020B0604020202020204"/>
    <w:charset w:val="4D"/>
    <w:family w:val="roman"/>
    <w:notTrueType/>
    <w:pitch w:val="default"/>
    <w:sig w:usb0="84A67A8C" w:usb1="1E248F85" w:usb2="38B00E00" w:usb3="00404000" w:csb0="C0FAFFB7" w:csb1="E803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C8C77" w14:textId="77777777" w:rsidR="00C51EC1" w:rsidRDefault="00C51E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BD57365" w14:textId="77777777" w:rsidR="00C51EC1" w:rsidRDefault="00C51EC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3AB43D" w14:textId="77777777" w:rsidR="00583FB2" w:rsidRDefault="00583FB2">
      <w:r>
        <w:separator/>
      </w:r>
    </w:p>
  </w:footnote>
  <w:footnote w:type="continuationSeparator" w:id="0">
    <w:p w14:paraId="4348F9B2" w14:textId="77777777" w:rsidR="00583FB2" w:rsidRDefault="00583F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F3076"/>
    <w:multiLevelType w:val="hybridMultilevel"/>
    <w:tmpl w:val="4E185C18"/>
    <w:lvl w:ilvl="0" w:tplc="1D2EE2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686AD4"/>
    <w:multiLevelType w:val="hybridMultilevel"/>
    <w:tmpl w:val="A9EE9842"/>
    <w:lvl w:ilvl="0" w:tplc="9C9484F8">
      <w:start w:val="1"/>
      <w:numFmt w:val="upperRoman"/>
      <w:lvlText w:val="%1."/>
      <w:lvlJc w:val="left"/>
      <w:pPr>
        <w:ind w:left="1080" w:hanging="72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C0579E"/>
    <w:multiLevelType w:val="singleLevel"/>
    <w:tmpl w:val="1108DF58"/>
    <w:lvl w:ilvl="0">
      <w:start w:val="1"/>
      <w:numFmt w:val="upperLetter"/>
      <w:pStyle w:val="Heading2"/>
      <w:lvlText w:val="%1."/>
      <w:lvlJc w:val="left"/>
      <w:pPr>
        <w:tabs>
          <w:tab w:val="num" w:pos="360"/>
        </w:tabs>
        <w:ind w:left="360" w:hanging="360"/>
      </w:pPr>
      <w:rPr>
        <w:rFonts w:hint="default"/>
      </w:rPr>
    </w:lvl>
  </w:abstractNum>
  <w:abstractNum w:abstractNumId="3" w15:restartNumberingAfterBreak="0">
    <w:nsid w:val="0F363FF9"/>
    <w:multiLevelType w:val="singleLevel"/>
    <w:tmpl w:val="0FF8EA2A"/>
    <w:lvl w:ilvl="0">
      <w:start w:val="6"/>
      <w:numFmt w:val="decimal"/>
      <w:lvlText w:val="%1"/>
      <w:lvlJc w:val="left"/>
      <w:pPr>
        <w:tabs>
          <w:tab w:val="num" w:pos="720"/>
        </w:tabs>
        <w:ind w:left="720" w:hanging="360"/>
      </w:pPr>
      <w:rPr>
        <w:rFonts w:hint="default"/>
      </w:rPr>
    </w:lvl>
  </w:abstractNum>
  <w:abstractNum w:abstractNumId="4" w15:restartNumberingAfterBreak="0">
    <w:nsid w:val="0FAE312E"/>
    <w:multiLevelType w:val="singleLevel"/>
    <w:tmpl w:val="04090011"/>
    <w:lvl w:ilvl="0">
      <w:start w:val="1"/>
      <w:numFmt w:val="decimal"/>
      <w:lvlText w:val="%1)"/>
      <w:lvlJc w:val="left"/>
      <w:pPr>
        <w:tabs>
          <w:tab w:val="num" w:pos="360"/>
        </w:tabs>
        <w:ind w:left="360" w:hanging="360"/>
      </w:pPr>
      <w:rPr>
        <w:rFonts w:hint="default"/>
      </w:rPr>
    </w:lvl>
  </w:abstractNum>
  <w:abstractNum w:abstractNumId="5" w15:restartNumberingAfterBreak="0">
    <w:nsid w:val="15AE5E83"/>
    <w:multiLevelType w:val="hybridMultilevel"/>
    <w:tmpl w:val="4E185C18"/>
    <w:lvl w:ilvl="0" w:tplc="1D2EE2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A65480"/>
    <w:multiLevelType w:val="singleLevel"/>
    <w:tmpl w:val="C9AC7FE8"/>
    <w:lvl w:ilvl="0">
      <w:start w:val="1"/>
      <w:numFmt w:val="upperRoman"/>
      <w:pStyle w:val="sectionhead1"/>
      <w:lvlText w:val="%1."/>
      <w:lvlJc w:val="left"/>
      <w:pPr>
        <w:tabs>
          <w:tab w:val="num" w:pos="720"/>
        </w:tabs>
        <w:ind w:left="720" w:hanging="720"/>
      </w:pPr>
      <w:rPr>
        <w:rFonts w:hint="default"/>
      </w:rPr>
    </w:lvl>
  </w:abstractNum>
  <w:abstractNum w:abstractNumId="7" w15:restartNumberingAfterBreak="0">
    <w:nsid w:val="33045FD9"/>
    <w:multiLevelType w:val="hybridMultilevel"/>
    <w:tmpl w:val="C02CD6D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E54FC6"/>
    <w:multiLevelType w:val="singleLevel"/>
    <w:tmpl w:val="5B7288D4"/>
    <w:lvl w:ilvl="0">
      <w:start w:val="14"/>
      <w:numFmt w:val="decimal"/>
      <w:lvlText w:val="%1"/>
      <w:lvlJc w:val="left"/>
      <w:pPr>
        <w:tabs>
          <w:tab w:val="num" w:pos="720"/>
        </w:tabs>
        <w:ind w:left="720" w:hanging="360"/>
      </w:pPr>
      <w:rPr>
        <w:rFonts w:hint="default"/>
      </w:rPr>
    </w:lvl>
  </w:abstractNum>
  <w:abstractNum w:abstractNumId="10" w15:restartNumberingAfterBreak="0">
    <w:nsid w:val="3F740852"/>
    <w:multiLevelType w:val="singleLevel"/>
    <w:tmpl w:val="ACD60538"/>
    <w:lvl w:ilvl="0">
      <w:numFmt w:val="bullet"/>
      <w:lvlText w:val=""/>
      <w:lvlJc w:val="left"/>
      <w:pPr>
        <w:tabs>
          <w:tab w:val="num" w:pos="480"/>
        </w:tabs>
        <w:ind w:left="480" w:hanging="360"/>
      </w:pPr>
      <w:rPr>
        <w:rFonts w:ascii="Wingdings" w:hAnsi="Wingdings" w:hint="default"/>
      </w:rPr>
    </w:lvl>
  </w:abstractNum>
  <w:abstractNum w:abstractNumId="11" w15:restartNumberingAfterBreak="0">
    <w:nsid w:val="3FE90205"/>
    <w:multiLevelType w:val="hybridMultilevel"/>
    <w:tmpl w:val="4E185C18"/>
    <w:lvl w:ilvl="0" w:tplc="1D2EE2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A1FDB"/>
    <w:multiLevelType w:val="singleLevel"/>
    <w:tmpl w:val="1118483C"/>
    <w:lvl w:ilvl="0">
      <w:numFmt w:val="bullet"/>
      <w:lvlText w:val=""/>
      <w:lvlJc w:val="left"/>
      <w:pPr>
        <w:tabs>
          <w:tab w:val="num" w:pos="480"/>
        </w:tabs>
        <w:ind w:left="480" w:hanging="360"/>
      </w:pPr>
      <w:rPr>
        <w:rFonts w:ascii="Wingdings" w:hAnsi="Wingdings" w:hint="default"/>
      </w:rPr>
    </w:lvl>
  </w:abstractNum>
  <w:abstractNum w:abstractNumId="13" w15:restartNumberingAfterBreak="0">
    <w:nsid w:val="46283231"/>
    <w:multiLevelType w:val="singleLevel"/>
    <w:tmpl w:val="8906437A"/>
    <w:lvl w:ilvl="0">
      <w:start w:val="1"/>
      <w:numFmt w:val="upperLetter"/>
      <w:lvlText w:val="%1."/>
      <w:lvlJc w:val="left"/>
      <w:pPr>
        <w:tabs>
          <w:tab w:val="num" w:pos="360"/>
        </w:tabs>
        <w:ind w:left="360" w:hanging="360"/>
      </w:pPr>
      <w:rPr>
        <w:rFonts w:hint="default"/>
      </w:rPr>
    </w:lvl>
  </w:abstractNum>
  <w:abstractNum w:abstractNumId="14" w15:restartNumberingAfterBreak="0">
    <w:nsid w:val="48383E16"/>
    <w:multiLevelType w:val="hybridMultilevel"/>
    <w:tmpl w:val="4B9E5D2A"/>
    <w:lvl w:ilvl="0" w:tplc="1E1EC81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DB7DD9"/>
    <w:multiLevelType w:val="hybridMultilevel"/>
    <w:tmpl w:val="4E185C18"/>
    <w:lvl w:ilvl="0" w:tplc="1D2EE2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8E4143"/>
    <w:multiLevelType w:val="hybridMultilevel"/>
    <w:tmpl w:val="0940227A"/>
    <w:lvl w:ilvl="0" w:tplc="077EB35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3D3FB1"/>
    <w:multiLevelType w:val="hybridMultilevel"/>
    <w:tmpl w:val="4FA60CE2"/>
    <w:lvl w:ilvl="0" w:tplc="9D401EA6">
      <w:start w:val="5"/>
      <w:numFmt w:val="bullet"/>
      <w:lvlText w:val="-"/>
      <w:lvlJc w:val="left"/>
      <w:pPr>
        <w:ind w:left="648" w:hanging="360"/>
      </w:pPr>
      <w:rPr>
        <w:rFonts w:ascii="Times New Roman" w:eastAsia="Times New Roman" w:hAnsi="Times New Roman" w:cs="Times New Roman"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18" w15:restartNumberingAfterBreak="0">
    <w:nsid w:val="69FE0031"/>
    <w:multiLevelType w:val="singleLevel"/>
    <w:tmpl w:val="F41C7AE8"/>
    <w:lvl w:ilvl="0">
      <w:start w:val="8"/>
      <w:numFmt w:val="decimal"/>
      <w:lvlText w:val="%1"/>
      <w:lvlJc w:val="left"/>
      <w:pPr>
        <w:tabs>
          <w:tab w:val="num" w:pos="720"/>
        </w:tabs>
        <w:ind w:left="720" w:hanging="360"/>
      </w:pPr>
      <w:rPr>
        <w:rFonts w:hint="default"/>
      </w:rPr>
    </w:lvl>
  </w:abstractNum>
  <w:abstractNum w:abstractNumId="19" w15:restartNumberingAfterBreak="0">
    <w:nsid w:val="6E841FAC"/>
    <w:multiLevelType w:val="hybridMultilevel"/>
    <w:tmpl w:val="C0BA4BCA"/>
    <w:lvl w:ilvl="0" w:tplc="2098B6FE">
      <w:start w:val="2"/>
      <w:numFmt w:val="bullet"/>
      <w:lvlText w:val="-"/>
      <w:lvlJc w:val="left"/>
      <w:pPr>
        <w:ind w:left="720" w:hanging="360"/>
      </w:pPr>
      <w:rPr>
        <w:rFonts w:ascii="Times New Roman" w:eastAsia="SimSu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E5722D4"/>
    <w:multiLevelType w:val="hybridMultilevel"/>
    <w:tmpl w:val="CD606B9A"/>
    <w:lvl w:ilvl="0" w:tplc="3F226A9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3"/>
  </w:num>
  <w:num w:numId="5">
    <w:abstractNumId w:val="18"/>
  </w:num>
  <w:num w:numId="6">
    <w:abstractNumId w:val="9"/>
  </w:num>
  <w:num w:numId="7">
    <w:abstractNumId w:val="2"/>
  </w:num>
  <w:num w:numId="8">
    <w:abstractNumId w:val="6"/>
    <w:lvlOverride w:ilvl="0">
      <w:startOverride w:val="3"/>
    </w:lvlOverride>
  </w:num>
  <w:num w:numId="9">
    <w:abstractNumId w:val="12"/>
  </w:num>
  <w:num w:numId="10">
    <w:abstractNumId w:val="10"/>
  </w:num>
  <w:num w:numId="11">
    <w:abstractNumId w:val="2"/>
  </w:num>
  <w:num w:numId="12">
    <w:abstractNumId w:val="2"/>
    <w:lvlOverride w:ilvl="0">
      <w:startOverride w:val="1"/>
    </w:lvlOverride>
  </w:num>
  <w:num w:numId="13">
    <w:abstractNumId w:val="1"/>
  </w:num>
  <w:num w:numId="14">
    <w:abstractNumId w:val="8"/>
  </w:num>
  <w:num w:numId="15">
    <w:abstractNumId w:val="20"/>
  </w:num>
  <w:num w:numId="16">
    <w:abstractNumId w:val="16"/>
  </w:num>
  <w:num w:numId="17">
    <w:abstractNumId w:val="19"/>
  </w:num>
  <w:num w:numId="18">
    <w:abstractNumId w:val="11"/>
  </w:num>
  <w:num w:numId="19">
    <w:abstractNumId w:val="15"/>
  </w:num>
  <w:num w:numId="20">
    <w:abstractNumId w:val="5"/>
  </w:num>
  <w:num w:numId="21">
    <w:abstractNumId w:val="0"/>
  </w:num>
  <w:num w:numId="22">
    <w:abstractNumId w:val="17"/>
  </w:num>
  <w:num w:numId="23">
    <w:abstractNumId w:val="7"/>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574"/>
    <w:rsid w:val="00013133"/>
    <w:rsid w:val="0002606B"/>
    <w:rsid w:val="00027134"/>
    <w:rsid w:val="00027FB0"/>
    <w:rsid w:val="00035B4F"/>
    <w:rsid w:val="000401C6"/>
    <w:rsid w:val="00043698"/>
    <w:rsid w:val="00050133"/>
    <w:rsid w:val="00066EF3"/>
    <w:rsid w:val="00074636"/>
    <w:rsid w:val="000842EA"/>
    <w:rsid w:val="000A08BB"/>
    <w:rsid w:val="000A6CB1"/>
    <w:rsid w:val="000A7D74"/>
    <w:rsid w:val="000B7F0A"/>
    <w:rsid w:val="000C1F3E"/>
    <w:rsid w:val="000C3A9E"/>
    <w:rsid w:val="000C4574"/>
    <w:rsid w:val="000D19C5"/>
    <w:rsid w:val="000E4AF7"/>
    <w:rsid w:val="000F0A8B"/>
    <w:rsid w:val="000F0C62"/>
    <w:rsid w:val="00103166"/>
    <w:rsid w:val="00110321"/>
    <w:rsid w:val="00113E4C"/>
    <w:rsid w:val="001148AC"/>
    <w:rsid w:val="0011550E"/>
    <w:rsid w:val="001261B0"/>
    <w:rsid w:val="00131B93"/>
    <w:rsid w:val="00134284"/>
    <w:rsid w:val="00136F10"/>
    <w:rsid w:val="00137386"/>
    <w:rsid w:val="0014058A"/>
    <w:rsid w:val="00157908"/>
    <w:rsid w:val="001714D5"/>
    <w:rsid w:val="0017561F"/>
    <w:rsid w:val="0018184C"/>
    <w:rsid w:val="00181A16"/>
    <w:rsid w:val="001824BC"/>
    <w:rsid w:val="00191B9E"/>
    <w:rsid w:val="001972CC"/>
    <w:rsid w:val="00197EB7"/>
    <w:rsid w:val="001A17DA"/>
    <w:rsid w:val="001A4C60"/>
    <w:rsid w:val="001A64A1"/>
    <w:rsid w:val="001B54EA"/>
    <w:rsid w:val="001C6204"/>
    <w:rsid w:val="001C7F2A"/>
    <w:rsid w:val="001E134A"/>
    <w:rsid w:val="001E2E19"/>
    <w:rsid w:val="001E75AA"/>
    <w:rsid w:val="001E79E3"/>
    <w:rsid w:val="001F1413"/>
    <w:rsid w:val="001F2A20"/>
    <w:rsid w:val="001F5669"/>
    <w:rsid w:val="0021701D"/>
    <w:rsid w:val="00220615"/>
    <w:rsid w:val="00222A82"/>
    <w:rsid w:val="00231274"/>
    <w:rsid w:val="00236590"/>
    <w:rsid w:val="002459AF"/>
    <w:rsid w:val="002532BD"/>
    <w:rsid w:val="00260122"/>
    <w:rsid w:val="0026466A"/>
    <w:rsid w:val="002721DC"/>
    <w:rsid w:val="0029179F"/>
    <w:rsid w:val="0029526B"/>
    <w:rsid w:val="002956E6"/>
    <w:rsid w:val="002A4104"/>
    <w:rsid w:val="002A4CBD"/>
    <w:rsid w:val="002A7A03"/>
    <w:rsid w:val="002B46FA"/>
    <w:rsid w:val="002B47AF"/>
    <w:rsid w:val="002B7DA1"/>
    <w:rsid w:val="002B7FD3"/>
    <w:rsid w:val="002C089E"/>
    <w:rsid w:val="002C333A"/>
    <w:rsid w:val="002D5652"/>
    <w:rsid w:val="002D5FB0"/>
    <w:rsid w:val="002E0337"/>
    <w:rsid w:val="002E1C8F"/>
    <w:rsid w:val="002E415E"/>
    <w:rsid w:val="0030414B"/>
    <w:rsid w:val="00310E62"/>
    <w:rsid w:val="003110CD"/>
    <w:rsid w:val="003117AD"/>
    <w:rsid w:val="00312180"/>
    <w:rsid w:val="003255A5"/>
    <w:rsid w:val="003406F7"/>
    <w:rsid w:val="00343AE5"/>
    <w:rsid w:val="00350C1F"/>
    <w:rsid w:val="003540D6"/>
    <w:rsid w:val="00363313"/>
    <w:rsid w:val="0037052B"/>
    <w:rsid w:val="003732D1"/>
    <w:rsid w:val="00373C9B"/>
    <w:rsid w:val="003750C2"/>
    <w:rsid w:val="00375735"/>
    <w:rsid w:val="003825AB"/>
    <w:rsid w:val="00383E50"/>
    <w:rsid w:val="00384226"/>
    <w:rsid w:val="00395228"/>
    <w:rsid w:val="00396075"/>
    <w:rsid w:val="0039653A"/>
    <w:rsid w:val="003A0143"/>
    <w:rsid w:val="003A037B"/>
    <w:rsid w:val="003A04BB"/>
    <w:rsid w:val="003A0FCE"/>
    <w:rsid w:val="003A2097"/>
    <w:rsid w:val="003B12D3"/>
    <w:rsid w:val="003B5693"/>
    <w:rsid w:val="003B6C2B"/>
    <w:rsid w:val="003C3A75"/>
    <w:rsid w:val="003C3E80"/>
    <w:rsid w:val="003D2A31"/>
    <w:rsid w:val="003E0B5A"/>
    <w:rsid w:val="003E2DEA"/>
    <w:rsid w:val="0040619D"/>
    <w:rsid w:val="00407E62"/>
    <w:rsid w:val="00417866"/>
    <w:rsid w:val="00420372"/>
    <w:rsid w:val="00420FCE"/>
    <w:rsid w:val="00431FFF"/>
    <w:rsid w:val="00441703"/>
    <w:rsid w:val="004421E5"/>
    <w:rsid w:val="00442D9D"/>
    <w:rsid w:val="004430FF"/>
    <w:rsid w:val="004568FD"/>
    <w:rsid w:val="00464DEB"/>
    <w:rsid w:val="004669E4"/>
    <w:rsid w:val="00467CAD"/>
    <w:rsid w:val="00467CB8"/>
    <w:rsid w:val="00470DCA"/>
    <w:rsid w:val="00475681"/>
    <w:rsid w:val="00476C1E"/>
    <w:rsid w:val="00483B20"/>
    <w:rsid w:val="00487512"/>
    <w:rsid w:val="00491C5A"/>
    <w:rsid w:val="004B2101"/>
    <w:rsid w:val="004B34B1"/>
    <w:rsid w:val="004C1C66"/>
    <w:rsid w:val="004C4126"/>
    <w:rsid w:val="004C65CB"/>
    <w:rsid w:val="004F416B"/>
    <w:rsid w:val="00506718"/>
    <w:rsid w:val="00507779"/>
    <w:rsid w:val="00507B16"/>
    <w:rsid w:val="0052786A"/>
    <w:rsid w:val="00531D35"/>
    <w:rsid w:val="00534C1A"/>
    <w:rsid w:val="0054063B"/>
    <w:rsid w:val="00542E06"/>
    <w:rsid w:val="00551823"/>
    <w:rsid w:val="00554290"/>
    <w:rsid w:val="0055526A"/>
    <w:rsid w:val="005701E2"/>
    <w:rsid w:val="005703AC"/>
    <w:rsid w:val="005807B4"/>
    <w:rsid w:val="00583019"/>
    <w:rsid w:val="00583FB2"/>
    <w:rsid w:val="00585F5B"/>
    <w:rsid w:val="00586860"/>
    <w:rsid w:val="0058764C"/>
    <w:rsid w:val="0059747A"/>
    <w:rsid w:val="005B11D0"/>
    <w:rsid w:val="005B250F"/>
    <w:rsid w:val="005B32B9"/>
    <w:rsid w:val="005B37EF"/>
    <w:rsid w:val="005B5ACB"/>
    <w:rsid w:val="005D04D6"/>
    <w:rsid w:val="005D7C77"/>
    <w:rsid w:val="005E15F8"/>
    <w:rsid w:val="005E7789"/>
    <w:rsid w:val="005F1822"/>
    <w:rsid w:val="005F62BA"/>
    <w:rsid w:val="00602535"/>
    <w:rsid w:val="006161F8"/>
    <w:rsid w:val="006207F1"/>
    <w:rsid w:val="00621EE8"/>
    <w:rsid w:val="00626155"/>
    <w:rsid w:val="0063044A"/>
    <w:rsid w:val="00633271"/>
    <w:rsid w:val="006411C1"/>
    <w:rsid w:val="00646186"/>
    <w:rsid w:val="006479CF"/>
    <w:rsid w:val="00650F51"/>
    <w:rsid w:val="00652F0B"/>
    <w:rsid w:val="0065332B"/>
    <w:rsid w:val="006543C2"/>
    <w:rsid w:val="00654943"/>
    <w:rsid w:val="006570ED"/>
    <w:rsid w:val="00662141"/>
    <w:rsid w:val="00670076"/>
    <w:rsid w:val="00670272"/>
    <w:rsid w:val="006713E3"/>
    <w:rsid w:val="00674C81"/>
    <w:rsid w:val="006864EB"/>
    <w:rsid w:val="0068752F"/>
    <w:rsid w:val="006A4C7A"/>
    <w:rsid w:val="006A76EA"/>
    <w:rsid w:val="006B04F2"/>
    <w:rsid w:val="006B3482"/>
    <w:rsid w:val="006C0B23"/>
    <w:rsid w:val="006C516D"/>
    <w:rsid w:val="006E6E96"/>
    <w:rsid w:val="006E75D6"/>
    <w:rsid w:val="006F457E"/>
    <w:rsid w:val="006F45BD"/>
    <w:rsid w:val="006F5B67"/>
    <w:rsid w:val="006F5F04"/>
    <w:rsid w:val="00704AE2"/>
    <w:rsid w:val="007130D0"/>
    <w:rsid w:val="00716BF4"/>
    <w:rsid w:val="00720905"/>
    <w:rsid w:val="00726B54"/>
    <w:rsid w:val="0072796E"/>
    <w:rsid w:val="007305D6"/>
    <w:rsid w:val="0073170B"/>
    <w:rsid w:val="0074030D"/>
    <w:rsid w:val="00743683"/>
    <w:rsid w:val="007502F6"/>
    <w:rsid w:val="0075300D"/>
    <w:rsid w:val="00754787"/>
    <w:rsid w:val="0075779D"/>
    <w:rsid w:val="00760B00"/>
    <w:rsid w:val="007613A6"/>
    <w:rsid w:val="00781527"/>
    <w:rsid w:val="00797BD6"/>
    <w:rsid w:val="007A369E"/>
    <w:rsid w:val="007A4DB8"/>
    <w:rsid w:val="007A66FA"/>
    <w:rsid w:val="007B03B6"/>
    <w:rsid w:val="007B34E1"/>
    <w:rsid w:val="007C211E"/>
    <w:rsid w:val="007D2ECF"/>
    <w:rsid w:val="007D4C52"/>
    <w:rsid w:val="007E5CEC"/>
    <w:rsid w:val="007E6666"/>
    <w:rsid w:val="007E733E"/>
    <w:rsid w:val="007F0FF4"/>
    <w:rsid w:val="007F23CC"/>
    <w:rsid w:val="007F6B7F"/>
    <w:rsid w:val="00814E34"/>
    <w:rsid w:val="00821F27"/>
    <w:rsid w:val="00822F41"/>
    <w:rsid w:val="0082704E"/>
    <w:rsid w:val="00836ACB"/>
    <w:rsid w:val="00842F49"/>
    <w:rsid w:val="0084507A"/>
    <w:rsid w:val="0085027C"/>
    <w:rsid w:val="00851A6B"/>
    <w:rsid w:val="008600A0"/>
    <w:rsid w:val="00862E7D"/>
    <w:rsid w:val="00864A6D"/>
    <w:rsid w:val="00864EFE"/>
    <w:rsid w:val="0087600B"/>
    <w:rsid w:val="008810F8"/>
    <w:rsid w:val="00883496"/>
    <w:rsid w:val="00886DEC"/>
    <w:rsid w:val="008878A2"/>
    <w:rsid w:val="00896A30"/>
    <w:rsid w:val="008A5B26"/>
    <w:rsid w:val="008B026D"/>
    <w:rsid w:val="008B45E0"/>
    <w:rsid w:val="008C1770"/>
    <w:rsid w:val="008D3DF3"/>
    <w:rsid w:val="008E7956"/>
    <w:rsid w:val="008F0DE7"/>
    <w:rsid w:val="008F2E9B"/>
    <w:rsid w:val="008F5C64"/>
    <w:rsid w:val="0090342E"/>
    <w:rsid w:val="009059D2"/>
    <w:rsid w:val="0090771D"/>
    <w:rsid w:val="00912DDF"/>
    <w:rsid w:val="00914C98"/>
    <w:rsid w:val="0091630A"/>
    <w:rsid w:val="00921C0A"/>
    <w:rsid w:val="0094614F"/>
    <w:rsid w:val="00946BBA"/>
    <w:rsid w:val="009551B1"/>
    <w:rsid w:val="00956106"/>
    <w:rsid w:val="0095670D"/>
    <w:rsid w:val="00964594"/>
    <w:rsid w:val="0097071E"/>
    <w:rsid w:val="009744A1"/>
    <w:rsid w:val="00974981"/>
    <w:rsid w:val="0097548F"/>
    <w:rsid w:val="00975521"/>
    <w:rsid w:val="009846CF"/>
    <w:rsid w:val="00995E96"/>
    <w:rsid w:val="009A4BEE"/>
    <w:rsid w:val="009A74B2"/>
    <w:rsid w:val="009B2500"/>
    <w:rsid w:val="009B417E"/>
    <w:rsid w:val="009B7A0A"/>
    <w:rsid w:val="009C07DE"/>
    <w:rsid w:val="009D0FED"/>
    <w:rsid w:val="009D3BBC"/>
    <w:rsid w:val="009D6C5A"/>
    <w:rsid w:val="009D7654"/>
    <w:rsid w:val="009F2A1C"/>
    <w:rsid w:val="009F3091"/>
    <w:rsid w:val="00A06365"/>
    <w:rsid w:val="00A12F6A"/>
    <w:rsid w:val="00A1303C"/>
    <w:rsid w:val="00A25CCF"/>
    <w:rsid w:val="00A2770C"/>
    <w:rsid w:val="00A34A5C"/>
    <w:rsid w:val="00A35B2F"/>
    <w:rsid w:val="00A373BC"/>
    <w:rsid w:val="00A46672"/>
    <w:rsid w:val="00A5323D"/>
    <w:rsid w:val="00A63CE4"/>
    <w:rsid w:val="00A657D6"/>
    <w:rsid w:val="00A70F02"/>
    <w:rsid w:val="00A71E8B"/>
    <w:rsid w:val="00A737E9"/>
    <w:rsid w:val="00A76C5B"/>
    <w:rsid w:val="00A85D52"/>
    <w:rsid w:val="00A92A8F"/>
    <w:rsid w:val="00A970CC"/>
    <w:rsid w:val="00A97D33"/>
    <w:rsid w:val="00AA2C7A"/>
    <w:rsid w:val="00AA3D13"/>
    <w:rsid w:val="00AB0866"/>
    <w:rsid w:val="00AB1001"/>
    <w:rsid w:val="00AC3C66"/>
    <w:rsid w:val="00AD1F04"/>
    <w:rsid w:val="00AD20D1"/>
    <w:rsid w:val="00AD2AD1"/>
    <w:rsid w:val="00AD308A"/>
    <w:rsid w:val="00AE6DBC"/>
    <w:rsid w:val="00AF66EF"/>
    <w:rsid w:val="00AF6CB5"/>
    <w:rsid w:val="00B01C63"/>
    <w:rsid w:val="00B03AAB"/>
    <w:rsid w:val="00B06F64"/>
    <w:rsid w:val="00B07091"/>
    <w:rsid w:val="00B07132"/>
    <w:rsid w:val="00B10B38"/>
    <w:rsid w:val="00B14FED"/>
    <w:rsid w:val="00B168D1"/>
    <w:rsid w:val="00B17B3D"/>
    <w:rsid w:val="00B23473"/>
    <w:rsid w:val="00B31AA3"/>
    <w:rsid w:val="00B31E61"/>
    <w:rsid w:val="00B4136E"/>
    <w:rsid w:val="00B5139F"/>
    <w:rsid w:val="00B64DFA"/>
    <w:rsid w:val="00B76F27"/>
    <w:rsid w:val="00B82C06"/>
    <w:rsid w:val="00B85D44"/>
    <w:rsid w:val="00B86AC2"/>
    <w:rsid w:val="00B96D23"/>
    <w:rsid w:val="00BA0494"/>
    <w:rsid w:val="00BA4C16"/>
    <w:rsid w:val="00BB0174"/>
    <w:rsid w:val="00BB44CB"/>
    <w:rsid w:val="00BB66A8"/>
    <w:rsid w:val="00BD165E"/>
    <w:rsid w:val="00BD34CC"/>
    <w:rsid w:val="00BD37A4"/>
    <w:rsid w:val="00BE1DC3"/>
    <w:rsid w:val="00BE3FF2"/>
    <w:rsid w:val="00BE57C9"/>
    <w:rsid w:val="00BF4F78"/>
    <w:rsid w:val="00C008BD"/>
    <w:rsid w:val="00C01C0E"/>
    <w:rsid w:val="00C03CFD"/>
    <w:rsid w:val="00C11032"/>
    <w:rsid w:val="00C13FEA"/>
    <w:rsid w:val="00C15F7B"/>
    <w:rsid w:val="00C24526"/>
    <w:rsid w:val="00C51EC1"/>
    <w:rsid w:val="00C66999"/>
    <w:rsid w:val="00C76012"/>
    <w:rsid w:val="00C7646B"/>
    <w:rsid w:val="00C82DDF"/>
    <w:rsid w:val="00CA0267"/>
    <w:rsid w:val="00CA04A5"/>
    <w:rsid w:val="00CA0557"/>
    <w:rsid w:val="00CA163E"/>
    <w:rsid w:val="00CA36AB"/>
    <w:rsid w:val="00CA712B"/>
    <w:rsid w:val="00CB3551"/>
    <w:rsid w:val="00CB5651"/>
    <w:rsid w:val="00CB6AAC"/>
    <w:rsid w:val="00CD3FCE"/>
    <w:rsid w:val="00CD67F3"/>
    <w:rsid w:val="00CE02B9"/>
    <w:rsid w:val="00CE0792"/>
    <w:rsid w:val="00CE442D"/>
    <w:rsid w:val="00CE4816"/>
    <w:rsid w:val="00CE58B5"/>
    <w:rsid w:val="00CE705D"/>
    <w:rsid w:val="00CE79C7"/>
    <w:rsid w:val="00CE7C69"/>
    <w:rsid w:val="00CE7CCC"/>
    <w:rsid w:val="00CF76A4"/>
    <w:rsid w:val="00D11058"/>
    <w:rsid w:val="00D13CD2"/>
    <w:rsid w:val="00D24ACA"/>
    <w:rsid w:val="00D33FF8"/>
    <w:rsid w:val="00D423BD"/>
    <w:rsid w:val="00D4317A"/>
    <w:rsid w:val="00D44D42"/>
    <w:rsid w:val="00D552EF"/>
    <w:rsid w:val="00D55D63"/>
    <w:rsid w:val="00D600AC"/>
    <w:rsid w:val="00D61B43"/>
    <w:rsid w:val="00D651C2"/>
    <w:rsid w:val="00D6617B"/>
    <w:rsid w:val="00D74A73"/>
    <w:rsid w:val="00D76287"/>
    <w:rsid w:val="00D8432E"/>
    <w:rsid w:val="00D8677E"/>
    <w:rsid w:val="00D90441"/>
    <w:rsid w:val="00D97C03"/>
    <w:rsid w:val="00DA0850"/>
    <w:rsid w:val="00DA4681"/>
    <w:rsid w:val="00DA6886"/>
    <w:rsid w:val="00DA6B7D"/>
    <w:rsid w:val="00DB68C3"/>
    <w:rsid w:val="00DC15D5"/>
    <w:rsid w:val="00DC767C"/>
    <w:rsid w:val="00DD2855"/>
    <w:rsid w:val="00DD4CAD"/>
    <w:rsid w:val="00DD70FE"/>
    <w:rsid w:val="00DE16C8"/>
    <w:rsid w:val="00DE6C9A"/>
    <w:rsid w:val="00DF1672"/>
    <w:rsid w:val="00DF183B"/>
    <w:rsid w:val="00E000B9"/>
    <w:rsid w:val="00E10669"/>
    <w:rsid w:val="00E11516"/>
    <w:rsid w:val="00E13D74"/>
    <w:rsid w:val="00E14877"/>
    <w:rsid w:val="00E15C4E"/>
    <w:rsid w:val="00E27B58"/>
    <w:rsid w:val="00E30DEF"/>
    <w:rsid w:val="00E423C7"/>
    <w:rsid w:val="00E4771A"/>
    <w:rsid w:val="00E565C3"/>
    <w:rsid w:val="00E60F7B"/>
    <w:rsid w:val="00E61BF8"/>
    <w:rsid w:val="00E61CD1"/>
    <w:rsid w:val="00E65D92"/>
    <w:rsid w:val="00E721CC"/>
    <w:rsid w:val="00E76036"/>
    <w:rsid w:val="00E84B46"/>
    <w:rsid w:val="00E87D52"/>
    <w:rsid w:val="00E913A0"/>
    <w:rsid w:val="00E914D1"/>
    <w:rsid w:val="00E96382"/>
    <w:rsid w:val="00EA71A3"/>
    <w:rsid w:val="00EB1945"/>
    <w:rsid w:val="00EB2CEC"/>
    <w:rsid w:val="00EB4D01"/>
    <w:rsid w:val="00EB6A21"/>
    <w:rsid w:val="00ED12DE"/>
    <w:rsid w:val="00ED617F"/>
    <w:rsid w:val="00EE025B"/>
    <w:rsid w:val="00EE11BC"/>
    <w:rsid w:val="00EE2AB6"/>
    <w:rsid w:val="00EE3E7B"/>
    <w:rsid w:val="00EE4608"/>
    <w:rsid w:val="00EF53D2"/>
    <w:rsid w:val="00F069D5"/>
    <w:rsid w:val="00F0765A"/>
    <w:rsid w:val="00F11177"/>
    <w:rsid w:val="00F213FB"/>
    <w:rsid w:val="00F2398D"/>
    <w:rsid w:val="00F23DD8"/>
    <w:rsid w:val="00F24ADE"/>
    <w:rsid w:val="00F251D6"/>
    <w:rsid w:val="00F40742"/>
    <w:rsid w:val="00F41C84"/>
    <w:rsid w:val="00F444D4"/>
    <w:rsid w:val="00F62E86"/>
    <w:rsid w:val="00F650EF"/>
    <w:rsid w:val="00F72085"/>
    <w:rsid w:val="00F7713E"/>
    <w:rsid w:val="00F92BB0"/>
    <w:rsid w:val="00FA3F35"/>
    <w:rsid w:val="00FA64B5"/>
    <w:rsid w:val="00FB0E7A"/>
    <w:rsid w:val="00FB1A89"/>
    <w:rsid w:val="00FB20E9"/>
    <w:rsid w:val="00FB21A2"/>
    <w:rsid w:val="00FB2FC3"/>
    <w:rsid w:val="00FC4BA3"/>
    <w:rsid w:val="00FD0ED5"/>
    <w:rsid w:val="00FD6163"/>
    <w:rsid w:val="00FE647B"/>
    <w:rsid w:val="00FF6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1553DCB"/>
  <w15:chartTrackingRefBased/>
  <w15:docId w15:val="{125AC99F-3C5C-2848-ABB5-3E6EFAE12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US"/>
    </w:rPr>
  </w:style>
  <w:style w:type="paragraph" w:styleId="Heading1">
    <w:name w:val="heading 1"/>
    <w:basedOn w:val="Normal"/>
    <w:next w:val="Normal"/>
    <w:qFormat/>
    <w:pPr>
      <w:keepNext/>
      <w:jc w:val="center"/>
      <w:outlineLvl w:val="0"/>
    </w:pPr>
    <w:rPr>
      <w:sz w:val="24"/>
    </w:rPr>
  </w:style>
  <w:style w:type="paragraph" w:styleId="Heading2">
    <w:name w:val="heading 2"/>
    <w:basedOn w:val="Normal"/>
    <w:next w:val="Normal"/>
    <w:qFormat/>
    <w:pPr>
      <w:keepNext/>
      <w:numPr>
        <w:numId w:val="2"/>
      </w:numPr>
      <w:jc w:val="both"/>
      <w:outlineLvl w:val="1"/>
    </w:pPr>
    <w:rPr>
      <w:i/>
    </w:rPr>
  </w:style>
  <w:style w:type="paragraph" w:styleId="Heading3">
    <w:name w:val="heading 3"/>
    <w:basedOn w:val="Normal"/>
    <w:next w:val="Normal"/>
    <w:qFormat/>
    <w:pPr>
      <w:keepNext/>
      <w:tabs>
        <w:tab w:val="num" w:pos="270"/>
      </w:tabs>
      <w:jc w:val="center"/>
      <w:outlineLvl w:val="2"/>
    </w:pPr>
    <w:rPr>
      <w:i/>
    </w:rPr>
  </w:style>
  <w:style w:type="paragraph" w:styleId="Heading4">
    <w:name w:val="heading 4"/>
    <w:basedOn w:val="Normal"/>
    <w:next w:val="Normal"/>
    <w:qFormat/>
    <w:pPr>
      <w:keepNext/>
      <w:tabs>
        <w:tab w:val="num" w:pos="720"/>
      </w:tabs>
      <w:spacing w:after="120" w:line="216" w:lineRule="auto"/>
      <w:ind w:left="720" w:hanging="720"/>
      <w:jc w:val="both"/>
      <w:outlineLvl w:val="3"/>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b/>
      <w:sz w:val="28"/>
    </w:rPr>
  </w:style>
  <w:style w:type="paragraph" w:styleId="BodyTextIndent">
    <w:name w:val="Body Text Indent"/>
    <w:basedOn w:val="Normal"/>
    <w:semiHidden/>
    <w:pPr>
      <w:ind w:left="360"/>
      <w:jc w:val="both"/>
    </w:pPr>
  </w:style>
  <w:style w:type="paragraph" w:styleId="BodyTextIndent2">
    <w:name w:val="Body Text Indent 2"/>
    <w:basedOn w:val="Normal"/>
    <w:semiHidden/>
    <w:pPr>
      <w:ind w:firstLine="288"/>
      <w:jc w:val="both"/>
    </w:pPr>
    <w:rPr>
      <w:b/>
      <w:sz w:val="18"/>
    </w:rPr>
  </w:style>
  <w:style w:type="paragraph" w:styleId="BodyTextIndent3">
    <w:name w:val="Body Text Indent 3"/>
    <w:basedOn w:val="Normal"/>
    <w:semiHidden/>
    <w:pPr>
      <w:ind w:firstLine="360"/>
      <w:jc w:val="both"/>
    </w:p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styleId="Hyperlink">
    <w:name w:val="Hyperlink"/>
    <w:semiHidden/>
    <w:rPr>
      <w:color w:val="0000FF"/>
      <w:u w:val="single"/>
    </w:rPr>
  </w:style>
  <w:style w:type="paragraph" w:customStyle="1" w:styleId="IEEETitle">
    <w:name w:val="IEEE Title"/>
    <w:basedOn w:val="BodyText"/>
    <w:pPr>
      <w:jc w:val="center"/>
    </w:pPr>
    <w:rPr>
      <w:b w:val="0"/>
      <w:sz w:val="50"/>
    </w:rPr>
  </w:style>
  <w:style w:type="paragraph" w:customStyle="1" w:styleId="IEEEAffiliation">
    <w:name w:val="IEEE Affiliation"/>
    <w:basedOn w:val="Normal"/>
    <w:pPr>
      <w:jc w:val="center"/>
    </w:pPr>
  </w:style>
  <w:style w:type="paragraph" w:customStyle="1" w:styleId="IEEEAbstract">
    <w:name w:val="IEEE Abstract"/>
    <w:basedOn w:val="Normal"/>
    <w:pPr>
      <w:spacing w:after="120" w:line="200" w:lineRule="exact"/>
      <w:ind w:firstLine="288"/>
    </w:pPr>
    <w:rPr>
      <w:rFonts w:ascii="Times New  Roman" w:hAnsi="Times New  Roman"/>
      <w:b/>
      <w:sz w:val="18"/>
    </w:rPr>
  </w:style>
  <w:style w:type="paragraph" w:customStyle="1" w:styleId="abstracthead">
    <w:name w:val="abstract head"/>
    <w:basedOn w:val="IEEEAbstract"/>
    <w:rPr>
      <w:i/>
    </w:rPr>
  </w:style>
  <w:style w:type="paragraph" w:customStyle="1" w:styleId="abstractheader">
    <w:name w:val="abstract header"/>
    <w:basedOn w:val="IEEEAbstract"/>
    <w:rPr>
      <w:i/>
    </w:rPr>
  </w:style>
  <w:style w:type="paragraph" w:customStyle="1" w:styleId="abstractname">
    <w:name w:val="abstract name"/>
    <w:basedOn w:val="IEEEAbstract"/>
    <w:rPr>
      <w:i/>
    </w:rPr>
  </w:style>
  <w:style w:type="paragraph" w:customStyle="1" w:styleId="IEEEText">
    <w:name w:val="IEEE Text"/>
    <w:basedOn w:val="Normal"/>
    <w:pPr>
      <w:spacing w:line="360" w:lineRule="auto"/>
      <w:ind w:firstLine="187"/>
      <w:jc w:val="both"/>
    </w:pPr>
  </w:style>
  <w:style w:type="paragraph" w:customStyle="1" w:styleId="sectionhead1">
    <w:name w:val="section head (1)"/>
    <w:basedOn w:val="Normal"/>
    <w:pPr>
      <w:numPr>
        <w:numId w:val="1"/>
      </w:numPr>
      <w:tabs>
        <w:tab w:val="clear" w:pos="720"/>
        <w:tab w:val="num" w:pos="360"/>
      </w:tabs>
      <w:spacing w:before="120" w:after="120" w:line="216" w:lineRule="auto"/>
      <w:ind w:left="0" w:firstLine="0"/>
      <w:jc w:val="center"/>
    </w:pPr>
    <w:rPr>
      <w:smallCaps/>
    </w:rPr>
  </w:style>
  <w:style w:type="paragraph" w:customStyle="1" w:styleId="IEEEHeading2">
    <w:name w:val="IEEE Heading 2"/>
    <w:basedOn w:val="Normal"/>
    <w:next w:val="IEEEText"/>
    <w:pPr>
      <w:keepNext/>
      <w:tabs>
        <w:tab w:val="left" w:pos="360"/>
      </w:tabs>
      <w:spacing w:before="120" w:line="360" w:lineRule="auto"/>
      <w:ind w:left="348" w:hanging="360"/>
    </w:pPr>
    <w:rPr>
      <w:i/>
      <w:spacing w:val="-8"/>
    </w:rPr>
  </w:style>
  <w:style w:type="paragraph" w:customStyle="1" w:styleId="sectionheadnonums">
    <w:name w:val="section head (no nums)"/>
    <w:basedOn w:val="Normal"/>
    <w:pPr>
      <w:spacing w:before="120" w:after="120"/>
      <w:jc w:val="center"/>
    </w:pPr>
    <w:rPr>
      <w:smallCaps/>
    </w:rPr>
  </w:style>
  <w:style w:type="paragraph" w:customStyle="1" w:styleId="IEEEAuthor">
    <w:name w:val="IEEE Author"/>
    <w:basedOn w:val="Normal"/>
    <w:next w:val="IEEEAffiliation"/>
    <w:pPr>
      <w:jc w:val="center"/>
    </w:pPr>
    <w:rPr>
      <w:sz w:val="22"/>
    </w:rPr>
  </w:style>
  <w:style w:type="paragraph" w:customStyle="1" w:styleId="references">
    <w:name w:val="references"/>
    <w:basedOn w:val="Normal"/>
    <w:pPr>
      <w:spacing w:line="180" w:lineRule="exact"/>
      <w:ind w:left="360" w:hanging="360"/>
      <w:jc w:val="both"/>
    </w:pPr>
    <w:rPr>
      <w:sz w:val="16"/>
    </w:rPr>
  </w:style>
  <w:style w:type="paragraph" w:customStyle="1" w:styleId="Affiliation">
    <w:name w:val="Affiliation"/>
    <w:rsid w:val="000C4574"/>
    <w:pPr>
      <w:jc w:val="center"/>
    </w:pPr>
    <w:rPr>
      <w:rFonts w:eastAsia="SimSun"/>
      <w:lang w:val="en-US"/>
    </w:rPr>
  </w:style>
  <w:style w:type="paragraph" w:customStyle="1" w:styleId="equation">
    <w:name w:val="equation"/>
    <w:basedOn w:val="Normal"/>
    <w:next w:val="IEEEText"/>
    <w:pPr>
      <w:tabs>
        <w:tab w:val="center" w:pos="5160"/>
        <w:tab w:val="right" w:pos="10440"/>
      </w:tabs>
      <w:spacing w:line="216" w:lineRule="auto"/>
      <w:jc w:val="center"/>
    </w:pPr>
    <w:rPr>
      <w:i/>
    </w:rPr>
  </w:style>
  <w:style w:type="paragraph" w:customStyle="1" w:styleId="IEEETableNumber">
    <w:name w:val="IEEE Table Number"/>
    <w:basedOn w:val="Normal"/>
    <w:next w:val="IEEETableTitle"/>
    <w:pPr>
      <w:keepNext/>
      <w:spacing w:before="120" w:line="216" w:lineRule="auto"/>
      <w:jc w:val="center"/>
    </w:pPr>
    <w:rPr>
      <w:sz w:val="16"/>
    </w:rPr>
  </w:style>
  <w:style w:type="paragraph" w:customStyle="1" w:styleId="IEEETableTitle">
    <w:name w:val="IEEE Table Title"/>
    <w:basedOn w:val="Normal"/>
    <w:next w:val="IEEEText"/>
    <w:pPr>
      <w:keepNext/>
      <w:spacing w:after="60"/>
      <w:jc w:val="center"/>
    </w:pPr>
    <w:rPr>
      <w:smallCaps/>
      <w:sz w:val="16"/>
    </w:rPr>
  </w:style>
  <w:style w:type="paragraph" w:customStyle="1" w:styleId="IEEECaption">
    <w:name w:val="IEEE Caption"/>
    <w:basedOn w:val="Normal"/>
    <w:next w:val="IEEEText"/>
    <w:pPr>
      <w:spacing w:line="180" w:lineRule="exact"/>
      <w:jc w:val="center"/>
    </w:pPr>
    <w:rPr>
      <w:sz w:val="16"/>
    </w:rPr>
  </w:style>
  <w:style w:type="paragraph" w:customStyle="1" w:styleId="IEEEHeading1">
    <w:name w:val="IEEE Heading 1"/>
    <w:basedOn w:val="sectionhead1"/>
    <w:next w:val="IEEEHeading2"/>
    <w:pPr>
      <w:keepNext/>
      <w:numPr>
        <w:numId w:val="0"/>
      </w:numPr>
    </w:pPr>
  </w:style>
  <w:style w:type="paragraph" w:customStyle="1" w:styleId="IEEEList">
    <w:name w:val="IEEE List"/>
    <w:basedOn w:val="IEEEText"/>
    <w:rPr>
      <w:i/>
    </w:rPr>
  </w:style>
  <w:style w:type="paragraph" w:customStyle="1" w:styleId="IEEEEquation">
    <w:name w:val="IEEE Equation"/>
    <w:basedOn w:val="Normal"/>
    <w:pPr>
      <w:tabs>
        <w:tab w:val="center" w:pos="4680"/>
        <w:tab w:val="right" w:pos="9360"/>
      </w:tabs>
      <w:spacing w:before="60" w:after="60" w:line="360" w:lineRule="auto"/>
      <w:jc w:val="both"/>
    </w:pPr>
  </w:style>
  <w:style w:type="paragraph" w:customStyle="1" w:styleId="IEEEReference">
    <w:name w:val="IEEE Reference"/>
    <w:basedOn w:val="Normal"/>
    <w:pPr>
      <w:spacing w:line="180" w:lineRule="exact"/>
      <w:ind w:left="360" w:hanging="360"/>
    </w:pPr>
    <w:rPr>
      <w:sz w:val="16"/>
    </w:rPr>
  </w:style>
  <w:style w:type="paragraph" w:customStyle="1" w:styleId="Author">
    <w:name w:val="Author"/>
    <w:rsid w:val="000C4574"/>
    <w:pPr>
      <w:spacing w:before="360" w:after="40"/>
      <w:jc w:val="center"/>
    </w:pPr>
    <w:rPr>
      <w:rFonts w:eastAsia="SimSun"/>
      <w:noProof/>
      <w:sz w:val="22"/>
      <w:szCs w:val="22"/>
      <w:lang w:val="en-US"/>
    </w:rPr>
  </w:style>
  <w:style w:type="paragraph" w:customStyle="1" w:styleId="papertitle">
    <w:name w:val="paper title"/>
    <w:rsid w:val="000C4574"/>
    <w:pPr>
      <w:spacing w:after="120"/>
      <w:jc w:val="center"/>
    </w:pPr>
    <w:rPr>
      <w:rFonts w:eastAsia="MS Mincho"/>
      <w:noProof/>
      <w:sz w:val="48"/>
      <w:szCs w:val="48"/>
      <w:lang w:val="en-US"/>
    </w:rPr>
  </w:style>
  <w:style w:type="paragraph" w:customStyle="1" w:styleId="bulletlist">
    <w:name w:val="bullet list"/>
    <w:basedOn w:val="BodyText"/>
    <w:rsid w:val="00157908"/>
    <w:pPr>
      <w:numPr>
        <w:numId w:val="14"/>
      </w:numPr>
      <w:spacing w:after="120" w:line="228" w:lineRule="auto"/>
      <w:jc w:val="both"/>
    </w:pPr>
    <w:rPr>
      <w:rFonts w:eastAsia="SimSun"/>
      <w:b w:val="0"/>
      <w:spacing w:val="-1"/>
      <w:sz w:val="20"/>
    </w:rPr>
  </w:style>
  <w:style w:type="paragraph" w:styleId="Caption">
    <w:name w:val="caption"/>
    <w:basedOn w:val="Normal"/>
    <w:next w:val="Normal"/>
    <w:uiPriority w:val="35"/>
    <w:unhideWhenUsed/>
    <w:qFormat/>
    <w:rsid w:val="00A2770C"/>
    <w:pPr>
      <w:spacing w:after="200"/>
    </w:pPr>
    <w:rPr>
      <w:i/>
      <w:iCs/>
      <w:color w:val="44546A" w:themeColor="text2"/>
      <w:sz w:val="18"/>
      <w:szCs w:val="18"/>
    </w:rPr>
  </w:style>
  <w:style w:type="paragraph" w:styleId="ListParagraph">
    <w:name w:val="List Paragraph"/>
    <w:basedOn w:val="Normal"/>
    <w:uiPriority w:val="34"/>
    <w:qFormat/>
    <w:rsid w:val="007F6B7F"/>
    <w:pPr>
      <w:ind w:left="720"/>
      <w:contextualSpacing/>
    </w:pPr>
  </w:style>
  <w:style w:type="table" w:styleId="TableGrid">
    <w:name w:val="Table Grid"/>
    <w:basedOn w:val="TableNormal"/>
    <w:uiPriority w:val="39"/>
    <w:rsid w:val="005868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83E50"/>
    <w:rPr>
      <w:b/>
      <w:bCs/>
    </w:rPr>
  </w:style>
  <w:style w:type="paragraph" w:styleId="IntenseQuote">
    <w:name w:val="Intense Quote"/>
    <w:basedOn w:val="Normal"/>
    <w:next w:val="Normal"/>
    <w:link w:val="IntenseQuoteChar"/>
    <w:uiPriority w:val="30"/>
    <w:qFormat/>
    <w:rsid w:val="00383E5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83E50"/>
    <w:rPr>
      <w:i/>
      <w:iCs/>
      <w:color w:val="4472C4" w:themeColor="accent1"/>
      <w:lang w:val="en-US"/>
    </w:rPr>
  </w:style>
  <w:style w:type="paragraph" w:styleId="Quote">
    <w:name w:val="Quote"/>
    <w:basedOn w:val="Normal"/>
    <w:next w:val="Normal"/>
    <w:link w:val="QuoteChar"/>
    <w:uiPriority w:val="29"/>
    <w:qFormat/>
    <w:rsid w:val="00383E5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83E50"/>
    <w:rPr>
      <w:i/>
      <w:iCs/>
      <w:color w:val="404040" w:themeColor="text1" w:themeTint="B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Other%20Documents\Sample%20Manuscript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CDF97-B9B7-B54B-9BD4-CA00C32AD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C:\Program Files\Microsoft Office\Templates\Other Documents\Sample Manuscript2.dot</Template>
  <TotalTime>533</TotalTime>
  <Pages>15</Pages>
  <Words>3645</Words>
  <Characters>101876</Characters>
  <Application>Microsoft Office Word</Application>
  <DocSecurity>0</DocSecurity>
  <Lines>848</Lines>
  <Paragraphs>210</Paragraphs>
  <ScaleCrop>false</ScaleCrop>
  <HeadingPairs>
    <vt:vector size="2" baseType="variant">
      <vt:variant>
        <vt:lpstr>Title</vt:lpstr>
      </vt:variant>
      <vt:variant>
        <vt:i4>1</vt:i4>
      </vt:variant>
    </vt:vector>
  </HeadingPairs>
  <TitlesOfParts>
    <vt:vector size="1" baseType="lpstr">
      <vt:lpstr>Preparation of Papers in Two-Column Format for the Proceedings of the 2004 Sarnoff Symposium</vt:lpstr>
    </vt:vector>
  </TitlesOfParts>
  <Manager/>
  <Company>IEEE</Company>
  <LinksUpToDate>false</LinksUpToDate>
  <CharactersWithSpaces>105311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Preparation of Papers in Two-Column Format for the Proceedings of the 2004 Sarnoff Symposium</dc:title>
  <dc:subject/>
  <dc:creator>Laura Hyslop</dc:creator>
  <cp:keywords/>
  <dc:description/>
  <cp:lastModifiedBy>Henry Cobbold (P149234)</cp:lastModifiedBy>
  <cp:revision>485</cp:revision>
  <cp:lastPrinted>2000-04-04T15:41:00Z</cp:lastPrinted>
  <dcterms:created xsi:type="dcterms:W3CDTF">2006-10-03T15:43:00Z</dcterms:created>
  <dcterms:modified xsi:type="dcterms:W3CDTF">2019-01-28T14:59:00Z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dea57cda-2268-3009-bc5a-28ef2c552239</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