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69E028" w14:textId="77777777" w:rsidR="00A5098A" w:rsidRDefault="00A922E9">
      <w:pPr>
        <w:spacing w:before="2880" w:after="240" w:line="360" w:lineRule="auto"/>
        <w:jc w:val="both"/>
        <w:rPr>
          <w:sz w:val="28"/>
          <w:szCs w:val="28"/>
        </w:rPr>
      </w:pPr>
      <w:r>
        <w:rPr>
          <w:noProof/>
        </w:rPr>
        <w:drawing>
          <wp:anchor distT="0" distB="0" distL="114300" distR="114300" simplePos="0" relativeHeight="251659264" behindDoc="0" locked="0" layoutInCell="1" allowOverlap="1" wp14:anchorId="3EFD4814" wp14:editId="15C2F2A5">
            <wp:simplePos x="0" y="0"/>
            <wp:positionH relativeFrom="column">
              <wp:posOffset>-393700</wp:posOffset>
            </wp:positionH>
            <wp:positionV relativeFrom="paragraph">
              <wp:posOffset>-38100</wp:posOffset>
            </wp:positionV>
            <wp:extent cx="1809750" cy="723900"/>
            <wp:effectExtent l="0" t="0" r="6350" b="0"/>
            <wp:wrapSquare wrapText="bothSides"/>
            <wp:docPr id="4" name="Picture 4"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4" name="Picture 4"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a:xfrm>
                      <a:off x="0" y="0"/>
                      <a:ext cx="1809750" cy="723900"/>
                    </a:xfrm>
                    <a:prstGeom prst="rect">
                      <a:avLst/>
                    </a:prstGeom>
                    <a:noFill/>
                    <a:ln>
                      <a:noFill/>
                    </a:ln>
                  </pic:spPr>
                </pic:pic>
              </a:graphicData>
            </a:graphic>
          </wp:anchor>
        </w:drawing>
      </w:r>
      <w:r>
        <w:rPr>
          <w:b/>
          <w:bCs/>
          <w:sz w:val="28"/>
          <w:szCs w:val="28"/>
        </w:rPr>
        <w:t>Understanding and Managing Type 2 Diabetes:</w:t>
      </w:r>
    </w:p>
    <w:p w14:paraId="22C92438" w14:textId="77777777" w:rsidR="00A5098A" w:rsidRDefault="00A922E9">
      <w:pPr>
        <w:spacing w:after="240" w:line="360" w:lineRule="auto"/>
        <w:jc w:val="center"/>
        <w:rPr>
          <w:sz w:val="28"/>
          <w:szCs w:val="28"/>
        </w:rPr>
      </w:pPr>
      <w:r>
        <w:rPr>
          <w:b/>
          <w:bCs/>
          <w:sz w:val="28"/>
          <w:szCs w:val="28"/>
          <w:lang w:val="en-US"/>
        </w:rPr>
        <w:t xml:space="preserve">    </w:t>
      </w:r>
      <w:r>
        <w:rPr>
          <w:b/>
          <w:bCs/>
          <w:sz w:val="28"/>
          <w:szCs w:val="28"/>
        </w:rPr>
        <w:t>A Comprehensive Guide for Patients</w:t>
      </w:r>
    </w:p>
    <w:p w14:paraId="197F347A" w14:textId="77777777" w:rsidR="00A5098A" w:rsidRDefault="00A922E9">
      <w:pPr>
        <w:spacing w:before="960" w:after="120" w:line="360" w:lineRule="auto"/>
        <w:jc w:val="center"/>
        <w:rPr>
          <w:sz w:val="28"/>
          <w:szCs w:val="28"/>
        </w:rPr>
      </w:pPr>
      <w:r>
        <w:rPr>
          <w:b/>
          <w:bCs/>
          <w:sz w:val="28"/>
          <w:szCs w:val="28"/>
        </w:rPr>
        <w:t xml:space="preserve">Module code: </w:t>
      </w:r>
      <w:r>
        <w:rPr>
          <w:sz w:val="28"/>
          <w:szCs w:val="28"/>
        </w:rPr>
        <w:t>BMHP5023</w:t>
      </w:r>
    </w:p>
    <w:p w14:paraId="400CEA06" w14:textId="77777777" w:rsidR="00A5098A" w:rsidRDefault="00A922E9">
      <w:pPr>
        <w:spacing w:before="960" w:after="120" w:line="360" w:lineRule="auto"/>
        <w:jc w:val="center"/>
        <w:rPr>
          <w:sz w:val="28"/>
          <w:szCs w:val="28"/>
        </w:rPr>
      </w:pPr>
      <w:r>
        <w:rPr>
          <w:b/>
          <w:sz w:val="28"/>
          <w:szCs w:val="28"/>
        </w:rPr>
        <w:t>Module:</w:t>
      </w:r>
      <w:r>
        <w:rPr>
          <w:b/>
          <w:sz w:val="28"/>
          <w:szCs w:val="28"/>
          <w:lang w:val="en-US"/>
        </w:rPr>
        <w:t xml:space="preserve"> </w:t>
      </w:r>
      <w:r>
        <w:rPr>
          <w:sz w:val="28"/>
          <w:szCs w:val="28"/>
        </w:rPr>
        <w:t>Introduction to Physiology</w:t>
      </w:r>
    </w:p>
    <w:p w14:paraId="4A7AC521" w14:textId="77777777" w:rsidR="00A5098A" w:rsidRDefault="00A922E9">
      <w:pPr>
        <w:spacing w:after="120" w:line="360" w:lineRule="auto"/>
        <w:jc w:val="center"/>
        <w:rPr>
          <w:sz w:val="28"/>
          <w:szCs w:val="28"/>
        </w:rPr>
      </w:pPr>
      <w:r>
        <w:rPr>
          <w:b/>
          <w:sz w:val="28"/>
          <w:szCs w:val="28"/>
        </w:rPr>
        <w:t>Programme:</w:t>
      </w:r>
      <w:r>
        <w:rPr>
          <w:b/>
          <w:sz w:val="28"/>
          <w:szCs w:val="28"/>
          <w:lang w:val="en-US"/>
        </w:rPr>
        <w:t xml:space="preserve"> </w:t>
      </w:r>
      <w:r>
        <w:rPr>
          <w:sz w:val="28"/>
          <w:szCs w:val="28"/>
        </w:rPr>
        <w:t>BSc Health and Social Care</w:t>
      </w:r>
    </w:p>
    <w:p w14:paraId="62E95628" w14:textId="77777777" w:rsidR="00A5098A" w:rsidRDefault="00A922E9">
      <w:pPr>
        <w:spacing w:before="960" w:line="360" w:lineRule="auto"/>
        <w:jc w:val="center"/>
        <w:rPr>
          <w:szCs w:val="24"/>
          <w:lang w:val="en-US"/>
        </w:rPr>
      </w:pPr>
      <w:r>
        <w:rPr>
          <w:szCs w:val="24"/>
          <w:lang w:val="en-US"/>
        </w:rPr>
        <w:t>Student Name:</w:t>
      </w:r>
    </w:p>
    <w:p w14:paraId="2C9B2E33" w14:textId="77777777" w:rsidR="00A5098A" w:rsidRDefault="00A922E9">
      <w:pPr>
        <w:spacing w:before="960" w:line="360" w:lineRule="auto"/>
        <w:jc w:val="center"/>
        <w:rPr>
          <w:szCs w:val="24"/>
        </w:rPr>
      </w:pPr>
      <w:r>
        <w:rPr>
          <w:szCs w:val="24"/>
          <w:lang w:val="en-US"/>
        </w:rPr>
        <w:t>Submission Date:</w:t>
      </w:r>
    </w:p>
    <w:p w14:paraId="5848230F" w14:textId="77777777" w:rsidR="00A5098A" w:rsidRDefault="00A922E9">
      <w:r>
        <w:br w:type="page"/>
      </w:r>
    </w:p>
    <w:sdt>
      <w:sdtPr>
        <w:rPr>
          <w:rFonts w:ascii="SimSun" w:eastAsia="SimSun" w:hAnsi="SimSun"/>
          <w:b/>
          <w:bCs/>
          <w:sz w:val="22"/>
          <w:szCs w:val="24"/>
        </w:rPr>
        <w:id w:val="147482497"/>
        <w15:color w:val="DBDBDB"/>
        <w:docPartObj>
          <w:docPartGallery w:val="Table of Contents"/>
          <w:docPartUnique/>
        </w:docPartObj>
      </w:sdtPr>
      <w:sdtEndPr>
        <w:rPr>
          <w:b w:val="0"/>
          <w:bCs w:val="0"/>
        </w:rPr>
      </w:sdtEndPr>
      <w:sdtContent>
        <w:p w14:paraId="6275C9B1" w14:textId="77777777" w:rsidR="00A5098A" w:rsidRDefault="00A922E9">
          <w:pPr>
            <w:spacing w:line="360" w:lineRule="auto"/>
            <w:jc w:val="center"/>
            <w:rPr>
              <w:b/>
              <w:bCs/>
              <w:sz w:val="28"/>
              <w:szCs w:val="24"/>
              <w:lang w:val="en-US"/>
            </w:rPr>
          </w:pPr>
          <w:r>
            <w:rPr>
              <w:rFonts w:ascii="SimSun" w:eastAsia="SimSun" w:hAnsi="SimSun"/>
              <w:b/>
              <w:bCs/>
              <w:sz w:val="22"/>
              <w:szCs w:val="24"/>
              <w:lang w:val="en-US"/>
            </w:rPr>
            <w:t>Table of Content</w:t>
          </w:r>
        </w:p>
        <w:p w14:paraId="5BC783EF" w14:textId="77777777" w:rsidR="00A5098A" w:rsidRDefault="00A922E9">
          <w:pPr>
            <w:pStyle w:val="WPSOffice1"/>
            <w:tabs>
              <w:tab w:val="right" w:leader="dot" w:pos="9360"/>
            </w:tabs>
            <w:spacing w:line="360" w:lineRule="auto"/>
            <w:jc w:val="center"/>
          </w:pPr>
          <w:r>
            <w:fldChar w:fldCharType="begin"/>
          </w:r>
          <w:r>
            <w:instrText xml:space="preserve">TOC \o "1-2" \h \u </w:instrText>
          </w:r>
          <w:r>
            <w:fldChar w:fldCharType="separate"/>
          </w:r>
          <w:hyperlink w:anchor="_Toc8486" w:history="1">
            <w:r>
              <w:t>Introduction</w:t>
            </w:r>
            <w:r>
              <w:tab/>
            </w:r>
            <w:r>
              <w:fldChar w:fldCharType="begin"/>
            </w:r>
            <w:r>
              <w:instrText xml:space="preserve"> PAGEREF _Toc8486 \h </w:instrText>
            </w:r>
            <w:r>
              <w:fldChar w:fldCharType="separate"/>
            </w:r>
            <w:r>
              <w:t>2</w:t>
            </w:r>
            <w:r>
              <w:fldChar w:fldCharType="end"/>
            </w:r>
          </w:hyperlink>
        </w:p>
        <w:p w14:paraId="101D529A" w14:textId="77777777" w:rsidR="00A5098A" w:rsidRDefault="00A922E9">
          <w:pPr>
            <w:pStyle w:val="WPSOffice1"/>
            <w:tabs>
              <w:tab w:val="right" w:leader="dot" w:pos="9360"/>
            </w:tabs>
            <w:spacing w:line="360" w:lineRule="auto"/>
            <w:jc w:val="center"/>
          </w:pPr>
          <w:hyperlink w:anchor="_Toc7271" w:history="1">
            <w:r>
              <w:t>Blood Sugar Regulation in the Human Body</w:t>
            </w:r>
            <w:r>
              <w:tab/>
            </w:r>
            <w:r>
              <w:fldChar w:fldCharType="begin"/>
            </w:r>
            <w:r>
              <w:instrText xml:space="preserve"> PAGEREF _Toc7271 \h </w:instrText>
            </w:r>
            <w:r>
              <w:fldChar w:fldCharType="separate"/>
            </w:r>
            <w:r>
              <w:t>2</w:t>
            </w:r>
            <w:r>
              <w:fldChar w:fldCharType="end"/>
            </w:r>
          </w:hyperlink>
        </w:p>
        <w:p w14:paraId="4FF68B34" w14:textId="77777777" w:rsidR="00A5098A" w:rsidRDefault="00A922E9">
          <w:pPr>
            <w:pStyle w:val="WPSOffice1"/>
            <w:tabs>
              <w:tab w:val="right" w:leader="dot" w:pos="9360"/>
            </w:tabs>
            <w:spacing w:line="360" w:lineRule="auto"/>
            <w:jc w:val="center"/>
          </w:pPr>
          <w:hyperlink w:anchor="_Toc2070" w:history="1">
            <w:r>
              <w:t>Cellular Energy Production: Glucose and Oxygen Metabolism</w:t>
            </w:r>
            <w:r>
              <w:tab/>
            </w:r>
            <w:r>
              <w:fldChar w:fldCharType="begin"/>
            </w:r>
            <w:r>
              <w:instrText xml:space="preserve"> PAGEREF _Toc2070 \h </w:instrText>
            </w:r>
            <w:r>
              <w:fldChar w:fldCharType="separate"/>
            </w:r>
            <w:r>
              <w:t>4</w:t>
            </w:r>
            <w:r>
              <w:fldChar w:fldCharType="end"/>
            </w:r>
          </w:hyperlink>
        </w:p>
        <w:p w14:paraId="404718A4" w14:textId="77777777" w:rsidR="00A5098A" w:rsidRDefault="00A922E9">
          <w:pPr>
            <w:pStyle w:val="WPSOffice1"/>
            <w:tabs>
              <w:tab w:val="right" w:leader="dot" w:pos="9360"/>
            </w:tabs>
            <w:spacing w:line="360" w:lineRule="auto"/>
            <w:jc w:val="center"/>
          </w:pPr>
          <w:hyperlink w:anchor="_Toc24488" w:history="1">
            <w:r>
              <w:t>Importance of Blood Glucose Monitoring in Type 2 Diabetes Management</w:t>
            </w:r>
            <w:r>
              <w:tab/>
            </w:r>
            <w:r>
              <w:fldChar w:fldCharType="begin"/>
            </w:r>
            <w:r>
              <w:instrText xml:space="preserve"> PAGEREF _Toc24488 \h </w:instrText>
            </w:r>
            <w:r>
              <w:fldChar w:fldCharType="separate"/>
            </w:r>
            <w:r>
              <w:t>7</w:t>
            </w:r>
            <w:r>
              <w:fldChar w:fldCharType="end"/>
            </w:r>
          </w:hyperlink>
        </w:p>
        <w:p w14:paraId="028921C0" w14:textId="77777777" w:rsidR="00A5098A" w:rsidRDefault="00A922E9">
          <w:pPr>
            <w:pStyle w:val="WPSOffice1"/>
            <w:tabs>
              <w:tab w:val="right" w:leader="dot" w:pos="9360"/>
            </w:tabs>
            <w:spacing w:line="360" w:lineRule="auto"/>
            <w:jc w:val="center"/>
          </w:pPr>
          <w:hyperlink w:anchor="_Toc12353" w:history="1">
            <w:r>
              <w:t xml:space="preserve">Evidence-Based Lifestyle </w:t>
            </w:r>
            <w:r>
              <w:rPr>
                <w:lang w:val="en-US"/>
              </w:rPr>
              <w:t>Recommendation</w:t>
            </w:r>
            <w:r>
              <w:t>s for Type 2 Diabetes</w:t>
            </w:r>
            <w:r>
              <w:tab/>
            </w:r>
            <w:r>
              <w:fldChar w:fldCharType="begin"/>
            </w:r>
            <w:r>
              <w:instrText xml:space="preserve"> PAGEREF _Toc12353 \h </w:instrText>
            </w:r>
            <w:r>
              <w:fldChar w:fldCharType="separate"/>
            </w:r>
            <w:r>
              <w:t>8</w:t>
            </w:r>
            <w:r>
              <w:fldChar w:fldCharType="end"/>
            </w:r>
          </w:hyperlink>
        </w:p>
        <w:p w14:paraId="61E071E1" w14:textId="77777777" w:rsidR="00A5098A" w:rsidRDefault="00A922E9">
          <w:pPr>
            <w:pStyle w:val="WPSOffice1"/>
            <w:tabs>
              <w:tab w:val="right" w:leader="dot" w:pos="9360"/>
            </w:tabs>
            <w:spacing w:line="360" w:lineRule="auto"/>
            <w:jc w:val="center"/>
          </w:pPr>
          <w:hyperlink w:anchor="_Toc760" w:history="1">
            <w:r>
              <w:t>Conclusion</w:t>
            </w:r>
            <w:r>
              <w:tab/>
            </w:r>
            <w:r>
              <w:fldChar w:fldCharType="begin"/>
            </w:r>
            <w:r>
              <w:instrText xml:space="preserve"> PAGEREF _Toc760 \h </w:instrText>
            </w:r>
            <w:r>
              <w:fldChar w:fldCharType="separate"/>
            </w:r>
            <w:r>
              <w:t>11</w:t>
            </w:r>
            <w:r>
              <w:fldChar w:fldCharType="end"/>
            </w:r>
          </w:hyperlink>
        </w:p>
        <w:p w14:paraId="7A7DA83E" w14:textId="77777777" w:rsidR="00A5098A" w:rsidRDefault="00A922E9">
          <w:pPr>
            <w:pStyle w:val="WPSOffice1"/>
            <w:tabs>
              <w:tab w:val="right" w:leader="dot" w:pos="9360"/>
            </w:tabs>
            <w:spacing w:line="360" w:lineRule="auto"/>
            <w:jc w:val="center"/>
          </w:pPr>
          <w:hyperlink w:anchor="_Toc7681" w:history="1">
            <w:r>
              <w:t>References</w:t>
            </w:r>
            <w:r>
              <w:tab/>
            </w:r>
            <w:r>
              <w:fldChar w:fldCharType="begin"/>
            </w:r>
            <w:r>
              <w:instrText xml:space="preserve"> PAGEREF _Toc7681 \h </w:instrText>
            </w:r>
            <w:r>
              <w:fldChar w:fldCharType="separate"/>
            </w:r>
            <w:r>
              <w:t>12</w:t>
            </w:r>
            <w:r>
              <w:fldChar w:fldCharType="end"/>
            </w:r>
          </w:hyperlink>
        </w:p>
        <w:p w14:paraId="41AC4BC2" w14:textId="77777777" w:rsidR="00A5098A" w:rsidRDefault="00A922E9">
          <w:pPr>
            <w:spacing w:line="360" w:lineRule="auto"/>
            <w:jc w:val="center"/>
          </w:pPr>
          <w:r>
            <w:fldChar w:fldCharType="end"/>
          </w:r>
        </w:p>
      </w:sdtContent>
    </w:sdt>
    <w:p w14:paraId="09E32746" w14:textId="77777777" w:rsidR="00A5098A" w:rsidRDefault="00A922E9">
      <w:r>
        <w:br w:type="page"/>
      </w:r>
    </w:p>
    <w:p w14:paraId="6A665B14" w14:textId="77777777" w:rsidR="00A5098A" w:rsidRDefault="00A922E9">
      <w:pPr>
        <w:pStyle w:val="Heading1"/>
        <w:rPr>
          <w:szCs w:val="24"/>
        </w:rPr>
      </w:pPr>
      <w:bookmarkStart w:id="0" w:name="_Toc8486"/>
      <w:r>
        <w:t>Introduction</w:t>
      </w:r>
      <w:bookmarkEnd w:id="0"/>
    </w:p>
    <w:p w14:paraId="73C1065F" w14:textId="77777777" w:rsidR="00A5098A" w:rsidRDefault="00A922E9">
      <w:pPr>
        <w:spacing w:after="240" w:line="360" w:lineRule="auto"/>
        <w:jc w:val="both"/>
        <w:rPr>
          <w:szCs w:val="24"/>
        </w:rPr>
      </w:pPr>
      <w:r>
        <w:rPr>
          <w:szCs w:val="24"/>
        </w:rPr>
        <w:t>Diabetes is one of the biggest global health challenges of the 21st century. In 2021, 537 million adults worldwide were afflicted, and by 2030, 643 million. Approximately 90-95% of diabetes is type 2. Insulin resistance and relative insulin insufficiency cause high blood glucose. A metabolic problem that impairs glucose management raises the risk of serious complications such as heart, kidney, eye, and nerve damage (Chatterjee and Clinic, 2025).</w:t>
      </w:r>
    </w:p>
    <w:p w14:paraId="4F1E713B" w14:textId="77777777" w:rsidR="00A5098A" w:rsidRDefault="00A922E9">
      <w:pPr>
        <w:spacing w:after="240" w:line="360" w:lineRule="auto"/>
        <w:jc w:val="both"/>
        <w:rPr>
          <w:szCs w:val="24"/>
        </w:rPr>
      </w:pPr>
      <w:r>
        <w:rPr>
          <w:szCs w:val="24"/>
        </w:rPr>
        <w:t>There are numerous causes of type 2 diabetes, such as genetics, lifestyle patterns and so on. Obesity, particularly abdominal fat, age, or family history, physical inactivity, and specific ethnic groups are major risk factors. South Asians, African-Caribbean, and Hispanics are more likely to get infected (Bellou et al., 2019). Smoking, heavy alcohol consumption, processed food and refined carb diets, and chronic stress are modifiable risks. Understanding that these factors are crucial to prevention and ther</w:t>
      </w:r>
      <w:r>
        <w:rPr>
          <w:szCs w:val="24"/>
        </w:rPr>
        <w:t>apy is crucial</w:t>
      </w:r>
      <w:r>
        <w:rPr>
          <w:szCs w:val="24"/>
        </w:rPr>
        <w:t>.</w:t>
      </w:r>
    </w:p>
    <w:p w14:paraId="5DEAD4E6" w14:textId="77777777" w:rsidR="00A5098A" w:rsidRDefault="00A922E9">
      <w:pPr>
        <w:pStyle w:val="Heading1"/>
      </w:pPr>
      <w:bookmarkStart w:id="1" w:name="_Toc7271"/>
      <w:r>
        <w:t>Blood Sugar Regulation in the Human Body</w:t>
      </w:r>
      <w:bookmarkEnd w:id="1"/>
    </w:p>
    <w:p w14:paraId="14F66E0C" w14:textId="77777777" w:rsidR="00A5098A" w:rsidRDefault="00A922E9">
      <w:pPr>
        <w:spacing w:after="360" w:line="360" w:lineRule="auto"/>
        <w:jc w:val="both"/>
        <w:rPr>
          <w:szCs w:val="24"/>
        </w:rPr>
      </w:pPr>
      <w:r>
        <w:rPr>
          <w:szCs w:val="24"/>
        </w:rPr>
        <w:t>The pancreas produces hormones that maintain blood sugar at a safe and efficient level, primarily insulin and glucagon. The hormones determine the manner in which the body stores and releases glucose to satisfy its energy needs. The most important processes in maintaining the normal blood glucose are the following:</w:t>
      </w:r>
    </w:p>
    <w:p w14:paraId="4CE88AD1" w14:textId="77777777" w:rsidR="00A5098A" w:rsidRDefault="00A922E9">
      <w:pPr>
        <w:numPr>
          <w:ilvl w:val="0"/>
          <w:numId w:val="1"/>
        </w:numPr>
        <w:spacing w:after="360" w:line="360" w:lineRule="auto"/>
        <w:jc w:val="both"/>
        <w:rPr>
          <w:szCs w:val="24"/>
        </w:rPr>
      </w:pPr>
      <w:r>
        <w:rPr>
          <w:b/>
          <w:bCs/>
          <w:szCs w:val="24"/>
        </w:rPr>
        <w:t xml:space="preserve">Normal Blood Glucose Balance: </w:t>
      </w:r>
      <w:r>
        <w:rPr>
          <w:szCs w:val="24"/>
        </w:rPr>
        <w:t>To maintain normal glucose levels in the body, the normal range of glucose is 4.0 -5.9 mmol/L, low and high glucose levels are harmful as they may damage cells and health in general</w:t>
      </w:r>
      <w:r>
        <w:rPr>
          <w:szCs w:val="24"/>
          <w:lang w:val="en-US"/>
        </w:rPr>
        <w:t xml:space="preserve"> (Diabetes UK, 2021)</w:t>
      </w:r>
      <w:r>
        <w:rPr>
          <w:szCs w:val="24"/>
        </w:rPr>
        <w:t>.</w:t>
      </w:r>
    </w:p>
    <w:p w14:paraId="10224035" w14:textId="77777777" w:rsidR="00A5098A" w:rsidRDefault="00A922E9">
      <w:pPr>
        <w:numPr>
          <w:ilvl w:val="0"/>
          <w:numId w:val="1"/>
        </w:numPr>
        <w:spacing w:after="360" w:line="360" w:lineRule="auto"/>
        <w:jc w:val="both"/>
        <w:rPr>
          <w:szCs w:val="24"/>
        </w:rPr>
      </w:pPr>
      <w:r>
        <w:rPr>
          <w:b/>
          <w:bCs/>
          <w:szCs w:val="24"/>
        </w:rPr>
        <w:t>Role of the Pancreas</w:t>
      </w:r>
      <w:r>
        <w:rPr>
          <w:b/>
          <w:bCs/>
          <w:szCs w:val="24"/>
          <w:lang w:val="en-US"/>
        </w:rPr>
        <w:t>:</w:t>
      </w:r>
      <w:r>
        <w:rPr>
          <w:szCs w:val="24"/>
        </w:rPr>
        <w:t xml:space="preserve"> The Pancreas controls blood glucose by the action of two hormones: insulin and glucagon, which work in opposite directions to maintain the blood glucose levels constant.</w:t>
      </w:r>
    </w:p>
    <w:p w14:paraId="0D05E149" w14:textId="77777777" w:rsidR="00A5098A" w:rsidRDefault="00A922E9">
      <w:pPr>
        <w:numPr>
          <w:ilvl w:val="0"/>
          <w:numId w:val="1"/>
        </w:numPr>
        <w:spacing w:after="360" w:line="360" w:lineRule="auto"/>
        <w:jc w:val="both"/>
        <w:rPr>
          <w:szCs w:val="24"/>
        </w:rPr>
      </w:pPr>
      <w:r>
        <w:rPr>
          <w:b/>
          <w:bCs/>
          <w:szCs w:val="24"/>
        </w:rPr>
        <w:t>Insulin Function (After Eating):</w:t>
      </w:r>
      <w:r>
        <w:rPr>
          <w:szCs w:val="24"/>
        </w:rPr>
        <w:t xml:space="preserve"> Blood glucose increases after meals. There is the release of insulin where glucose in the blood is transported to the muscles, fat tissue and liver where it gives energy. It also keeps the surplus glucose in form of glycogen in the liver and muscles and restricts the production of new glucose</w:t>
      </w:r>
      <w:r>
        <w:rPr>
          <w:szCs w:val="24"/>
          <w:lang w:val="en-US"/>
        </w:rPr>
        <w:t xml:space="preserve"> (Campbell and Newgard, 2021)</w:t>
      </w:r>
      <w:r>
        <w:rPr>
          <w:szCs w:val="24"/>
        </w:rPr>
        <w:t>.</w:t>
      </w:r>
    </w:p>
    <w:p w14:paraId="35A0718E" w14:textId="77777777" w:rsidR="00A5098A" w:rsidRDefault="00A922E9">
      <w:pPr>
        <w:numPr>
          <w:ilvl w:val="0"/>
          <w:numId w:val="1"/>
        </w:numPr>
        <w:spacing w:after="360" w:line="360" w:lineRule="auto"/>
        <w:jc w:val="both"/>
        <w:rPr>
          <w:szCs w:val="24"/>
        </w:rPr>
      </w:pPr>
      <w:r>
        <w:rPr>
          <w:b/>
          <w:bCs/>
          <w:szCs w:val="24"/>
        </w:rPr>
        <w:t>Glucagon Function (During Fasting):</w:t>
      </w:r>
      <w:r>
        <w:rPr>
          <w:szCs w:val="24"/>
        </w:rPr>
        <w:t xml:space="preserve"> As the glucose levels decrease between meals or when an individual is fasting, glucagon is released. This commands the liver to decompose the stored glycogen and to discharge glucose into the blood, which provides a constant flow of energy, and particularly to the brain.</w:t>
      </w:r>
    </w:p>
    <w:p w14:paraId="67312BBA" w14:textId="77777777" w:rsidR="00A5098A" w:rsidRDefault="00A922E9">
      <w:pPr>
        <w:numPr>
          <w:ilvl w:val="0"/>
          <w:numId w:val="1"/>
        </w:numPr>
        <w:spacing w:after="360" w:line="360" w:lineRule="auto"/>
        <w:jc w:val="both"/>
        <w:rPr>
          <w:szCs w:val="24"/>
        </w:rPr>
      </w:pPr>
      <w:r>
        <w:rPr>
          <w:b/>
          <w:bCs/>
          <w:szCs w:val="24"/>
        </w:rPr>
        <w:t xml:space="preserve">Problem with Type 2 Diabetes: </w:t>
      </w:r>
      <w:r>
        <w:rPr>
          <w:szCs w:val="24"/>
        </w:rPr>
        <w:t>In type 2 diabetes, the body becomes insulin resistant and produces less insulin hence glucose remains in the blood resulting in high blood sugar levels</w:t>
      </w:r>
      <w:r>
        <w:rPr>
          <w:szCs w:val="24"/>
          <w:lang w:val="en-US"/>
        </w:rPr>
        <w:t xml:space="preserve"> (Chatterjee and Clinic, 2025)</w:t>
      </w:r>
      <w:r>
        <w:rPr>
          <w:szCs w:val="24"/>
        </w:rPr>
        <w:t>.</w:t>
      </w:r>
    </w:p>
    <w:p w14:paraId="646761EC" w14:textId="77777777" w:rsidR="00A5098A" w:rsidRDefault="00A922E9">
      <w:pPr>
        <w:spacing w:before="240" w:after="120" w:line="360" w:lineRule="auto"/>
        <w:jc w:val="both"/>
        <w:rPr>
          <w:szCs w:val="24"/>
          <w:lang w:val="en-US"/>
        </w:rPr>
      </w:pPr>
      <w:r>
        <w:rPr>
          <w:b/>
          <w:bCs/>
          <w:szCs w:val="24"/>
        </w:rPr>
        <w:t>Table 1: Hormonal Regulation of Blood Glucose Levels</w:t>
      </w:r>
      <w:r>
        <w:rPr>
          <w:b/>
          <w:bCs/>
          <w:szCs w:val="24"/>
          <w:lang w:val="en-US"/>
        </w:rPr>
        <w:t xml:space="preserve"> </w:t>
      </w:r>
      <w:r>
        <w:rPr>
          <w:b/>
          <w:bCs/>
          <w:szCs w:val="24"/>
          <w:lang w:val="en-US"/>
        </w:rPr>
        <w:t>(Röder et al., 2020; Campbell and Newgard, 2021)</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340"/>
        <w:gridCol w:w="2340"/>
        <w:gridCol w:w="2340"/>
        <w:gridCol w:w="2340"/>
      </w:tblGrid>
      <w:tr w:rsidR="00A5098A" w14:paraId="610F1B54" w14:textId="77777777">
        <w:tc>
          <w:tcPr>
            <w:tcW w:w="2340" w:type="dxa"/>
            <w:tcBorders>
              <w:top w:val="single" w:sz="0" w:space="0" w:color="000000"/>
              <w:left w:val="single" w:sz="0" w:space="0" w:color="000000"/>
              <w:bottom w:val="single" w:sz="0" w:space="0" w:color="000000"/>
              <w:right w:val="single" w:sz="0" w:space="0" w:color="000000"/>
            </w:tcBorders>
            <w:shd w:val="clear" w:color="auto" w:fill="D5E8F0"/>
            <w:tcMar>
              <w:top w:w="80" w:type="dxa"/>
              <w:left w:w="120" w:type="dxa"/>
              <w:bottom w:w="80" w:type="dxa"/>
              <w:right w:w="120" w:type="dxa"/>
            </w:tcMar>
            <w:vAlign w:val="center"/>
          </w:tcPr>
          <w:p w14:paraId="6D249564" w14:textId="77777777" w:rsidR="00A5098A" w:rsidRDefault="00A922E9">
            <w:pPr>
              <w:spacing w:line="360" w:lineRule="auto"/>
              <w:jc w:val="both"/>
              <w:rPr>
                <w:szCs w:val="24"/>
              </w:rPr>
            </w:pPr>
            <w:r>
              <w:rPr>
                <w:b/>
                <w:bCs/>
                <w:szCs w:val="24"/>
              </w:rPr>
              <w:t>Hormone</w:t>
            </w:r>
          </w:p>
        </w:tc>
        <w:tc>
          <w:tcPr>
            <w:tcW w:w="2340" w:type="dxa"/>
            <w:tcBorders>
              <w:top w:val="single" w:sz="0" w:space="0" w:color="000000"/>
              <w:left w:val="single" w:sz="0" w:space="0" w:color="000000"/>
              <w:bottom w:val="single" w:sz="0" w:space="0" w:color="000000"/>
              <w:right w:val="single" w:sz="0" w:space="0" w:color="000000"/>
            </w:tcBorders>
            <w:shd w:val="clear" w:color="auto" w:fill="D5E8F0"/>
            <w:tcMar>
              <w:top w:w="80" w:type="dxa"/>
              <w:left w:w="120" w:type="dxa"/>
              <w:bottom w:w="80" w:type="dxa"/>
              <w:right w:w="120" w:type="dxa"/>
            </w:tcMar>
            <w:vAlign w:val="center"/>
          </w:tcPr>
          <w:p w14:paraId="2F84046E" w14:textId="77777777" w:rsidR="00A5098A" w:rsidRDefault="00A922E9">
            <w:pPr>
              <w:spacing w:line="360" w:lineRule="auto"/>
              <w:jc w:val="both"/>
              <w:rPr>
                <w:szCs w:val="24"/>
              </w:rPr>
            </w:pPr>
            <w:r>
              <w:rPr>
                <w:b/>
                <w:bCs/>
                <w:szCs w:val="24"/>
              </w:rPr>
              <w:t>Secreted By</w:t>
            </w:r>
          </w:p>
        </w:tc>
        <w:tc>
          <w:tcPr>
            <w:tcW w:w="2340" w:type="dxa"/>
            <w:tcBorders>
              <w:top w:val="single" w:sz="0" w:space="0" w:color="000000"/>
              <w:left w:val="single" w:sz="0" w:space="0" w:color="000000"/>
              <w:bottom w:val="single" w:sz="0" w:space="0" w:color="000000"/>
              <w:right w:val="single" w:sz="0" w:space="0" w:color="000000"/>
            </w:tcBorders>
            <w:shd w:val="clear" w:color="auto" w:fill="D5E8F0"/>
            <w:tcMar>
              <w:top w:w="80" w:type="dxa"/>
              <w:left w:w="120" w:type="dxa"/>
              <w:bottom w:w="80" w:type="dxa"/>
              <w:right w:w="120" w:type="dxa"/>
            </w:tcMar>
            <w:vAlign w:val="center"/>
          </w:tcPr>
          <w:p w14:paraId="76AAC766" w14:textId="77777777" w:rsidR="00A5098A" w:rsidRDefault="00A922E9">
            <w:pPr>
              <w:spacing w:line="360" w:lineRule="auto"/>
              <w:jc w:val="both"/>
              <w:rPr>
                <w:szCs w:val="24"/>
              </w:rPr>
            </w:pPr>
            <w:r>
              <w:rPr>
                <w:b/>
                <w:bCs/>
                <w:szCs w:val="24"/>
              </w:rPr>
              <w:t>Primary Actions</w:t>
            </w:r>
          </w:p>
        </w:tc>
        <w:tc>
          <w:tcPr>
            <w:tcW w:w="2340" w:type="dxa"/>
            <w:tcBorders>
              <w:top w:val="single" w:sz="0" w:space="0" w:color="000000"/>
              <w:left w:val="single" w:sz="0" w:space="0" w:color="000000"/>
              <w:bottom w:val="single" w:sz="0" w:space="0" w:color="000000"/>
              <w:right w:val="single" w:sz="0" w:space="0" w:color="000000"/>
            </w:tcBorders>
            <w:shd w:val="clear" w:color="auto" w:fill="D5E8F0"/>
            <w:tcMar>
              <w:top w:w="80" w:type="dxa"/>
              <w:left w:w="120" w:type="dxa"/>
              <w:bottom w:w="80" w:type="dxa"/>
              <w:right w:w="120" w:type="dxa"/>
            </w:tcMar>
            <w:vAlign w:val="center"/>
          </w:tcPr>
          <w:p w14:paraId="10B09349" w14:textId="77777777" w:rsidR="00A5098A" w:rsidRDefault="00A922E9">
            <w:pPr>
              <w:spacing w:line="360" w:lineRule="auto"/>
              <w:jc w:val="both"/>
              <w:rPr>
                <w:szCs w:val="24"/>
              </w:rPr>
            </w:pPr>
            <w:r>
              <w:rPr>
                <w:b/>
                <w:bCs/>
                <w:szCs w:val="24"/>
              </w:rPr>
              <w:t>Effect on Blood Glucose</w:t>
            </w:r>
          </w:p>
        </w:tc>
      </w:tr>
      <w:tr w:rsidR="00A5098A" w14:paraId="23C360AF" w14:textId="77777777">
        <w:tc>
          <w:tcPr>
            <w:tcW w:w="2340" w:type="dxa"/>
            <w:tcBorders>
              <w:top w:val="single" w:sz="0" w:space="0" w:color="000000"/>
              <w:left w:val="single" w:sz="0" w:space="0" w:color="000000"/>
              <w:bottom w:val="single" w:sz="0" w:space="0" w:color="000000"/>
              <w:right w:val="single" w:sz="0" w:space="0" w:color="000000"/>
            </w:tcBorders>
            <w:shd w:val="clear" w:color="auto" w:fill="FFFFFF"/>
            <w:tcMar>
              <w:top w:w="80" w:type="dxa"/>
              <w:left w:w="120" w:type="dxa"/>
              <w:bottom w:w="80" w:type="dxa"/>
              <w:right w:w="120" w:type="dxa"/>
            </w:tcMar>
            <w:vAlign w:val="center"/>
          </w:tcPr>
          <w:p w14:paraId="1B984E1E" w14:textId="77777777" w:rsidR="00A5098A" w:rsidRDefault="00A922E9">
            <w:pPr>
              <w:spacing w:line="360" w:lineRule="auto"/>
              <w:jc w:val="both"/>
              <w:rPr>
                <w:szCs w:val="24"/>
              </w:rPr>
            </w:pPr>
            <w:r>
              <w:rPr>
                <w:szCs w:val="24"/>
              </w:rPr>
              <w:t>Insulin</w:t>
            </w:r>
          </w:p>
        </w:tc>
        <w:tc>
          <w:tcPr>
            <w:tcW w:w="2340" w:type="dxa"/>
            <w:tcBorders>
              <w:top w:val="single" w:sz="0" w:space="0" w:color="000000"/>
              <w:left w:val="single" w:sz="0" w:space="0" w:color="000000"/>
              <w:bottom w:val="single" w:sz="0" w:space="0" w:color="000000"/>
              <w:right w:val="single" w:sz="0" w:space="0" w:color="000000"/>
            </w:tcBorders>
            <w:shd w:val="clear" w:color="auto" w:fill="FFFFFF"/>
            <w:tcMar>
              <w:top w:w="80" w:type="dxa"/>
              <w:left w:w="120" w:type="dxa"/>
              <w:bottom w:w="80" w:type="dxa"/>
              <w:right w:w="120" w:type="dxa"/>
            </w:tcMar>
            <w:vAlign w:val="center"/>
          </w:tcPr>
          <w:p w14:paraId="3CF99E41" w14:textId="77777777" w:rsidR="00A5098A" w:rsidRDefault="00A922E9">
            <w:pPr>
              <w:spacing w:line="360" w:lineRule="auto"/>
              <w:jc w:val="both"/>
              <w:rPr>
                <w:szCs w:val="24"/>
              </w:rPr>
            </w:pPr>
            <w:r>
              <w:rPr>
                <w:szCs w:val="24"/>
              </w:rPr>
              <w:t>Pancreatic beta cells (Islets of Langerhans)</w:t>
            </w:r>
          </w:p>
        </w:tc>
        <w:tc>
          <w:tcPr>
            <w:tcW w:w="2340" w:type="dxa"/>
            <w:tcBorders>
              <w:top w:val="single" w:sz="0" w:space="0" w:color="000000"/>
              <w:left w:val="single" w:sz="0" w:space="0" w:color="000000"/>
              <w:bottom w:val="single" w:sz="0" w:space="0" w:color="000000"/>
              <w:right w:val="single" w:sz="0" w:space="0" w:color="000000"/>
            </w:tcBorders>
            <w:shd w:val="clear" w:color="auto" w:fill="FFFFFF"/>
            <w:tcMar>
              <w:top w:w="80" w:type="dxa"/>
              <w:left w:w="120" w:type="dxa"/>
              <w:bottom w:w="80" w:type="dxa"/>
              <w:right w:w="120" w:type="dxa"/>
            </w:tcMar>
            <w:vAlign w:val="center"/>
          </w:tcPr>
          <w:p w14:paraId="4F38F6C8" w14:textId="77777777" w:rsidR="00A5098A" w:rsidRDefault="00A922E9">
            <w:pPr>
              <w:spacing w:line="360" w:lineRule="auto"/>
              <w:jc w:val="both"/>
              <w:rPr>
                <w:szCs w:val="24"/>
              </w:rPr>
            </w:pPr>
            <w:r>
              <w:rPr>
                <w:szCs w:val="24"/>
              </w:rPr>
              <w:t>Promotes glucose uptake by cells; Stimulates glycogenesis; Inhibits gluconeogenesis and glycogenolysis</w:t>
            </w:r>
          </w:p>
        </w:tc>
        <w:tc>
          <w:tcPr>
            <w:tcW w:w="2340" w:type="dxa"/>
            <w:tcBorders>
              <w:top w:val="single" w:sz="0" w:space="0" w:color="000000"/>
              <w:left w:val="single" w:sz="0" w:space="0" w:color="000000"/>
              <w:bottom w:val="single" w:sz="0" w:space="0" w:color="000000"/>
              <w:right w:val="single" w:sz="0" w:space="0" w:color="000000"/>
            </w:tcBorders>
            <w:shd w:val="clear" w:color="auto" w:fill="FFFFFF"/>
            <w:tcMar>
              <w:top w:w="80" w:type="dxa"/>
              <w:left w:w="120" w:type="dxa"/>
              <w:bottom w:w="80" w:type="dxa"/>
              <w:right w:w="120" w:type="dxa"/>
            </w:tcMar>
            <w:vAlign w:val="center"/>
          </w:tcPr>
          <w:p w14:paraId="57604852" w14:textId="77777777" w:rsidR="00A5098A" w:rsidRDefault="00A922E9">
            <w:pPr>
              <w:spacing w:line="360" w:lineRule="auto"/>
              <w:jc w:val="both"/>
              <w:rPr>
                <w:szCs w:val="24"/>
              </w:rPr>
            </w:pPr>
            <w:r>
              <w:rPr>
                <w:szCs w:val="24"/>
              </w:rPr>
              <w:t>Decreases blood glucose levels</w:t>
            </w:r>
          </w:p>
        </w:tc>
      </w:tr>
      <w:tr w:rsidR="00A5098A" w14:paraId="2560A5C4" w14:textId="77777777">
        <w:tc>
          <w:tcPr>
            <w:tcW w:w="2340" w:type="dxa"/>
            <w:tcBorders>
              <w:top w:val="single" w:sz="0" w:space="0" w:color="000000"/>
              <w:left w:val="single" w:sz="0" w:space="0" w:color="000000"/>
              <w:bottom w:val="single" w:sz="0" w:space="0" w:color="000000"/>
              <w:right w:val="single" w:sz="0" w:space="0" w:color="000000"/>
            </w:tcBorders>
            <w:shd w:val="clear" w:color="auto" w:fill="FFFFFF"/>
            <w:tcMar>
              <w:top w:w="80" w:type="dxa"/>
              <w:left w:w="120" w:type="dxa"/>
              <w:bottom w:w="80" w:type="dxa"/>
              <w:right w:w="120" w:type="dxa"/>
            </w:tcMar>
            <w:vAlign w:val="center"/>
          </w:tcPr>
          <w:p w14:paraId="1960ECD2" w14:textId="77777777" w:rsidR="00A5098A" w:rsidRDefault="00A922E9">
            <w:pPr>
              <w:spacing w:line="360" w:lineRule="auto"/>
              <w:jc w:val="both"/>
              <w:rPr>
                <w:szCs w:val="24"/>
              </w:rPr>
            </w:pPr>
            <w:r>
              <w:rPr>
                <w:szCs w:val="24"/>
              </w:rPr>
              <w:t>Glucagon</w:t>
            </w:r>
          </w:p>
        </w:tc>
        <w:tc>
          <w:tcPr>
            <w:tcW w:w="2340" w:type="dxa"/>
            <w:tcBorders>
              <w:top w:val="single" w:sz="0" w:space="0" w:color="000000"/>
              <w:left w:val="single" w:sz="0" w:space="0" w:color="000000"/>
              <w:bottom w:val="single" w:sz="0" w:space="0" w:color="000000"/>
              <w:right w:val="single" w:sz="0" w:space="0" w:color="000000"/>
            </w:tcBorders>
            <w:shd w:val="clear" w:color="auto" w:fill="FFFFFF"/>
            <w:tcMar>
              <w:top w:w="80" w:type="dxa"/>
              <w:left w:w="120" w:type="dxa"/>
              <w:bottom w:w="80" w:type="dxa"/>
              <w:right w:w="120" w:type="dxa"/>
            </w:tcMar>
            <w:vAlign w:val="center"/>
          </w:tcPr>
          <w:p w14:paraId="366A0690" w14:textId="77777777" w:rsidR="00A5098A" w:rsidRDefault="00A922E9">
            <w:pPr>
              <w:spacing w:line="360" w:lineRule="auto"/>
              <w:jc w:val="both"/>
              <w:rPr>
                <w:szCs w:val="24"/>
              </w:rPr>
            </w:pPr>
            <w:r>
              <w:rPr>
                <w:szCs w:val="24"/>
              </w:rPr>
              <w:t>Pancreatic alpha cells (Islets of Langerhans)</w:t>
            </w:r>
          </w:p>
        </w:tc>
        <w:tc>
          <w:tcPr>
            <w:tcW w:w="2340" w:type="dxa"/>
            <w:tcBorders>
              <w:top w:val="single" w:sz="0" w:space="0" w:color="000000"/>
              <w:left w:val="single" w:sz="0" w:space="0" w:color="000000"/>
              <w:bottom w:val="single" w:sz="0" w:space="0" w:color="000000"/>
              <w:right w:val="single" w:sz="0" w:space="0" w:color="000000"/>
            </w:tcBorders>
            <w:shd w:val="clear" w:color="auto" w:fill="FFFFFF"/>
            <w:tcMar>
              <w:top w:w="80" w:type="dxa"/>
              <w:left w:w="120" w:type="dxa"/>
              <w:bottom w:w="80" w:type="dxa"/>
              <w:right w:w="120" w:type="dxa"/>
            </w:tcMar>
            <w:vAlign w:val="center"/>
          </w:tcPr>
          <w:p w14:paraId="1C8A86B9" w14:textId="77777777" w:rsidR="00A5098A" w:rsidRDefault="00A922E9">
            <w:pPr>
              <w:spacing w:line="360" w:lineRule="auto"/>
              <w:jc w:val="both"/>
              <w:rPr>
                <w:szCs w:val="24"/>
              </w:rPr>
            </w:pPr>
            <w:r>
              <w:rPr>
                <w:szCs w:val="24"/>
              </w:rPr>
              <w:t>Stimulates glycogenolysis in liver; Promotes gluconeogenesis; Increases lipolysis</w:t>
            </w:r>
          </w:p>
        </w:tc>
        <w:tc>
          <w:tcPr>
            <w:tcW w:w="2340" w:type="dxa"/>
            <w:tcBorders>
              <w:top w:val="single" w:sz="0" w:space="0" w:color="000000"/>
              <w:left w:val="single" w:sz="0" w:space="0" w:color="000000"/>
              <w:bottom w:val="single" w:sz="0" w:space="0" w:color="000000"/>
              <w:right w:val="single" w:sz="0" w:space="0" w:color="000000"/>
            </w:tcBorders>
            <w:shd w:val="clear" w:color="auto" w:fill="FFFFFF"/>
            <w:tcMar>
              <w:top w:w="80" w:type="dxa"/>
              <w:left w:w="120" w:type="dxa"/>
              <w:bottom w:w="80" w:type="dxa"/>
              <w:right w:w="120" w:type="dxa"/>
            </w:tcMar>
            <w:vAlign w:val="center"/>
          </w:tcPr>
          <w:p w14:paraId="095F3AD5" w14:textId="77777777" w:rsidR="00A5098A" w:rsidRDefault="00A922E9">
            <w:pPr>
              <w:spacing w:line="360" w:lineRule="auto"/>
              <w:jc w:val="both"/>
              <w:rPr>
                <w:szCs w:val="24"/>
              </w:rPr>
            </w:pPr>
            <w:r>
              <w:rPr>
                <w:szCs w:val="24"/>
              </w:rPr>
              <w:t>Increases blood glucose levels</w:t>
            </w:r>
          </w:p>
        </w:tc>
      </w:tr>
    </w:tbl>
    <w:p w14:paraId="07C42660" w14:textId="77777777" w:rsidR="00A5098A" w:rsidRDefault="00A5098A">
      <w:pPr>
        <w:spacing w:before="120" w:after="360" w:line="360" w:lineRule="auto"/>
        <w:jc w:val="both"/>
        <w:rPr>
          <w:i/>
          <w:iCs/>
          <w:szCs w:val="24"/>
        </w:rPr>
      </w:pPr>
    </w:p>
    <w:p w14:paraId="0B00E002" w14:textId="77777777" w:rsidR="00A5098A" w:rsidRDefault="00A922E9">
      <w:pPr>
        <w:spacing w:line="360" w:lineRule="auto"/>
        <w:jc w:val="center"/>
        <w:rPr>
          <w:szCs w:val="24"/>
        </w:rPr>
      </w:pPr>
      <w:r>
        <w:rPr>
          <w:noProof/>
          <w:szCs w:val="24"/>
        </w:rPr>
        <w:drawing>
          <wp:inline distT="0" distB="0" distL="114300" distR="114300" wp14:anchorId="72E37370" wp14:editId="1AD0852D">
            <wp:extent cx="5486400" cy="3818255"/>
            <wp:effectExtent l="0" t="0" r="0" b="444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pic:cNvPicPr>
                  </pic:nvPicPr>
                  <pic:blipFill>
                    <a:blip r:embed="rId10"/>
                    <a:stretch>
                      <a:fillRect/>
                    </a:stretch>
                  </pic:blipFill>
                  <pic:spPr>
                    <a:xfrm>
                      <a:off x="0" y="0"/>
                      <a:ext cx="5486400" cy="3818801"/>
                    </a:xfrm>
                    <a:prstGeom prst="rect">
                      <a:avLst/>
                    </a:prstGeom>
                  </pic:spPr>
                </pic:pic>
              </a:graphicData>
            </a:graphic>
          </wp:inline>
        </w:drawing>
      </w:r>
    </w:p>
    <w:p w14:paraId="3B9E69DE" w14:textId="77777777" w:rsidR="00A5098A" w:rsidRDefault="00A922E9">
      <w:pPr>
        <w:spacing w:after="360" w:line="360" w:lineRule="auto"/>
        <w:jc w:val="center"/>
        <w:rPr>
          <w:szCs w:val="24"/>
          <w:lang w:val="en-US"/>
        </w:rPr>
      </w:pPr>
      <w:r>
        <w:rPr>
          <w:i/>
          <w:szCs w:val="24"/>
        </w:rPr>
        <w:t>Figure 1: Hormonal Regulation of Blood Glucose Levels showing the opposing actions of insulin and glucagon</w:t>
      </w:r>
      <w:r>
        <w:rPr>
          <w:i/>
          <w:szCs w:val="24"/>
          <w:lang w:val="en-US"/>
        </w:rPr>
        <w:t xml:space="preserve"> </w:t>
      </w:r>
      <w:r>
        <w:rPr>
          <w:i/>
          <w:szCs w:val="24"/>
          <w:lang w:val="en-US"/>
        </w:rPr>
        <w:t>(Röder et al., 2020; Campbell and Newgard, 2021)</w:t>
      </w:r>
    </w:p>
    <w:p w14:paraId="47504BE1" w14:textId="77777777" w:rsidR="00A5098A" w:rsidRDefault="00A922E9">
      <w:pPr>
        <w:pStyle w:val="Heading1"/>
      </w:pPr>
      <w:bookmarkStart w:id="2" w:name="_Toc2070"/>
      <w:r>
        <w:t>Cellular Energy Production: Glucose and Oxygen Metabolism</w:t>
      </w:r>
      <w:bookmarkEnd w:id="2"/>
    </w:p>
    <w:p w14:paraId="6E7BD598" w14:textId="77777777" w:rsidR="00A5098A" w:rsidRDefault="00A922E9">
      <w:pPr>
        <w:spacing w:after="240" w:line="360" w:lineRule="auto"/>
        <w:jc w:val="both"/>
        <w:rPr>
          <w:szCs w:val="24"/>
        </w:rPr>
      </w:pPr>
      <w:r>
        <w:rPr>
          <w:szCs w:val="24"/>
        </w:rPr>
        <w:t>Cellular metabolism refers to a collection of all biochemical processes that take place within cells to ensure that life continues and adenosine triphosphate (ATP) is the universal currency of energy</w:t>
      </w:r>
      <w:r>
        <w:rPr>
          <w:szCs w:val="24"/>
          <w:lang w:val="en-US"/>
        </w:rPr>
        <w:t xml:space="preserve"> (Dunn and Grider, 2023)</w:t>
      </w:r>
      <w:r>
        <w:rPr>
          <w:szCs w:val="24"/>
        </w:rPr>
        <w:t>. The primary raw materials required in effective ATP production by cellular respiration are glucose and oxygen, which occur in three separate stages</w:t>
      </w:r>
      <w:r>
        <w:rPr>
          <w:szCs w:val="24"/>
        </w:rPr>
        <w:t>:</w:t>
      </w:r>
    </w:p>
    <w:p w14:paraId="1FBE26C6" w14:textId="77777777" w:rsidR="00A5098A" w:rsidRDefault="00A922E9">
      <w:pPr>
        <w:rPr>
          <w:szCs w:val="24"/>
        </w:rPr>
      </w:pPr>
      <w:r>
        <w:rPr>
          <w:b/>
          <w:bCs/>
        </w:rPr>
        <w:t>Stage 1: Glycolysis</w:t>
      </w:r>
    </w:p>
    <w:p w14:paraId="5CE24BD3" w14:textId="77777777" w:rsidR="00A5098A" w:rsidRDefault="00A922E9">
      <w:pPr>
        <w:pStyle w:val="ListParagraph"/>
        <w:spacing w:after="240" w:line="360" w:lineRule="auto"/>
        <w:jc w:val="both"/>
        <w:rPr>
          <w:sz w:val="24"/>
          <w:szCs w:val="24"/>
        </w:rPr>
      </w:pPr>
      <w:r>
        <w:rPr>
          <w:sz w:val="24"/>
          <w:szCs w:val="24"/>
        </w:rPr>
        <w:t>Glycolysis occurs in the cytoplasm and it is the initial stage in the breakdown of glucose. Key points are:</w:t>
      </w:r>
    </w:p>
    <w:p w14:paraId="7083CBF2" w14:textId="77777777" w:rsidR="00A5098A" w:rsidRDefault="00A922E9">
      <w:pPr>
        <w:pStyle w:val="ListParagraph"/>
        <w:numPr>
          <w:ilvl w:val="0"/>
          <w:numId w:val="2"/>
        </w:numPr>
        <w:spacing w:after="240" w:line="360" w:lineRule="auto"/>
        <w:jc w:val="both"/>
        <w:rPr>
          <w:sz w:val="24"/>
          <w:szCs w:val="24"/>
        </w:rPr>
      </w:pPr>
      <w:r>
        <w:rPr>
          <w:sz w:val="24"/>
          <w:szCs w:val="24"/>
        </w:rPr>
        <w:t>One molecule (C₆H₁₂O₆) of glucose is divided into two molecules of pyruvate.</w:t>
      </w:r>
    </w:p>
    <w:p w14:paraId="0B33EB25" w14:textId="77777777" w:rsidR="00A5098A" w:rsidRDefault="00A922E9">
      <w:pPr>
        <w:pStyle w:val="ListParagraph"/>
        <w:numPr>
          <w:ilvl w:val="0"/>
          <w:numId w:val="2"/>
        </w:numPr>
        <w:spacing w:after="240" w:line="360" w:lineRule="auto"/>
        <w:jc w:val="both"/>
        <w:rPr>
          <w:sz w:val="24"/>
          <w:szCs w:val="24"/>
        </w:rPr>
      </w:pPr>
      <w:r>
        <w:rPr>
          <w:sz w:val="24"/>
          <w:szCs w:val="24"/>
        </w:rPr>
        <w:t>The total output is two ATP molecules and two NADH molecules.</w:t>
      </w:r>
    </w:p>
    <w:p w14:paraId="61D09107" w14:textId="77777777" w:rsidR="00A5098A" w:rsidRDefault="00A922E9">
      <w:pPr>
        <w:pStyle w:val="ListParagraph"/>
        <w:numPr>
          <w:ilvl w:val="0"/>
          <w:numId w:val="2"/>
        </w:numPr>
        <w:spacing w:after="240" w:line="360" w:lineRule="auto"/>
        <w:jc w:val="both"/>
        <w:rPr>
          <w:sz w:val="24"/>
          <w:szCs w:val="24"/>
        </w:rPr>
      </w:pPr>
      <w:r>
        <w:rPr>
          <w:sz w:val="24"/>
          <w:szCs w:val="24"/>
        </w:rPr>
        <w:t>It is anaerobic and oxygen is not required.</w:t>
      </w:r>
    </w:p>
    <w:p w14:paraId="1958A84A" w14:textId="77777777" w:rsidR="00A5098A" w:rsidRDefault="00A922E9">
      <w:pPr>
        <w:pStyle w:val="ListParagraph"/>
        <w:numPr>
          <w:ilvl w:val="0"/>
          <w:numId w:val="2"/>
        </w:numPr>
        <w:spacing w:after="240" w:line="360" w:lineRule="auto"/>
        <w:jc w:val="both"/>
        <w:rPr>
          <w:sz w:val="24"/>
          <w:szCs w:val="24"/>
        </w:rPr>
      </w:pPr>
      <w:r>
        <w:rPr>
          <w:sz w:val="24"/>
          <w:szCs w:val="24"/>
        </w:rPr>
        <w:t>This is the major energy source in case of low oxygen.</w:t>
      </w:r>
    </w:p>
    <w:p w14:paraId="793CE430" w14:textId="77777777" w:rsidR="00A5098A" w:rsidRDefault="00A922E9">
      <w:pPr>
        <w:rPr>
          <w:b/>
          <w:bCs/>
        </w:rPr>
      </w:pPr>
      <w:r>
        <w:rPr>
          <w:b/>
          <w:bCs/>
        </w:rPr>
        <w:t>Stage 2: Citric Acid Cycle (Krebs Cycle)</w:t>
      </w:r>
    </w:p>
    <w:p w14:paraId="300B0651" w14:textId="77777777" w:rsidR="00A5098A" w:rsidRDefault="00A922E9">
      <w:pPr>
        <w:pStyle w:val="ListParagraph"/>
        <w:spacing w:after="240" w:line="360" w:lineRule="auto"/>
        <w:jc w:val="both"/>
        <w:rPr>
          <w:sz w:val="24"/>
          <w:szCs w:val="24"/>
        </w:rPr>
      </w:pPr>
      <w:r>
        <w:rPr>
          <w:sz w:val="24"/>
          <w:szCs w:val="24"/>
        </w:rPr>
        <w:t>In the presence of oxygen, the pyruvate is transported into the mitochondria and additional oxidation occurs (Martínez-Reyes and Chandel, 2020). The citric acid cycle (Krebs cycle) works in the following way:</w:t>
      </w:r>
    </w:p>
    <w:p w14:paraId="31FE1516" w14:textId="77777777" w:rsidR="00A5098A" w:rsidRDefault="00A922E9">
      <w:pPr>
        <w:pStyle w:val="ListParagraph"/>
        <w:numPr>
          <w:ilvl w:val="0"/>
          <w:numId w:val="2"/>
        </w:numPr>
        <w:spacing w:after="240" w:line="360" w:lineRule="auto"/>
        <w:jc w:val="both"/>
        <w:rPr>
          <w:sz w:val="24"/>
          <w:szCs w:val="24"/>
        </w:rPr>
      </w:pPr>
      <w:r>
        <w:rPr>
          <w:sz w:val="24"/>
          <w:szCs w:val="24"/>
        </w:rPr>
        <w:t>It takes place in the mitochondrial matrix.</w:t>
      </w:r>
    </w:p>
    <w:p w14:paraId="7B7BC7A7" w14:textId="77777777" w:rsidR="00A5098A" w:rsidRDefault="00A922E9">
      <w:pPr>
        <w:pStyle w:val="ListParagraph"/>
        <w:numPr>
          <w:ilvl w:val="0"/>
          <w:numId w:val="2"/>
        </w:numPr>
        <w:spacing w:after="240" w:line="360" w:lineRule="auto"/>
        <w:jc w:val="both"/>
        <w:rPr>
          <w:sz w:val="24"/>
          <w:szCs w:val="24"/>
        </w:rPr>
      </w:pPr>
      <w:r>
        <w:rPr>
          <w:sz w:val="24"/>
          <w:szCs w:val="24"/>
        </w:rPr>
        <w:t>Pyruvate is transformed to acetyl-coenzyme A (acetyl-CoA).</w:t>
      </w:r>
    </w:p>
    <w:p w14:paraId="56A749A1" w14:textId="77777777" w:rsidR="00A5098A" w:rsidRDefault="00A922E9">
      <w:pPr>
        <w:pStyle w:val="ListParagraph"/>
        <w:numPr>
          <w:ilvl w:val="0"/>
          <w:numId w:val="2"/>
        </w:numPr>
        <w:spacing w:after="240" w:line="360" w:lineRule="auto"/>
        <w:jc w:val="both"/>
        <w:rPr>
          <w:sz w:val="24"/>
          <w:szCs w:val="24"/>
        </w:rPr>
      </w:pPr>
      <w:r>
        <w:rPr>
          <w:sz w:val="24"/>
          <w:szCs w:val="24"/>
        </w:rPr>
        <w:t>Carbon dioxide (CO₂) is emitted as a waste product.</w:t>
      </w:r>
    </w:p>
    <w:p w14:paraId="6AC077FB" w14:textId="77777777" w:rsidR="00A5098A" w:rsidRDefault="00A922E9">
      <w:pPr>
        <w:pStyle w:val="ListParagraph"/>
        <w:numPr>
          <w:ilvl w:val="0"/>
          <w:numId w:val="2"/>
        </w:numPr>
        <w:spacing w:after="240" w:line="360" w:lineRule="auto"/>
        <w:jc w:val="both"/>
        <w:rPr>
          <w:sz w:val="24"/>
          <w:szCs w:val="24"/>
        </w:rPr>
      </w:pPr>
      <w:r>
        <w:rPr>
          <w:sz w:val="24"/>
          <w:szCs w:val="24"/>
        </w:rPr>
        <w:t>Each acetyl-CoA yields one FADH₂ molecule, one NADH molecule, and one ATP at any point in the cycle.</w:t>
      </w:r>
    </w:p>
    <w:p w14:paraId="74C7D7DC" w14:textId="77777777" w:rsidR="00A5098A" w:rsidRDefault="00A922E9">
      <w:pPr>
        <w:pStyle w:val="ListParagraph"/>
        <w:numPr>
          <w:ilvl w:val="0"/>
          <w:numId w:val="2"/>
        </w:numPr>
        <w:spacing w:after="240" w:line="360" w:lineRule="auto"/>
        <w:jc w:val="both"/>
        <w:rPr>
          <w:sz w:val="24"/>
          <w:szCs w:val="24"/>
        </w:rPr>
      </w:pPr>
      <w:r>
        <w:rPr>
          <w:sz w:val="24"/>
          <w:szCs w:val="24"/>
        </w:rPr>
        <w:t>Eight enzymatic reactions are involved in the cycle.</w:t>
      </w:r>
    </w:p>
    <w:p w14:paraId="31B1008B" w14:textId="77777777" w:rsidR="00A5098A" w:rsidRDefault="00A922E9">
      <w:pPr>
        <w:rPr>
          <w:szCs w:val="24"/>
        </w:rPr>
      </w:pPr>
      <w:r>
        <w:rPr>
          <w:b/>
          <w:bCs/>
          <w:szCs w:val="24"/>
        </w:rPr>
        <w:t>Stage 3: Oxidative Phosphorylation</w:t>
      </w:r>
    </w:p>
    <w:p w14:paraId="6E6EA471" w14:textId="77777777" w:rsidR="00A5098A" w:rsidRDefault="00A922E9">
      <w:pPr>
        <w:spacing w:after="360" w:line="360" w:lineRule="auto"/>
        <w:jc w:val="both"/>
        <w:rPr>
          <w:szCs w:val="24"/>
        </w:rPr>
      </w:pPr>
      <w:r>
        <w:rPr>
          <w:szCs w:val="24"/>
        </w:rPr>
        <w:t>The most energy-generative step of cellular respiration is oxidative phosphorylation that takes place on the inner mitochondrial membrane (Zhao et al., 2024). This stage comprises:</w:t>
      </w:r>
    </w:p>
    <w:p w14:paraId="25A77BFD" w14:textId="77777777" w:rsidR="00A5098A" w:rsidRDefault="00A922E9">
      <w:pPr>
        <w:numPr>
          <w:ilvl w:val="0"/>
          <w:numId w:val="3"/>
        </w:numPr>
        <w:spacing w:after="360" w:line="360" w:lineRule="auto"/>
        <w:jc w:val="both"/>
        <w:rPr>
          <w:szCs w:val="24"/>
        </w:rPr>
      </w:pPr>
      <w:r>
        <w:rPr>
          <w:szCs w:val="24"/>
        </w:rPr>
        <w:t>The electron transport chain that consists of four complexes of proteins (I-IV) that transfer electrons sequentially.</w:t>
      </w:r>
    </w:p>
    <w:p w14:paraId="254C52D5" w14:textId="77777777" w:rsidR="00A5098A" w:rsidRDefault="00A922E9">
      <w:pPr>
        <w:numPr>
          <w:ilvl w:val="0"/>
          <w:numId w:val="3"/>
        </w:numPr>
        <w:spacing w:after="360" w:line="360" w:lineRule="auto"/>
        <w:jc w:val="both"/>
        <w:rPr>
          <w:szCs w:val="24"/>
        </w:rPr>
      </w:pPr>
      <w:r>
        <w:rPr>
          <w:szCs w:val="24"/>
        </w:rPr>
        <w:t>NADH and FADH₂ electrons are donated to molecular oxygen (O₂) to produce water (H₂O).</w:t>
      </w:r>
    </w:p>
    <w:p w14:paraId="7C127883" w14:textId="77777777" w:rsidR="00A5098A" w:rsidRDefault="00A922E9">
      <w:pPr>
        <w:numPr>
          <w:ilvl w:val="0"/>
          <w:numId w:val="3"/>
        </w:numPr>
        <w:spacing w:after="360" w:line="360" w:lineRule="auto"/>
        <w:jc w:val="both"/>
        <w:rPr>
          <w:szCs w:val="24"/>
        </w:rPr>
      </w:pPr>
      <w:r>
        <w:rPr>
          <w:szCs w:val="24"/>
        </w:rPr>
        <w:t>The transportation of protons across the membrane produces an electrochemical gradient.</w:t>
      </w:r>
    </w:p>
    <w:p w14:paraId="6BA63033" w14:textId="77777777" w:rsidR="00A5098A" w:rsidRDefault="00A922E9">
      <w:pPr>
        <w:numPr>
          <w:ilvl w:val="0"/>
          <w:numId w:val="3"/>
        </w:numPr>
        <w:spacing w:after="360" w:line="360" w:lineRule="auto"/>
        <w:jc w:val="both"/>
        <w:rPr>
          <w:szCs w:val="24"/>
        </w:rPr>
      </w:pPr>
      <w:r>
        <w:rPr>
          <w:szCs w:val="24"/>
        </w:rPr>
        <w:t>ATP synthase utilizes this proton gradient to be used to produce ATP.</w:t>
      </w:r>
    </w:p>
    <w:p w14:paraId="6194030B" w14:textId="77777777" w:rsidR="00A5098A" w:rsidRDefault="00A922E9">
      <w:pPr>
        <w:numPr>
          <w:ilvl w:val="0"/>
          <w:numId w:val="3"/>
        </w:numPr>
        <w:spacing w:after="360" w:line="360" w:lineRule="auto"/>
        <w:jc w:val="both"/>
        <w:rPr>
          <w:szCs w:val="24"/>
        </w:rPr>
      </w:pPr>
      <w:r>
        <w:rPr>
          <w:szCs w:val="24"/>
        </w:rPr>
        <w:t>The reaction produces approximately 26-28 ATP molecules.</w:t>
      </w:r>
    </w:p>
    <w:p w14:paraId="0645BA35" w14:textId="77777777" w:rsidR="00A5098A" w:rsidRDefault="00A922E9">
      <w:pPr>
        <w:spacing w:after="360" w:line="360" w:lineRule="auto"/>
        <w:jc w:val="both"/>
        <w:rPr>
          <w:szCs w:val="24"/>
        </w:rPr>
      </w:pPr>
      <w:r>
        <w:rPr>
          <w:szCs w:val="24"/>
        </w:rPr>
        <w:t>In general, cellular respiration of one glucose molecule yields approximately 30-32 ATP molecules, which illustrates the high efficiency of aerobic metabolism when compared to anaerobic glycolysis (Berg et al., 2026)</w:t>
      </w:r>
      <w:r>
        <w:rPr>
          <w:szCs w:val="24"/>
        </w:rPr>
        <w:t>.</w:t>
      </w:r>
    </w:p>
    <w:p w14:paraId="3C05245F" w14:textId="77777777" w:rsidR="00A5098A" w:rsidRDefault="00A922E9">
      <w:pPr>
        <w:spacing w:before="240" w:after="120" w:line="360" w:lineRule="auto"/>
        <w:jc w:val="both"/>
        <w:rPr>
          <w:szCs w:val="24"/>
          <w:lang w:val="en-US"/>
        </w:rPr>
      </w:pPr>
      <w:r>
        <w:rPr>
          <w:b/>
          <w:bCs/>
          <w:szCs w:val="24"/>
        </w:rPr>
        <w:t>Table 2: Stages of Cellular Respiration and ATP Production</w:t>
      </w:r>
      <w:r>
        <w:rPr>
          <w:b/>
          <w:bCs/>
          <w:szCs w:val="24"/>
          <w:lang w:val="en-US"/>
        </w:rPr>
        <w:t xml:space="preserve"> </w:t>
      </w:r>
      <w:r>
        <w:rPr>
          <w:b/>
          <w:bCs/>
          <w:szCs w:val="24"/>
          <w:lang w:val="en-US"/>
        </w:rPr>
        <w:t>(Berg et al., 2026)</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962"/>
        <w:gridCol w:w="1863"/>
        <w:gridCol w:w="1854"/>
        <w:gridCol w:w="1845"/>
        <w:gridCol w:w="1836"/>
      </w:tblGrid>
      <w:tr w:rsidR="00A5098A" w14:paraId="6D186AAA" w14:textId="77777777">
        <w:tc>
          <w:tcPr>
            <w:tcW w:w="1872" w:type="dxa"/>
            <w:tcBorders>
              <w:top w:val="single" w:sz="0" w:space="0" w:color="000000"/>
              <w:left w:val="single" w:sz="0" w:space="0" w:color="000000"/>
              <w:bottom w:val="single" w:sz="0" w:space="0" w:color="000000"/>
              <w:right w:val="single" w:sz="0" w:space="0" w:color="000000"/>
            </w:tcBorders>
            <w:shd w:val="clear" w:color="auto" w:fill="D5E8F0"/>
            <w:tcMar>
              <w:top w:w="80" w:type="dxa"/>
              <w:left w:w="120" w:type="dxa"/>
              <w:bottom w:w="80" w:type="dxa"/>
              <w:right w:w="120" w:type="dxa"/>
            </w:tcMar>
            <w:vAlign w:val="center"/>
          </w:tcPr>
          <w:p w14:paraId="2C51354B" w14:textId="77777777" w:rsidR="00A5098A" w:rsidRDefault="00A922E9">
            <w:pPr>
              <w:spacing w:line="360" w:lineRule="auto"/>
              <w:jc w:val="both"/>
              <w:rPr>
                <w:szCs w:val="24"/>
              </w:rPr>
            </w:pPr>
            <w:r>
              <w:rPr>
                <w:b/>
                <w:bCs/>
                <w:szCs w:val="24"/>
              </w:rPr>
              <w:t>Stage</w:t>
            </w:r>
          </w:p>
        </w:tc>
        <w:tc>
          <w:tcPr>
            <w:tcW w:w="1872" w:type="dxa"/>
            <w:tcBorders>
              <w:top w:val="single" w:sz="0" w:space="0" w:color="000000"/>
              <w:left w:val="single" w:sz="0" w:space="0" w:color="000000"/>
              <w:bottom w:val="single" w:sz="0" w:space="0" w:color="000000"/>
              <w:right w:val="single" w:sz="0" w:space="0" w:color="000000"/>
            </w:tcBorders>
            <w:shd w:val="clear" w:color="auto" w:fill="D5E8F0"/>
            <w:tcMar>
              <w:top w:w="80" w:type="dxa"/>
              <w:left w:w="120" w:type="dxa"/>
              <w:bottom w:w="80" w:type="dxa"/>
              <w:right w:w="120" w:type="dxa"/>
            </w:tcMar>
            <w:vAlign w:val="center"/>
          </w:tcPr>
          <w:p w14:paraId="42763D7C" w14:textId="77777777" w:rsidR="00A5098A" w:rsidRDefault="00A922E9">
            <w:pPr>
              <w:spacing w:line="360" w:lineRule="auto"/>
              <w:jc w:val="both"/>
              <w:rPr>
                <w:szCs w:val="24"/>
              </w:rPr>
            </w:pPr>
            <w:r>
              <w:rPr>
                <w:b/>
                <w:bCs/>
                <w:szCs w:val="24"/>
              </w:rPr>
              <w:t>Location</w:t>
            </w:r>
          </w:p>
        </w:tc>
        <w:tc>
          <w:tcPr>
            <w:tcW w:w="1872" w:type="dxa"/>
            <w:tcBorders>
              <w:top w:val="single" w:sz="0" w:space="0" w:color="000000"/>
              <w:left w:val="single" w:sz="0" w:space="0" w:color="000000"/>
              <w:bottom w:val="single" w:sz="0" w:space="0" w:color="000000"/>
              <w:right w:val="single" w:sz="0" w:space="0" w:color="000000"/>
            </w:tcBorders>
            <w:shd w:val="clear" w:color="auto" w:fill="D5E8F0"/>
            <w:tcMar>
              <w:top w:w="80" w:type="dxa"/>
              <w:left w:w="120" w:type="dxa"/>
              <w:bottom w:w="80" w:type="dxa"/>
              <w:right w:w="120" w:type="dxa"/>
            </w:tcMar>
            <w:vAlign w:val="center"/>
          </w:tcPr>
          <w:p w14:paraId="4D21A393" w14:textId="77777777" w:rsidR="00A5098A" w:rsidRDefault="00A922E9">
            <w:pPr>
              <w:spacing w:line="360" w:lineRule="auto"/>
              <w:jc w:val="both"/>
              <w:rPr>
                <w:szCs w:val="24"/>
              </w:rPr>
            </w:pPr>
            <w:r>
              <w:rPr>
                <w:b/>
                <w:bCs/>
                <w:szCs w:val="24"/>
              </w:rPr>
              <w:t>Oxygen Required</w:t>
            </w:r>
          </w:p>
        </w:tc>
        <w:tc>
          <w:tcPr>
            <w:tcW w:w="1872" w:type="dxa"/>
            <w:tcBorders>
              <w:top w:val="single" w:sz="0" w:space="0" w:color="000000"/>
              <w:left w:val="single" w:sz="0" w:space="0" w:color="000000"/>
              <w:bottom w:val="single" w:sz="0" w:space="0" w:color="000000"/>
              <w:right w:val="single" w:sz="0" w:space="0" w:color="000000"/>
            </w:tcBorders>
            <w:shd w:val="clear" w:color="auto" w:fill="D5E8F0"/>
            <w:tcMar>
              <w:top w:w="80" w:type="dxa"/>
              <w:left w:w="120" w:type="dxa"/>
              <w:bottom w:w="80" w:type="dxa"/>
              <w:right w:w="120" w:type="dxa"/>
            </w:tcMar>
            <w:vAlign w:val="center"/>
          </w:tcPr>
          <w:p w14:paraId="1E8D1CF7" w14:textId="77777777" w:rsidR="00A5098A" w:rsidRDefault="00A922E9">
            <w:pPr>
              <w:spacing w:line="360" w:lineRule="auto"/>
              <w:jc w:val="both"/>
              <w:rPr>
                <w:szCs w:val="24"/>
              </w:rPr>
            </w:pPr>
            <w:r>
              <w:rPr>
                <w:b/>
                <w:bCs/>
                <w:szCs w:val="24"/>
              </w:rPr>
              <w:t>Products</w:t>
            </w:r>
          </w:p>
        </w:tc>
        <w:tc>
          <w:tcPr>
            <w:tcW w:w="1872" w:type="dxa"/>
            <w:tcBorders>
              <w:top w:val="single" w:sz="0" w:space="0" w:color="000000"/>
              <w:left w:val="single" w:sz="0" w:space="0" w:color="000000"/>
              <w:bottom w:val="single" w:sz="0" w:space="0" w:color="000000"/>
              <w:right w:val="single" w:sz="0" w:space="0" w:color="000000"/>
            </w:tcBorders>
            <w:shd w:val="clear" w:color="auto" w:fill="D5E8F0"/>
            <w:tcMar>
              <w:top w:w="80" w:type="dxa"/>
              <w:left w:w="120" w:type="dxa"/>
              <w:bottom w:w="80" w:type="dxa"/>
              <w:right w:w="120" w:type="dxa"/>
            </w:tcMar>
            <w:vAlign w:val="center"/>
          </w:tcPr>
          <w:p w14:paraId="269CEC0D" w14:textId="77777777" w:rsidR="00A5098A" w:rsidRDefault="00A922E9">
            <w:pPr>
              <w:spacing w:line="360" w:lineRule="auto"/>
              <w:jc w:val="both"/>
              <w:rPr>
                <w:szCs w:val="24"/>
              </w:rPr>
            </w:pPr>
            <w:r>
              <w:rPr>
                <w:b/>
                <w:bCs/>
                <w:szCs w:val="24"/>
              </w:rPr>
              <w:t>ATP Yield</w:t>
            </w:r>
          </w:p>
        </w:tc>
      </w:tr>
      <w:tr w:rsidR="00A5098A" w14:paraId="2646B80D" w14:textId="77777777">
        <w:tc>
          <w:tcPr>
            <w:tcW w:w="1872" w:type="dxa"/>
            <w:tcBorders>
              <w:top w:val="single" w:sz="0" w:space="0" w:color="000000"/>
              <w:left w:val="single" w:sz="0" w:space="0" w:color="000000"/>
              <w:bottom w:val="single" w:sz="0" w:space="0" w:color="000000"/>
              <w:right w:val="single" w:sz="0" w:space="0" w:color="000000"/>
            </w:tcBorders>
            <w:shd w:val="clear" w:color="auto" w:fill="FFFFFF"/>
            <w:tcMar>
              <w:top w:w="80" w:type="dxa"/>
              <w:left w:w="120" w:type="dxa"/>
              <w:bottom w:w="80" w:type="dxa"/>
              <w:right w:w="120" w:type="dxa"/>
            </w:tcMar>
            <w:vAlign w:val="center"/>
          </w:tcPr>
          <w:p w14:paraId="5CC0E195" w14:textId="77777777" w:rsidR="00A5098A" w:rsidRDefault="00A922E9">
            <w:pPr>
              <w:spacing w:line="360" w:lineRule="auto"/>
              <w:jc w:val="both"/>
              <w:rPr>
                <w:szCs w:val="24"/>
              </w:rPr>
            </w:pPr>
            <w:r>
              <w:rPr>
                <w:szCs w:val="24"/>
              </w:rPr>
              <w:t>Glycolysis</w:t>
            </w:r>
          </w:p>
        </w:tc>
        <w:tc>
          <w:tcPr>
            <w:tcW w:w="1872" w:type="dxa"/>
            <w:tcBorders>
              <w:top w:val="single" w:sz="0" w:space="0" w:color="000000"/>
              <w:left w:val="single" w:sz="0" w:space="0" w:color="000000"/>
              <w:bottom w:val="single" w:sz="0" w:space="0" w:color="000000"/>
              <w:right w:val="single" w:sz="0" w:space="0" w:color="000000"/>
            </w:tcBorders>
            <w:shd w:val="clear" w:color="auto" w:fill="FFFFFF"/>
            <w:tcMar>
              <w:top w:w="80" w:type="dxa"/>
              <w:left w:w="120" w:type="dxa"/>
              <w:bottom w:w="80" w:type="dxa"/>
              <w:right w:w="120" w:type="dxa"/>
            </w:tcMar>
            <w:vAlign w:val="center"/>
          </w:tcPr>
          <w:p w14:paraId="6E9B0BA2" w14:textId="77777777" w:rsidR="00A5098A" w:rsidRDefault="00A922E9">
            <w:pPr>
              <w:spacing w:line="360" w:lineRule="auto"/>
              <w:jc w:val="both"/>
              <w:rPr>
                <w:szCs w:val="24"/>
              </w:rPr>
            </w:pPr>
            <w:r>
              <w:rPr>
                <w:szCs w:val="24"/>
              </w:rPr>
              <w:t>Cytoplasm</w:t>
            </w:r>
          </w:p>
        </w:tc>
        <w:tc>
          <w:tcPr>
            <w:tcW w:w="1872" w:type="dxa"/>
            <w:tcBorders>
              <w:top w:val="single" w:sz="0" w:space="0" w:color="000000"/>
              <w:left w:val="single" w:sz="0" w:space="0" w:color="000000"/>
              <w:bottom w:val="single" w:sz="0" w:space="0" w:color="000000"/>
              <w:right w:val="single" w:sz="0" w:space="0" w:color="000000"/>
            </w:tcBorders>
            <w:shd w:val="clear" w:color="auto" w:fill="FFFFFF"/>
            <w:tcMar>
              <w:top w:w="80" w:type="dxa"/>
              <w:left w:w="120" w:type="dxa"/>
              <w:bottom w:w="80" w:type="dxa"/>
              <w:right w:w="120" w:type="dxa"/>
            </w:tcMar>
            <w:vAlign w:val="center"/>
          </w:tcPr>
          <w:p w14:paraId="4D1A4561" w14:textId="77777777" w:rsidR="00A5098A" w:rsidRDefault="00A922E9">
            <w:pPr>
              <w:spacing w:line="360" w:lineRule="auto"/>
              <w:jc w:val="both"/>
              <w:rPr>
                <w:szCs w:val="24"/>
              </w:rPr>
            </w:pPr>
            <w:r>
              <w:rPr>
                <w:szCs w:val="24"/>
              </w:rPr>
              <w:t>No (Anaerobic)</w:t>
            </w:r>
          </w:p>
        </w:tc>
        <w:tc>
          <w:tcPr>
            <w:tcW w:w="1872" w:type="dxa"/>
            <w:tcBorders>
              <w:top w:val="single" w:sz="0" w:space="0" w:color="000000"/>
              <w:left w:val="single" w:sz="0" w:space="0" w:color="000000"/>
              <w:bottom w:val="single" w:sz="0" w:space="0" w:color="000000"/>
              <w:right w:val="single" w:sz="0" w:space="0" w:color="000000"/>
            </w:tcBorders>
            <w:shd w:val="clear" w:color="auto" w:fill="FFFFFF"/>
            <w:tcMar>
              <w:top w:w="80" w:type="dxa"/>
              <w:left w:w="120" w:type="dxa"/>
              <w:bottom w:w="80" w:type="dxa"/>
              <w:right w:w="120" w:type="dxa"/>
            </w:tcMar>
            <w:vAlign w:val="center"/>
          </w:tcPr>
          <w:p w14:paraId="03E479ED" w14:textId="77777777" w:rsidR="00A5098A" w:rsidRDefault="00A922E9">
            <w:pPr>
              <w:spacing w:line="360" w:lineRule="auto"/>
              <w:jc w:val="both"/>
              <w:rPr>
                <w:szCs w:val="24"/>
              </w:rPr>
            </w:pPr>
            <w:r>
              <w:rPr>
                <w:szCs w:val="24"/>
              </w:rPr>
              <w:t>2 Pyruvate, 2 NADH, 2 ATP</w:t>
            </w:r>
          </w:p>
        </w:tc>
        <w:tc>
          <w:tcPr>
            <w:tcW w:w="1872" w:type="dxa"/>
            <w:tcBorders>
              <w:top w:val="single" w:sz="0" w:space="0" w:color="000000"/>
              <w:left w:val="single" w:sz="0" w:space="0" w:color="000000"/>
              <w:bottom w:val="single" w:sz="0" w:space="0" w:color="000000"/>
              <w:right w:val="single" w:sz="0" w:space="0" w:color="000000"/>
            </w:tcBorders>
            <w:shd w:val="clear" w:color="auto" w:fill="FFFFFF"/>
            <w:tcMar>
              <w:top w:w="80" w:type="dxa"/>
              <w:left w:w="120" w:type="dxa"/>
              <w:bottom w:w="80" w:type="dxa"/>
              <w:right w:w="120" w:type="dxa"/>
            </w:tcMar>
            <w:vAlign w:val="center"/>
          </w:tcPr>
          <w:p w14:paraId="6F262AD9" w14:textId="77777777" w:rsidR="00A5098A" w:rsidRDefault="00A922E9">
            <w:pPr>
              <w:spacing w:line="360" w:lineRule="auto"/>
              <w:jc w:val="both"/>
              <w:rPr>
                <w:szCs w:val="24"/>
              </w:rPr>
            </w:pPr>
            <w:r>
              <w:rPr>
                <w:szCs w:val="24"/>
              </w:rPr>
              <w:t>2 ATP</w:t>
            </w:r>
          </w:p>
        </w:tc>
      </w:tr>
      <w:tr w:rsidR="00A5098A" w14:paraId="5CC1E892" w14:textId="77777777">
        <w:tc>
          <w:tcPr>
            <w:tcW w:w="1872" w:type="dxa"/>
            <w:tcBorders>
              <w:top w:val="single" w:sz="0" w:space="0" w:color="000000"/>
              <w:left w:val="single" w:sz="0" w:space="0" w:color="000000"/>
              <w:bottom w:val="single" w:sz="0" w:space="0" w:color="000000"/>
              <w:right w:val="single" w:sz="0" w:space="0" w:color="000000"/>
            </w:tcBorders>
            <w:shd w:val="clear" w:color="auto" w:fill="FFFFFF"/>
            <w:tcMar>
              <w:top w:w="80" w:type="dxa"/>
              <w:left w:w="120" w:type="dxa"/>
              <w:bottom w:w="80" w:type="dxa"/>
              <w:right w:w="120" w:type="dxa"/>
            </w:tcMar>
            <w:vAlign w:val="center"/>
          </w:tcPr>
          <w:p w14:paraId="020F8FE3" w14:textId="77777777" w:rsidR="00A5098A" w:rsidRDefault="00A922E9">
            <w:pPr>
              <w:spacing w:line="360" w:lineRule="auto"/>
              <w:jc w:val="both"/>
              <w:rPr>
                <w:szCs w:val="24"/>
              </w:rPr>
            </w:pPr>
            <w:r>
              <w:rPr>
                <w:szCs w:val="24"/>
              </w:rPr>
              <w:t>Pyruvate Oxidation</w:t>
            </w:r>
          </w:p>
        </w:tc>
        <w:tc>
          <w:tcPr>
            <w:tcW w:w="1872" w:type="dxa"/>
            <w:tcBorders>
              <w:top w:val="single" w:sz="0" w:space="0" w:color="000000"/>
              <w:left w:val="single" w:sz="0" w:space="0" w:color="000000"/>
              <w:bottom w:val="single" w:sz="0" w:space="0" w:color="000000"/>
              <w:right w:val="single" w:sz="0" w:space="0" w:color="000000"/>
            </w:tcBorders>
            <w:shd w:val="clear" w:color="auto" w:fill="FFFFFF"/>
            <w:tcMar>
              <w:top w:w="80" w:type="dxa"/>
              <w:left w:w="120" w:type="dxa"/>
              <w:bottom w:w="80" w:type="dxa"/>
              <w:right w:w="120" w:type="dxa"/>
            </w:tcMar>
            <w:vAlign w:val="center"/>
          </w:tcPr>
          <w:p w14:paraId="2A0F9DAE" w14:textId="77777777" w:rsidR="00A5098A" w:rsidRDefault="00A922E9">
            <w:pPr>
              <w:spacing w:line="360" w:lineRule="auto"/>
              <w:jc w:val="both"/>
              <w:rPr>
                <w:szCs w:val="24"/>
              </w:rPr>
            </w:pPr>
            <w:r>
              <w:rPr>
                <w:szCs w:val="24"/>
              </w:rPr>
              <w:t>Mitochondrial matrix</w:t>
            </w:r>
          </w:p>
        </w:tc>
        <w:tc>
          <w:tcPr>
            <w:tcW w:w="1872" w:type="dxa"/>
            <w:tcBorders>
              <w:top w:val="single" w:sz="0" w:space="0" w:color="000000"/>
              <w:left w:val="single" w:sz="0" w:space="0" w:color="000000"/>
              <w:bottom w:val="single" w:sz="0" w:space="0" w:color="000000"/>
              <w:right w:val="single" w:sz="0" w:space="0" w:color="000000"/>
            </w:tcBorders>
            <w:shd w:val="clear" w:color="auto" w:fill="FFFFFF"/>
            <w:tcMar>
              <w:top w:w="80" w:type="dxa"/>
              <w:left w:w="120" w:type="dxa"/>
              <w:bottom w:w="80" w:type="dxa"/>
              <w:right w:w="120" w:type="dxa"/>
            </w:tcMar>
            <w:vAlign w:val="center"/>
          </w:tcPr>
          <w:p w14:paraId="3420E81E" w14:textId="77777777" w:rsidR="00A5098A" w:rsidRDefault="00A922E9">
            <w:pPr>
              <w:spacing w:line="360" w:lineRule="auto"/>
              <w:jc w:val="both"/>
              <w:rPr>
                <w:szCs w:val="24"/>
              </w:rPr>
            </w:pPr>
            <w:r>
              <w:rPr>
                <w:szCs w:val="24"/>
              </w:rPr>
              <w:t>Yes (Aerobic)</w:t>
            </w:r>
          </w:p>
        </w:tc>
        <w:tc>
          <w:tcPr>
            <w:tcW w:w="1872" w:type="dxa"/>
            <w:tcBorders>
              <w:top w:val="single" w:sz="0" w:space="0" w:color="000000"/>
              <w:left w:val="single" w:sz="0" w:space="0" w:color="000000"/>
              <w:bottom w:val="single" w:sz="0" w:space="0" w:color="000000"/>
              <w:right w:val="single" w:sz="0" w:space="0" w:color="000000"/>
            </w:tcBorders>
            <w:shd w:val="clear" w:color="auto" w:fill="FFFFFF"/>
            <w:tcMar>
              <w:top w:w="80" w:type="dxa"/>
              <w:left w:w="120" w:type="dxa"/>
              <w:bottom w:w="80" w:type="dxa"/>
              <w:right w:w="120" w:type="dxa"/>
            </w:tcMar>
            <w:vAlign w:val="center"/>
          </w:tcPr>
          <w:p w14:paraId="6D759173" w14:textId="77777777" w:rsidR="00A5098A" w:rsidRDefault="00A922E9">
            <w:pPr>
              <w:spacing w:line="360" w:lineRule="auto"/>
              <w:jc w:val="both"/>
              <w:rPr>
                <w:szCs w:val="24"/>
              </w:rPr>
            </w:pPr>
            <w:r>
              <w:rPr>
                <w:szCs w:val="24"/>
              </w:rPr>
              <w:t>2 Acetyl-CoA, 2 NADH, 2 CO₂</w:t>
            </w:r>
          </w:p>
        </w:tc>
        <w:tc>
          <w:tcPr>
            <w:tcW w:w="1872" w:type="dxa"/>
            <w:tcBorders>
              <w:top w:val="single" w:sz="0" w:space="0" w:color="000000"/>
              <w:left w:val="single" w:sz="0" w:space="0" w:color="000000"/>
              <w:bottom w:val="single" w:sz="0" w:space="0" w:color="000000"/>
              <w:right w:val="single" w:sz="0" w:space="0" w:color="000000"/>
            </w:tcBorders>
            <w:shd w:val="clear" w:color="auto" w:fill="FFFFFF"/>
            <w:tcMar>
              <w:top w:w="80" w:type="dxa"/>
              <w:left w:w="120" w:type="dxa"/>
              <w:bottom w:w="80" w:type="dxa"/>
              <w:right w:w="120" w:type="dxa"/>
            </w:tcMar>
            <w:vAlign w:val="center"/>
          </w:tcPr>
          <w:p w14:paraId="5259DEB7" w14:textId="77777777" w:rsidR="00A5098A" w:rsidRDefault="00A922E9">
            <w:pPr>
              <w:spacing w:line="360" w:lineRule="auto"/>
              <w:jc w:val="both"/>
              <w:rPr>
                <w:szCs w:val="24"/>
              </w:rPr>
            </w:pPr>
            <w:r>
              <w:rPr>
                <w:szCs w:val="24"/>
              </w:rPr>
              <w:t>0 ATP</w:t>
            </w:r>
          </w:p>
        </w:tc>
      </w:tr>
      <w:tr w:rsidR="00A5098A" w14:paraId="5F523487" w14:textId="77777777">
        <w:tc>
          <w:tcPr>
            <w:tcW w:w="1872" w:type="dxa"/>
            <w:tcBorders>
              <w:top w:val="single" w:sz="0" w:space="0" w:color="000000"/>
              <w:left w:val="single" w:sz="0" w:space="0" w:color="000000"/>
              <w:bottom w:val="single" w:sz="0" w:space="0" w:color="000000"/>
              <w:right w:val="single" w:sz="0" w:space="0" w:color="000000"/>
            </w:tcBorders>
            <w:shd w:val="clear" w:color="auto" w:fill="FFFFFF"/>
            <w:tcMar>
              <w:top w:w="80" w:type="dxa"/>
              <w:left w:w="120" w:type="dxa"/>
              <w:bottom w:w="80" w:type="dxa"/>
              <w:right w:w="120" w:type="dxa"/>
            </w:tcMar>
            <w:vAlign w:val="center"/>
          </w:tcPr>
          <w:p w14:paraId="16041DEE" w14:textId="77777777" w:rsidR="00A5098A" w:rsidRDefault="00A922E9">
            <w:pPr>
              <w:spacing w:line="360" w:lineRule="auto"/>
              <w:jc w:val="both"/>
              <w:rPr>
                <w:szCs w:val="24"/>
              </w:rPr>
            </w:pPr>
            <w:r>
              <w:rPr>
                <w:szCs w:val="24"/>
              </w:rPr>
              <w:t>Citric Acid Cycle</w:t>
            </w:r>
          </w:p>
        </w:tc>
        <w:tc>
          <w:tcPr>
            <w:tcW w:w="1872" w:type="dxa"/>
            <w:tcBorders>
              <w:top w:val="single" w:sz="0" w:space="0" w:color="000000"/>
              <w:left w:val="single" w:sz="0" w:space="0" w:color="000000"/>
              <w:bottom w:val="single" w:sz="0" w:space="0" w:color="000000"/>
              <w:right w:val="single" w:sz="0" w:space="0" w:color="000000"/>
            </w:tcBorders>
            <w:shd w:val="clear" w:color="auto" w:fill="FFFFFF"/>
            <w:tcMar>
              <w:top w:w="80" w:type="dxa"/>
              <w:left w:w="120" w:type="dxa"/>
              <w:bottom w:w="80" w:type="dxa"/>
              <w:right w:w="120" w:type="dxa"/>
            </w:tcMar>
            <w:vAlign w:val="center"/>
          </w:tcPr>
          <w:p w14:paraId="36FCF4B9" w14:textId="77777777" w:rsidR="00A5098A" w:rsidRDefault="00A922E9">
            <w:pPr>
              <w:spacing w:line="360" w:lineRule="auto"/>
              <w:jc w:val="both"/>
              <w:rPr>
                <w:szCs w:val="24"/>
              </w:rPr>
            </w:pPr>
            <w:r>
              <w:rPr>
                <w:szCs w:val="24"/>
              </w:rPr>
              <w:t>Mitochondrial matrix</w:t>
            </w:r>
          </w:p>
        </w:tc>
        <w:tc>
          <w:tcPr>
            <w:tcW w:w="1872" w:type="dxa"/>
            <w:tcBorders>
              <w:top w:val="single" w:sz="0" w:space="0" w:color="000000"/>
              <w:left w:val="single" w:sz="0" w:space="0" w:color="000000"/>
              <w:bottom w:val="single" w:sz="0" w:space="0" w:color="000000"/>
              <w:right w:val="single" w:sz="0" w:space="0" w:color="000000"/>
            </w:tcBorders>
            <w:shd w:val="clear" w:color="auto" w:fill="FFFFFF"/>
            <w:tcMar>
              <w:top w:w="80" w:type="dxa"/>
              <w:left w:w="120" w:type="dxa"/>
              <w:bottom w:w="80" w:type="dxa"/>
              <w:right w:w="120" w:type="dxa"/>
            </w:tcMar>
            <w:vAlign w:val="center"/>
          </w:tcPr>
          <w:p w14:paraId="21453F11" w14:textId="77777777" w:rsidR="00A5098A" w:rsidRDefault="00A922E9">
            <w:pPr>
              <w:spacing w:line="360" w:lineRule="auto"/>
              <w:jc w:val="both"/>
              <w:rPr>
                <w:szCs w:val="24"/>
              </w:rPr>
            </w:pPr>
            <w:r>
              <w:rPr>
                <w:szCs w:val="24"/>
              </w:rPr>
              <w:t>Yes (Aerobic)</w:t>
            </w:r>
          </w:p>
        </w:tc>
        <w:tc>
          <w:tcPr>
            <w:tcW w:w="1872" w:type="dxa"/>
            <w:tcBorders>
              <w:top w:val="single" w:sz="0" w:space="0" w:color="000000"/>
              <w:left w:val="single" w:sz="0" w:space="0" w:color="000000"/>
              <w:bottom w:val="single" w:sz="0" w:space="0" w:color="000000"/>
              <w:right w:val="single" w:sz="0" w:space="0" w:color="000000"/>
            </w:tcBorders>
            <w:shd w:val="clear" w:color="auto" w:fill="FFFFFF"/>
            <w:tcMar>
              <w:top w:w="80" w:type="dxa"/>
              <w:left w:w="120" w:type="dxa"/>
              <w:bottom w:w="80" w:type="dxa"/>
              <w:right w:w="120" w:type="dxa"/>
            </w:tcMar>
            <w:vAlign w:val="center"/>
          </w:tcPr>
          <w:p w14:paraId="78912B31" w14:textId="77777777" w:rsidR="00A5098A" w:rsidRDefault="00A922E9">
            <w:pPr>
              <w:spacing w:line="360" w:lineRule="auto"/>
              <w:jc w:val="both"/>
              <w:rPr>
                <w:szCs w:val="24"/>
              </w:rPr>
            </w:pPr>
            <w:r>
              <w:rPr>
                <w:szCs w:val="24"/>
              </w:rPr>
              <w:t>6 NADH, 2 FADH₂, 2 ATP, 4 CO₂</w:t>
            </w:r>
          </w:p>
        </w:tc>
        <w:tc>
          <w:tcPr>
            <w:tcW w:w="1872" w:type="dxa"/>
            <w:tcBorders>
              <w:top w:val="single" w:sz="0" w:space="0" w:color="000000"/>
              <w:left w:val="single" w:sz="0" w:space="0" w:color="000000"/>
              <w:bottom w:val="single" w:sz="0" w:space="0" w:color="000000"/>
              <w:right w:val="single" w:sz="0" w:space="0" w:color="000000"/>
            </w:tcBorders>
            <w:shd w:val="clear" w:color="auto" w:fill="FFFFFF"/>
            <w:tcMar>
              <w:top w:w="80" w:type="dxa"/>
              <w:left w:w="120" w:type="dxa"/>
              <w:bottom w:w="80" w:type="dxa"/>
              <w:right w:w="120" w:type="dxa"/>
            </w:tcMar>
            <w:vAlign w:val="center"/>
          </w:tcPr>
          <w:p w14:paraId="7432E398" w14:textId="77777777" w:rsidR="00A5098A" w:rsidRDefault="00A922E9">
            <w:pPr>
              <w:spacing w:line="360" w:lineRule="auto"/>
              <w:jc w:val="both"/>
              <w:rPr>
                <w:szCs w:val="24"/>
              </w:rPr>
            </w:pPr>
            <w:r>
              <w:rPr>
                <w:szCs w:val="24"/>
              </w:rPr>
              <w:t>2 ATP</w:t>
            </w:r>
          </w:p>
        </w:tc>
      </w:tr>
      <w:tr w:rsidR="00A5098A" w14:paraId="1D620F50" w14:textId="77777777">
        <w:tc>
          <w:tcPr>
            <w:tcW w:w="1872" w:type="dxa"/>
            <w:tcBorders>
              <w:top w:val="single" w:sz="0" w:space="0" w:color="000000"/>
              <w:left w:val="single" w:sz="0" w:space="0" w:color="000000"/>
              <w:bottom w:val="single" w:sz="0" w:space="0" w:color="000000"/>
              <w:right w:val="single" w:sz="0" w:space="0" w:color="000000"/>
            </w:tcBorders>
            <w:shd w:val="clear" w:color="auto" w:fill="FFFFFF"/>
            <w:tcMar>
              <w:top w:w="80" w:type="dxa"/>
              <w:left w:w="120" w:type="dxa"/>
              <w:bottom w:w="80" w:type="dxa"/>
              <w:right w:w="120" w:type="dxa"/>
            </w:tcMar>
            <w:vAlign w:val="center"/>
          </w:tcPr>
          <w:p w14:paraId="6FB6180D" w14:textId="77777777" w:rsidR="00A5098A" w:rsidRDefault="00A922E9">
            <w:pPr>
              <w:spacing w:line="360" w:lineRule="auto"/>
              <w:jc w:val="both"/>
              <w:rPr>
                <w:szCs w:val="24"/>
              </w:rPr>
            </w:pPr>
            <w:r>
              <w:rPr>
                <w:szCs w:val="24"/>
              </w:rPr>
              <w:t>Oxidative Phosphorylation</w:t>
            </w:r>
          </w:p>
        </w:tc>
        <w:tc>
          <w:tcPr>
            <w:tcW w:w="1872" w:type="dxa"/>
            <w:tcBorders>
              <w:top w:val="single" w:sz="0" w:space="0" w:color="000000"/>
              <w:left w:val="single" w:sz="0" w:space="0" w:color="000000"/>
              <w:bottom w:val="single" w:sz="0" w:space="0" w:color="000000"/>
              <w:right w:val="single" w:sz="0" w:space="0" w:color="000000"/>
            </w:tcBorders>
            <w:shd w:val="clear" w:color="auto" w:fill="FFFFFF"/>
            <w:tcMar>
              <w:top w:w="80" w:type="dxa"/>
              <w:left w:w="120" w:type="dxa"/>
              <w:bottom w:w="80" w:type="dxa"/>
              <w:right w:w="120" w:type="dxa"/>
            </w:tcMar>
            <w:vAlign w:val="center"/>
          </w:tcPr>
          <w:p w14:paraId="37C591FA" w14:textId="77777777" w:rsidR="00A5098A" w:rsidRDefault="00A922E9">
            <w:pPr>
              <w:spacing w:line="360" w:lineRule="auto"/>
              <w:jc w:val="both"/>
              <w:rPr>
                <w:szCs w:val="24"/>
              </w:rPr>
            </w:pPr>
            <w:r>
              <w:rPr>
                <w:szCs w:val="24"/>
              </w:rPr>
              <w:t>Inner mitochondrial membrane</w:t>
            </w:r>
          </w:p>
        </w:tc>
        <w:tc>
          <w:tcPr>
            <w:tcW w:w="1872" w:type="dxa"/>
            <w:tcBorders>
              <w:top w:val="single" w:sz="0" w:space="0" w:color="000000"/>
              <w:left w:val="single" w:sz="0" w:space="0" w:color="000000"/>
              <w:bottom w:val="single" w:sz="0" w:space="0" w:color="000000"/>
              <w:right w:val="single" w:sz="0" w:space="0" w:color="000000"/>
            </w:tcBorders>
            <w:shd w:val="clear" w:color="auto" w:fill="FFFFFF"/>
            <w:tcMar>
              <w:top w:w="80" w:type="dxa"/>
              <w:left w:w="120" w:type="dxa"/>
              <w:bottom w:w="80" w:type="dxa"/>
              <w:right w:w="120" w:type="dxa"/>
            </w:tcMar>
            <w:vAlign w:val="center"/>
          </w:tcPr>
          <w:p w14:paraId="317DE2D6" w14:textId="77777777" w:rsidR="00A5098A" w:rsidRDefault="00A922E9">
            <w:pPr>
              <w:spacing w:line="360" w:lineRule="auto"/>
              <w:jc w:val="both"/>
              <w:rPr>
                <w:szCs w:val="24"/>
              </w:rPr>
            </w:pPr>
            <w:r>
              <w:rPr>
                <w:szCs w:val="24"/>
              </w:rPr>
              <w:t>Yes (Aerobic)</w:t>
            </w:r>
          </w:p>
        </w:tc>
        <w:tc>
          <w:tcPr>
            <w:tcW w:w="1872" w:type="dxa"/>
            <w:tcBorders>
              <w:top w:val="single" w:sz="0" w:space="0" w:color="000000"/>
              <w:left w:val="single" w:sz="0" w:space="0" w:color="000000"/>
              <w:bottom w:val="single" w:sz="0" w:space="0" w:color="000000"/>
              <w:right w:val="single" w:sz="0" w:space="0" w:color="000000"/>
            </w:tcBorders>
            <w:shd w:val="clear" w:color="auto" w:fill="FFFFFF"/>
            <w:tcMar>
              <w:top w:w="80" w:type="dxa"/>
              <w:left w:w="120" w:type="dxa"/>
              <w:bottom w:w="80" w:type="dxa"/>
              <w:right w:w="120" w:type="dxa"/>
            </w:tcMar>
            <w:vAlign w:val="center"/>
          </w:tcPr>
          <w:p w14:paraId="4573FC5D" w14:textId="77777777" w:rsidR="00A5098A" w:rsidRDefault="00A922E9">
            <w:pPr>
              <w:spacing w:line="360" w:lineRule="auto"/>
              <w:jc w:val="both"/>
              <w:rPr>
                <w:szCs w:val="24"/>
              </w:rPr>
            </w:pPr>
            <w:r>
              <w:rPr>
                <w:szCs w:val="24"/>
              </w:rPr>
              <w:t>H₂O, 26-28 ATP</w:t>
            </w:r>
          </w:p>
        </w:tc>
        <w:tc>
          <w:tcPr>
            <w:tcW w:w="1872" w:type="dxa"/>
            <w:tcBorders>
              <w:top w:val="single" w:sz="0" w:space="0" w:color="000000"/>
              <w:left w:val="single" w:sz="0" w:space="0" w:color="000000"/>
              <w:bottom w:val="single" w:sz="0" w:space="0" w:color="000000"/>
              <w:right w:val="single" w:sz="0" w:space="0" w:color="000000"/>
            </w:tcBorders>
            <w:shd w:val="clear" w:color="auto" w:fill="FFFFFF"/>
            <w:tcMar>
              <w:top w:w="80" w:type="dxa"/>
              <w:left w:w="120" w:type="dxa"/>
              <w:bottom w:w="80" w:type="dxa"/>
              <w:right w:w="120" w:type="dxa"/>
            </w:tcMar>
            <w:vAlign w:val="center"/>
          </w:tcPr>
          <w:p w14:paraId="0DA566B6" w14:textId="77777777" w:rsidR="00A5098A" w:rsidRDefault="00A922E9">
            <w:pPr>
              <w:spacing w:line="360" w:lineRule="auto"/>
              <w:jc w:val="both"/>
              <w:rPr>
                <w:szCs w:val="24"/>
              </w:rPr>
            </w:pPr>
            <w:r>
              <w:rPr>
                <w:szCs w:val="24"/>
              </w:rPr>
              <w:t>26-28 ATP</w:t>
            </w:r>
          </w:p>
        </w:tc>
      </w:tr>
      <w:tr w:rsidR="00A5098A" w14:paraId="47E29600" w14:textId="77777777">
        <w:tc>
          <w:tcPr>
            <w:tcW w:w="1872" w:type="dxa"/>
            <w:tcBorders>
              <w:top w:val="single" w:sz="0" w:space="0" w:color="000000"/>
              <w:left w:val="single" w:sz="0" w:space="0" w:color="000000"/>
              <w:bottom w:val="single" w:sz="0" w:space="0" w:color="000000"/>
              <w:right w:val="single" w:sz="0" w:space="0" w:color="000000"/>
            </w:tcBorders>
            <w:shd w:val="clear" w:color="auto" w:fill="FFFFFF"/>
            <w:tcMar>
              <w:top w:w="80" w:type="dxa"/>
              <w:left w:w="120" w:type="dxa"/>
              <w:bottom w:w="80" w:type="dxa"/>
              <w:right w:w="120" w:type="dxa"/>
            </w:tcMar>
            <w:vAlign w:val="center"/>
          </w:tcPr>
          <w:p w14:paraId="55F23692" w14:textId="77777777" w:rsidR="00A5098A" w:rsidRDefault="00A922E9">
            <w:pPr>
              <w:spacing w:line="360" w:lineRule="auto"/>
              <w:jc w:val="both"/>
              <w:rPr>
                <w:szCs w:val="24"/>
              </w:rPr>
            </w:pPr>
            <w:r>
              <w:rPr>
                <w:szCs w:val="24"/>
              </w:rPr>
              <w:t>Total</w:t>
            </w:r>
          </w:p>
        </w:tc>
        <w:tc>
          <w:tcPr>
            <w:tcW w:w="1872" w:type="dxa"/>
            <w:tcBorders>
              <w:top w:val="single" w:sz="0" w:space="0" w:color="000000"/>
              <w:left w:val="single" w:sz="0" w:space="0" w:color="000000"/>
              <w:bottom w:val="single" w:sz="0" w:space="0" w:color="000000"/>
              <w:right w:val="single" w:sz="0" w:space="0" w:color="000000"/>
            </w:tcBorders>
            <w:shd w:val="clear" w:color="auto" w:fill="FFFFFF"/>
            <w:tcMar>
              <w:top w:w="80" w:type="dxa"/>
              <w:left w:w="120" w:type="dxa"/>
              <w:bottom w:w="80" w:type="dxa"/>
              <w:right w:w="120" w:type="dxa"/>
            </w:tcMar>
            <w:vAlign w:val="center"/>
          </w:tcPr>
          <w:p w14:paraId="482455F5" w14:textId="77777777" w:rsidR="00A5098A" w:rsidRDefault="00A922E9">
            <w:pPr>
              <w:spacing w:line="360" w:lineRule="auto"/>
              <w:jc w:val="both"/>
              <w:rPr>
                <w:szCs w:val="24"/>
              </w:rPr>
            </w:pPr>
            <w:r>
              <w:rPr>
                <w:szCs w:val="24"/>
              </w:rPr>
              <w:t>—</w:t>
            </w:r>
          </w:p>
        </w:tc>
        <w:tc>
          <w:tcPr>
            <w:tcW w:w="1872" w:type="dxa"/>
            <w:tcBorders>
              <w:top w:val="single" w:sz="0" w:space="0" w:color="000000"/>
              <w:left w:val="single" w:sz="0" w:space="0" w:color="000000"/>
              <w:bottom w:val="single" w:sz="0" w:space="0" w:color="000000"/>
              <w:right w:val="single" w:sz="0" w:space="0" w:color="000000"/>
            </w:tcBorders>
            <w:shd w:val="clear" w:color="auto" w:fill="FFFFFF"/>
            <w:tcMar>
              <w:top w:w="80" w:type="dxa"/>
              <w:left w:w="120" w:type="dxa"/>
              <w:bottom w:w="80" w:type="dxa"/>
              <w:right w:w="120" w:type="dxa"/>
            </w:tcMar>
            <w:vAlign w:val="center"/>
          </w:tcPr>
          <w:p w14:paraId="35026674" w14:textId="77777777" w:rsidR="00A5098A" w:rsidRDefault="00A922E9">
            <w:pPr>
              <w:spacing w:line="360" w:lineRule="auto"/>
              <w:jc w:val="both"/>
              <w:rPr>
                <w:szCs w:val="24"/>
              </w:rPr>
            </w:pPr>
            <w:r>
              <w:rPr>
                <w:szCs w:val="24"/>
              </w:rPr>
              <w:t>—</w:t>
            </w:r>
          </w:p>
        </w:tc>
        <w:tc>
          <w:tcPr>
            <w:tcW w:w="1872" w:type="dxa"/>
            <w:tcBorders>
              <w:top w:val="single" w:sz="0" w:space="0" w:color="000000"/>
              <w:left w:val="single" w:sz="0" w:space="0" w:color="000000"/>
              <w:bottom w:val="single" w:sz="0" w:space="0" w:color="000000"/>
              <w:right w:val="single" w:sz="0" w:space="0" w:color="000000"/>
            </w:tcBorders>
            <w:shd w:val="clear" w:color="auto" w:fill="FFFFFF"/>
            <w:tcMar>
              <w:top w:w="80" w:type="dxa"/>
              <w:left w:w="120" w:type="dxa"/>
              <w:bottom w:w="80" w:type="dxa"/>
              <w:right w:w="120" w:type="dxa"/>
            </w:tcMar>
            <w:vAlign w:val="center"/>
          </w:tcPr>
          <w:p w14:paraId="382150CD" w14:textId="77777777" w:rsidR="00A5098A" w:rsidRDefault="00A922E9">
            <w:pPr>
              <w:spacing w:line="360" w:lineRule="auto"/>
              <w:jc w:val="both"/>
              <w:rPr>
                <w:szCs w:val="24"/>
              </w:rPr>
            </w:pPr>
            <w:r>
              <w:rPr>
                <w:szCs w:val="24"/>
              </w:rPr>
              <w:t>—</w:t>
            </w:r>
          </w:p>
        </w:tc>
        <w:tc>
          <w:tcPr>
            <w:tcW w:w="1872" w:type="dxa"/>
            <w:tcBorders>
              <w:top w:val="single" w:sz="0" w:space="0" w:color="000000"/>
              <w:left w:val="single" w:sz="0" w:space="0" w:color="000000"/>
              <w:bottom w:val="single" w:sz="0" w:space="0" w:color="000000"/>
              <w:right w:val="single" w:sz="0" w:space="0" w:color="000000"/>
            </w:tcBorders>
            <w:shd w:val="clear" w:color="auto" w:fill="FFFFFF"/>
            <w:tcMar>
              <w:top w:w="80" w:type="dxa"/>
              <w:left w:w="120" w:type="dxa"/>
              <w:bottom w:w="80" w:type="dxa"/>
              <w:right w:w="120" w:type="dxa"/>
            </w:tcMar>
            <w:vAlign w:val="center"/>
          </w:tcPr>
          <w:p w14:paraId="71258816" w14:textId="77777777" w:rsidR="00A5098A" w:rsidRDefault="00A922E9">
            <w:pPr>
              <w:spacing w:line="360" w:lineRule="auto"/>
              <w:jc w:val="both"/>
              <w:rPr>
                <w:szCs w:val="24"/>
              </w:rPr>
            </w:pPr>
            <w:r>
              <w:rPr>
                <w:szCs w:val="24"/>
              </w:rPr>
              <w:t>30-32 ATP per glucose</w:t>
            </w:r>
          </w:p>
        </w:tc>
      </w:tr>
    </w:tbl>
    <w:p w14:paraId="5AA147F4" w14:textId="77777777" w:rsidR="00A5098A" w:rsidRDefault="00A922E9">
      <w:pPr>
        <w:spacing w:line="360" w:lineRule="auto"/>
        <w:jc w:val="center"/>
        <w:rPr>
          <w:i/>
          <w:iCs/>
          <w:szCs w:val="24"/>
        </w:rPr>
      </w:pPr>
      <w:r>
        <w:rPr>
          <w:i/>
          <w:iCs/>
          <w:noProof/>
          <w:szCs w:val="24"/>
        </w:rPr>
        <w:drawing>
          <wp:inline distT="0" distB="0" distL="114300" distR="114300" wp14:anchorId="4C91E1FE" wp14:editId="1397B487">
            <wp:extent cx="5486400" cy="4374515"/>
            <wp:effectExtent l="0" t="0" r="0" b="698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pic:cNvPicPr>
                  </pic:nvPicPr>
                  <pic:blipFill>
                    <a:blip r:embed="rId11"/>
                    <a:stretch>
                      <a:fillRect/>
                    </a:stretch>
                  </pic:blipFill>
                  <pic:spPr>
                    <a:xfrm>
                      <a:off x="0" y="0"/>
                      <a:ext cx="5486400" cy="4374667"/>
                    </a:xfrm>
                    <a:prstGeom prst="rect">
                      <a:avLst/>
                    </a:prstGeom>
                  </pic:spPr>
                </pic:pic>
              </a:graphicData>
            </a:graphic>
          </wp:inline>
        </w:drawing>
      </w:r>
    </w:p>
    <w:p w14:paraId="78524031" w14:textId="77777777" w:rsidR="00A5098A" w:rsidRDefault="00A922E9">
      <w:pPr>
        <w:spacing w:before="240" w:line="360" w:lineRule="auto"/>
        <w:jc w:val="center"/>
        <w:rPr>
          <w:i/>
          <w:iCs/>
          <w:szCs w:val="24"/>
          <w:lang w:val="en-US"/>
        </w:rPr>
      </w:pPr>
      <w:r>
        <w:rPr>
          <w:i/>
          <w:iCs/>
          <w:szCs w:val="24"/>
        </w:rPr>
        <w:t>Figure 2: The three stages of cellular respiration showing glucose metabolism and ATP production</w:t>
      </w:r>
      <w:r>
        <w:rPr>
          <w:i/>
          <w:iCs/>
          <w:szCs w:val="24"/>
          <w:lang w:val="en-US"/>
        </w:rPr>
        <w:t xml:space="preserve"> </w:t>
      </w:r>
      <w:r>
        <w:rPr>
          <w:i/>
          <w:iCs/>
          <w:szCs w:val="24"/>
          <w:lang w:val="en-US"/>
        </w:rPr>
        <w:t>(Berg et al., 2026)</w:t>
      </w:r>
    </w:p>
    <w:p w14:paraId="06758EDE" w14:textId="77777777" w:rsidR="00A5098A" w:rsidRDefault="00A922E9">
      <w:pPr>
        <w:pStyle w:val="Heading1"/>
        <w:rPr>
          <w:szCs w:val="24"/>
        </w:rPr>
      </w:pPr>
      <w:bookmarkStart w:id="3" w:name="_Toc24488"/>
      <w:r>
        <w:t>Importance of Blood Glucose Monitoring in Type 2 Diabetes Management</w:t>
      </w:r>
      <w:bookmarkEnd w:id="3"/>
    </w:p>
    <w:p w14:paraId="66F67FE3" w14:textId="77777777" w:rsidR="00A5098A" w:rsidRDefault="00A922E9">
      <w:pPr>
        <w:spacing w:after="240" w:line="360" w:lineRule="auto"/>
        <w:jc w:val="both"/>
        <w:rPr>
          <w:szCs w:val="24"/>
        </w:rPr>
      </w:pPr>
      <w:r>
        <w:rPr>
          <w:szCs w:val="24"/>
        </w:rPr>
        <w:t>The monitoring and recording of blood glucose levels are a standard of successful management of Type 2 diabetes. They assist individuals in maintaining their glycaemic control within normal levels and reducing chances of acute and chronic complications (Klonoff et al., 2022)</w:t>
      </w:r>
      <w:r>
        <w:rPr>
          <w:szCs w:val="24"/>
        </w:rPr>
        <w:t>.</w:t>
      </w:r>
    </w:p>
    <w:p w14:paraId="19950BDF" w14:textId="77777777" w:rsidR="00A5098A" w:rsidRDefault="00A922E9">
      <w:pPr>
        <w:rPr>
          <w:b/>
          <w:bCs/>
          <w:szCs w:val="24"/>
        </w:rPr>
      </w:pPr>
      <w:r>
        <w:rPr>
          <w:b/>
          <w:bCs/>
          <w:szCs w:val="24"/>
        </w:rPr>
        <w:t>Benefits of Blood Glucose Monitoring</w:t>
      </w:r>
    </w:p>
    <w:p w14:paraId="05F52CC7" w14:textId="77777777" w:rsidR="00A5098A" w:rsidRDefault="00A922E9">
      <w:pPr>
        <w:pStyle w:val="ListParagraph"/>
        <w:spacing w:after="240" w:line="360" w:lineRule="auto"/>
        <w:jc w:val="both"/>
        <w:rPr>
          <w:sz w:val="24"/>
          <w:szCs w:val="24"/>
        </w:rPr>
      </w:pPr>
      <w:r>
        <w:rPr>
          <w:sz w:val="24"/>
          <w:szCs w:val="24"/>
        </w:rPr>
        <w:t>Self-monitoring of blood glucose (SMBG) has numerous advantages (Freckmann et al., 2021):</w:t>
      </w:r>
    </w:p>
    <w:p w14:paraId="29C37BB4" w14:textId="77777777" w:rsidR="00A5098A" w:rsidRDefault="00A922E9">
      <w:pPr>
        <w:pStyle w:val="ListParagraph"/>
        <w:numPr>
          <w:ilvl w:val="0"/>
          <w:numId w:val="2"/>
        </w:numPr>
        <w:spacing w:after="240" w:line="360" w:lineRule="auto"/>
        <w:jc w:val="both"/>
        <w:rPr>
          <w:sz w:val="24"/>
          <w:szCs w:val="24"/>
        </w:rPr>
      </w:pPr>
      <w:r>
        <w:rPr>
          <w:sz w:val="24"/>
          <w:szCs w:val="24"/>
        </w:rPr>
        <w:t>Immediate feedback on the effect of diet, physical activity, medication, stress and disease on blood sugar.</w:t>
      </w:r>
    </w:p>
    <w:p w14:paraId="4B6D5EB7" w14:textId="77777777" w:rsidR="00A5098A" w:rsidRDefault="00A922E9">
      <w:pPr>
        <w:pStyle w:val="ListParagraph"/>
        <w:numPr>
          <w:ilvl w:val="0"/>
          <w:numId w:val="2"/>
        </w:numPr>
        <w:spacing w:after="240" w:line="360" w:lineRule="auto"/>
        <w:jc w:val="both"/>
        <w:rPr>
          <w:sz w:val="24"/>
          <w:szCs w:val="24"/>
        </w:rPr>
      </w:pPr>
      <w:r>
        <w:rPr>
          <w:sz w:val="24"/>
          <w:szCs w:val="24"/>
        </w:rPr>
        <w:t>Enables patients to make effective decisions regarding their care.</w:t>
      </w:r>
    </w:p>
    <w:p w14:paraId="3DD76068" w14:textId="77777777" w:rsidR="00A5098A" w:rsidRDefault="00A922E9">
      <w:pPr>
        <w:pStyle w:val="ListParagraph"/>
        <w:numPr>
          <w:ilvl w:val="0"/>
          <w:numId w:val="2"/>
        </w:numPr>
        <w:spacing w:after="240" w:line="360" w:lineRule="auto"/>
        <w:jc w:val="both"/>
        <w:rPr>
          <w:sz w:val="24"/>
          <w:szCs w:val="24"/>
        </w:rPr>
      </w:pPr>
      <w:r>
        <w:rPr>
          <w:sz w:val="24"/>
          <w:szCs w:val="24"/>
        </w:rPr>
        <w:t>Assists in recognizing patterns, e.g., morning glucose surges or after meals.</w:t>
      </w:r>
    </w:p>
    <w:p w14:paraId="0A9A4C07" w14:textId="77777777" w:rsidR="00A5098A" w:rsidRDefault="00A922E9">
      <w:pPr>
        <w:pStyle w:val="ListParagraph"/>
        <w:numPr>
          <w:ilvl w:val="0"/>
          <w:numId w:val="2"/>
        </w:numPr>
        <w:spacing w:after="240" w:line="360" w:lineRule="auto"/>
        <w:jc w:val="both"/>
        <w:rPr>
          <w:sz w:val="24"/>
          <w:szCs w:val="24"/>
        </w:rPr>
      </w:pPr>
      <w:r>
        <w:rPr>
          <w:sz w:val="24"/>
          <w:szCs w:val="24"/>
        </w:rPr>
        <w:t>Allows prompt modifications of treatment plans.</w:t>
      </w:r>
    </w:p>
    <w:p w14:paraId="5C635EA4" w14:textId="77777777" w:rsidR="00A5098A" w:rsidRDefault="00A922E9">
      <w:pPr>
        <w:pStyle w:val="ListParagraph"/>
        <w:numPr>
          <w:ilvl w:val="0"/>
          <w:numId w:val="2"/>
        </w:numPr>
        <w:spacing w:after="240" w:line="360" w:lineRule="auto"/>
        <w:jc w:val="both"/>
        <w:rPr>
          <w:sz w:val="24"/>
          <w:szCs w:val="24"/>
        </w:rPr>
      </w:pPr>
      <w:r>
        <w:rPr>
          <w:sz w:val="24"/>
          <w:szCs w:val="24"/>
        </w:rPr>
        <w:t>Enhances the level of HbA1c and minimizes the chances of complications.</w:t>
      </w:r>
    </w:p>
    <w:p w14:paraId="6B3298F6" w14:textId="77777777" w:rsidR="00A5098A" w:rsidRDefault="00A922E9">
      <w:pPr>
        <w:pStyle w:val="ListParagraph"/>
        <w:numPr>
          <w:ilvl w:val="0"/>
          <w:numId w:val="2"/>
        </w:numPr>
        <w:spacing w:after="240" w:line="360" w:lineRule="auto"/>
        <w:jc w:val="both"/>
        <w:rPr>
          <w:sz w:val="24"/>
          <w:szCs w:val="24"/>
        </w:rPr>
      </w:pPr>
      <w:r>
        <w:rPr>
          <w:sz w:val="24"/>
          <w:szCs w:val="24"/>
        </w:rPr>
        <w:t>It can be used as an educational resource demonstrating the effects of foods and exercise on blood sugar.</w:t>
      </w:r>
    </w:p>
    <w:p w14:paraId="0F22F7FA" w14:textId="77777777" w:rsidR="00A5098A" w:rsidRDefault="00A922E9">
      <w:pPr>
        <w:rPr>
          <w:b/>
          <w:bCs/>
          <w:szCs w:val="24"/>
        </w:rPr>
      </w:pPr>
      <w:r>
        <w:rPr>
          <w:b/>
          <w:bCs/>
          <w:szCs w:val="24"/>
        </w:rPr>
        <w:t>Monitoring Technologies</w:t>
      </w:r>
    </w:p>
    <w:p w14:paraId="4B8FE6CB" w14:textId="77777777" w:rsidR="00A5098A" w:rsidRDefault="00A922E9">
      <w:pPr>
        <w:spacing w:after="240" w:line="360" w:lineRule="auto"/>
        <w:jc w:val="both"/>
        <w:rPr>
          <w:szCs w:val="24"/>
        </w:rPr>
      </w:pPr>
      <w:r>
        <w:rPr>
          <w:szCs w:val="24"/>
        </w:rPr>
        <w:t xml:space="preserve">The glucose-monitoring </w:t>
      </w:r>
      <w:r>
        <w:rPr>
          <w:szCs w:val="24"/>
          <w:lang w:val="en-US"/>
        </w:rPr>
        <w:t>technologies</w:t>
      </w:r>
      <w:r>
        <w:rPr>
          <w:szCs w:val="24"/>
        </w:rPr>
        <w:t xml:space="preserve"> nowadays include:</w:t>
      </w:r>
    </w:p>
    <w:p w14:paraId="6A95E3B1" w14:textId="77777777" w:rsidR="00A5098A" w:rsidRDefault="00A922E9">
      <w:pPr>
        <w:numPr>
          <w:ilvl w:val="0"/>
          <w:numId w:val="3"/>
        </w:numPr>
        <w:spacing w:after="240" w:line="360" w:lineRule="auto"/>
        <w:jc w:val="both"/>
        <w:rPr>
          <w:szCs w:val="24"/>
        </w:rPr>
      </w:pPr>
      <w:r>
        <w:rPr>
          <w:szCs w:val="24"/>
        </w:rPr>
        <w:t>Traditional SMBG: finger-prick tests which provide only single readings at intervals.</w:t>
      </w:r>
    </w:p>
    <w:p w14:paraId="134CF75D" w14:textId="77777777" w:rsidR="00A5098A" w:rsidRDefault="00A922E9">
      <w:pPr>
        <w:numPr>
          <w:ilvl w:val="0"/>
          <w:numId w:val="3"/>
        </w:numPr>
        <w:spacing w:after="240" w:line="360" w:lineRule="auto"/>
        <w:jc w:val="both"/>
        <w:rPr>
          <w:szCs w:val="24"/>
        </w:rPr>
      </w:pPr>
      <w:r>
        <w:rPr>
          <w:szCs w:val="24"/>
        </w:rPr>
        <w:t>Continuous Glucose Monitoring (CGM): gives comprehensive glucose data, night time data and trending.</w:t>
      </w:r>
    </w:p>
    <w:p w14:paraId="0ABA5A25" w14:textId="77777777" w:rsidR="00A5098A" w:rsidRDefault="00A922E9">
      <w:pPr>
        <w:numPr>
          <w:ilvl w:val="0"/>
          <w:numId w:val="3"/>
        </w:numPr>
        <w:spacing w:after="240" w:line="360" w:lineRule="auto"/>
        <w:jc w:val="both"/>
        <w:rPr>
          <w:szCs w:val="24"/>
        </w:rPr>
      </w:pPr>
      <w:r>
        <w:rPr>
          <w:szCs w:val="24"/>
        </w:rPr>
        <w:t>Digital health: integrate monitoring data with diabetes-management applications to enhance patient engagement.</w:t>
      </w:r>
    </w:p>
    <w:p w14:paraId="2A20E920" w14:textId="77777777" w:rsidR="00A5098A" w:rsidRDefault="00A922E9">
      <w:pPr>
        <w:spacing w:after="240" w:line="360" w:lineRule="auto"/>
        <w:jc w:val="both"/>
        <w:rPr>
          <w:szCs w:val="24"/>
        </w:rPr>
      </w:pPr>
      <w:r>
        <w:rPr>
          <w:szCs w:val="24"/>
        </w:rPr>
        <w:t>The frequency of testing must be individualized, considering the nature of the treatment, the effectiveness of their glucose control, and their susceptibility to hypoglycaemia. Monitoring can only be optimally utilized through proper training in the process of testing and interpreting readings (Klonoff et al., 2022)</w:t>
      </w:r>
      <w:r>
        <w:rPr>
          <w:szCs w:val="24"/>
        </w:rPr>
        <w:t>.</w:t>
      </w:r>
    </w:p>
    <w:p w14:paraId="4B9C467E" w14:textId="77777777" w:rsidR="00A5098A" w:rsidRDefault="00A922E9">
      <w:pPr>
        <w:pStyle w:val="Heading1"/>
        <w:rPr>
          <w:szCs w:val="24"/>
        </w:rPr>
      </w:pPr>
      <w:bookmarkStart w:id="4" w:name="_Toc12353"/>
      <w:r>
        <w:t xml:space="preserve">Evidence-Based Lifestyle </w:t>
      </w:r>
      <w:r>
        <w:rPr>
          <w:lang w:val="en-US"/>
        </w:rPr>
        <w:t>Recommendation</w:t>
      </w:r>
      <w:r>
        <w:t>s for Type 2 Diabetes</w:t>
      </w:r>
      <w:bookmarkEnd w:id="4"/>
    </w:p>
    <w:p w14:paraId="45492FC2" w14:textId="77777777" w:rsidR="00A5098A" w:rsidRDefault="00A922E9">
      <w:pPr>
        <w:spacing w:after="240" w:line="360" w:lineRule="auto"/>
        <w:jc w:val="both"/>
        <w:rPr>
          <w:szCs w:val="24"/>
        </w:rPr>
      </w:pPr>
      <w:r>
        <w:rPr>
          <w:szCs w:val="24"/>
        </w:rPr>
        <w:t>The management of Type 2 diabetes is based on lifestyle modification. It has been well-established that holistic interventions including dietary modifications, increased physical activity, weight loss, smoking cessation and stress reduction can enhance glycaemic regulation, reduce cardiovascular risk, and in a few instances even cause remission of the disease (ElSayed et al., 2022)</w:t>
      </w:r>
      <w:r>
        <w:rPr>
          <w:szCs w:val="24"/>
        </w:rPr>
        <w:t>.</w:t>
      </w:r>
    </w:p>
    <w:p w14:paraId="23B9F31B" w14:textId="77777777" w:rsidR="00A5098A" w:rsidRDefault="00A922E9">
      <w:pPr>
        <w:numPr>
          <w:ilvl w:val="0"/>
          <w:numId w:val="4"/>
        </w:numPr>
        <w:rPr>
          <w:szCs w:val="24"/>
        </w:rPr>
      </w:pPr>
      <w:r>
        <w:rPr>
          <w:b/>
          <w:bCs/>
        </w:rPr>
        <w:t>Dietary Modifications</w:t>
      </w:r>
    </w:p>
    <w:p w14:paraId="2FB00D2E" w14:textId="77777777" w:rsidR="00A5098A" w:rsidRDefault="00A922E9">
      <w:pPr>
        <w:spacing w:after="240" w:line="360" w:lineRule="auto"/>
        <w:jc w:val="both"/>
        <w:rPr>
          <w:szCs w:val="24"/>
        </w:rPr>
      </w:pPr>
      <w:r>
        <w:rPr>
          <w:szCs w:val="24"/>
        </w:rPr>
        <w:t>Nutritional treatment is crucial for diabetes.  Meal habits affect weight, blood sugar, and cardiovascular health. Reviews show that Mediterranean, low-carb, and plant-based diets lower blood sugar and diabetes problems.  Mediterranean-style vegetable-fruity and whole-grain-legume-nut-olive-oil diets improve insulin sensitivity and lower heart disease risk.</w:t>
      </w:r>
      <w:r>
        <w:rPr>
          <w:szCs w:val="24"/>
          <w:lang w:val="en-US"/>
        </w:rPr>
        <w:t xml:space="preserve"> </w:t>
      </w:r>
      <w:r>
        <w:rPr>
          <w:szCs w:val="24"/>
        </w:rPr>
        <w:t>Quality and quantity of carbs matter most to Type 2 diabetics</w:t>
      </w:r>
      <w:r>
        <w:rPr>
          <w:szCs w:val="24"/>
          <w:lang w:val="en-US"/>
        </w:rPr>
        <w:t xml:space="preserve"> (Chatterjee and Clinic, 2025)</w:t>
      </w:r>
      <w:r>
        <w:rPr>
          <w:szCs w:val="24"/>
        </w:rPr>
        <w:t>. Replace refined carbs and sugary foods with complex and low-GI carbs to minimise post-meal sugar rises. You'll feel fuller, absorb less glucose, and have better cholesterol with soluble fibre. Controlling portion size and eating on time stabilises blood sugar levels throughout the day</w:t>
      </w:r>
      <w:r>
        <w:rPr>
          <w:szCs w:val="24"/>
        </w:rPr>
        <w:t>.</w:t>
      </w:r>
    </w:p>
    <w:p w14:paraId="0FF6644C" w14:textId="77777777" w:rsidR="00A5098A" w:rsidRDefault="00A922E9">
      <w:pPr>
        <w:numPr>
          <w:ilvl w:val="0"/>
          <w:numId w:val="4"/>
        </w:numPr>
        <w:rPr>
          <w:szCs w:val="24"/>
        </w:rPr>
      </w:pPr>
      <w:r>
        <w:rPr>
          <w:b/>
          <w:bCs/>
        </w:rPr>
        <w:t>Physical Activity and Exercise</w:t>
      </w:r>
    </w:p>
    <w:p w14:paraId="7A726F21" w14:textId="77777777" w:rsidR="00A5098A" w:rsidRDefault="00A922E9">
      <w:pPr>
        <w:spacing w:after="240" w:line="360" w:lineRule="auto"/>
        <w:jc w:val="both"/>
        <w:rPr>
          <w:szCs w:val="24"/>
        </w:rPr>
      </w:pPr>
      <w:r>
        <w:rPr>
          <w:szCs w:val="24"/>
        </w:rPr>
        <w:t>Type 2 diabetes patients benefit from exercise for glycaemic management and cardiovascular fitness.</w:t>
      </w:r>
      <w:r>
        <w:rPr>
          <w:szCs w:val="24"/>
          <w:lang w:val="en-US"/>
        </w:rPr>
        <w:t xml:space="preserve"> </w:t>
      </w:r>
      <w:r>
        <w:rPr>
          <w:szCs w:val="24"/>
        </w:rPr>
        <w:t>The American Diabetes Association recommends 150 minutes of moderate-intensity aerobic exercise per week (excluding running), such as brisk walking, cycling, or swimming, spread over no more than two days of rest and at least three days of physical activity</w:t>
      </w:r>
      <w:r>
        <w:rPr>
          <w:szCs w:val="24"/>
          <w:lang w:val="en-US"/>
        </w:rPr>
        <w:t xml:space="preserve"> (American Diabetes Association, 2025)</w:t>
      </w:r>
      <w:r>
        <w:rPr>
          <w:szCs w:val="24"/>
        </w:rPr>
        <w:t>.  Resistance training two to three times a week builds muscle and improves glucose utilisation.</w:t>
      </w:r>
      <w:r>
        <w:rPr>
          <w:szCs w:val="24"/>
          <w:lang w:val="en-US"/>
        </w:rPr>
        <w:t xml:space="preserve"> </w:t>
      </w:r>
      <w:r>
        <w:rPr>
          <w:szCs w:val="24"/>
        </w:rPr>
        <w:t>Physical activity affects glucose metabolism short- and long-term.</w:t>
      </w:r>
      <w:r>
        <w:rPr>
          <w:szCs w:val="24"/>
          <w:lang w:val="en-US"/>
        </w:rPr>
        <w:t xml:space="preserve"> </w:t>
      </w:r>
      <w:r>
        <w:rPr>
          <w:szCs w:val="24"/>
        </w:rPr>
        <w:t>One exercise stimulates muscle GLUT4 receptors, allo</w:t>
      </w:r>
      <w:r>
        <w:rPr>
          <w:szCs w:val="24"/>
        </w:rPr>
        <w:t>wing glucose to enter cells without insulin and lower blood sugar. Regular exercise gradually improves insulin sensitivity, visceral fat, blood pressure, and cholesterol, lowering cardiac risk.  Even brief, modest exercise whilst sitting improves glycaemic management</w:t>
      </w:r>
      <w:r>
        <w:rPr>
          <w:szCs w:val="24"/>
        </w:rPr>
        <w:t>.</w:t>
      </w:r>
    </w:p>
    <w:p w14:paraId="131E35AF" w14:textId="77777777" w:rsidR="00A5098A" w:rsidRDefault="00A922E9">
      <w:pPr>
        <w:numPr>
          <w:ilvl w:val="0"/>
          <w:numId w:val="4"/>
        </w:numPr>
        <w:rPr>
          <w:szCs w:val="24"/>
        </w:rPr>
      </w:pPr>
      <w:r>
        <w:rPr>
          <w:b/>
          <w:bCs/>
        </w:rPr>
        <w:t>Weight Management</w:t>
      </w:r>
    </w:p>
    <w:p w14:paraId="08FE353F" w14:textId="77777777" w:rsidR="00A5098A" w:rsidRDefault="00A922E9">
      <w:pPr>
        <w:spacing w:after="240" w:line="360" w:lineRule="auto"/>
        <w:jc w:val="both"/>
        <w:rPr>
          <w:szCs w:val="24"/>
        </w:rPr>
      </w:pPr>
      <w:r>
        <w:rPr>
          <w:szCs w:val="24"/>
        </w:rPr>
        <w:t>Weight loss in overweight and obese people is part of type 2 diabetes management.  Obesity and belly fat increase insulin resistance and beta cell destruction.  Weight loss (5-10%) can enhance blood sugar, hypertension, and cholesterol levels (Wing et al.,2023).  Many patients can lose weight and cure their diabetes with radical lifestyle modifications or surgery</w:t>
      </w:r>
      <w:r>
        <w:rPr>
          <w:szCs w:val="24"/>
        </w:rPr>
        <w:t>.</w:t>
      </w:r>
    </w:p>
    <w:p w14:paraId="1B4D6DFB" w14:textId="77777777" w:rsidR="00A5098A" w:rsidRDefault="00A922E9">
      <w:pPr>
        <w:numPr>
          <w:ilvl w:val="0"/>
          <w:numId w:val="4"/>
        </w:numPr>
        <w:rPr>
          <w:szCs w:val="24"/>
        </w:rPr>
      </w:pPr>
      <w:r>
        <w:rPr>
          <w:b/>
          <w:bCs/>
        </w:rPr>
        <w:t>Smoking Cessation</w:t>
      </w:r>
    </w:p>
    <w:p w14:paraId="04810397" w14:textId="77777777" w:rsidR="00A5098A" w:rsidRDefault="00A922E9">
      <w:pPr>
        <w:spacing w:after="240" w:line="360" w:lineRule="auto"/>
        <w:jc w:val="both"/>
        <w:rPr>
          <w:szCs w:val="24"/>
        </w:rPr>
      </w:pPr>
      <w:r>
        <w:rPr>
          <w:szCs w:val="24"/>
        </w:rPr>
        <w:t>Smoking is a known risk factor for type 2 diabetes and its consequences, including heart, kidney, and peripheral vascular disease.  Nicotine in tobacco products reduces insulin activity, causes inflammation, and worsens endothelial dysfunction (Food and Drug Administration, 2023). Thus, smoking cessation should be encouraged and treated with behaviour counselling and medicines</w:t>
      </w:r>
      <w:r>
        <w:rPr>
          <w:szCs w:val="24"/>
        </w:rPr>
        <w:t>.</w:t>
      </w:r>
    </w:p>
    <w:p w14:paraId="64735D51" w14:textId="77777777" w:rsidR="00A5098A" w:rsidRDefault="00A922E9">
      <w:pPr>
        <w:numPr>
          <w:ilvl w:val="0"/>
          <w:numId w:val="4"/>
        </w:numPr>
        <w:rPr>
          <w:b/>
          <w:bCs/>
        </w:rPr>
      </w:pPr>
      <w:r>
        <w:rPr>
          <w:b/>
          <w:bCs/>
        </w:rPr>
        <w:t>Stress Management and Sleep</w:t>
      </w:r>
    </w:p>
    <w:p w14:paraId="38CFE5BC" w14:textId="77777777" w:rsidR="00A5098A" w:rsidRDefault="00A922E9">
      <w:pPr>
        <w:spacing w:after="360" w:line="360" w:lineRule="auto"/>
        <w:jc w:val="both"/>
        <w:rPr>
          <w:szCs w:val="24"/>
        </w:rPr>
      </w:pPr>
      <w:r>
        <w:rPr>
          <w:szCs w:val="24"/>
        </w:rPr>
        <w:t>Chronic psychological stress and sleep deprivation might worsen glucose regulation by stimulating the HPA axis, raising cortisol, and fostering unhealthy habits. Stress-management strategies like cognitive behavioural therapy, mindfulness, and relaxation can improve mental health and glycaemic results.  Vidovszky (2025) suggest that quality sleep (7-9 hours per night) can improve metabolic health and enhance the effectiveness of lifestyle changes</w:t>
      </w:r>
      <w:r>
        <w:rPr>
          <w:szCs w:val="24"/>
          <w:lang w:val="en-US"/>
        </w:rPr>
        <w:t>s</w:t>
      </w:r>
      <w:r>
        <w:rPr>
          <w:szCs w:val="24"/>
        </w:rPr>
        <w:t>.</w:t>
      </w:r>
    </w:p>
    <w:p w14:paraId="1AAD3A10" w14:textId="77777777" w:rsidR="00A5098A" w:rsidRDefault="00A922E9">
      <w:pPr>
        <w:spacing w:before="240" w:after="120" w:line="360" w:lineRule="auto"/>
        <w:jc w:val="both"/>
        <w:rPr>
          <w:szCs w:val="24"/>
          <w:lang w:val="en-US"/>
        </w:rPr>
      </w:pPr>
      <w:r>
        <w:rPr>
          <w:b/>
          <w:bCs/>
          <w:szCs w:val="24"/>
        </w:rPr>
        <w:t>Table 3: Summary of Lifestyle Recommendations for Type 2 Diabetes Management</w:t>
      </w:r>
      <w:r>
        <w:rPr>
          <w:b/>
          <w:bCs/>
          <w:szCs w:val="24"/>
          <w:lang w:val="en-US"/>
        </w:rPr>
        <w:t xml:space="preserve"> </w:t>
      </w:r>
      <w:r>
        <w:rPr>
          <w:b/>
          <w:bCs/>
          <w:szCs w:val="24"/>
          <w:lang w:val="en-US"/>
        </w:rPr>
        <w:t>(American Diabetes Association, 2025; ElSayed et al., 2022)</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3120"/>
        <w:gridCol w:w="3120"/>
        <w:gridCol w:w="3120"/>
      </w:tblGrid>
      <w:tr w:rsidR="00A5098A" w14:paraId="594E4DAA" w14:textId="77777777">
        <w:tc>
          <w:tcPr>
            <w:tcW w:w="3120" w:type="dxa"/>
            <w:tcBorders>
              <w:top w:val="single" w:sz="0" w:space="0" w:color="000000"/>
              <w:left w:val="single" w:sz="0" w:space="0" w:color="000000"/>
              <w:bottom w:val="single" w:sz="0" w:space="0" w:color="000000"/>
              <w:right w:val="single" w:sz="0" w:space="0" w:color="000000"/>
            </w:tcBorders>
            <w:shd w:val="clear" w:color="auto" w:fill="D5E8F0"/>
            <w:tcMar>
              <w:top w:w="80" w:type="dxa"/>
              <w:left w:w="120" w:type="dxa"/>
              <w:bottom w:w="80" w:type="dxa"/>
              <w:right w:w="120" w:type="dxa"/>
            </w:tcMar>
            <w:vAlign w:val="center"/>
          </w:tcPr>
          <w:p w14:paraId="02992659" w14:textId="77777777" w:rsidR="00A5098A" w:rsidRDefault="00A922E9">
            <w:pPr>
              <w:spacing w:line="360" w:lineRule="auto"/>
              <w:jc w:val="both"/>
              <w:rPr>
                <w:szCs w:val="24"/>
              </w:rPr>
            </w:pPr>
            <w:r>
              <w:rPr>
                <w:b/>
                <w:bCs/>
                <w:szCs w:val="24"/>
              </w:rPr>
              <w:t>Lifestyle Factor</w:t>
            </w:r>
          </w:p>
        </w:tc>
        <w:tc>
          <w:tcPr>
            <w:tcW w:w="3120" w:type="dxa"/>
            <w:tcBorders>
              <w:top w:val="single" w:sz="0" w:space="0" w:color="000000"/>
              <w:left w:val="single" w:sz="0" w:space="0" w:color="000000"/>
              <w:bottom w:val="single" w:sz="0" w:space="0" w:color="000000"/>
              <w:right w:val="single" w:sz="0" w:space="0" w:color="000000"/>
            </w:tcBorders>
            <w:shd w:val="clear" w:color="auto" w:fill="D5E8F0"/>
            <w:tcMar>
              <w:top w:w="80" w:type="dxa"/>
              <w:left w:w="120" w:type="dxa"/>
              <w:bottom w:w="80" w:type="dxa"/>
              <w:right w:w="120" w:type="dxa"/>
            </w:tcMar>
            <w:vAlign w:val="center"/>
          </w:tcPr>
          <w:p w14:paraId="4860D017" w14:textId="77777777" w:rsidR="00A5098A" w:rsidRDefault="00A922E9">
            <w:pPr>
              <w:spacing w:line="360" w:lineRule="auto"/>
              <w:jc w:val="both"/>
              <w:rPr>
                <w:szCs w:val="24"/>
              </w:rPr>
            </w:pPr>
            <w:r>
              <w:rPr>
                <w:b/>
                <w:bCs/>
                <w:szCs w:val="24"/>
              </w:rPr>
              <w:t>Recommendation</w:t>
            </w:r>
          </w:p>
        </w:tc>
        <w:tc>
          <w:tcPr>
            <w:tcW w:w="3120" w:type="dxa"/>
            <w:tcBorders>
              <w:top w:val="single" w:sz="0" w:space="0" w:color="000000"/>
              <w:left w:val="single" w:sz="0" w:space="0" w:color="000000"/>
              <w:bottom w:val="single" w:sz="0" w:space="0" w:color="000000"/>
              <w:right w:val="single" w:sz="0" w:space="0" w:color="000000"/>
            </w:tcBorders>
            <w:shd w:val="clear" w:color="auto" w:fill="D5E8F0"/>
            <w:tcMar>
              <w:top w:w="80" w:type="dxa"/>
              <w:left w:w="120" w:type="dxa"/>
              <w:bottom w:w="80" w:type="dxa"/>
              <w:right w:w="120" w:type="dxa"/>
            </w:tcMar>
            <w:vAlign w:val="center"/>
          </w:tcPr>
          <w:p w14:paraId="451BDF32" w14:textId="77777777" w:rsidR="00A5098A" w:rsidRDefault="00A922E9">
            <w:pPr>
              <w:spacing w:line="360" w:lineRule="auto"/>
              <w:jc w:val="both"/>
              <w:rPr>
                <w:szCs w:val="24"/>
              </w:rPr>
            </w:pPr>
            <w:r>
              <w:rPr>
                <w:b/>
                <w:bCs/>
                <w:szCs w:val="24"/>
              </w:rPr>
              <w:t>Expected Benefits</w:t>
            </w:r>
          </w:p>
        </w:tc>
      </w:tr>
      <w:tr w:rsidR="00A5098A" w14:paraId="6CB441D5" w14:textId="77777777">
        <w:tc>
          <w:tcPr>
            <w:tcW w:w="3120" w:type="dxa"/>
            <w:tcBorders>
              <w:top w:val="single" w:sz="0" w:space="0" w:color="000000"/>
              <w:left w:val="single" w:sz="0" w:space="0" w:color="000000"/>
              <w:bottom w:val="single" w:sz="0" w:space="0" w:color="000000"/>
              <w:right w:val="single" w:sz="0" w:space="0" w:color="000000"/>
            </w:tcBorders>
            <w:shd w:val="clear" w:color="auto" w:fill="FFFFFF"/>
            <w:tcMar>
              <w:top w:w="80" w:type="dxa"/>
              <w:left w:w="120" w:type="dxa"/>
              <w:bottom w:w="80" w:type="dxa"/>
              <w:right w:w="120" w:type="dxa"/>
            </w:tcMar>
            <w:vAlign w:val="center"/>
          </w:tcPr>
          <w:p w14:paraId="2C065E0F" w14:textId="77777777" w:rsidR="00A5098A" w:rsidRDefault="00A922E9">
            <w:pPr>
              <w:spacing w:line="360" w:lineRule="auto"/>
              <w:jc w:val="both"/>
              <w:rPr>
                <w:szCs w:val="24"/>
              </w:rPr>
            </w:pPr>
            <w:r>
              <w:rPr>
                <w:szCs w:val="24"/>
              </w:rPr>
              <w:t>Diet</w:t>
            </w:r>
          </w:p>
        </w:tc>
        <w:tc>
          <w:tcPr>
            <w:tcW w:w="3120" w:type="dxa"/>
            <w:tcBorders>
              <w:top w:val="single" w:sz="0" w:space="0" w:color="000000"/>
              <w:left w:val="single" w:sz="0" w:space="0" w:color="000000"/>
              <w:bottom w:val="single" w:sz="0" w:space="0" w:color="000000"/>
              <w:right w:val="single" w:sz="0" w:space="0" w:color="000000"/>
            </w:tcBorders>
            <w:shd w:val="clear" w:color="auto" w:fill="FFFFFF"/>
            <w:tcMar>
              <w:top w:w="80" w:type="dxa"/>
              <w:left w:w="120" w:type="dxa"/>
              <w:bottom w:w="80" w:type="dxa"/>
              <w:right w:w="120" w:type="dxa"/>
            </w:tcMar>
            <w:vAlign w:val="center"/>
          </w:tcPr>
          <w:p w14:paraId="0B531D20" w14:textId="77777777" w:rsidR="00A5098A" w:rsidRDefault="00A922E9">
            <w:pPr>
              <w:spacing w:line="360" w:lineRule="auto"/>
              <w:jc w:val="both"/>
              <w:rPr>
                <w:szCs w:val="24"/>
              </w:rPr>
            </w:pPr>
            <w:r>
              <w:rPr>
                <w:szCs w:val="24"/>
              </w:rPr>
              <w:t>Mediterranean diet; Low GI foods; High fibre; Portion control</w:t>
            </w:r>
          </w:p>
        </w:tc>
        <w:tc>
          <w:tcPr>
            <w:tcW w:w="3120" w:type="dxa"/>
            <w:tcBorders>
              <w:top w:val="single" w:sz="0" w:space="0" w:color="000000"/>
              <w:left w:val="single" w:sz="0" w:space="0" w:color="000000"/>
              <w:bottom w:val="single" w:sz="0" w:space="0" w:color="000000"/>
              <w:right w:val="single" w:sz="0" w:space="0" w:color="000000"/>
            </w:tcBorders>
            <w:shd w:val="clear" w:color="auto" w:fill="FFFFFF"/>
            <w:tcMar>
              <w:top w:w="80" w:type="dxa"/>
              <w:left w:w="120" w:type="dxa"/>
              <w:bottom w:w="80" w:type="dxa"/>
              <w:right w:w="120" w:type="dxa"/>
            </w:tcMar>
            <w:vAlign w:val="center"/>
          </w:tcPr>
          <w:p w14:paraId="0E910688" w14:textId="77777777" w:rsidR="00A5098A" w:rsidRDefault="00A922E9">
            <w:pPr>
              <w:spacing w:line="360" w:lineRule="auto"/>
              <w:jc w:val="both"/>
              <w:rPr>
                <w:szCs w:val="24"/>
              </w:rPr>
            </w:pPr>
            <w:r>
              <w:rPr>
                <w:szCs w:val="24"/>
              </w:rPr>
              <w:t>Improved glycaemic control; Weight reduction; Reduced cardiovascular risk</w:t>
            </w:r>
          </w:p>
        </w:tc>
      </w:tr>
      <w:tr w:rsidR="00A5098A" w14:paraId="06DC100B" w14:textId="77777777">
        <w:tc>
          <w:tcPr>
            <w:tcW w:w="3120" w:type="dxa"/>
            <w:tcBorders>
              <w:top w:val="single" w:sz="0" w:space="0" w:color="000000"/>
              <w:left w:val="single" w:sz="0" w:space="0" w:color="000000"/>
              <w:bottom w:val="single" w:sz="0" w:space="0" w:color="000000"/>
              <w:right w:val="single" w:sz="0" w:space="0" w:color="000000"/>
            </w:tcBorders>
            <w:shd w:val="clear" w:color="auto" w:fill="FFFFFF"/>
            <w:tcMar>
              <w:top w:w="80" w:type="dxa"/>
              <w:left w:w="120" w:type="dxa"/>
              <w:bottom w:w="80" w:type="dxa"/>
              <w:right w:w="120" w:type="dxa"/>
            </w:tcMar>
            <w:vAlign w:val="center"/>
          </w:tcPr>
          <w:p w14:paraId="5A4E6B95" w14:textId="77777777" w:rsidR="00A5098A" w:rsidRDefault="00A922E9">
            <w:pPr>
              <w:spacing w:line="360" w:lineRule="auto"/>
              <w:jc w:val="both"/>
              <w:rPr>
                <w:szCs w:val="24"/>
              </w:rPr>
            </w:pPr>
            <w:r>
              <w:rPr>
                <w:szCs w:val="24"/>
              </w:rPr>
              <w:t>Physical Activity</w:t>
            </w:r>
          </w:p>
        </w:tc>
        <w:tc>
          <w:tcPr>
            <w:tcW w:w="3120" w:type="dxa"/>
            <w:tcBorders>
              <w:top w:val="single" w:sz="0" w:space="0" w:color="000000"/>
              <w:left w:val="single" w:sz="0" w:space="0" w:color="000000"/>
              <w:bottom w:val="single" w:sz="0" w:space="0" w:color="000000"/>
              <w:right w:val="single" w:sz="0" w:space="0" w:color="000000"/>
            </w:tcBorders>
            <w:shd w:val="clear" w:color="auto" w:fill="FFFFFF"/>
            <w:tcMar>
              <w:top w:w="80" w:type="dxa"/>
              <w:left w:w="120" w:type="dxa"/>
              <w:bottom w:w="80" w:type="dxa"/>
              <w:right w:w="120" w:type="dxa"/>
            </w:tcMar>
            <w:vAlign w:val="center"/>
          </w:tcPr>
          <w:p w14:paraId="0D821FDA" w14:textId="77777777" w:rsidR="00A5098A" w:rsidRDefault="00A922E9">
            <w:pPr>
              <w:spacing w:line="360" w:lineRule="auto"/>
              <w:jc w:val="both"/>
              <w:rPr>
                <w:szCs w:val="24"/>
              </w:rPr>
            </w:pPr>
            <w:r>
              <w:rPr>
                <w:szCs w:val="24"/>
              </w:rPr>
              <w:t>≥150 min/week moderate-intensity aerobic exercise; Resistance training 2-3 times/week</w:t>
            </w:r>
          </w:p>
        </w:tc>
        <w:tc>
          <w:tcPr>
            <w:tcW w:w="3120" w:type="dxa"/>
            <w:tcBorders>
              <w:top w:val="single" w:sz="0" w:space="0" w:color="000000"/>
              <w:left w:val="single" w:sz="0" w:space="0" w:color="000000"/>
              <w:bottom w:val="single" w:sz="0" w:space="0" w:color="000000"/>
              <w:right w:val="single" w:sz="0" w:space="0" w:color="000000"/>
            </w:tcBorders>
            <w:shd w:val="clear" w:color="auto" w:fill="FFFFFF"/>
            <w:tcMar>
              <w:top w:w="80" w:type="dxa"/>
              <w:left w:w="120" w:type="dxa"/>
              <w:bottom w:w="80" w:type="dxa"/>
              <w:right w:w="120" w:type="dxa"/>
            </w:tcMar>
            <w:vAlign w:val="center"/>
          </w:tcPr>
          <w:p w14:paraId="540CB72D" w14:textId="77777777" w:rsidR="00A5098A" w:rsidRDefault="00A922E9">
            <w:pPr>
              <w:spacing w:line="360" w:lineRule="auto"/>
              <w:jc w:val="both"/>
              <w:rPr>
                <w:szCs w:val="24"/>
              </w:rPr>
            </w:pPr>
            <w:r>
              <w:rPr>
                <w:szCs w:val="24"/>
              </w:rPr>
              <w:t>Enhanced insulin sensitivity; Better glucose control; Increased muscle mass; Cardiovascular fitness</w:t>
            </w:r>
          </w:p>
        </w:tc>
      </w:tr>
      <w:tr w:rsidR="00A5098A" w14:paraId="2D54F364" w14:textId="77777777">
        <w:tc>
          <w:tcPr>
            <w:tcW w:w="3120" w:type="dxa"/>
            <w:tcBorders>
              <w:top w:val="single" w:sz="0" w:space="0" w:color="000000"/>
              <w:left w:val="single" w:sz="0" w:space="0" w:color="000000"/>
              <w:bottom w:val="single" w:sz="0" w:space="0" w:color="000000"/>
              <w:right w:val="single" w:sz="0" w:space="0" w:color="000000"/>
            </w:tcBorders>
            <w:shd w:val="clear" w:color="auto" w:fill="FFFFFF"/>
            <w:tcMar>
              <w:top w:w="80" w:type="dxa"/>
              <w:left w:w="120" w:type="dxa"/>
              <w:bottom w:w="80" w:type="dxa"/>
              <w:right w:w="120" w:type="dxa"/>
            </w:tcMar>
            <w:vAlign w:val="center"/>
          </w:tcPr>
          <w:p w14:paraId="43602F8B" w14:textId="77777777" w:rsidR="00A5098A" w:rsidRDefault="00A922E9">
            <w:pPr>
              <w:spacing w:line="360" w:lineRule="auto"/>
              <w:jc w:val="both"/>
              <w:rPr>
                <w:szCs w:val="24"/>
              </w:rPr>
            </w:pPr>
            <w:r>
              <w:rPr>
                <w:szCs w:val="24"/>
              </w:rPr>
              <w:t>Weight Management</w:t>
            </w:r>
          </w:p>
        </w:tc>
        <w:tc>
          <w:tcPr>
            <w:tcW w:w="3120" w:type="dxa"/>
            <w:tcBorders>
              <w:top w:val="single" w:sz="0" w:space="0" w:color="000000"/>
              <w:left w:val="single" w:sz="0" w:space="0" w:color="000000"/>
              <w:bottom w:val="single" w:sz="0" w:space="0" w:color="000000"/>
              <w:right w:val="single" w:sz="0" w:space="0" w:color="000000"/>
            </w:tcBorders>
            <w:shd w:val="clear" w:color="auto" w:fill="FFFFFF"/>
            <w:tcMar>
              <w:top w:w="80" w:type="dxa"/>
              <w:left w:w="120" w:type="dxa"/>
              <w:bottom w:w="80" w:type="dxa"/>
              <w:right w:w="120" w:type="dxa"/>
            </w:tcMar>
            <w:vAlign w:val="center"/>
          </w:tcPr>
          <w:p w14:paraId="5C0CAE27" w14:textId="77777777" w:rsidR="00A5098A" w:rsidRDefault="00A922E9">
            <w:pPr>
              <w:spacing w:line="360" w:lineRule="auto"/>
              <w:jc w:val="both"/>
              <w:rPr>
                <w:szCs w:val="24"/>
              </w:rPr>
            </w:pPr>
            <w:r>
              <w:rPr>
                <w:szCs w:val="24"/>
              </w:rPr>
              <w:t>5-10% weight loss for overweight/obese individuals</w:t>
            </w:r>
          </w:p>
        </w:tc>
        <w:tc>
          <w:tcPr>
            <w:tcW w:w="3120" w:type="dxa"/>
            <w:tcBorders>
              <w:top w:val="single" w:sz="0" w:space="0" w:color="000000"/>
              <w:left w:val="single" w:sz="0" w:space="0" w:color="000000"/>
              <w:bottom w:val="single" w:sz="0" w:space="0" w:color="000000"/>
              <w:right w:val="single" w:sz="0" w:space="0" w:color="000000"/>
            </w:tcBorders>
            <w:shd w:val="clear" w:color="auto" w:fill="FFFFFF"/>
            <w:tcMar>
              <w:top w:w="80" w:type="dxa"/>
              <w:left w:w="120" w:type="dxa"/>
              <w:bottom w:w="80" w:type="dxa"/>
              <w:right w:w="120" w:type="dxa"/>
            </w:tcMar>
            <w:vAlign w:val="center"/>
          </w:tcPr>
          <w:p w14:paraId="6D81F305" w14:textId="77777777" w:rsidR="00A5098A" w:rsidRDefault="00A922E9">
            <w:pPr>
              <w:spacing w:line="360" w:lineRule="auto"/>
              <w:jc w:val="both"/>
              <w:rPr>
                <w:szCs w:val="24"/>
              </w:rPr>
            </w:pPr>
            <w:r>
              <w:rPr>
                <w:szCs w:val="24"/>
              </w:rPr>
              <w:t>Improved glycaemic control; Reduced blood pressure; Better lipid profile; Potential disease remission</w:t>
            </w:r>
          </w:p>
        </w:tc>
      </w:tr>
      <w:tr w:rsidR="00A5098A" w14:paraId="6E61F24E" w14:textId="77777777">
        <w:tc>
          <w:tcPr>
            <w:tcW w:w="3120" w:type="dxa"/>
            <w:tcBorders>
              <w:top w:val="single" w:sz="0" w:space="0" w:color="000000"/>
              <w:left w:val="single" w:sz="0" w:space="0" w:color="000000"/>
              <w:bottom w:val="single" w:sz="0" w:space="0" w:color="000000"/>
              <w:right w:val="single" w:sz="0" w:space="0" w:color="000000"/>
            </w:tcBorders>
            <w:shd w:val="clear" w:color="auto" w:fill="FFFFFF"/>
            <w:tcMar>
              <w:top w:w="80" w:type="dxa"/>
              <w:left w:w="120" w:type="dxa"/>
              <w:bottom w:w="80" w:type="dxa"/>
              <w:right w:w="120" w:type="dxa"/>
            </w:tcMar>
            <w:vAlign w:val="center"/>
          </w:tcPr>
          <w:p w14:paraId="2F09FE73" w14:textId="77777777" w:rsidR="00A5098A" w:rsidRDefault="00A922E9">
            <w:pPr>
              <w:spacing w:line="360" w:lineRule="auto"/>
              <w:jc w:val="both"/>
              <w:rPr>
                <w:szCs w:val="24"/>
              </w:rPr>
            </w:pPr>
            <w:r>
              <w:rPr>
                <w:szCs w:val="24"/>
              </w:rPr>
              <w:t>Smoking Cessation</w:t>
            </w:r>
          </w:p>
        </w:tc>
        <w:tc>
          <w:tcPr>
            <w:tcW w:w="3120" w:type="dxa"/>
            <w:tcBorders>
              <w:top w:val="single" w:sz="0" w:space="0" w:color="000000"/>
              <w:left w:val="single" w:sz="0" w:space="0" w:color="000000"/>
              <w:bottom w:val="single" w:sz="0" w:space="0" w:color="000000"/>
              <w:right w:val="single" w:sz="0" w:space="0" w:color="000000"/>
            </w:tcBorders>
            <w:shd w:val="clear" w:color="auto" w:fill="FFFFFF"/>
            <w:tcMar>
              <w:top w:w="80" w:type="dxa"/>
              <w:left w:w="120" w:type="dxa"/>
              <w:bottom w:w="80" w:type="dxa"/>
              <w:right w:w="120" w:type="dxa"/>
            </w:tcMar>
            <w:vAlign w:val="center"/>
          </w:tcPr>
          <w:p w14:paraId="2D734151" w14:textId="77777777" w:rsidR="00A5098A" w:rsidRDefault="00A922E9">
            <w:pPr>
              <w:spacing w:line="360" w:lineRule="auto"/>
              <w:jc w:val="both"/>
              <w:rPr>
                <w:szCs w:val="24"/>
              </w:rPr>
            </w:pPr>
            <w:r>
              <w:rPr>
                <w:szCs w:val="24"/>
              </w:rPr>
              <w:t>Complete cessation with behavioural and pharmacological support</w:t>
            </w:r>
          </w:p>
        </w:tc>
        <w:tc>
          <w:tcPr>
            <w:tcW w:w="3120" w:type="dxa"/>
            <w:tcBorders>
              <w:top w:val="single" w:sz="0" w:space="0" w:color="000000"/>
              <w:left w:val="single" w:sz="0" w:space="0" w:color="000000"/>
              <w:bottom w:val="single" w:sz="0" w:space="0" w:color="000000"/>
              <w:right w:val="single" w:sz="0" w:space="0" w:color="000000"/>
            </w:tcBorders>
            <w:shd w:val="clear" w:color="auto" w:fill="FFFFFF"/>
            <w:tcMar>
              <w:top w:w="80" w:type="dxa"/>
              <w:left w:w="120" w:type="dxa"/>
              <w:bottom w:w="80" w:type="dxa"/>
              <w:right w:w="120" w:type="dxa"/>
            </w:tcMar>
            <w:vAlign w:val="center"/>
          </w:tcPr>
          <w:p w14:paraId="399D9B77" w14:textId="77777777" w:rsidR="00A5098A" w:rsidRDefault="00A922E9">
            <w:pPr>
              <w:spacing w:line="360" w:lineRule="auto"/>
              <w:jc w:val="both"/>
              <w:rPr>
                <w:szCs w:val="24"/>
              </w:rPr>
            </w:pPr>
            <w:r>
              <w:rPr>
                <w:szCs w:val="24"/>
              </w:rPr>
              <w:t>Reduced complications; Improved insulin sensitivity; Lower cardiovascular risk</w:t>
            </w:r>
          </w:p>
        </w:tc>
      </w:tr>
      <w:tr w:rsidR="00A5098A" w14:paraId="04704E5B" w14:textId="77777777">
        <w:tc>
          <w:tcPr>
            <w:tcW w:w="3120" w:type="dxa"/>
            <w:tcBorders>
              <w:top w:val="single" w:sz="0" w:space="0" w:color="000000"/>
              <w:left w:val="single" w:sz="0" w:space="0" w:color="000000"/>
              <w:bottom w:val="single" w:sz="0" w:space="0" w:color="000000"/>
              <w:right w:val="single" w:sz="0" w:space="0" w:color="000000"/>
            </w:tcBorders>
            <w:shd w:val="clear" w:color="auto" w:fill="FFFFFF"/>
            <w:tcMar>
              <w:top w:w="80" w:type="dxa"/>
              <w:left w:w="120" w:type="dxa"/>
              <w:bottom w:w="80" w:type="dxa"/>
              <w:right w:w="120" w:type="dxa"/>
            </w:tcMar>
            <w:vAlign w:val="center"/>
          </w:tcPr>
          <w:p w14:paraId="3E997E84" w14:textId="77777777" w:rsidR="00A5098A" w:rsidRDefault="00A922E9">
            <w:pPr>
              <w:spacing w:line="360" w:lineRule="auto"/>
              <w:jc w:val="both"/>
              <w:rPr>
                <w:szCs w:val="24"/>
              </w:rPr>
            </w:pPr>
            <w:r>
              <w:rPr>
                <w:szCs w:val="24"/>
              </w:rPr>
              <w:t>Stress/Sleep</w:t>
            </w:r>
          </w:p>
        </w:tc>
        <w:tc>
          <w:tcPr>
            <w:tcW w:w="3120" w:type="dxa"/>
            <w:tcBorders>
              <w:top w:val="single" w:sz="0" w:space="0" w:color="000000"/>
              <w:left w:val="single" w:sz="0" w:space="0" w:color="000000"/>
              <w:bottom w:val="single" w:sz="0" w:space="0" w:color="000000"/>
              <w:right w:val="single" w:sz="0" w:space="0" w:color="000000"/>
            </w:tcBorders>
            <w:shd w:val="clear" w:color="auto" w:fill="FFFFFF"/>
            <w:tcMar>
              <w:top w:w="80" w:type="dxa"/>
              <w:left w:w="120" w:type="dxa"/>
              <w:bottom w:w="80" w:type="dxa"/>
              <w:right w:w="120" w:type="dxa"/>
            </w:tcMar>
            <w:vAlign w:val="center"/>
          </w:tcPr>
          <w:p w14:paraId="21976240" w14:textId="77777777" w:rsidR="00A5098A" w:rsidRDefault="00A922E9">
            <w:pPr>
              <w:spacing w:line="360" w:lineRule="auto"/>
              <w:jc w:val="both"/>
              <w:rPr>
                <w:szCs w:val="24"/>
              </w:rPr>
            </w:pPr>
            <w:r>
              <w:rPr>
                <w:szCs w:val="24"/>
              </w:rPr>
              <w:t>Stress management techniques; 7-9 hours sleep per night</w:t>
            </w:r>
          </w:p>
        </w:tc>
        <w:tc>
          <w:tcPr>
            <w:tcW w:w="3120" w:type="dxa"/>
            <w:tcBorders>
              <w:top w:val="single" w:sz="0" w:space="0" w:color="000000"/>
              <w:left w:val="single" w:sz="0" w:space="0" w:color="000000"/>
              <w:bottom w:val="single" w:sz="0" w:space="0" w:color="000000"/>
              <w:right w:val="single" w:sz="0" w:space="0" w:color="000000"/>
            </w:tcBorders>
            <w:shd w:val="clear" w:color="auto" w:fill="FFFFFF"/>
            <w:tcMar>
              <w:top w:w="80" w:type="dxa"/>
              <w:left w:w="120" w:type="dxa"/>
              <w:bottom w:w="80" w:type="dxa"/>
              <w:right w:w="120" w:type="dxa"/>
            </w:tcMar>
            <w:vAlign w:val="center"/>
          </w:tcPr>
          <w:p w14:paraId="47A0F1FD" w14:textId="77777777" w:rsidR="00A5098A" w:rsidRDefault="00A922E9">
            <w:pPr>
              <w:spacing w:line="360" w:lineRule="auto"/>
              <w:jc w:val="both"/>
              <w:rPr>
                <w:szCs w:val="24"/>
              </w:rPr>
            </w:pPr>
            <w:r>
              <w:rPr>
                <w:szCs w:val="24"/>
              </w:rPr>
              <w:t>Better glycaemic control; Improved well-being; Enhanced treatment adherence</w:t>
            </w:r>
          </w:p>
        </w:tc>
      </w:tr>
    </w:tbl>
    <w:p w14:paraId="637AAB8F" w14:textId="77777777" w:rsidR="00A5098A" w:rsidRDefault="00A922E9">
      <w:pPr>
        <w:pStyle w:val="Heading1"/>
        <w:rPr>
          <w:szCs w:val="24"/>
        </w:rPr>
      </w:pPr>
      <w:bookmarkStart w:id="5" w:name="_Toc760"/>
      <w:r>
        <w:t>Conclusion</w:t>
      </w:r>
      <w:bookmarkEnd w:id="5"/>
    </w:p>
    <w:p w14:paraId="7414771F" w14:textId="77777777" w:rsidR="00A5098A" w:rsidRDefault="00A922E9">
      <w:pPr>
        <w:spacing w:after="240" w:line="360" w:lineRule="auto"/>
        <w:jc w:val="both"/>
        <w:rPr>
          <w:szCs w:val="24"/>
        </w:rPr>
      </w:pPr>
      <w:r>
        <w:rPr>
          <w:szCs w:val="24"/>
        </w:rPr>
        <w:t>Metabolic syndrome type 2 diabetes is complex</w:t>
      </w:r>
      <w:r>
        <w:rPr>
          <w:szCs w:val="24"/>
          <w:lang w:val="en-US"/>
        </w:rPr>
        <w:t>,</w:t>
      </w:r>
      <w:r>
        <w:rPr>
          <w:szCs w:val="24"/>
        </w:rPr>
        <w:t xml:space="preserve"> Insulin resistance and beta-cell degeneration characterise it. Long-term high blood sugar and severe consequences result from these alterations. Understanding the condition and why different therapies are used requires understanding how the body maintains blood glucose and how cells use energy.  Cellular respiration requires glucose and oxygen to generate ATP in the body. Insulin and glucagon maintain the level of glucose in the blood which is important to the general health.</w:t>
      </w:r>
    </w:p>
    <w:p w14:paraId="502AC8DC" w14:textId="77777777" w:rsidR="00A5098A" w:rsidRDefault="00A922E9">
      <w:pPr>
        <w:spacing w:after="240" w:line="360" w:lineRule="auto"/>
        <w:jc w:val="both"/>
        <w:rPr>
          <w:szCs w:val="24"/>
        </w:rPr>
      </w:pPr>
      <w:r>
        <w:rPr>
          <w:szCs w:val="24"/>
        </w:rPr>
        <w:t>Type 2 diabetics can be self-proactive and check their blood glucose levels on a regular basis. Frequent observation assists them to make sound decisions and change treatments promptly. New CGM and SMBG devices offer specific sugar patterns which help in individualized care.</w:t>
      </w:r>
      <w:r>
        <w:rPr>
          <w:szCs w:val="24"/>
          <w:lang w:val="en-US"/>
        </w:rPr>
        <w:t xml:space="preserve"> </w:t>
      </w:r>
      <w:r>
        <w:rPr>
          <w:szCs w:val="24"/>
        </w:rPr>
        <w:t>Treatment of type 2 diabetes includes lifestyle modification and drugs. Evidence-based lifestyle might help: consume nutrient-dense, low-glycemic index foods; engage in regular physical activity, including aerobic and resistance exercises; have a normal weight; stop smoking; and eliminate stress. These modifications always improve blood sugar control, cardiovascular risk, and quality of life.  Maintaining such routines may even cure most people.  Thus, physicians should educate and support patients to adop</w:t>
      </w:r>
      <w:r>
        <w:rPr>
          <w:szCs w:val="24"/>
        </w:rPr>
        <w:t>t and maintain these healthy habits to help them manage their health and get the best diabetes results</w:t>
      </w:r>
      <w:r>
        <w:rPr>
          <w:szCs w:val="24"/>
        </w:rPr>
        <w:t>.</w:t>
      </w:r>
    </w:p>
    <w:p w14:paraId="14688FA5" w14:textId="77777777" w:rsidR="00A5098A" w:rsidRDefault="00A922E9">
      <w:pPr>
        <w:pStyle w:val="Heading1"/>
      </w:pPr>
      <w:bookmarkStart w:id="6" w:name="_Toc7681"/>
      <w:r>
        <w:t>References</w:t>
      </w:r>
      <w:bookmarkEnd w:id="6"/>
    </w:p>
    <w:p w14:paraId="0A5B59C1" w14:textId="77777777" w:rsidR="00A5098A" w:rsidRDefault="00A922E9">
      <w:pPr>
        <w:pStyle w:val="NormalWeb"/>
        <w:spacing w:beforeAutospacing="0" w:after="210" w:afterAutospacing="0" w:line="360" w:lineRule="auto"/>
      </w:pPr>
      <w:r>
        <w:t xml:space="preserve">American Diabetes Association (2025). </w:t>
      </w:r>
      <w:r>
        <w:rPr>
          <w:i/>
          <w:iCs/>
        </w:rPr>
        <w:t>Standards of care in diabetes</w:t>
      </w:r>
      <w:r>
        <w:t>. [online] professional.diabetes.org. Available at: https://professional.diabetes.org/standards-of-care.</w:t>
      </w:r>
    </w:p>
    <w:p w14:paraId="6D8EE60D" w14:textId="77777777" w:rsidR="00A5098A" w:rsidRDefault="00A922E9">
      <w:pPr>
        <w:pStyle w:val="NormalWeb"/>
        <w:spacing w:beforeAutospacing="0" w:after="210" w:afterAutospacing="0" w:line="360" w:lineRule="auto"/>
      </w:pPr>
      <w:r>
        <w:t xml:space="preserve">Bellou, V., Belbasis, L., Konstantinidis, A.K. and Evangelou, E. (2019). Elucidating the risk factors for chronic obstructive pulmonary disease: an umbrella review of meta-analyses. </w:t>
      </w:r>
      <w:r>
        <w:rPr>
          <w:i/>
          <w:iCs/>
        </w:rPr>
        <w:t>The International Journal of Tuberculosis and Lung Disease</w:t>
      </w:r>
      <w:r>
        <w:t>, 23(1), pp.58–66. doi:https://doi.org/10.5588/ijtld.18.0228.</w:t>
      </w:r>
    </w:p>
    <w:p w14:paraId="1E1C6F9E" w14:textId="77777777" w:rsidR="00A5098A" w:rsidRDefault="00A922E9">
      <w:pPr>
        <w:pStyle w:val="NormalWeb"/>
        <w:spacing w:beforeAutospacing="0" w:after="210" w:afterAutospacing="0" w:line="360" w:lineRule="auto"/>
      </w:pPr>
      <w:r>
        <w:t xml:space="preserve">Berg, J., Tymoczko, J., Gatto, G. and Stryer, L. (2026). </w:t>
      </w:r>
      <w:r>
        <w:rPr>
          <w:i/>
          <w:iCs/>
        </w:rPr>
        <w:t>Biochemistry</w:t>
      </w:r>
      <w:r>
        <w:t>. [online] Available at: https://dn790008.ca.archive.org/0/items/JeremyM.BergJohnL.TymoczkoGregoryJ.GattoJr.LubertStryerBiochemistry_201708/Jeremy%20M.%20Berg%2C%20John%20L.%20Tymoczko%2C%20Gregory%20J.%20Gatto%20Jr.%2C%20Lubert%20Stryer%20Biochemistry.pdf.</w:t>
      </w:r>
    </w:p>
    <w:p w14:paraId="43F2D3A5" w14:textId="77777777" w:rsidR="00A5098A" w:rsidRDefault="00A922E9">
      <w:pPr>
        <w:pStyle w:val="NormalWeb"/>
        <w:spacing w:beforeAutospacing="0" w:after="210" w:afterAutospacing="0" w:line="360" w:lineRule="auto"/>
      </w:pPr>
      <w:r>
        <w:t xml:space="preserve">Campbell, J.E. and Newgard, C.B. (2021). Mechanisms controlling pancreatic islet cell function in insulin secretion. </w:t>
      </w:r>
      <w:r>
        <w:rPr>
          <w:i/>
          <w:iCs/>
        </w:rPr>
        <w:t>Nature Reviews Molecular Cell Biology</w:t>
      </w:r>
      <w:r>
        <w:t>, [online] 22(2), pp.142–158. doi:https://doi.org/10.1038/s41580-020-00317-7.</w:t>
      </w:r>
    </w:p>
    <w:p w14:paraId="55AE3336" w14:textId="77777777" w:rsidR="00A5098A" w:rsidRDefault="00A922E9">
      <w:pPr>
        <w:pStyle w:val="NormalWeb"/>
        <w:spacing w:beforeAutospacing="0" w:after="210" w:afterAutospacing="0" w:line="360" w:lineRule="auto"/>
      </w:pPr>
      <w:r>
        <w:t xml:space="preserve">Chatterjee, S. and Clinic, M. (2025). </w:t>
      </w:r>
      <w:r>
        <w:rPr>
          <w:i/>
          <w:iCs/>
        </w:rPr>
        <w:t>Type 2 diabetes</w:t>
      </w:r>
      <w:r>
        <w:t>. [online] Mayo Clinic. Available at: https://www.mayoclinic.org/diseases-conditions/type-2-diabetes/symptoms-causes/syc-20351193.</w:t>
      </w:r>
    </w:p>
    <w:p w14:paraId="16EF8965" w14:textId="77777777" w:rsidR="00A5098A" w:rsidRDefault="00A922E9">
      <w:pPr>
        <w:pStyle w:val="NormalWeb"/>
        <w:spacing w:beforeAutospacing="0" w:after="210" w:afterAutospacing="0" w:line="360" w:lineRule="auto"/>
      </w:pPr>
      <w:r>
        <w:t xml:space="preserve">Diabetes UK (2021). </w:t>
      </w:r>
      <w:r>
        <w:rPr>
          <w:i/>
          <w:iCs/>
        </w:rPr>
        <w:t>Evidence-based nutrition guidelines for the prevention and management of diabetes</w:t>
      </w:r>
      <w:r>
        <w:t>. [online] Diabetes UK. Available at: https://www.diabetes.org.uk/for-professionals/improving-care/clinical-recommendations-for-professionals/food-nutrition-lifestyle/evidence-based-nutrition-guidelines-for-the-prevention-and-management-of-diabetes.</w:t>
      </w:r>
    </w:p>
    <w:p w14:paraId="7E7694F2" w14:textId="77777777" w:rsidR="00A5098A" w:rsidRDefault="00A922E9">
      <w:pPr>
        <w:pStyle w:val="NormalWeb"/>
        <w:spacing w:beforeAutospacing="0" w:after="210" w:afterAutospacing="0" w:line="360" w:lineRule="auto"/>
      </w:pPr>
      <w:r>
        <w:t xml:space="preserve">Dunn, J. and Grider, M.H. (2023). </w:t>
      </w:r>
      <w:r>
        <w:rPr>
          <w:i/>
          <w:iCs/>
        </w:rPr>
        <w:t>Physiology, adenosine triphosphate</w:t>
      </w:r>
      <w:r>
        <w:t>. [online] PubMed. Available at: https://www.ncbi.nlm.nih.gov/books/NBK553175/.</w:t>
      </w:r>
    </w:p>
    <w:p w14:paraId="263CFD07" w14:textId="77777777" w:rsidR="00A5098A" w:rsidRDefault="00A922E9">
      <w:pPr>
        <w:pStyle w:val="NormalWeb"/>
        <w:spacing w:beforeAutospacing="0" w:after="210" w:afterAutospacing="0" w:line="360" w:lineRule="auto"/>
      </w:pPr>
      <w:r>
        <w:t xml:space="preserve">ElSayed, N.A., Aleppo, G., Aroda, V.R., Bannuru, R.R., Brown, F.M., Bruemmer, D., Collins, B.S., Hilliard, M.E., Isaacs, D., Johnson, E.L., Kahan, S., Khunti, K., Leon, J., Lyons, S.K., Perry, M.L. and Prahalad, P. (2022). Facilitating positive health behaviors and well-being to improve health outcomes: Standards of care in diabetes—2023. </w:t>
      </w:r>
      <w:r>
        <w:rPr>
          <w:i/>
          <w:iCs/>
        </w:rPr>
        <w:t>Diabetes Care</w:t>
      </w:r>
      <w:r>
        <w:t>, [online] 46(Supplement_1), pp.S68–S96. doi:https://doi.org/10.2337/dc23-s005.</w:t>
      </w:r>
    </w:p>
    <w:p w14:paraId="0CC3CBCA" w14:textId="77777777" w:rsidR="00A5098A" w:rsidRDefault="00A922E9">
      <w:pPr>
        <w:pStyle w:val="NormalWeb"/>
        <w:spacing w:beforeAutospacing="0" w:after="210" w:afterAutospacing="0" w:line="360" w:lineRule="auto"/>
      </w:pPr>
      <w:r>
        <w:t xml:space="preserve">Food and Drug Administration (2023). How Smoking Can Increase Risk for and Affect Diabetes. </w:t>
      </w:r>
      <w:r>
        <w:rPr>
          <w:i/>
          <w:iCs/>
        </w:rPr>
        <w:t>FDA</w:t>
      </w:r>
      <w:r>
        <w:t>. [online] Available at: https://www.fda.gov/tobacco-products/health-effects-tobacco-use/how-smoking-can-increase-risk-and-affect-diabetes.</w:t>
      </w:r>
    </w:p>
    <w:p w14:paraId="4E6DBA7B" w14:textId="77777777" w:rsidR="00A5098A" w:rsidRDefault="00A922E9">
      <w:pPr>
        <w:pStyle w:val="NormalWeb"/>
        <w:spacing w:beforeAutospacing="0" w:after="210" w:afterAutospacing="0" w:line="360" w:lineRule="auto"/>
      </w:pPr>
      <w:r>
        <w:t xml:space="preserve">Freckmann, G., Pleus, S., Grady, M., Setford, S. and Levy, B. (2021). Measures of Accuracy for Continuous Glucose Monitoring and Blood Glucose Monitoring Devices. </w:t>
      </w:r>
      <w:r>
        <w:rPr>
          <w:i/>
          <w:iCs/>
        </w:rPr>
        <w:t>Journal of Diabetes Science and Technology</w:t>
      </w:r>
      <w:r>
        <w:t>, 13(3), pp.575–583. doi:https://doi.org/10.1177/1932296818812062.</w:t>
      </w:r>
    </w:p>
    <w:p w14:paraId="6297E011" w14:textId="77777777" w:rsidR="00A5098A" w:rsidRDefault="00A922E9">
      <w:pPr>
        <w:pStyle w:val="NormalWeb"/>
        <w:spacing w:beforeAutospacing="0" w:after="210" w:afterAutospacing="0" w:line="360" w:lineRule="auto"/>
      </w:pPr>
      <w:r>
        <w:t xml:space="preserve">Klonoff, D.C., Wang, J., Rodbard, D., Al-Sofiani, M.E., Blevins, T., Breton, M.D., Castle, J.R., Wake, D., Waki, K., Weinberg, M.E., Wolpert, H., Wright, E.E. and Kovatchev, B. (2022). A Glycemia Risk Index (GRI) of Hypoglycemia and Hyperglycemia for Continuous Glucose Monitoring Validated by Clinician Ratings. </w:t>
      </w:r>
      <w:r>
        <w:rPr>
          <w:i/>
          <w:iCs/>
        </w:rPr>
        <w:t>Journal of Diabetes Science and Technology</w:t>
      </w:r>
      <w:r>
        <w:t>, 17(5), p.193229682210852-193229682210852. doi:https://doi.org/10.1177/19322968221085273.</w:t>
      </w:r>
    </w:p>
    <w:p w14:paraId="777BCEC7" w14:textId="77777777" w:rsidR="00A5098A" w:rsidRDefault="00A922E9">
      <w:pPr>
        <w:pStyle w:val="NormalWeb"/>
        <w:spacing w:beforeAutospacing="0" w:after="210" w:afterAutospacing="0" w:line="360" w:lineRule="auto"/>
      </w:pPr>
      <w:r>
        <w:t xml:space="preserve">Martínez-Reyes, I. and Chandel, N.S. (2020). Mitochondrial TCA cycle metabolites control physiology and disease. </w:t>
      </w:r>
      <w:r>
        <w:rPr>
          <w:i/>
          <w:iCs/>
        </w:rPr>
        <w:t>Nature Communications</w:t>
      </w:r>
      <w:r>
        <w:t>, 11(1), pp.1–11.</w:t>
      </w:r>
    </w:p>
    <w:p w14:paraId="63B8A9FE" w14:textId="77777777" w:rsidR="00A5098A" w:rsidRDefault="00A922E9">
      <w:pPr>
        <w:pStyle w:val="NormalWeb"/>
        <w:spacing w:beforeAutospacing="0" w:after="210" w:afterAutospacing="0" w:line="360" w:lineRule="auto"/>
      </w:pPr>
      <w:r>
        <w:t xml:space="preserve">Röder, P.V., Wu, B., Liu, Y. and Han, W. (2020). Pancreatic Regulation of Glucose Homeostasis. </w:t>
      </w:r>
      <w:r>
        <w:rPr>
          <w:i/>
          <w:iCs/>
        </w:rPr>
        <w:t>Experimental &amp; Molecular Medicine</w:t>
      </w:r>
      <w:r>
        <w:t>, [online] 48(3), pp.1–19. doi:https://doi.org/10.1038/emm.2016.6.</w:t>
      </w:r>
    </w:p>
    <w:p w14:paraId="3E5E5F4C" w14:textId="77777777" w:rsidR="00A5098A" w:rsidRDefault="00A922E9">
      <w:pPr>
        <w:pStyle w:val="NormalWeb"/>
        <w:spacing w:beforeAutospacing="0" w:after="210" w:afterAutospacing="0" w:line="360" w:lineRule="auto"/>
      </w:pPr>
      <w:r>
        <w:t xml:space="preserve">Tonga, E., Worboys, H., Evans, R.A., Singh, S.J., Davies, M.J., Andre Ng, G. and Yates, T. (2025). Physical activity guidelines for adults with type 2 Diabetes: Systematic review. </w:t>
      </w:r>
      <w:r>
        <w:rPr>
          <w:i/>
          <w:iCs/>
        </w:rPr>
        <w:t>Diabetes Research and Clinical Practice</w:t>
      </w:r>
      <w:r>
        <w:t>, 220, p.111982. doi:https://doi.org/10.1016/j.diabres.2024.111982.</w:t>
      </w:r>
    </w:p>
    <w:p w14:paraId="457AC146" w14:textId="77777777" w:rsidR="00A5098A" w:rsidRDefault="00A922E9">
      <w:pPr>
        <w:pStyle w:val="NormalWeb"/>
        <w:spacing w:beforeAutospacing="0" w:after="210" w:afterAutospacing="0" w:line="360" w:lineRule="auto"/>
      </w:pPr>
      <w:r>
        <w:t xml:space="preserve">Vidovszky, A. (2025). </w:t>
      </w:r>
      <w:r>
        <w:rPr>
          <w:i/>
          <w:iCs/>
        </w:rPr>
        <w:t>Stress and Diabetes: How To Manage</w:t>
      </w:r>
      <w:r>
        <w:t>. [online] DiaTribe. Available at: https://diatribe.org/lifestyle/stress-and-diabetes-how-manage.</w:t>
      </w:r>
    </w:p>
    <w:p w14:paraId="11556C08" w14:textId="77777777" w:rsidR="00A5098A" w:rsidRDefault="00A922E9">
      <w:pPr>
        <w:pStyle w:val="NormalWeb"/>
        <w:spacing w:beforeAutospacing="0" w:after="210" w:afterAutospacing="0" w:line="360" w:lineRule="auto"/>
      </w:pPr>
      <w:r>
        <w:t xml:space="preserve">Zhao, R., Jiang, S., Zhang, L. and Yu, Z. (2024). Mitochondrial electron transport chain, ROS generation and uncoupling (Review). </w:t>
      </w:r>
      <w:r>
        <w:rPr>
          <w:i/>
          <w:iCs/>
        </w:rPr>
        <w:t>International Journal of Molecular Medicine</w:t>
      </w:r>
      <w:r>
        <w:t>, 44(1), pp.3–15. doi:https://doi.org/10.3892/ijmm.2019.4188.</w:t>
      </w:r>
    </w:p>
    <w:p w14:paraId="151E1AF8" w14:textId="77777777" w:rsidR="00A5098A" w:rsidRDefault="00A5098A">
      <w:pPr>
        <w:spacing w:line="360" w:lineRule="auto"/>
        <w:jc w:val="both"/>
        <w:rPr>
          <w:szCs w:val="24"/>
        </w:rPr>
      </w:pPr>
    </w:p>
    <w:sectPr w:rsidR="00A5098A">
      <w:footerReference w:type="default" r:id="rId12"/>
      <w:pgSz w:w="12240" w:h="15840"/>
      <w:pgMar w:top="1440" w:right="1440" w:bottom="1440" w:left="144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6B9EF7" w14:textId="77777777" w:rsidR="00A922E9" w:rsidRDefault="00A922E9">
      <w:r>
        <w:separator/>
      </w:r>
    </w:p>
  </w:endnote>
  <w:endnote w:type="continuationSeparator" w:id="0">
    <w:p w14:paraId="47A5D907" w14:textId="77777777" w:rsidR="00A922E9" w:rsidRDefault="00A922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79079C" w14:textId="77777777" w:rsidR="00A5098A" w:rsidRDefault="00A922E9">
    <w:pPr>
      <w:pStyle w:val="Footer"/>
    </w:pPr>
    <w:r>
      <w:rPr>
        <w:noProof/>
      </w:rPr>
      <mc:AlternateContent>
        <mc:Choice Requires="wps">
          <w:drawing>
            <wp:anchor distT="0" distB="0" distL="114300" distR="114300" simplePos="0" relativeHeight="251659264" behindDoc="0" locked="0" layoutInCell="1" allowOverlap="1" wp14:anchorId="559D156D" wp14:editId="064BE977">
              <wp:simplePos x="0" y="0"/>
              <wp:positionH relativeFrom="margin">
                <wp:align>center</wp:align>
              </wp:positionH>
              <wp:positionV relativeFrom="paragraph">
                <wp:posOffset>0</wp:posOffset>
              </wp:positionV>
              <wp:extent cx="1828800" cy="1828800"/>
              <wp:effectExtent l="0" t="0" r="0" b="0"/>
              <wp:wrapNone/>
              <wp:docPr id="3" name="Text Box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14:paraId="29483F2B" w14:textId="77777777" w:rsidR="00A5098A" w:rsidRDefault="00A922E9">
                          <w:pPr>
                            <w:pStyle w:val="Footer"/>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xmlns:wpsCustomData="http://www.wps.cn/officeDocument/2013/wpsCustomData">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">
              <v:fill on="f" focussize="0,0"/>
              <v:stroke on="f" weight="0.5pt"/>
              <v:imagedata o:title=""/>
              <o:lock v:ext="edit" aspectratio="f"/>
              <v:textbox inset="0mm,0mm,0mm,0mm" style="mso-fit-shape-to-text:t;">
                <w:txbxContent>
                  <w:p w14:paraId="40BFC162">
                    <w:pPr>
                      <w:pStyle w:val="10"/>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F53B77" w14:textId="77777777" w:rsidR="00A922E9" w:rsidRDefault="00A922E9">
      <w:r>
        <w:separator/>
      </w:r>
    </w:p>
  </w:footnote>
  <w:footnote w:type="continuationSeparator" w:id="0">
    <w:p w14:paraId="71B1BF1A" w14:textId="77777777" w:rsidR="00A922E9" w:rsidRDefault="00A922E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EB9EB0F2"/>
    <w:multiLevelType w:val="singleLevel"/>
    <w:tmpl w:val="EB9EB0F2"/>
    <w:lvl w:ilvl="0">
      <w:start w:val="1"/>
      <w:numFmt w:val="bullet"/>
      <w:lvlText w:val=""/>
      <w:lvlJc w:val="left"/>
      <w:pPr>
        <w:tabs>
          <w:tab w:val="left" w:pos="420"/>
        </w:tabs>
        <w:ind w:left="420" w:hanging="420"/>
      </w:pPr>
      <w:rPr>
        <w:rFonts w:ascii="Wingdings" w:hAnsi="Wingdings" w:hint="default"/>
      </w:rPr>
    </w:lvl>
  </w:abstractNum>
  <w:abstractNum w:abstractNumId="1" w15:restartNumberingAfterBreak="0">
    <w:nsid w:val="204049DD"/>
    <w:multiLevelType w:val="singleLevel"/>
    <w:tmpl w:val="204049DD"/>
    <w:lvl w:ilvl="0">
      <w:start w:val="1"/>
      <w:numFmt w:val="bullet"/>
      <w:lvlText w:val=""/>
      <w:lvlJc w:val="left"/>
      <w:pPr>
        <w:tabs>
          <w:tab w:val="left" w:pos="420"/>
        </w:tabs>
        <w:ind w:left="420" w:hanging="420"/>
      </w:pPr>
      <w:rPr>
        <w:rFonts w:ascii="Wingdings" w:hAnsi="Wingdings" w:hint="default"/>
      </w:rPr>
    </w:lvl>
  </w:abstractNum>
  <w:abstractNum w:abstractNumId="2" w15:restartNumberingAfterBreak="0">
    <w:nsid w:val="63C8BD9F"/>
    <w:multiLevelType w:val="singleLevel"/>
    <w:tmpl w:val="63C8BD9F"/>
    <w:lvl w:ilvl="0">
      <w:start w:val="1"/>
      <w:numFmt w:val="bullet"/>
      <w:lvlText w:val="•"/>
      <w:lvlJc w:val="left"/>
      <w:pPr>
        <w:ind w:left="720" w:hanging="360"/>
      </w:pPr>
    </w:lvl>
  </w:abstractNum>
  <w:num w:numId="1" w16cid:durableId="636644169">
    <w:abstractNumId w:val="1"/>
  </w:num>
  <w:num w:numId="2" w16cid:durableId="597252192">
    <w:abstractNumId w:val="2"/>
    <w:lvlOverride w:ilvl="0">
      <w:startOverride w:val="1"/>
    </w:lvlOverride>
  </w:num>
  <w:num w:numId="3" w16cid:durableId="1888642692">
    <w:abstractNumId w:val="2"/>
  </w:num>
  <w:num w:numId="4" w16cid:durableId="108383939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17"/>
  <w:displayBackgroundShape/>
  <w:revisionView w:inkAnnotations="0"/>
  <w:defaultTabStop w:val="720"/>
  <w:noPunctuationKerning/>
  <w:characterSpacingControl w:val="doNotCompres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5098A"/>
    <w:rsid w:val="000679A2"/>
    <w:rsid w:val="002475E7"/>
    <w:rsid w:val="00525893"/>
    <w:rsid w:val="006C5110"/>
    <w:rsid w:val="00800961"/>
    <w:rsid w:val="00A5098A"/>
    <w:rsid w:val="00A922E9"/>
    <w:rsid w:val="01027C35"/>
    <w:rsid w:val="02181E96"/>
    <w:rsid w:val="03A27284"/>
    <w:rsid w:val="042807E2"/>
    <w:rsid w:val="053B6099"/>
    <w:rsid w:val="053F7FAA"/>
    <w:rsid w:val="061E0340"/>
    <w:rsid w:val="06DF1C54"/>
    <w:rsid w:val="06E67B45"/>
    <w:rsid w:val="07040B8F"/>
    <w:rsid w:val="07996A3D"/>
    <w:rsid w:val="07F06EBC"/>
    <w:rsid w:val="0857273B"/>
    <w:rsid w:val="09D43B87"/>
    <w:rsid w:val="0AA068F7"/>
    <w:rsid w:val="0D6116AD"/>
    <w:rsid w:val="0DA72454"/>
    <w:rsid w:val="0EC35E64"/>
    <w:rsid w:val="0EDC5561"/>
    <w:rsid w:val="10B17915"/>
    <w:rsid w:val="10E478C7"/>
    <w:rsid w:val="10F53D6F"/>
    <w:rsid w:val="112D4A42"/>
    <w:rsid w:val="1179709D"/>
    <w:rsid w:val="11A85086"/>
    <w:rsid w:val="13694925"/>
    <w:rsid w:val="14224495"/>
    <w:rsid w:val="15B81141"/>
    <w:rsid w:val="177E0095"/>
    <w:rsid w:val="188C65D3"/>
    <w:rsid w:val="18AB6E88"/>
    <w:rsid w:val="196D699F"/>
    <w:rsid w:val="1A1E34E6"/>
    <w:rsid w:val="1C0D00E4"/>
    <w:rsid w:val="1CC82901"/>
    <w:rsid w:val="1D4B149F"/>
    <w:rsid w:val="1D6E4CCA"/>
    <w:rsid w:val="1EB066E5"/>
    <w:rsid w:val="22BF7272"/>
    <w:rsid w:val="251533BD"/>
    <w:rsid w:val="2530284B"/>
    <w:rsid w:val="25DF19BF"/>
    <w:rsid w:val="25FF0D51"/>
    <w:rsid w:val="26831BBC"/>
    <w:rsid w:val="26D47839"/>
    <w:rsid w:val="274E2589"/>
    <w:rsid w:val="278047B0"/>
    <w:rsid w:val="27955F6F"/>
    <w:rsid w:val="28F20A3C"/>
    <w:rsid w:val="294F5552"/>
    <w:rsid w:val="2A264090"/>
    <w:rsid w:val="2A801147"/>
    <w:rsid w:val="2ADC5FDE"/>
    <w:rsid w:val="2B2C4DEC"/>
    <w:rsid w:val="2E0F5EA0"/>
    <w:rsid w:val="2E144526"/>
    <w:rsid w:val="2EEA01A6"/>
    <w:rsid w:val="32724DD0"/>
    <w:rsid w:val="33D12D62"/>
    <w:rsid w:val="34303B21"/>
    <w:rsid w:val="34CA77B0"/>
    <w:rsid w:val="3566177A"/>
    <w:rsid w:val="367F45F6"/>
    <w:rsid w:val="37F95B87"/>
    <w:rsid w:val="38C041C8"/>
    <w:rsid w:val="3B9A0AD5"/>
    <w:rsid w:val="3E773AA8"/>
    <w:rsid w:val="3E947A87"/>
    <w:rsid w:val="3F3F36A7"/>
    <w:rsid w:val="3FA42D3E"/>
    <w:rsid w:val="3FB07418"/>
    <w:rsid w:val="3FF62716"/>
    <w:rsid w:val="40610A5A"/>
    <w:rsid w:val="41734C75"/>
    <w:rsid w:val="41CB477D"/>
    <w:rsid w:val="441668C0"/>
    <w:rsid w:val="445B73B5"/>
    <w:rsid w:val="451C76CE"/>
    <w:rsid w:val="457A3F89"/>
    <w:rsid w:val="45EE3F48"/>
    <w:rsid w:val="464C2F23"/>
    <w:rsid w:val="465D1FFE"/>
    <w:rsid w:val="472529CC"/>
    <w:rsid w:val="47767F64"/>
    <w:rsid w:val="47C40E5D"/>
    <w:rsid w:val="49F62219"/>
    <w:rsid w:val="4A0C6405"/>
    <w:rsid w:val="4E2A5C7D"/>
    <w:rsid w:val="4EE10A78"/>
    <w:rsid w:val="4FF053B2"/>
    <w:rsid w:val="50C30C0E"/>
    <w:rsid w:val="5144505A"/>
    <w:rsid w:val="527E6CE5"/>
    <w:rsid w:val="52BD424C"/>
    <w:rsid w:val="539D57F6"/>
    <w:rsid w:val="54547704"/>
    <w:rsid w:val="54C54091"/>
    <w:rsid w:val="55AD491E"/>
    <w:rsid w:val="55EA0DC4"/>
    <w:rsid w:val="55EF1275"/>
    <w:rsid w:val="55F005C7"/>
    <w:rsid w:val="56AF79C4"/>
    <w:rsid w:val="57653C70"/>
    <w:rsid w:val="58373FC8"/>
    <w:rsid w:val="5A35600C"/>
    <w:rsid w:val="5B713816"/>
    <w:rsid w:val="5E782489"/>
    <w:rsid w:val="5F01554E"/>
    <w:rsid w:val="5F677B93"/>
    <w:rsid w:val="5F980362"/>
    <w:rsid w:val="60672F97"/>
    <w:rsid w:val="60902926"/>
    <w:rsid w:val="6093187E"/>
    <w:rsid w:val="60CA600A"/>
    <w:rsid w:val="62620064"/>
    <w:rsid w:val="636F5C7D"/>
    <w:rsid w:val="63F56A0D"/>
    <w:rsid w:val="64C2073F"/>
    <w:rsid w:val="65566374"/>
    <w:rsid w:val="663E564D"/>
    <w:rsid w:val="66806E3C"/>
    <w:rsid w:val="66B50673"/>
    <w:rsid w:val="6C2E1475"/>
    <w:rsid w:val="6C412A89"/>
    <w:rsid w:val="6CE2561C"/>
    <w:rsid w:val="6DCC7B1B"/>
    <w:rsid w:val="6DCF4734"/>
    <w:rsid w:val="7042719C"/>
    <w:rsid w:val="71062231"/>
    <w:rsid w:val="716F13A8"/>
    <w:rsid w:val="72BC104A"/>
    <w:rsid w:val="74EC5E75"/>
    <w:rsid w:val="778B417D"/>
    <w:rsid w:val="790D55A6"/>
    <w:rsid w:val="799F0936"/>
    <w:rsid w:val="7BF817F1"/>
    <w:rsid w:val="7C6C5F2D"/>
    <w:rsid w:val="7D2B5066"/>
    <w:rsid w:val="7DE727E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EE72FC"/>
  <w15:docId w15:val="{10E36E27-1055-2B42-91E7-AF7DCE625E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PK"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footnote text" w:semiHidden="1" w:uiPriority="99" w:unhideWhenUsed="1" w:qFormat="1"/>
    <w:lsdException w:name="caption" w:semiHidden="1" w:unhideWhenUsed="1" w:qFormat="1"/>
    <w:lsdException w:name="footnote reference" w:semiHidden="1" w:uiPriority="99" w:unhideWhenUsed="1" w:qFormat="1"/>
    <w:lsdException w:name="Title" w:qFormat="1"/>
    <w:lsdException w:name="Default Paragraph Font" w:semiHidden="1"/>
    <w:lsdException w:name="Subtitle" w:qFormat="1"/>
    <w:lsdException w:name="Hyperlink" w:uiPriority="99" w:unhideWhenUsed="1"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eastAsia="Arial" w:hAnsi="Arial" w:cs="Arial"/>
      <w:sz w:val="24"/>
      <w:szCs w:val="22"/>
    </w:rPr>
  </w:style>
  <w:style w:type="paragraph" w:styleId="Heading1">
    <w:name w:val="heading 1"/>
    <w:next w:val="Normal"/>
    <w:qFormat/>
    <w:pPr>
      <w:spacing w:before="240" w:after="120"/>
      <w:outlineLvl w:val="0"/>
    </w:pPr>
    <w:rPr>
      <w:rFonts w:ascii="Arial" w:eastAsia="Arial" w:hAnsi="Arial" w:cs="Arial"/>
      <w:b/>
      <w:bCs/>
      <w:color w:val="000000"/>
      <w:sz w:val="28"/>
      <w:szCs w:val="32"/>
    </w:rPr>
  </w:style>
  <w:style w:type="paragraph" w:styleId="Heading2">
    <w:name w:val="heading 2"/>
    <w:next w:val="Normal"/>
    <w:qFormat/>
    <w:pPr>
      <w:spacing w:before="200" w:after="100"/>
      <w:outlineLvl w:val="1"/>
    </w:pPr>
    <w:rPr>
      <w:rFonts w:ascii="Arial" w:eastAsia="Arial" w:hAnsi="Arial" w:cs="Arial"/>
      <w:b/>
      <w:bCs/>
      <w:color w:val="000000"/>
      <w:sz w:val="28"/>
      <w:szCs w:val="28"/>
    </w:rPr>
  </w:style>
  <w:style w:type="paragraph" w:styleId="Heading3">
    <w:name w:val="heading 3"/>
    <w:next w:val="Normal"/>
    <w:qFormat/>
    <w:pPr>
      <w:spacing w:before="160" w:after="80"/>
      <w:outlineLvl w:val="2"/>
    </w:pPr>
    <w:rPr>
      <w:rFonts w:ascii="Arial" w:eastAsia="Arial" w:hAnsi="Arial" w:cs="Arial"/>
      <w:b/>
      <w:bCs/>
      <w:color w:val="000000"/>
      <w:sz w:val="24"/>
      <w:szCs w:val="24"/>
    </w:rPr>
  </w:style>
  <w:style w:type="paragraph" w:styleId="Heading4">
    <w:name w:val="heading 4"/>
    <w:next w:val="Normal"/>
    <w:qFormat/>
    <w:pPr>
      <w:outlineLvl w:val="3"/>
    </w:pPr>
    <w:rPr>
      <w:rFonts w:ascii="Arial" w:eastAsia="Arial" w:hAnsi="Arial" w:cs="Arial"/>
      <w:i/>
      <w:iCs/>
      <w:color w:val="2E74B5"/>
      <w:sz w:val="22"/>
      <w:szCs w:val="22"/>
    </w:rPr>
  </w:style>
  <w:style w:type="paragraph" w:styleId="Heading5">
    <w:name w:val="heading 5"/>
    <w:next w:val="Normal"/>
    <w:qFormat/>
    <w:pPr>
      <w:outlineLvl w:val="4"/>
    </w:pPr>
    <w:rPr>
      <w:rFonts w:ascii="Arial" w:eastAsia="Arial" w:hAnsi="Arial" w:cs="Arial"/>
      <w:color w:val="2E74B5"/>
      <w:sz w:val="22"/>
      <w:szCs w:val="22"/>
    </w:rPr>
  </w:style>
  <w:style w:type="paragraph" w:styleId="Heading6">
    <w:name w:val="heading 6"/>
    <w:next w:val="Normal"/>
    <w:qFormat/>
    <w:pPr>
      <w:outlineLvl w:val="5"/>
    </w:pPr>
    <w:rPr>
      <w:rFonts w:ascii="Arial" w:eastAsia="Arial" w:hAnsi="Arial" w:cs="Arial"/>
      <w:color w:val="1F4D78"/>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pPr>
      <w:tabs>
        <w:tab w:val="center" w:pos="4153"/>
        <w:tab w:val="right" w:pos="8306"/>
      </w:tabs>
      <w:snapToGrid w:val="0"/>
    </w:pPr>
    <w:rPr>
      <w:sz w:val="18"/>
      <w:szCs w:val="18"/>
    </w:rPr>
  </w:style>
  <w:style w:type="character" w:styleId="FootnoteReference">
    <w:name w:val="footnote reference"/>
    <w:uiPriority w:val="99"/>
    <w:semiHidden/>
    <w:unhideWhenUsed/>
    <w:qFormat/>
    <w:rPr>
      <w:vertAlign w:val="superscript"/>
    </w:rPr>
  </w:style>
  <w:style w:type="paragraph" w:styleId="FootnoteText">
    <w:name w:val="footnote text"/>
    <w:link w:val="FootnoteTextChar"/>
    <w:uiPriority w:val="99"/>
    <w:semiHidden/>
    <w:unhideWhenUsed/>
    <w:qFormat/>
    <w:rPr>
      <w:rFonts w:ascii="Arial" w:eastAsia="Arial" w:hAnsi="Arial" w:cs="Arial"/>
    </w:rPr>
  </w:style>
  <w:style w:type="paragraph" w:styleId="Header">
    <w:name w:val="header"/>
    <w:basedOn w:val="Normal"/>
    <w:pPr>
      <w:tabs>
        <w:tab w:val="center" w:pos="4153"/>
        <w:tab w:val="right" w:pos="8306"/>
      </w:tabs>
      <w:snapToGrid w:val="0"/>
    </w:pPr>
    <w:rPr>
      <w:sz w:val="18"/>
      <w:szCs w:val="18"/>
    </w:rPr>
  </w:style>
  <w:style w:type="character" w:styleId="Hyperlink">
    <w:name w:val="Hyperlink"/>
    <w:uiPriority w:val="99"/>
    <w:unhideWhenUsed/>
    <w:qFormat/>
    <w:rPr>
      <w:color w:val="0563C1"/>
      <w:u w:val="single"/>
    </w:rPr>
  </w:style>
  <w:style w:type="paragraph" w:styleId="NormalWeb">
    <w:name w:val="Normal (Web)"/>
    <w:pPr>
      <w:spacing w:beforeAutospacing="1" w:afterAutospacing="1"/>
    </w:pPr>
    <w:rPr>
      <w:sz w:val="24"/>
      <w:szCs w:val="24"/>
      <w:lang w:val="en-US" w:eastAsia="zh-CN"/>
    </w:rPr>
  </w:style>
  <w:style w:type="character" w:styleId="Strong">
    <w:name w:val="Strong"/>
    <w:basedOn w:val="DefaultParagraphFont"/>
    <w:qFormat/>
    <w:rPr>
      <w:b/>
      <w:bCs/>
    </w:rPr>
  </w:style>
  <w:style w:type="paragraph" w:styleId="Title">
    <w:name w:val="Title"/>
    <w:qFormat/>
    <w:rPr>
      <w:rFonts w:ascii="Arial" w:eastAsia="Arial" w:hAnsi="Arial" w:cs="Arial"/>
      <w:sz w:val="56"/>
      <w:szCs w:val="56"/>
    </w:rPr>
  </w:style>
  <w:style w:type="paragraph" w:styleId="ListParagraph">
    <w:name w:val="List Paragraph"/>
    <w:qFormat/>
    <w:rPr>
      <w:rFonts w:ascii="Arial" w:eastAsia="Arial" w:hAnsi="Arial" w:cs="Arial"/>
      <w:sz w:val="22"/>
      <w:szCs w:val="22"/>
    </w:rPr>
  </w:style>
  <w:style w:type="character" w:customStyle="1" w:styleId="FootnoteTextChar">
    <w:name w:val="Footnote Text Char"/>
    <w:link w:val="FootnoteText"/>
    <w:uiPriority w:val="99"/>
    <w:semiHidden/>
    <w:unhideWhenUsed/>
    <w:qFormat/>
    <w:rPr>
      <w:sz w:val="20"/>
      <w:szCs w:val="20"/>
    </w:rPr>
  </w:style>
  <w:style w:type="paragraph" w:customStyle="1" w:styleId="WPSOffice1">
    <w:name w:val="WPSOffice手动目录 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theme" Target="theme/theme1.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2788</Words>
  <Characters>15898</Characters>
  <Application>Microsoft Office Word</Application>
  <DocSecurity>0</DocSecurity>
  <Lines>132</Lines>
  <Paragraphs>37</Paragraphs>
  <ScaleCrop>false</ScaleCrop>
  <Company/>
  <LinksUpToDate>false</LinksUpToDate>
  <CharactersWithSpaces>18649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Microsoft Office User</cp:lastModifiedBy>
  <cp:revision>2</cp:revision>
  <dcterms:created xsi:type="dcterms:W3CDTF">2026-02-16T21:43:00Z</dcterms:created>
  <dcterms:modified xsi:type="dcterms:W3CDTF">2026-02-16T21:43:00Z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1033-12.2.0.23196</vt:lpwstr>
  </property>
  <property fmtid="{D5CDD505-2E9C-101B-9397-08002B2CF9AE}" pid="3" name="ICV">
    <vt:lpwstr>BB3381909CFA4FCCA6FF0F86CAB73ACD_12</vt:lpwstr>
  </property>
</Properties>
</file>