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19566" w14:textId="24E864C9" w:rsidR="003A6BF1" w:rsidRDefault="00E32969" w:rsidP="0072033B">
      <w:pPr>
        <w:jc w:val="center"/>
        <w:rPr>
          <w:rFonts w:cs="Calibri"/>
          <w:b/>
          <w:bCs/>
          <w:sz w:val="28"/>
          <w:szCs w:val="28"/>
        </w:rPr>
      </w:pPr>
      <w:r w:rsidRPr="00082F8B">
        <w:rPr>
          <w:rFonts w:cs="Calibri"/>
          <w:b/>
          <w:bCs/>
          <w:sz w:val="28"/>
          <w:szCs w:val="28"/>
        </w:rPr>
        <w:t>University of Wales Trinity Saint David</w:t>
      </w:r>
    </w:p>
    <w:p w14:paraId="28B5890B" w14:textId="3412CF53" w:rsidR="00AD7EE6" w:rsidRDefault="00AD7EE6" w:rsidP="0072033B">
      <w:pPr>
        <w:jc w:val="center"/>
        <w:rPr>
          <w:rFonts w:cs="Calibri"/>
          <w:b/>
          <w:bCs/>
          <w:sz w:val="28"/>
          <w:szCs w:val="28"/>
        </w:rPr>
      </w:pPr>
      <w:r>
        <w:rPr>
          <w:rFonts w:cs="Calibri"/>
          <w:b/>
          <w:bCs/>
          <w:sz w:val="28"/>
          <w:szCs w:val="28"/>
        </w:rPr>
        <w:t>Wales Institute of Science &amp; Art</w:t>
      </w:r>
    </w:p>
    <w:p w14:paraId="4745C37B" w14:textId="77777777" w:rsidR="000A39B2" w:rsidRDefault="000A39B2" w:rsidP="0072033B">
      <w:pPr>
        <w:jc w:val="center"/>
        <w:rPr>
          <w:rFonts w:cs="Calibri"/>
          <w:b/>
          <w:bCs/>
          <w:sz w:val="28"/>
          <w:szCs w:val="28"/>
        </w:rPr>
      </w:pPr>
    </w:p>
    <w:p w14:paraId="4F918D7F" w14:textId="77777777" w:rsidR="00BC1435" w:rsidRDefault="00BC1435" w:rsidP="0072033B">
      <w:pPr>
        <w:jc w:val="center"/>
        <w:rPr>
          <w:noProof/>
        </w:rPr>
      </w:pPr>
    </w:p>
    <w:p w14:paraId="4950054B" w14:textId="28FAD3BA" w:rsidR="00D40A0F" w:rsidRDefault="00301BD2" w:rsidP="00D3597D">
      <w:pPr>
        <w:jc w:val="center"/>
        <w:rPr>
          <w:rFonts w:cs="Calibri"/>
          <w:sz w:val="28"/>
          <w:szCs w:val="28"/>
        </w:rPr>
      </w:pPr>
      <w:r>
        <w:rPr>
          <w:noProof/>
        </w:rPr>
        <w:drawing>
          <wp:inline distT="0" distB="0" distL="0" distR="0" wp14:anchorId="64FA9684" wp14:editId="1DE7EADC">
            <wp:extent cx="4067175" cy="2066290"/>
            <wp:effectExtent l="0" t="0" r="9525" b="0"/>
            <wp:docPr id="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4139" cy="2079989"/>
                    </a:xfrm>
                    <a:prstGeom prst="rect">
                      <a:avLst/>
                    </a:prstGeom>
                    <a:noFill/>
                    <a:ln>
                      <a:noFill/>
                    </a:ln>
                  </pic:spPr>
                </pic:pic>
              </a:graphicData>
            </a:graphic>
          </wp:inline>
        </w:drawing>
      </w:r>
    </w:p>
    <w:p w14:paraId="5A8BF9D1" w14:textId="745E687A" w:rsidR="005C1D92" w:rsidRPr="0075611E" w:rsidRDefault="005C1D92" w:rsidP="00E616E3">
      <w:pPr>
        <w:spacing w:before="100" w:beforeAutospacing="1" w:after="100" w:afterAutospacing="1" w:line="240" w:lineRule="auto"/>
        <w:jc w:val="center"/>
        <w:outlineLvl w:val="0"/>
        <w:rPr>
          <w:rFonts w:eastAsia="Times New Roman" w:cs="Calibri"/>
          <w:b/>
          <w:bCs/>
          <w:kern w:val="36"/>
          <w:sz w:val="40"/>
          <w:szCs w:val="40"/>
          <w:lang w:eastAsia="en-GB"/>
        </w:rPr>
      </w:pPr>
      <w:bookmarkStart w:id="0" w:name="_Toc213594942"/>
      <w:r w:rsidRPr="0075611E">
        <w:rPr>
          <w:rFonts w:eastAsia="Times New Roman" w:cs="Calibri"/>
          <w:b/>
          <w:bCs/>
          <w:kern w:val="36"/>
          <w:sz w:val="40"/>
          <w:szCs w:val="40"/>
          <w:lang w:eastAsia="en-GB"/>
        </w:rPr>
        <w:t>Comparative Analysis of Automotive Fuels: Gasoline, Diesel, Ethanol, and Compressed Natural Gas</w:t>
      </w:r>
      <w:bookmarkEnd w:id="0"/>
    </w:p>
    <w:p w14:paraId="573554AB" w14:textId="571661E4" w:rsidR="00B90321" w:rsidRDefault="00A73289" w:rsidP="00593EE8">
      <w:pPr>
        <w:jc w:val="center"/>
        <w:rPr>
          <w:rFonts w:cs="Calibri"/>
          <w:b/>
          <w:bCs/>
          <w:sz w:val="40"/>
          <w:szCs w:val="40"/>
        </w:rPr>
      </w:pPr>
      <w:r>
        <w:rPr>
          <w:rFonts w:cs="Calibri"/>
          <w:b/>
          <w:bCs/>
          <w:sz w:val="40"/>
          <w:szCs w:val="40"/>
        </w:rPr>
        <w:t>Academic</w:t>
      </w:r>
      <w:r w:rsidR="003871DC">
        <w:rPr>
          <w:rFonts w:cs="Calibri"/>
          <w:b/>
          <w:bCs/>
          <w:sz w:val="40"/>
          <w:szCs w:val="40"/>
        </w:rPr>
        <w:t xml:space="preserve"> </w:t>
      </w:r>
      <w:r>
        <w:rPr>
          <w:rFonts w:cs="Calibri"/>
          <w:b/>
          <w:bCs/>
          <w:sz w:val="40"/>
          <w:szCs w:val="40"/>
        </w:rPr>
        <w:t>And Laboratory Ski</w:t>
      </w:r>
      <w:r w:rsidR="004574F5">
        <w:rPr>
          <w:rFonts w:cs="Calibri"/>
          <w:b/>
          <w:bCs/>
          <w:sz w:val="40"/>
          <w:szCs w:val="40"/>
        </w:rPr>
        <w:t>lls</w:t>
      </w:r>
      <w:r w:rsidR="00B90321">
        <w:rPr>
          <w:rFonts w:cs="Calibri"/>
          <w:b/>
          <w:bCs/>
          <w:sz w:val="40"/>
          <w:szCs w:val="40"/>
        </w:rPr>
        <w:t xml:space="preserve"> (ACHA4032)</w:t>
      </w:r>
    </w:p>
    <w:p w14:paraId="406A51E0" w14:textId="77777777" w:rsidR="005A727C" w:rsidRDefault="005A727C" w:rsidP="005A727C">
      <w:pPr>
        <w:rPr>
          <w:rFonts w:cs="Calibri"/>
          <w:b/>
          <w:bCs/>
          <w:sz w:val="40"/>
          <w:szCs w:val="40"/>
        </w:rPr>
      </w:pPr>
    </w:p>
    <w:p w14:paraId="5D34BD82" w14:textId="77777777" w:rsidR="005A727C" w:rsidRDefault="005A727C" w:rsidP="005A727C">
      <w:pPr>
        <w:rPr>
          <w:rFonts w:cs="Calibri"/>
          <w:b/>
          <w:bCs/>
          <w:sz w:val="40"/>
          <w:szCs w:val="40"/>
        </w:rPr>
      </w:pPr>
    </w:p>
    <w:p w14:paraId="33F8C18A" w14:textId="77777777" w:rsidR="00B90321" w:rsidRDefault="00B90321" w:rsidP="00593EE8">
      <w:pPr>
        <w:rPr>
          <w:rFonts w:cs="Calibri"/>
          <w:b/>
          <w:bCs/>
          <w:sz w:val="40"/>
          <w:szCs w:val="40"/>
        </w:rPr>
      </w:pPr>
    </w:p>
    <w:p w14:paraId="602BE4AF" w14:textId="7873FDDF" w:rsidR="00B90321" w:rsidRDefault="006310D7" w:rsidP="0072033B">
      <w:pPr>
        <w:jc w:val="center"/>
        <w:rPr>
          <w:rFonts w:cs="Calibri"/>
          <w:b/>
          <w:bCs/>
          <w:sz w:val="40"/>
          <w:szCs w:val="40"/>
        </w:rPr>
      </w:pPr>
      <w:r>
        <w:rPr>
          <w:rFonts w:cs="Calibri"/>
          <w:b/>
          <w:bCs/>
          <w:sz w:val="40"/>
          <w:szCs w:val="40"/>
        </w:rPr>
        <w:t>Temitope Oshodi</w:t>
      </w:r>
    </w:p>
    <w:p w14:paraId="57668B73" w14:textId="3E3BACE4" w:rsidR="006310D7" w:rsidRDefault="006310D7" w:rsidP="0072033B">
      <w:pPr>
        <w:jc w:val="center"/>
        <w:rPr>
          <w:rFonts w:cs="Calibri"/>
          <w:b/>
          <w:bCs/>
          <w:sz w:val="40"/>
          <w:szCs w:val="40"/>
        </w:rPr>
      </w:pPr>
      <w:r>
        <w:rPr>
          <w:rFonts w:cs="Calibri"/>
          <w:b/>
          <w:bCs/>
          <w:sz w:val="40"/>
          <w:szCs w:val="40"/>
        </w:rPr>
        <w:t>2501804</w:t>
      </w:r>
    </w:p>
    <w:p w14:paraId="26BAD884" w14:textId="77777777" w:rsidR="00A74848" w:rsidRDefault="000A05F2" w:rsidP="000F4D16">
      <w:pPr>
        <w:jc w:val="center"/>
        <w:rPr>
          <w:rFonts w:cs="Calibri"/>
          <w:b/>
          <w:bCs/>
          <w:sz w:val="40"/>
          <w:szCs w:val="40"/>
        </w:rPr>
      </w:pPr>
      <w:r>
        <w:rPr>
          <w:rFonts w:cs="Calibri"/>
          <w:b/>
          <w:bCs/>
          <w:sz w:val="40"/>
          <w:szCs w:val="40"/>
        </w:rPr>
        <w:t>October 2025</w:t>
      </w:r>
      <w:r w:rsidR="009C29BD">
        <w:rPr>
          <w:rFonts w:cs="Calibri"/>
          <w:b/>
          <w:bCs/>
          <w:sz w:val="40"/>
          <w:szCs w:val="40"/>
        </w:rPr>
        <w:t xml:space="preserve">  </w:t>
      </w:r>
    </w:p>
    <w:p w14:paraId="57C468E8" w14:textId="73261AC9" w:rsidR="00EB4ECB" w:rsidRPr="00817E9F" w:rsidRDefault="00EB4ECB" w:rsidP="00817E9F">
      <w:pPr>
        <w:spacing w:after="200" w:line="288" w:lineRule="auto"/>
        <w:rPr>
          <w:rFonts w:asciiTheme="majorHAnsi" w:eastAsiaTheme="majorEastAsia" w:hAnsiTheme="majorHAnsi" w:cstheme="majorBidi"/>
          <w:color w:val="3A7C22" w:themeColor="accent6" w:themeShade="BF"/>
          <w:sz w:val="40"/>
          <w:szCs w:val="40"/>
        </w:rPr>
      </w:pPr>
    </w:p>
    <w:sdt>
      <w:sdtPr>
        <w:rPr>
          <w:rFonts w:ascii="Calibri" w:eastAsiaTheme="minorEastAsia" w:hAnsi="Calibri" w:cstheme="minorBidi"/>
          <w:color w:val="auto"/>
          <w:sz w:val="24"/>
          <w:szCs w:val="21"/>
        </w:rPr>
        <w:id w:val="-1962015528"/>
        <w:docPartObj>
          <w:docPartGallery w:val="Table of Contents"/>
          <w:docPartUnique/>
        </w:docPartObj>
      </w:sdtPr>
      <w:sdtEndPr>
        <w:rPr>
          <w:b/>
          <w:bCs/>
          <w:noProof/>
        </w:rPr>
      </w:sdtEndPr>
      <w:sdtContent>
        <w:p w14:paraId="4B68CE92" w14:textId="04272B9A" w:rsidR="00CD1E2E" w:rsidRDefault="00CD1E2E">
          <w:pPr>
            <w:pStyle w:val="TOCHeading"/>
          </w:pPr>
          <w:r>
            <w:t>Contents</w:t>
          </w:r>
        </w:p>
        <w:p w14:paraId="0F240D6E" w14:textId="233AA9A3" w:rsidR="00CD1E2E" w:rsidRDefault="00CD1E2E">
          <w:pPr>
            <w:pStyle w:val="TOC1"/>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213594942" w:history="1">
            <w:r w:rsidRPr="003635A2">
              <w:rPr>
                <w:rStyle w:val="Hyperlink"/>
                <w:rFonts w:eastAsia="Times New Roman" w:cs="Calibri"/>
                <w:b/>
                <w:bCs/>
                <w:noProof/>
                <w:kern w:val="36"/>
                <w:lang w:eastAsia="en-GB"/>
              </w:rPr>
              <w:t>Comparative Analysis of Automotive Fuels: Gasoline, Diesel, Ethanol, and Compressed Natural Gas</w:t>
            </w:r>
            <w:r>
              <w:rPr>
                <w:noProof/>
                <w:webHidden/>
              </w:rPr>
              <w:tab/>
            </w:r>
            <w:r>
              <w:rPr>
                <w:noProof/>
                <w:webHidden/>
              </w:rPr>
              <w:fldChar w:fldCharType="begin"/>
            </w:r>
            <w:r>
              <w:rPr>
                <w:noProof/>
                <w:webHidden/>
              </w:rPr>
              <w:instrText xml:space="preserve"> PAGEREF _Toc213594942 \h </w:instrText>
            </w:r>
            <w:r>
              <w:rPr>
                <w:noProof/>
                <w:webHidden/>
              </w:rPr>
            </w:r>
            <w:r>
              <w:rPr>
                <w:noProof/>
                <w:webHidden/>
              </w:rPr>
              <w:fldChar w:fldCharType="separate"/>
            </w:r>
            <w:r>
              <w:rPr>
                <w:noProof/>
                <w:webHidden/>
              </w:rPr>
              <w:t>1</w:t>
            </w:r>
            <w:r>
              <w:rPr>
                <w:noProof/>
                <w:webHidden/>
              </w:rPr>
              <w:fldChar w:fldCharType="end"/>
            </w:r>
          </w:hyperlink>
        </w:p>
        <w:p w14:paraId="7523F180" w14:textId="0C1D479C" w:rsidR="00CD1E2E" w:rsidRDefault="00CD1E2E">
          <w:pPr>
            <w:pStyle w:val="TOC1"/>
            <w:rPr>
              <w:rFonts w:asciiTheme="minorHAnsi" w:hAnsiTheme="minorHAnsi"/>
              <w:noProof/>
              <w:kern w:val="2"/>
              <w:szCs w:val="24"/>
              <w:lang w:eastAsia="en-GB"/>
              <w14:ligatures w14:val="standardContextual"/>
            </w:rPr>
          </w:pPr>
          <w:hyperlink w:anchor="_Toc213594943" w:history="1">
            <w:r w:rsidRPr="003635A2">
              <w:rPr>
                <w:rStyle w:val="Hyperlink"/>
                <w:noProof/>
              </w:rPr>
              <w:t>2</w:t>
            </w:r>
            <w:r>
              <w:rPr>
                <w:rFonts w:asciiTheme="minorHAnsi" w:hAnsiTheme="minorHAnsi"/>
                <w:noProof/>
                <w:kern w:val="2"/>
                <w:szCs w:val="24"/>
                <w:lang w:eastAsia="en-GB"/>
                <w14:ligatures w14:val="standardContextual"/>
              </w:rPr>
              <w:tab/>
            </w:r>
            <w:r w:rsidRPr="003635A2">
              <w:rPr>
                <w:rStyle w:val="Hyperlink"/>
                <w:noProof/>
              </w:rPr>
              <w:t>Introduction</w:t>
            </w:r>
            <w:r>
              <w:rPr>
                <w:noProof/>
                <w:webHidden/>
              </w:rPr>
              <w:tab/>
            </w:r>
            <w:r>
              <w:rPr>
                <w:noProof/>
                <w:webHidden/>
              </w:rPr>
              <w:fldChar w:fldCharType="begin"/>
            </w:r>
            <w:r>
              <w:rPr>
                <w:noProof/>
                <w:webHidden/>
              </w:rPr>
              <w:instrText xml:space="preserve"> PAGEREF _Toc213594943 \h </w:instrText>
            </w:r>
            <w:r>
              <w:rPr>
                <w:noProof/>
                <w:webHidden/>
              </w:rPr>
            </w:r>
            <w:r>
              <w:rPr>
                <w:noProof/>
                <w:webHidden/>
              </w:rPr>
              <w:fldChar w:fldCharType="separate"/>
            </w:r>
            <w:r>
              <w:rPr>
                <w:noProof/>
                <w:webHidden/>
              </w:rPr>
              <w:t>3</w:t>
            </w:r>
            <w:r>
              <w:rPr>
                <w:noProof/>
                <w:webHidden/>
              </w:rPr>
              <w:fldChar w:fldCharType="end"/>
            </w:r>
          </w:hyperlink>
        </w:p>
        <w:p w14:paraId="7EF4B2B5" w14:textId="6D1FF45E" w:rsidR="00CD1E2E" w:rsidRDefault="00CD1E2E">
          <w:pPr>
            <w:pStyle w:val="TOC1"/>
            <w:rPr>
              <w:rFonts w:asciiTheme="minorHAnsi" w:hAnsiTheme="minorHAnsi"/>
              <w:noProof/>
              <w:kern w:val="2"/>
              <w:szCs w:val="24"/>
              <w:lang w:eastAsia="en-GB"/>
              <w14:ligatures w14:val="standardContextual"/>
            </w:rPr>
          </w:pPr>
          <w:hyperlink w:anchor="_Toc213594944" w:history="1">
            <w:r w:rsidRPr="003635A2">
              <w:rPr>
                <w:rStyle w:val="Hyperlink"/>
                <w:noProof/>
              </w:rPr>
              <w:t>3</w:t>
            </w:r>
            <w:r>
              <w:rPr>
                <w:rFonts w:asciiTheme="minorHAnsi" w:hAnsiTheme="minorHAnsi"/>
                <w:noProof/>
                <w:kern w:val="2"/>
                <w:szCs w:val="24"/>
                <w:lang w:eastAsia="en-GB"/>
                <w14:ligatures w14:val="standardContextual"/>
              </w:rPr>
              <w:tab/>
            </w:r>
            <w:r w:rsidRPr="003635A2">
              <w:rPr>
                <w:rStyle w:val="Hyperlink"/>
                <w:noProof/>
              </w:rPr>
              <w:t>Content Background</w:t>
            </w:r>
            <w:r>
              <w:rPr>
                <w:noProof/>
                <w:webHidden/>
              </w:rPr>
              <w:tab/>
            </w:r>
            <w:r>
              <w:rPr>
                <w:noProof/>
                <w:webHidden/>
              </w:rPr>
              <w:fldChar w:fldCharType="begin"/>
            </w:r>
            <w:r>
              <w:rPr>
                <w:noProof/>
                <w:webHidden/>
              </w:rPr>
              <w:instrText xml:space="preserve"> PAGEREF _Toc213594944 \h </w:instrText>
            </w:r>
            <w:r>
              <w:rPr>
                <w:noProof/>
                <w:webHidden/>
              </w:rPr>
            </w:r>
            <w:r>
              <w:rPr>
                <w:noProof/>
                <w:webHidden/>
              </w:rPr>
              <w:fldChar w:fldCharType="separate"/>
            </w:r>
            <w:r>
              <w:rPr>
                <w:noProof/>
                <w:webHidden/>
              </w:rPr>
              <w:t>4</w:t>
            </w:r>
            <w:r>
              <w:rPr>
                <w:noProof/>
                <w:webHidden/>
              </w:rPr>
              <w:fldChar w:fldCharType="end"/>
            </w:r>
          </w:hyperlink>
        </w:p>
        <w:p w14:paraId="0C78C9A9" w14:textId="4A2523CE" w:rsidR="00CD1E2E" w:rsidRDefault="00CD1E2E">
          <w:pPr>
            <w:pStyle w:val="TOC1"/>
            <w:rPr>
              <w:rFonts w:asciiTheme="minorHAnsi" w:hAnsiTheme="minorHAnsi"/>
              <w:noProof/>
              <w:kern w:val="2"/>
              <w:szCs w:val="24"/>
              <w:lang w:eastAsia="en-GB"/>
              <w14:ligatures w14:val="standardContextual"/>
            </w:rPr>
          </w:pPr>
          <w:hyperlink w:anchor="_Toc213594945" w:history="1">
            <w:r w:rsidRPr="003635A2">
              <w:rPr>
                <w:rStyle w:val="Hyperlink"/>
                <w:noProof/>
              </w:rPr>
              <w:t>4</w:t>
            </w:r>
            <w:r>
              <w:rPr>
                <w:rFonts w:asciiTheme="minorHAnsi" w:hAnsiTheme="minorHAnsi"/>
                <w:noProof/>
                <w:kern w:val="2"/>
                <w:szCs w:val="24"/>
                <w:lang w:eastAsia="en-GB"/>
                <w14:ligatures w14:val="standardContextual"/>
              </w:rPr>
              <w:tab/>
            </w:r>
            <w:r w:rsidRPr="003635A2">
              <w:rPr>
                <w:rStyle w:val="Hyperlink"/>
                <w:noProof/>
              </w:rPr>
              <w:t>Methodology</w:t>
            </w:r>
            <w:r>
              <w:rPr>
                <w:noProof/>
                <w:webHidden/>
              </w:rPr>
              <w:tab/>
            </w:r>
            <w:r>
              <w:rPr>
                <w:noProof/>
                <w:webHidden/>
              </w:rPr>
              <w:fldChar w:fldCharType="begin"/>
            </w:r>
            <w:r>
              <w:rPr>
                <w:noProof/>
                <w:webHidden/>
              </w:rPr>
              <w:instrText xml:space="preserve"> PAGEREF _Toc213594945 \h </w:instrText>
            </w:r>
            <w:r>
              <w:rPr>
                <w:noProof/>
                <w:webHidden/>
              </w:rPr>
            </w:r>
            <w:r>
              <w:rPr>
                <w:noProof/>
                <w:webHidden/>
              </w:rPr>
              <w:fldChar w:fldCharType="separate"/>
            </w:r>
            <w:r>
              <w:rPr>
                <w:noProof/>
                <w:webHidden/>
              </w:rPr>
              <w:t>5</w:t>
            </w:r>
            <w:r>
              <w:rPr>
                <w:noProof/>
                <w:webHidden/>
              </w:rPr>
              <w:fldChar w:fldCharType="end"/>
            </w:r>
          </w:hyperlink>
        </w:p>
        <w:p w14:paraId="10DD0E45" w14:textId="362453D9" w:rsidR="00CD1E2E" w:rsidRDefault="00CD1E2E">
          <w:pPr>
            <w:pStyle w:val="TOC1"/>
            <w:rPr>
              <w:rFonts w:asciiTheme="minorHAnsi" w:hAnsiTheme="minorHAnsi"/>
              <w:noProof/>
              <w:kern w:val="2"/>
              <w:szCs w:val="24"/>
              <w:lang w:eastAsia="en-GB"/>
              <w14:ligatures w14:val="standardContextual"/>
            </w:rPr>
          </w:pPr>
          <w:hyperlink w:anchor="_Toc213594946" w:history="1">
            <w:r w:rsidRPr="003635A2">
              <w:rPr>
                <w:rStyle w:val="Hyperlink"/>
                <w:noProof/>
              </w:rPr>
              <w:t>5</w:t>
            </w:r>
            <w:r>
              <w:rPr>
                <w:rFonts w:asciiTheme="minorHAnsi" w:hAnsiTheme="minorHAnsi"/>
                <w:noProof/>
                <w:kern w:val="2"/>
                <w:szCs w:val="24"/>
                <w:lang w:eastAsia="en-GB"/>
                <w14:ligatures w14:val="standardContextual"/>
              </w:rPr>
              <w:tab/>
            </w:r>
            <w:r w:rsidRPr="003635A2">
              <w:rPr>
                <w:rStyle w:val="Hyperlink"/>
                <w:noProof/>
              </w:rPr>
              <w:t>Discussion</w:t>
            </w:r>
            <w:r>
              <w:rPr>
                <w:noProof/>
                <w:webHidden/>
              </w:rPr>
              <w:tab/>
            </w:r>
            <w:r>
              <w:rPr>
                <w:noProof/>
                <w:webHidden/>
              </w:rPr>
              <w:fldChar w:fldCharType="begin"/>
            </w:r>
            <w:r>
              <w:rPr>
                <w:noProof/>
                <w:webHidden/>
              </w:rPr>
              <w:instrText xml:space="preserve"> PAGEREF _Toc213594946 \h </w:instrText>
            </w:r>
            <w:r>
              <w:rPr>
                <w:noProof/>
                <w:webHidden/>
              </w:rPr>
            </w:r>
            <w:r>
              <w:rPr>
                <w:noProof/>
                <w:webHidden/>
              </w:rPr>
              <w:fldChar w:fldCharType="separate"/>
            </w:r>
            <w:r>
              <w:rPr>
                <w:noProof/>
                <w:webHidden/>
              </w:rPr>
              <w:t>6</w:t>
            </w:r>
            <w:r>
              <w:rPr>
                <w:noProof/>
                <w:webHidden/>
              </w:rPr>
              <w:fldChar w:fldCharType="end"/>
            </w:r>
          </w:hyperlink>
        </w:p>
        <w:p w14:paraId="0B79378C" w14:textId="76EEEE54" w:rsidR="00CD1E2E" w:rsidRDefault="00CD1E2E">
          <w:pPr>
            <w:pStyle w:val="TOC1"/>
            <w:rPr>
              <w:rFonts w:asciiTheme="minorHAnsi" w:hAnsiTheme="minorHAnsi"/>
              <w:noProof/>
              <w:kern w:val="2"/>
              <w:szCs w:val="24"/>
              <w:lang w:eastAsia="en-GB"/>
              <w14:ligatures w14:val="standardContextual"/>
            </w:rPr>
          </w:pPr>
          <w:hyperlink w:anchor="_Toc213594947" w:history="1">
            <w:r w:rsidRPr="003635A2">
              <w:rPr>
                <w:rStyle w:val="Hyperlink"/>
                <w:noProof/>
                <w:lang w:eastAsia="en-GB"/>
              </w:rPr>
              <w:t>6</w:t>
            </w:r>
            <w:r>
              <w:rPr>
                <w:rFonts w:asciiTheme="minorHAnsi" w:hAnsiTheme="minorHAnsi"/>
                <w:noProof/>
                <w:kern w:val="2"/>
                <w:szCs w:val="24"/>
                <w:lang w:eastAsia="en-GB"/>
                <w14:ligatures w14:val="standardContextual"/>
              </w:rPr>
              <w:tab/>
            </w:r>
            <w:r w:rsidRPr="003635A2">
              <w:rPr>
                <w:rStyle w:val="Hyperlink"/>
                <w:noProof/>
                <w:lang w:eastAsia="en-GB"/>
              </w:rPr>
              <w:t>Life-Cycle Environmental Impact</w:t>
            </w:r>
            <w:r>
              <w:rPr>
                <w:noProof/>
                <w:webHidden/>
              </w:rPr>
              <w:tab/>
            </w:r>
            <w:r>
              <w:rPr>
                <w:noProof/>
                <w:webHidden/>
              </w:rPr>
              <w:fldChar w:fldCharType="begin"/>
            </w:r>
            <w:r>
              <w:rPr>
                <w:noProof/>
                <w:webHidden/>
              </w:rPr>
              <w:instrText xml:space="preserve"> PAGEREF _Toc213594947 \h </w:instrText>
            </w:r>
            <w:r>
              <w:rPr>
                <w:noProof/>
                <w:webHidden/>
              </w:rPr>
            </w:r>
            <w:r>
              <w:rPr>
                <w:noProof/>
                <w:webHidden/>
              </w:rPr>
              <w:fldChar w:fldCharType="separate"/>
            </w:r>
            <w:r>
              <w:rPr>
                <w:noProof/>
                <w:webHidden/>
              </w:rPr>
              <w:t>7</w:t>
            </w:r>
            <w:r>
              <w:rPr>
                <w:noProof/>
                <w:webHidden/>
              </w:rPr>
              <w:fldChar w:fldCharType="end"/>
            </w:r>
          </w:hyperlink>
        </w:p>
        <w:p w14:paraId="4454BE77" w14:textId="14EAAFED" w:rsidR="00CD1E2E" w:rsidRDefault="00CD1E2E">
          <w:pPr>
            <w:pStyle w:val="TOC1"/>
            <w:rPr>
              <w:rFonts w:asciiTheme="minorHAnsi" w:hAnsiTheme="minorHAnsi"/>
              <w:noProof/>
              <w:kern w:val="2"/>
              <w:szCs w:val="24"/>
              <w:lang w:eastAsia="en-GB"/>
              <w14:ligatures w14:val="standardContextual"/>
            </w:rPr>
          </w:pPr>
          <w:hyperlink w:anchor="_Toc213594948" w:history="1">
            <w:r w:rsidRPr="003635A2">
              <w:rPr>
                <w:rStyle w:val="Hyperlink"/>
                <w:noProof/>
              </w:rPr>
              <w:t>7</w:t>
            </w:r>
            <w:r>
              <w:rPr>
                <w:rFonts w:asciiTheme="minorHAnsi" w:hAnsiTheme="minorHAnsi"/>
                <w:noProof/>
                <w:kern w:val="2"/>
                <w:szCs w:val="24"/>
                <w:lang w:eastAsia="en-GB"/>
                <w14:ligatures w14:val="standardContextual"/>
              </w:rPr>
              <w:tab/>
            </w:r>
            <w:r w:rsidRPr="003635A2">
              <w:rPr>
                <w:rStyle w:val="Hyperlink"/>
                <w:noProof/>
              </w:rPr>
              <w:t>Performance and Efficiency</w:t>
            </w:r>
            <w:r>
              <w:rPr>
                <w:noProof/>
                <w:webHidden/>
              </w:rPr>
              <w:tab/>
            </w:r>
            <w:r>
              <w:rPr>
                <w:noProof/>
                <w:webHidden/>
              </w:rPr>
              <w:fldChar w:fldCharType="begin"/>
            </w:r>
            <w:r>
              <w:rPr>
                <w:noProof/>
                <w:webHidden/>
              </w:rPr>
              <w:instrText xml:space="preserve"> PAGEREF _Toc213594948 \h </w:instrText>
            </w:r>
            <w:r>
              <w:rPr>
                <w:noProof/>
                <w:webHidden/>
              </w:rPr>
            </w:r>
            <w:r>
              <w:rPr>
                <w:noProof/>
                <w:webHidden/>
              </w:rPr>
              <w:fldChar w:fldCharType="separate"/>
            </w:r>
            <w:r>
              <w:rPr>
                <w:noProof/>
                <w:webHidden/>
              </w:rPr>
              <w:t>8</w:t>
            </w:r>
            <w:r>
              <w:rPr>
                <w:noProof/>
                <w:webHidden/>
              </w:rPr>
              <w:fldChar w:fldCharType="end"/>
            </w:r>
          </w:hyperlink>
        </w:p>
        <w:p w14:paraId="021BB573" w14:textId="6712FADF" w:rsidR="00CD1E2E" w:rsidRDefault="00CD1E2E">
          <w:pPr>
            <w:pStyle w:val="TOC1"/>
            <w:rPr>
              <w:rFonts w:asciiTheme="minorHAnsi" w:hAnsiTheme="minorHAnsi"/>
              <w:noProof/>
              <w:kern w:val="2"/>
              <w:szCs w:val="24"/>
              <w:lang w:eastAsia="en-GB"/>
              <w14:ligatures w14:val="standardContextual"/>
            </w:rPr>
          </w:pPr>
          <w:hyperlink w:anchor="_Toc213594949" w:history="1">
            <w:r w:rsidRPr="003635A2">
              <w:rPr>
                <w:rStyle w:val="Hyperlink"/>
                <w:noProof/>
              </w:rPr>
              <w:t>8</w:t>
            </w:r>
            <w:r>
              <w:rPr>
                <w:rFonts w:asciiTheme="minorHAnsi" w:hAnsiTheme="minorHAnsi"/>
                <w:noProof/>
                <w:kern w:val="2"/>
                <w:szCs w:val="24"/>
                <w:lang w:eastAsia="en-GB"/>
                <w14:ligatures w14:val="standardContextual"/>
              </w:rPr>
              <w:tab/>
            </w:r>
            <w:r w:rsidRPr="003635A2">
              <w:rPr>
                <w:rStyle w:val="Hyperlink"/>
                <w:noProof/>
              </w:rPr>
              <w:t>Economic and infrastructure Considerations</w:t>
            </w:r>
            <w:r>
              <w:rPr>
                <w:noProof/>
                <w:webHidden/>
              </w:rPr>
              <w:tab/>
            </w:r>
            <w:r>
              <w:rPr>
                <w:noProof/>
                <w:webHidden/>
              </w:rPr>
              <w:fldChar w:fldCharType="begin"/>
            </w:r>
            <w:r>
              <w:rPr>
                <w:noProof/>
                <w:webHidden/>
              </w:rPr>
              <w:instrText xml:space="preserve"> PAGEREF _Toc213594949 \h </w:instrText>
            </w:r>
            <w:r>
              <w:rPr>
                <w:noProof/>
                <w:webHidden/>
              </w:rPr>
            </w:r>
            <w:r>
              <w:rPr>
                <w:noProof/>
                <w:webHidden/>
              </w:rPr>
              <w:fldChar w:fldCharType="separate"/>
            </w:r>
            <w:r>
              <w:rPr>
                <w:noProof/>
                <w:webHidden/>
              </w:rPr>
              <w:t>9</w:t>
            </w:r>
            <w:r>
              <w:rPr>
                <w:noProof/>
                <w:webHidden/>
              </w:rPr>
              <w:fldChar w:fldCharType="end"/>
            </w:r>
          </w:hyperlink>
        </w:p>
        <w:p w14:paraId="7C0CA490" w14:textId="50EE0AF6" w:rsidR="00CD1E2E" w:rsidRDefault="00CD1E2E">
          <w:pPr>
            <w:pStyle w:val="TOC1"/>
            <w:rPr>
              <w:rFonts w:asciiTheme="minorHAnsi" w:hAnsiTheme="minorHAnsi"/>
              <w:noProof/>
              <w:kern w:val="2"/>
              <w:szCs w:val="24"/>
              <w:lang w:eastAsia="en-GB"/>
              <w14:ligatures w14:val="standardContextual"/>
            </w:rPr>
          </w:pPr>
          <w:hyperlink w:anchor="_Toc213594950" w:history="1">
            <w:r w:rsidRPr="003635A2">
              <w:rPr>
                <w:rStyle w:val="Hyperlink"/>
                <w:noProof/>
              </w:rPr>
              <w:t>9</w:t>
            </w:r>
            <w:r>
              <w:rPr>
                <w:rFonts w:asciiTheme="minorHAnsi" w:hAnsiTheme="minorHAnsi"/>
                <w:noProof/>
                <w:kern w:val="2"/>
                <w:szCs w:val="24"/>
                <w:lang w:eastAsia="en-GB"/>
                <w14:ligatures w14:val="standardContextual"/>
              </w:rPr>
              <w:tab/>
            </w:r>
            <w:r w:rsidRPr="003635A2">
              <w:rPr>
                <w:rStyle w:val="Hyperlink"/>
                <w:noProof/>
              </w:rPr>
              <w:t>Future Outlook</w:t>
            </w:r>
            <w:r>
              <w:rPr>
                <w:noProof/>
                <w:webHidden/>
              </w:rPr>
              <w:tab/>
            </w:r>
            <w:r>
              <w:rPr>
                <w:noProof/>
                <w:webHidden/>
              </w:rPr>
              <w:fldChar w:fldCharType="begin"/>
            </w:r>
            <w:r>
              <w:rPr>
                <w:noProof/>
                <w:webHidden/>
              </w:rPr>
              <w:instrText xml:space="preserve"> PAGEREF _Toc213594950 \h </w:instrText>
            </w:r>
            <w:r>
              <w:rPr>
                <w:noProof/>
                <w:webHidden/>
              </w:rPr>
            </w:r>
            <w:r>
              <w:rPr>
                <w:noProof/>
                <w:webHidden/>
              </w:rPr>
              <w:fldChar w:fldCharType="separate"/>
            </w:r>
            <w:r>
              <w:rPr>
                <w:noProof/>
                <w:webHidden/>
              </w:rPr>
              <w:t>10</w:t>
            </w:r>
            <w:r>
              <w:rPr>
                <w:noProof/>
                <w:webHidden/>
              </w:rPr>
              <w:fldChar w:fldCharType="end"/>
            </w:r>
          </w:hyperlink>
        </w:p>
        <w:p w14:paraId="0C121377" w14:textId="1A4B86CD" w:rsidR="00CD1E2E" w:rsidRDefault="00CD1E2E">
          <w:pPr>
            <w:pStyle w:val="TOC1"/>
            <w:rPr>
              <w:rFonts w:asciiTheme="minorHAnsi" w:hAnsiTheme="minorHAnsi"/>
              <w:noProof/>
              <w:kern w:val="2"/>
              <w:szCs w:val="24"/>
              <w:lang w:eastAsia="en-GB"/>
              <w14:ligatures w14:val="standardContextual"/>
            </w:rPr>
          </w:pPr>
          <w:hyperlink w:anchor="_Toc213594951" w:history="1">
            <w:r w:rsidRPr="003635A2">
              <w:rPr>
                <w:rStyle w:val="Hyperlink"/>
                <w:noProof/>
              </w:rPr>
              <w:t>10</w:t>
            </w:r>
            <w:r>
              <w:rPr>
                <w:rFonts w:asciiTheme="minorHAnsi" w:hAnsiTheme="minorHAnsi"/>
                <w:noProof/>
                <w:kern w:val="2"/>
                <w:szCs w:val="24"/>
                <w:lang w:eastAsia="en-GB"/>
                <w14:ligatures w14:val="standardContextual"/>
              </w:rPr>
              <w:tab/>
            </w:r>
            <w:r w:rsidRPr="003635A2">
              <w:rPr>
                <w:rStyle w:val="Hyperlink"/>
                <w:noProof/>
              </w:rPr>
              <w:t>Key Insights</w:t>
            </w:r>
            <w:r>
              <w:rPr>
                <w:noProof/>
                <w:webHidden/>
              </w:rPr>
              <w:tab/>
            </w:r>
            <w:r>
              <w:rPr>
                <w:noProof/>
                <w:webHidden/>
              </w:rPr>
              <w:fldChar w:fldCharType="begin"/>
            </w:r>
            <w:r>
              <w:rPr>
                <w:noProof/>
                <w:webHidden/>
              </w:rPr>
              <w:instrText xml:space="preserve"> PAGEREF _Toc213594951 \h </w:instrText>
            </w:r>
            <w:r>
              <w:rPr>
                <w:noProof/>
                <w:webHidden/>
              </w:rPr>
            </w:r>
            <w:r>
              <w:rPr>
                <w:noProof/>
                <w:webHidden/>
              </w:rPr>
              <w:fldChar w:fldCharType="separate"/>
            </w:r>
            <w:r>
              <w:rPr>
                <w:noProof/>
                <w:webHidden/>
              </w:rPr>
              <w:t>11</w:t>
            </w:r>
            <w:r>
              <w:rPr>
                <w:noProof/>
                <w:webHidden/>
              </w:rPr>
              <w:fldChar w:fldCharType="end"/>
            </w:r>
          </w:hyperlink>
        </w:p>
        <w:p w14:paraId="2C817D0C" w14:textId="4F0A5A51" w:rsidR="00CD1E2E" w:rsidRDefault="00CD1E2E">
          <w:pPr>
            <w:pStyle w:val="TOC1"/>
            <w:rPr>
              <w:rFonts w:asciiTheme="minorHAnsi" w:hAnsiTheme="minorHAnsi"/>
              <w:noProof/>
              <w:kern w:val="2"/>
              <w:szCs w:val="24"/>
              <w:lang w:eastAsia="en-GB"/>
              <w14:ligatures w14:val="standardContextual"/>
            </w:rPr>
          </w:pPr>
          <w:hyperlink w:anchor="_Toc213594952" w:history="1">
            <w:r w:rsidRPr="003635A2">
              <w:rPr>
                <w:rStyle w:val="Hyperlink"/>
                <w:noProof/>
              </w:rPr>
              <w:t>11</w:t>
            </w:r>
            <w:r>
              <w:rPr>
                <w:rFonts w:asciiTheme="minorHAnsi" w:hAnsiTheme="minorHAnsi"/>
                <w:noProof/>
                <w:kern w:val="2"/>
                <w:szCs w:val="24"/>
                <w:lang w:eastAsia="en-GB"/>
                <w14:ligatures w14:val="standardContextual"/>
              </w:rPr>
              <w:tab/>
            </w:r>
            <w:r w:rsidRPr="003635A2">
              <w:rPr>
                <w:rStyle w:val="Hyperlink"/>
                <w:noProof/>
              </w:rPr>
              <w:t>Conclusion</w:t>
            </w:r>
            <w:r>
              <w:rPr>
                <w:noProof/>
                <w:webHidden/>
              </w:rPr>
              <w:tab/>
            </w:r>
            <w:r>
              <w:rPr>
                <w:noProof/>
                <w:webHidden/>
              </w:rPr>
              <w:fldChar w:fldCharType="begin"/>
            </w:r>
            <w:r>
              <w:rPr>
                <w:noProof/>
                <w:webHidden/>
              </w:rPr>
              <w:instrText xml:space="preserve"> PAGEREF _Toc213594952 \h </w:instrText>
            </w:r>
            <w:r>
              <w:rPr>
                <w:noProof/>
                <w:webHidden/>
              </w:rPr>
            </w:r>
            <w:r>
              <w:rPr>
                <w:noProof/>
                <w:webHidden/>
              </w:rPr>
              <w:fldChar w:fldCharType="separate"/>
            </w:r>
            <w:r>
              <w:rPr>
                <w:noProof/>
                <w:webHidden/>
              </w:rPr>
              <w:t>12</w:t>
            </w:r>
            <w:r>
              <w:rPr>
                <w:noProof/>
                <w:webHidden/>
              </w:rPr>
              <w:fldChar w:fldCharType="end"/>
            </w:r>
          </w:hyperlink>
        </w:p>
        <w:p w14:paraId="7EA6ED67" w14:textId="036268D6" w:rsidR="00CD1E2E" w:rsidRDefault="00CD1E2E">
          <w:pPr>
            <w:pStyle w:val="TOC1"/>
            <w:rPr>
              <w:rFonts w:asciiTheme="minorHAnsi" w:hAnsiTheme="minorHAnsi"/>
              <w:noProof/>
              <w:kern w:val="2"/>
              <w:szCs w:val="24"/>
              <w:lang w:eastAsia="en-GB"/>
              <w14:ligatures w14:val="standardContextual"/>
            </w:rPr>
          </w:pPr>
          <w:hyperlink w:anchor="_Toc213594953" w:history="1">
            <w:r w:rsidRPr="003635A2">
              <w:rPr>
                <w:rStyle w:val="Hyperlink"/>
                <w:noProof/>
              </w:rPr>
              <w:t>12</w:t>
            </w:r>
            <w:r>
              <w:rPr>
                <w:rFonts w:asciiTheme="minorHAnsi" w:hAnsiTheme="minorHAnsi"/>
                <w:noProof/>
                <w:kern w:val="2"/>
                <w:szCs w:val="24"/>
                <w:lang w:eastAsia="en-GB"/>
                <w14:ligatures w14:val="standardContextual"/>
              </w:rPr>
              <w:tab/>
            </w:r>
            <w:r w:rsidRPr="003635A2">
              <w:rPr>
                <w:rStyle w:val="Hyperlink"/>
                <w:noProof/>
              </w:rPr>
              <w:t>References</w:t>
            </w:r>
            <w:r>
              <w:rPr>
                <w:noProof/>
                <w:webHidden/>
              </w:rPr>
              <w:tab/>
            </w:r>
            <w:r>
              <w:rPr>
                <w:noProof/>
                <w:webHidden/>
              </w:rPr>
              <w:fldChar w:fldCharType="begin"/>
            </w:r>
            <w:r>
              <w:rPr>
                <w:noProof/>
                <w:webHidden/>
              </w:rPr>
              <w:instrText xml:space="preserve"> PAGEREF _Toc213594953 \h </w:instrText>
            </w:r>
            <w:r>
              <w:rPr>
                <w:noProof/>
                <w:webHidden/>
              </w:rPr>
            </w:r>
            <w:r>
              <w:rPr>
                <w:noProof/>
                <w:webHidden/>
              </w:rPr>
              <w:fldChar w:fldCharType="separate"/>
            </w:r>
            <w:r>
              <w:rPr>
                <w:noProof/>
                <w:webHidden/>
              </w:rPr>
              <w:t>13</w:t>
            </w:r>
            <w:r>
              <w:rPr>
                <w:noProof/>
                <w:webHidden/>
              </w:rPr>
              <w:fldChar w:fldCharType="end"/>
            </w:r>
          </w:hyperlink>
        </w:p>
        <w:p w14:paraId="0EC987BD" w14:textId="715C7CA8" w:rsidR="00CD1E2E" w:rsidRDefault="00CD1E2E">
          <w:r>
            <w:rPr>
              <w:b/>
              <w:bCs/>
              <w:noProof/>
            </w:rPr>
            <w:fldChar w:fldCharType="end"/>
          </w:r>
        </w:p>
      </w:sdtContent>
    </w:sdt>
    <w:p w14:paraId="4BB2FD97" w14:textId="7A38F0DD" w:rsidR="000A2646" w:rsidRDefault="000A2646">
      <w:pPr>
        <w:spacing w:after="200" w:line="288" w:lineRule="auto"/>
        <w:rPr>
          <w:rFonts w:asciiTheme="majorHAnsi" w:eastAsiaTheme="majorEastAsia" w:hAnsiTheme="majorHAnsi" w:cstheme="majorBidi"/>
          <w:color w:val="3A7C22" w:themeColor="accent6" w:themeShade="BF"/>
          <w:sz w:val="40"/>
          <w:szCs w:val="40"/>
        </w:rPr>
      </w:pPr>
      <w:r>
        <w:br w:type="page"/>
      </w:r>
    </w:p>
    <w:p w14:paraId="757D4532" w14:textId="3B5641F4" w:rsidR="00C87915" w:rsidRDefault="003536C3" w:rsidP="000A2646">
      <w:pPr>
        <w:pStyle w:val="Heading1"/>
      </w:pPr>
      <w:bookmarkStart w:id="1" w:name="_Toc213594943"/>
      <w:r>
        <w:lastRenderedPageBreak/>
        <w:t>Introduction</w:t>
      </w:r>
      <w:bookmarkEnd w:id="1"/>
    </w:p>
    <w:p w14:paraId="283BD578" w14:textId="77777777" w:rsidR="008C54E3" w:rsidRDefault="008C54E3" w:rsidP="00266A9A">
      <w:pPr>
        <w:jc w:val="both"/>
        <w:rPr>
          <w:rFonts w:ascii="Arial" w:hAnsi="Arial" w:cs="Arial"/>
          <w:sz w:val="28"/>
          <w:szCs w:val="28"/>
        </w:rPr>
      </w:pPr>
    </w:p>
    <w:p w14:paraId="6D714EC9" w14:textId="5A98853A" w:rsidR="00266A9A" w:rsidRPr="000C1D6D" w:rsidRDefault="00266A9A" w:rsidP="00266A9A">
      <w:pPr>
        <w:jc w:val="both"/>
        <w:rPr>
          <w:rFonts w:cs="Calibri"/>
          <w:sz w:val="28"/>
          <w:szCs w:val="28"/>
        </w:rPr>
      </w:pPr>
      <w:r w:rsidRPr="000C1D6D">
        <w:rPr>
          <w:rFonts w:cs="Calibri"/>
          <w:sz w:val="28"/>
          <w:szCs w:val="28"/>
        </w:rPr>
        <w:t>The automotive industry is a huge global company. The industry is a worldwide powerhouse comprising various companies and organizations that produce cars, motorcycles, and supply all the parts and components necessary for the smooth operation of this industry. However, the industry is currently under considerable pressure. There is a significant push to reduce emissions, improve energy efficiency, and transition to sustainable energy sources. Further to the search, this report will delve into a comparison of the four main types of automotive fuels: gasoline, diesel, ethanol, and compressed natural gas (CNG). This report examines their physical and chemical properties, explores how they impact the environment, and assesses whether they are commercially viable, as well as their long-term potential. It is an intricate journey through the ins and outs of fuel options today!</w:t>
      </w:r>
    </w:p>
    <w:p w14:paraId="2EE869E9" w14:textId="77777777" w:rsidR="00266A9A" w:rsidRPr="000C1D6D" w:rsidRDefault="00266A9A" w:rsidP="00266A9A">
      <w:pPr>
        <w:jc w:val="both"/>
        <w:rPr>
          <w:rFonts w:cs="Calibri"/>
          <w:sz w:val="28"/>
          <w:szCs w:val="28"/>
        </w:rPr>
      </w:pPr>
      <w:r w:rsidRPr="000C1D6D">
        <w:rPr>
          <w:rFonts w:cs="Calibri"/>
          <w:sz w:val="28"/>
          <w:szCs w:val="28"/>
        </w:rPr>
        <w:t xml:space="preserve">Based on the latest research from both academia and industry, this study aims to explore how different fuels can align with the global push for cleaner, more efficient, and affordable transportation options. </w:t>
      </w:r>
    </w:p>
    <w:p w14:paraId="16A15E8E" w14:textId="36B97676" w:rsidR="00266A9A" w:rsidRDefault="00266A9A">
      <w:pPr>
        <w:spacing w:after="200" w:line="288" w:lineRule="auto"/>
      </w:pPr>
      <w:r>
        <w:br w:type="page"/>
      </w:r>
    </w:p>
    <w:p w14:paraId="04026762" w14:textId="2E274950" w:rsidR="003536C3" w:rsidRDefault="002437D9" w:rsidP="00266A9A">
      <w:pPr>
        <w:pStyle w:val="Heading1"/>
      </w:pPr>
      <w:bookmarkStart w:id="2" w:name="_Toc213594944"/>
      <w:r>
        <w:lastRenderedPageBreak/>
        <w:t>Content Background</w:t>
      </w:r>
      <w:bookmarkEnd w:id="2"/>
    </w:p>
    <w:p w14:paraId="47672237" w14:textId="77777777" w:rsidR="008C54E3" w:rsidRDefault="008C54E3" w:rsidP="008C54E3">
      <w:pPr>
        <w:jc w:val="both"/>
        <w:rPr>
          <w:rFonts w:ascii="Arial" w:hAnsi="Arial" w:cs="Arial"/>
          <w:sz w:val="28"/>
          <w:szCs w:val="28"/>
        </w:rPr>
      </w:pPr>
    </w:p>
    <w:p w14:paraId="07D175BD" w14:textId="2B8C7B68" w:rsidR="008C54E3" w:rsidRPr="000C1D6D" w:rsidRDefault="008C54E3" w:rsidP="008C54E3">
      <w:pPr>
        <w:jc w:val="both"/>
        <w:rPr>
          <w:rFonts w:cs="Calibri"/>
          <w:sz w:val="28"/>
          <w:szCs w:val="28"/>
        </w:rPr>
      </w:pPr>
      <w:r w:rsidRPr="000C1D6D">
        <w:rPr>
          <w:rFonts w:cs="Calibri"/>
          <w:sz w:val="28"/>
          <w:szCs w:val="28"/>
        </w:rPr>
        <w:t xml:space="preserve">Due to their high energy density, ease of handling, economic benefits, and compatibility with internal combustion engines (ICEs), gasoline and diesel have dominated </w:t>
      </w:r>
      <w:proofErr w:type="gramStart"/>
      <w:r w:rsidRPr="000C1D6D">
        <w:rPr>
          <w:rFonts w:cs="Calibri"/>
          <w:sz w:val="28"/>
          <w:szCs w:val="28"/>
        </w:rPr>
        <w:t>the majority of</w:t>
      </w:r>
      <w:proofErr w:type="gramEnd"/>
      <w:r w:rsidRPr="000C1D6D">
        <w:rPr>
          <w:rFonts w:cs="Calibri"/>
          <w:sz w:val="28"/>
          <w:szCs w:val="28"/>
        </w:rPr>
        <w:t xml:space="preserve"> vehicles worldwide for several decades. However, environmental and regulatory pressures are driving the search for cleaner alternatives.</w:t>
      </w:r>
    </w:p>
    <w:p w14:paraId="099E917B" w14:textId="0F1EED98" w:rsidR="003E2A37" w:rsidRPr="000C1D6D" w:rsidRDefault="008C54E3" w:rsidP="008C54E3">
      <w:pPr>
        <w:jc w:val="both"/>
        <w:rPr>
          <w:rFonts w:cs="Calibri"/>
          <w:sz w:val="28"/>
          <w:szCs w:val="28"/>
        </w:rPr>
      </w:pPr>
      <w:r w:rsidRPr="000C1D6D">
        <w:rPr>
          <w:rFonts w:cs="Calibri"/>
          <w:sz w:val="28"/>
          <w:szCs w:val="28"/>
        </w:rPr>
        <w:t xml:space="preserve">Ethanol is actually a very interesting biofuel; it is derived mainly from crops like corn, sugarcane, and some plant waste materials. It is also a renewable energy source that could help us to achieve that elusive carbon neutrality we keep talking about. Another one is Compressed Natural Gas (CNG). Now, while it is usually linked to fossil fuels, it produces fewer greenhouse gases. Another benefit is that this can also be made from renewable biogas, which is environmentally friendly. In the 1980s, we made significant strides by phasing out leaded petrol and adding oxygenates, such as ethanol, to the mix. That was a crucial step toward tackling urban air pollution and making our engines run more efficiently. And if we look at the last few years, things have evolved even further. Technological advancements—including low-temperature combustion (LTC) and powertrain hybridisation—have further strengthened the role of ethanol and CNG in facilitating cleaner and more energy-efficient vehicular operation (SAE International, 2023) </w:t>
      </w:r>
    </w:p>
    <w:p w14:paraId="308D8682" w14:textId="77777777" w:rsidR="003E2A37" w:rsidRDefault="003E2A37">
      <w:pPr>
        <w:spacing w:after="200" w:line="288" w:lineRule="auto"/>
        <w:rPr>
          <w:rFonts w:ascii="Arial" w:hAnsi="Arial" w:cs="Arial"/>
          <w:sz w:val="28"/>
          <w:szCs w:val="28"/>
        </w:rPr>
      </w:pPr>
      <w:r>
        <w:rPr>
          <w:rFonts w:ascii="Arial" w:hAnsi="Arial" w:cs="Arial"/>
          <w:sz w:val="28"/>
          <w:szCs w:val="28"/>
        </w:rPr>
        <w:br w:type="page"/>
      </w:r>
    </w:p>
    <w:p w14:paraId="181F9835" w14:textId="7420CB97" w:rsidR="008C54E3" w:rsidRDefault="003E2A37" w:rsidP="003E2A37">
      <w:pPr>
        <w:pStyle w:val="Heading1"/>
      </w:pPr>
      <w:bookmarkStart w:id="3" w:name="_Toc213594945"/>
      <w:r>
        <w:lastRenderedPageBreak/>
        <w:t>Methodology</w:t>
      </w:r>
      <w:bookmarkEnd w:id="3"/>
    </w:p>
    <w:p w14:paraId="19B5CEED" w14:textId="77777777" w:rsidR="003E2A37" w:rsidRPr="000C1D6D" w:rsidRDefault="003E2A37" w:rsidP="003E2A37">
      <w:pPr>
        <w:rPr>
          <w:rFonts w:cs="Calibri"/>
        </w:rPr>
      </w:pPr>
    </w:p>
    <w:p w14:paraId="0728EC24" w14:textId="77777777" w:rsidR="00094DFA" w:rsidRPr="000C1D6D" w:rsidRDefault="00094DFA" w:rsidP="00094DFA">
      <w:pPr>
        <w:jc w:val="both"/>
        <w:rPr>
          <w:rFonts w:cs="Calibri"/>
          <w:sz w:val="28"/>
          <w:szCs w:val="28"/>
        </w:rPr>
      </w:pPr>
      <w:r w:rsidRPr="000C1D6D">
        <w:rPr>
          <w:rFonts w:cs="Calibri"/>
          <w:sz w:val="28"/>
          <w:szCs w:val="28"/>
        </w:rPr>
        <w:t>This analysis draws upon a comprehensive review of scholarly articles, technical documentation, and reports from the automotive industry. The selected sources were chosen based on their reliability, timeliness, recency, and direct relevance to research in automotive fuel technologies.</w:t>
      </w:r>
    </w:p>
    <w:p w14:paraId="47F7DCDF" w14:textId="77777777" w:rsidR="00094DFA" w:rsidRPr="000C1D6D" w:rsidRDefault="00094DFA" w:rsidP="00094DFA">
      <w:pPr>
        <w:jc w:val="both"/>
        <w:rPr>
          <w:rFonts w:cs="Calibri"/>
          <w:sz w:val="28"/>
          <w:szCs w:val="28"/>
        </w:rPr>
      </w:pPr>
      <w:r w:rsidRPr="000C1D6D">
        <w:rPr>
          <w:rFonts w:cs="Calibri"/>
          <w:sz w:val="28"/>
          <w:szCs w:val="28"/>
        </w:rPr>
        <w:t>The four fuels—gasoline, diesel, ethanol, and CNG—were evaluated against four core criteria:</w:t>
      </w:r>
    </w:p>
    <w:p w14:paraId="0AE12EE8" w14:textId="77777777" w:rsidR="00094DFA" w:rsidRPr="000C1D6D" w:rsidRDefault="00094DFA" w:rsidP="00094DFA">
      <w:pPr>
        <w:pStyle w:val="ListParagraph"/>
        <w:numPr>
          <w:ilvl w:val="0"/>
          <w:numId w:val="5"/>
        </w:numPr>
        <w:jc w:val="both"/>
        <w:rPr>
          <w:rFonts w:eastAsia="Times New Roman" w:cs="Calibri"/>
          <w:sz w:val="28"/>
          <w:szCs w:val="28"/>
          <w:lang w:eastAsia="en-GB"/>
        </w:rPr>
      </w:pPr>
      <w:r w:rsidRPr="000C1D6D">
        <w:rPr>
          <w:rFonts w:eastAsia="Times New Roman" w:cs="Calibri"/>
          <w:sz w:val="28"/>
          <w:szCs w:val="28"/>
          <w:lang w:eastAsia="en-GB"/>
        </w:rPr>
        <w:t>Fuel Properties and Combustion Characteristics</w:t>
      </w:r>
    </w:p>
    <w:p w14:paraId="7BD1303A" w14:textId="77777777" w:rsidR="00094DFA" w:rsidRPr="000C1D6D" w:rsidRDefault="00094DFA" w:rsidP="00094DFA">
      <w:pPr>
        <w:pStyle w:val="ListParagraph"/>
        <w:numPr>
          <w:ilvl w:val="0"/>
          <w:numId w:val="5"/>
        </w:numPr>
        <w:jc w:val="both"/>
        <w:rPr>
          <w:rFonts w:eastAsia="Times New Roman" w:cs="Calibri"/>
          <w:sz w:val="28"/>
          <w:szCs w:val="28"/>
          <w:lang w:eastAsia="en-GB"/>
        </w:rPr>
      </w:pPr>
      <w:r w:rsidRPr="000C1D6D">
        <w:rPr>
          <w:rFonts w:eastAsia="Times New Roman" w:cs="Calibri"/>
          <w:sz w:val="28"/>
          <w:szCs w:val="28"/>
          <w:lang w:eastAsia="en-GB"/>
        </w:rPr>
        <w:t>Life-Cycle Environmental Impact</w:t>
      </w:r>
    </w:p>
    <w:p w14:paraId="233418E2" w14:textId="77777777" w:rsidR="00094DFA" w:rsidRPr="000C1D6D" w:rsidRDefault="00094DFA" w:rsidP="00094DFA">
      <w:pPr>
        <w:pStyle w:val="ListParagraph"/>
        <w:numPr>
          <w:ilvl w:val="0"/>
          <w:numId w:val="5"/>
        </w:numPr>
        <w:jc w:val="both"/>
        <w:rPr>
          <w:rFonts w:eastAsia="Times New Roman" w:cs="Calibri"/>
          <w:sz w:val="28"/>
          <w:szCs w:val="28"/>
          <w:lang w:eastAsia="en-GB"/>
        </w:rPr>
      </w:pPr>
      <w:r w:rsidRPr="000C1D6D">
        <w:rPr>
          <w:rFonts w:eastAsia="Times New Roman" w:cs="Calibri"/>
          <w:sz w:val="28"/>
          <w:szCs w:val="28"/>
          <w:lang w:eastAsia="en-GB"/>
        </w:rPr>
        <w:t>Performance and Efficiency</w:t>
      </w:r>
    </w:p>
    <w:p w14:paraId="20AB5AAA" w14:textId="77777777" w:rsidR="00094DFA" w:rsidRPr="000C1D6D" w:rsidRDefault="00094DFA" w:rsidP="00094DFA">
      <w:pPr>
        <w:pStyle w:val="ListParagraph"/>
        <w:numPr>
          <w:ilvl w:val="0"/>
          <w:numId w:val="5"/>
        </w:numPr>
        <w:jc w:val="both"/>
        <w:rPr>
          <w:rFonts w:eastAsia="Times New Roman" w:cs="Calibri"/>
          <w:sz w:val="28"/>
          <w:szCs w:val="28"/>
          <w:lang w:eastAsia="en-GB"/>
        </w:rPr>
      </w:pPr>
      <w:r w:rsidRPr="000C1D6D">
        <w:rPr>
          <w:rFonts w:eastAsia="Times New Roman" w:cs="Calibri"/>
          <w:sz w:val="28"/>
          <w:szCs w:val="28"/>
          <w:lang w:eastAsia="en-GB"/>
        </w:rPr>
        <w:t>Economic and Infrastructure Considerations</w:t>
      </w:r>
    </w:p>
    <w:p w14:paraId="68C1E6F3" w14:textId="0E98E2E3" w:rsidR="00223B7B" w:rsidRPr="000C1D6D" w:rsidRDefault="00094DFA" w:rsidP="00094DFA">
      <w:pPr>
        <w:jc w:val="both"/>
        <w:rPr>
          <w:rFonts w:cs="Calibri"/>
          <w:sz w:val="28"/>
          <w:szCs w:val="28"/>
        </w:rPr>
      </w:pPr>
      <w:r w:rsidRPr="000C1D6D">
        <w:rPr>
          <w:rFonts w:cs="Calibri"/>
          <w:sz w:val="28"/>
          <w:szCs w:val="28"/>
        </w:rPr>
        <w:t>Quantitative data, including energy density and emission profiles, were complemented by qualitative evaluations of regulatory frameworks, technological maturity, and market dynamics. This approach provides a comprehensive and balanced view of the subject matter. You know, it’s all about looking at things from different angles to get a better understanding.</w:t>
      </w:r>
      <w:r w:rsidR="00223B7B" w:rsidRPr="000C1D6D">
        <w:rPr>
          <w:rFonts w:cs="Calibri"/>
          <w:sz w:val="28"/>
          <w:szCs w:val="28"/>
        </w:rPr>
        <w:t xml:space="preserve"> </w:t>
      </w:r>
    </w:p>
    <w:p w14:paraId="1A44E700" w14:textId="77777777" w:rsidR="00223B7B" w:rsidRDefault="00223B7B">
      <w:pPr>
        <w:spacing w:after="200" w:line="288" w:lineRule="auto"/>
        <w:rPr>
          <w:rFonts w:ascii="Arial" w:hAnsi="Arial" w:cs="Arial"/>
          <w:sz w:val="28"/>
          <w:szCs w:val="28"/>
        </w:rPr>
      </w:pPr>
      <w:r>
        <w:rPr>
          <w:rFonts w:ascii="Arial" w:hAnsi="Arial" w:cs="Arial"/>
          <w:sz w:val="28"/>
          <w:szCs w:val="28"/>
        </w:rPr>
        <w:br w:type="page"/>
      </w:r>
    </w:p>
    <w:p w14:paraId="0E633299" w14:textId="57030B0C" w:rsidR="00094DFA" w:rsidRDefault="00223B7B" w:rsidP="00223B7B">
      <w:pPr>
        <w:pStyle w:val="Heading1"/>
      </w:pPr>
      <w:bookmarkStart w:id="4" w:name="_Toc213594946"/>
      <w:r>
        <w:lastRenderedPageBreak/>
        <w:t>Discussion</w:t>
      </w:r>
      <w:bookmarkEnd w:id="4"/>
    </w:p>
    <w:p w14:paraId="3996E90D" w14:textId="67CAF638" w:rsidR="00B860BE" w:rsidRPr="00911E0E" w:rsidRDefault="00911E0E" w:rsidP="00911E0E">
      <w:pPr>
        <w:jc w:val="both"/>
        <w:rPr>
          <w:rFonts w:ascii="Arial" w:eastAsia="Times New Roman" w:hAnsi="Arial" w:cs="Arial"/>
          <w:b/>
          <w:bCs/>
          <w:sz w:val="28"/>
          <w:szCs w:val="28"/>
          <w:lang w:eastAsia="en-GB"/>
        </w:rPr>
      </w:pPr>
      <w:r w:rsidRPr="0055586D">
        <w:rPr>
          <w:rFonts w:ascii="Arial" w:eastAsia="Times New Roman" w:hAnsi="Arial" w:cs="Arial"/>
          <w:b/>
          <w:bCs/>
          <w:sz w:val="28"/>
          <w:szCs w:val="28"/>
          <w:lang w:eastAsia="en-GB"/>
        </w:rPr>
        <w:t>Fuel Properties and Combustion Characteristics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3"/>
        <w:gridCol w:w="2546"/>
        <w:gridCol w:w="2554"/>
        <w:gridCol w:w="2723"/>
      </w:tblGrid>
      <w:tr w:rsidR="004B021D" w:rsidRPr="000C1D6D" w14:paraId="6ECAEF01" w14:textId="77777777" w:rsidTr="00E912CE">
        <w:trPr>
          <w:tblHeader/>
          <w:tblCellSpacing w:w="15" w:type="dxa"/>
        </w:trPr>
        <w:tc>
          <w:tcPr>
            <w:tcW w:w="0" w:type="auto"/>
            <w:vAlign w:val="center"/>
            <w:hideMark/>
          </w:tcPr>
          <w:p w14:paraId="63B7F53E" w14:textId="77777777" w:rsidR="004B021D" w:rsidRPr="000C1D6D" w:rsidRDefault="004B021D" w:rsidP="00E912CE">
            <w:pPr>
              <w:jc w:val="both"/>
              <w:rPr>
                <w:rFonts w:eastAsia="Times New Roman" w:cs="Calibri"/>
                <w:b/>
                <w:bCs/>
                <w:sz w:val="28"/>
                <w:szCs w:val="28"/>
                <w:lang w:eastAsia="en-GB"/>
              </w:rPr>
            </w:pPr>
            <w:r w:rsidRPr="000C1D6D">
              <w:rPr>
                <w:rFonts w:eastAsia="Times New Roman" w:cs="Calibri"/>
                <w:b/>
                <w:bCs/>
                <w:sz w:val="28"/>
                <w:szCs w:val="28"/>
                <w:lang w:eastAsia="en-GB"/>
              </w:rPr>
              <w:t>Fuel Type</w:t>
            </w:r>
          </w:p>
        </w:tc>
        <w:tc>
          <w:tcPr>
            <w:tcW w:w="0" w:type="auto"/>
            <w:vAlign w:val="center"/>
            <w:hideMark/>
          </w:tcPr>
          <w:p w14:paraId="23482DFC" w14:textId="77777777" w:rsidR="004B021D" w:rsidRPr="000C1D6D" w:rsidRDefault="004B021D" w:rsidP="00E912CE">
            <w:pPr>
              <w:jc w:val="both"/>
              <w:rPr>
                <w:rFonts w:eastAsia="Times New Roman" w:cs="Calibri"/>
                <w:b/>
                <w:bCs/>
                <w:sz w:val="28"/>
                <w:szCs w:val="28"/>
                <w:lang w:eastAsia="en-GB"/>
              </w:rPr>
            </w:pPr>
            <w:r w:rsidRPr="000C1D6D">
              <w:rPr>
                <w:rFonts w:eastAsia="Times New Roman" w:cs="Calibri"/>
                <w:b/>
                <w:bCs/>
                <w:sz w:val="28"/>
                <w:szCs w:val="28"/>
                <w:lang w:eastAsia="en-GB"/>
              </w:rPr>
              <w:t>Energy Density (MJ/kg)</w:t>
            </w:r>
          </w:p>
        </w:tc>
        <w:tc>
          <w:tcPr>
            <w:tcW w:w="0" w:type="auto"/>
            <w:vAlign w:val="center"/>
            <w:hideMark/>
          </w:tcPr>
          <w:p w14:paraId="2318CF0D" w14:textId="77777777" w:rsidR="004B021D" w:rsidRPr="000C1D6D" w:rsidRDefault="004B021D" w:rsidP="00E912CE">
            <w:pPr>
              <w:jc w:val="both"/>
              <w:rPr>
                <w:rFonts w:eastAsia="Times New Roman" w:cs="Calibri"/>
                <w:b/>
                <w:bCs/>
                <w:sz w:val="28"/>
                <w:szCs w:val="28"/>
                <w:lang w:eastAsia="en-GB"/>
              </w:rPr>
            </w:pPr>
            <w:r w:rsidRPr="000C1D6D">
              <w:rPr>
                <w:rFonts w:eastAsia="Times New Roman" w:cs="Calibri"/>
                <w:b/>
                <w:bCs/>
                <w:sz w:val="28"/>
                <w:szCs w:val="28"/>
                <w:lang w:eastAsia="en-GB"/>
              </w:rPr>
              <w:t>Octane/Cetane Rating</w:t>
            </w:r>
          </w:p>
        </w:tc>
        <w:tc>
          <w:tcPr>
            <w:tcW w:w="0" w:type="auto"/>
            <w:vAlign w:val="center"/>
            <w:hideMark/>
          </w:tcPr>
          <w:p w14:paraId="09CBE989" w14:textId="77777777" w:rsidR="004B021D" w:rsidRPr="000C1D6D" w:rsidRDefault="004B021D" w:rsidP="00E912CE">
            <w:pPr>
              <w:jc w:val="both"/>
              <w:rPr>
                <w:rFonts w:eastAsia="Times New Roman" w:cs="Calibri"/>
                <w:b/>
                <w:bCs/>
                <w:sz w:val="28"/>
                <w:szCs w:val="28"/>
                <w:lang w:eastAsia="en-GB"/>
              </w:rPr>
            </w:pPr>
            <w:r w:rsidRPr="000C1D6D">
              <w:rPr>
                <w:rFonts w:eastAsia="Times New Roman" w:cs="Calibri"/>
                <w:b/>
                <w:bCs/>
                <w:sz w:val="28"/>
                <w:szCs w:val="28"/>
                <w:lang w:eastAsia="en-GB"/>
              </w:rPr>
              <w:t>Emissions Profile</w:t>
            </w:r>
          </w:p>
        </w:tc>
      </w:tr>
      <w:tr w:rsidR="004B021D" w:rsidRPr="000C1D6D" w14:paraId="7DF21574" w14:textId="77777777" w:rsidTr="00E912CE">
        <w:trPr>
          <w:tblCellSpacing w:w="15" w:type="dxa"/>
        </w:trPr>
        <w:tc>
          <w:tcPr>
            <w:tcW w:w="0" w:type="auto"/>
            <w:vAlign w:val="center"/>
            <w:hideMark/>
          </w:tcPr>
          <w:p w14:paraId="7A3FE914"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Gasoline</w:t>
            </w:r>
          </w:p>
        </w:tc>
        <w:tc>
          <w:tcPr>
            <w:tcW w:w="0" w:type="auto"/>
            <w:vAlign w:val="center"/>
            <w:hideMark/>
          </w:tcPr>
          <w:p w14:paraId="00DD9DE1" w14:textId="77777777" w:rsidR="004B021D" w:rsidRPr="000C1D6D" w:rsidRDefault="004B021D" w:rsidP="00E912CE">
            <w:pPr>
              <w:jc w:val="center"/>
              <w:rPr>
                <w:rFonts w:eastAsia="Times New Roman" w:cs="Calibri"/>
                <w:sz w:val="28"/>
                <w:szCs w:val="28"/>
                <w:lang w:eastAsia="en-GB"/>
              </w:rPr>
            </w:pPr>
            <w:r w:rsidRPr="000C1D6D">
              <w:rPr>
                <w:rFonts w:eastAsia="Times New Roman" w:cs="Calibri"/>
                <w:sz w:val="28"/>
                <w:szCs w:val="28"/>
                <w:lang w:eastAsia="en-GB"/>
              </w:rPr>
              <w:t>~44</w:t>
            </w:r>
          </w:p>
        </w:tc>
        <w:tc>
          <w:tcPr>
            <w:tcW w:w="0" w:type="auto"/>
            <w:vAlign w:val="center"/>
            <w:hideMark/>
          </w:tcPr>
          <w:p w14:paraId="50FE6CB8"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Octane: 87–98</w:t>
            </w:r>
          </w:p>
        </w:tc>
        <w:tc>
          <w:tcPr>
            <w:tcW w:w="0" w:type="auto"/>
            <w:vAlign w:val="center"/>
            <w:hideMark/>
          </w:tcPr>
          <w:p w14:paraId="4B9DC096" w14:textId="77777777" w:rsidR="004B021D" w:rsidRPr="000C1D6D" w:rsidRDefault="004B021D" w:rsidP="00E912CE">
            <w:pPr>
              <w:rPr>
                <w:rFonts w:eastAsia="Times New Roman" w:cs="Calibri"/>
                <w:sz w:val="28"/>
                <w:szCs w:val="28"/>
                <w:lang w:eastAsia="en-GB"/>
              </w:rPr>
            </w:pPr>
            <w:r w:rsidRPr="000C1D6D">
              <w:rPr>
                <w:rFonts w:eastAsia="Times New Roman" w:cs="Calibri"/>
                <w:sz w:val="28"/>
                <w:szCs w:val="28"/>
                <w:lang w:eastAsia="en-GB"/>
              </w:rPr>
              <w:t>High CO₂, moderate NOx</w:t>
            </w:r>
          </w:p>
        </w:tc>
      </w:tr>
      <w:tr w:rsidR="004B021D" w:rsidRPr="000C1D6D" w14:paraId="65776F7E" w14:textId="77777777" w:rsidTr="00E912CE">
        <w:trPr>
          <w:tblCellSpacing w:w="15" w:type="dxa"/>
        </w:trPr>
        <w:tc>
          <w:tcPr>
            <w:tcW w:w="0" w:type="auto"/>
            <w:vAlign w:val="center"/>
            <w:hideMark/>
          </w:tcPr>
          <w:p w14:paraId="4B2DF09C"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Diesel</w:t>
            </w:r>
          </w:p>
        </w:tc>
        <w:tc>
          <w:tcPr>
            <w:tcW w:w="0" w:type="auto"/>
            <w:vAlign w:val="center"/>
            <w:hideMark/>
          </w:tcPr>
          <w:p w14:paraId="3C74790C" w14:textId="77777777" w:rsidR="004B021D" w:rsidRPr="000C1D6D" w:rsidRDefault="004B021D" w:rsidP="00E912CE">
            <w:pPr>
              <w:jc w:val="center"/>
              <w:rPr>
                <w:rFonts w:eastAsia="Times New Roman" w:cs="Calibri"/>
                <w:sz w:val="28"/>
                <w:szCs w:val="28"/>
                <w:lang w:eastAsia="en-GB"/>
              </w:rPr>
            </w:pPr>
            <w:r w:rsidRPr="000C1D6D">
              <w:rPr>
                <w:rFonts w:eastAsia="Times New Roman" w:cs="Calibri"/>
                <w:sz w:val="28"/>
                <w:szCs w:val="28"/>
                <w:lang w:eastAsia="en-GB"/>
              </w:rPr>
              <w:t>~45.5</w:t>
            </w:r>
          </w:p>
        </w:tc>
        <w:tc>
          <w:tcPr>
            <w:tcW w:w="0" w:type="auto"/>
            <w:vAlign w:val="center"/>
            <w:hideMark/>
          </w:tcPr>
          <w:p w14:paraId="5B549C2C"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Cetane: 40–55</w:t>
            </w:r>
          </w:p>
        </w:tc>
        <w:tc>
          <w:tcPr>
            <w:tcW w:w="0" w:type="auto"/>
            <w:vAlign w:val="center"/>
            <w:hideMark/>
          </w:tcPr>
          <w:p w14:paraId="57F82384" w14:textId="77777777" w:rsidR="004B021D" w:rsidRPr="000C1D6D" w:rsidRDefault="004B021D" w:rsidP="00E912CE">
            <w:pPr>
              <w:rPr>
                <w:rFonts w:eastAsia="Times New Roman" w:cs="Calibri"/>
                <w:sz w:val="28"/>
                <w:szCs w:val="28"/>
                <w:lang w:eastAsia="en-GB"/>
              </w:rPr>
            </w:pPr>
            <w:r w:rsidRPr="000C1D6D">
              <w:rPr>
                <w:rFonts w:eastAsia="Times New Roman" w:cs="Calibri"/>
                <w:sz w:val="28"/>
                <w:szCs w:val="28"/>
                <w:lang w:eastAsia="en-GB"/>
              </w:rPr>
              <w:t>High NOx, particulates</w:t>
            </w:r>
          </w:p>
        </w:tc>
      </w:tr>
      <w:tr w:rsidR="004B021D" w:rsidRPr="000C1D6D" w14:paraId="08116D98" w14:textId="77777777" w:rsidTr="00E912CE">
        <w:trPr>
          <w:tblCellSpacing w:w="15" w:type="dxa"/>
        </w:trPr>
        <w:tc>
          <w:tcPr>
            <w:tcW w:w="0" w:type="auto"/>
            <w:vAlign w:val="center"/>
            <w:hideMark/>
          </w:tcPr>
          <w:p w14:paraId="31FD2E3C"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Ethanol</w:t>
            </w:r>
          </w:p>
        </w:tc>
        <w:tc>
          <w:tcPr>
            <w:tcW w:w="0" w:type="auto"/>
            <w:vAlign w:val="center"/>
            <w:hideMark/>
          </w:tcPr>
          <w:p w14:paraId="58E37821" w14:textId="77777777" w:rsidR="004B021D" w:rsidRPr="000C1D6D" w:rsidRDefault="004B021D" w:rsidP="00E912CE">
            <w:pPr>
              <w:jc w:val="center"/>
              <w:rPr>
                <w:rFonts w:eastAsia="Times New Roman" w:cs="Calibri"/>
                <w:sz w:val="28"/>
                <w:szCs w:val="28"/>
                <w:lang w:eastAsia="en-GB"/>
              </w:rPr>
            </w:pPr>
            <w:r w:rsidRPr="000C1D6D">
              <w:rPr>
                <w:rFonts w:eastAsia="Times New Roman" w:cs="Calibri"/>
                <w:sz w:val="28"/>
                <w:szCs w:val="28"/>
                <w:lang w:eastAsia="en-GB"/>
              </w:rPr>
              <w:t>~27</w:t>
            </w:r>
          </w:p>
        </w:tc>
        <w:tc>
          <w:tcPr>
            <w:tcW w:w="0" w:type="auto"/>
            <w:vAlign w:val="center"/>
            <w:hideMark/>
          </w:tcPr>
          <w:p w14:paraId="29847D01"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Octane: 108</w:t>
            </w:r>
          </w:p>
        </w:tc>
        <w:tc>
          <w:tcPr>
            <w:tcW w:w="0" w:type="auto"/>
            <w:vAlign w:val="center"/>
            <w:hideMark/>
          </w:tcPr>
          <w:p w14:paraId="5ABC623C" w14:textId="77777777" w:rsidR="004B021D" w:rsidRPr="000C1D6D" w:rsidRDefault="004B021D" w:rsidP="00E912CE">
            <w:pPr>
              <w:rPr>
                <w:rFonts w:eastAsia="Times New Roman" w:cs="Calibri"/>
                <w:sz w:val="28"/>
                <w:szCs w:val="28"/>
                <w:lang w:eastAsia="en-GB"/>
              </w:rPr>
            </w:pPr>
            <w:r w:rsidRPr="000C1D6D">
              <w:rPr>
                <w:rFonts w:eastAsia="Times New Roman" w:cs="Calibri"/>
                <w:sz w:val="28"/>
                <w:szCs w:val="28"/>
                <w:lang w:eastAsia="en-GB"/>
              </w:rPr>
              <w:t>Low CO₂, high aldehydes</w:t>
            </w:r>
          </w:p>
        </w:tc>
      </w:tr>
      <w:tr w:rsidR="004B021D" w:rsidRPr="000C1D6D" w14:paraId="7F2DBFF5" w14:textId="77777777" w:rsidTr="00E912CE">
        <w:trPr>
          <w:tblCellSpacing w:w="15" w:type="dxa"/>
        </w:trPr>
        <w:tc>
          <w:tcPr>
            <w:tcW w:w="0" w:type="auto"/>
            <w:vAlign w:val="center"/>
            <w:hideMark/>
          </w:tcPr>
          <w:p w14:paraId="1FA612DF"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CNG</w:t>
            </w:r>
          </w:p>
        </w:tc>
        <w:tc>
          <w:tcPr>
            <w:tcW w:w="0" w:type="auto"/>
            <w:vAlign w:val="center"/>
            <w:hideMark/>
          </w:tcPr>
          <w:p w14:paraId="412EC6C2" w14:textId="77777777" w:rsidR="004B021D" w:rsidRPr="000C1D6D" w:rsidRDefault="004B021D" w:rsidP="00E912CE">
            <w:pPr>
              <w:jc w:val="center"/>
              <w:rPr>
                <w:rFonts w:eastAsia="Times New Roman" w:cs="Calibri"/>
                <w:sz w:val="28"/>
                <w:szCs w:val="28"/>
                <w:lang w:eastAsia="en-GB"/>
              </w:rPr>
            </w:pPr>
            <w:r w:rsidRPr="000C1D6D">
              <w:rPr>
                <w:rFonts w:eastAsia="Times New Roman" w:cs="Calibri"/>
                <w:sz w:val="28"/>
                <w:szCs w:val="28"/>
                <w:lang w:eastAsia="en-GB"/>
              </w:rPr>
              <w:t>~50</w:t>
            </w:r>
          </w:p>
        </w:tc>
        <w:tc>
          <w:tcPr>
            <w:tcW w:w="0" w:type="auto"/>
            <w:vAlign w:val="center"/>
            <w:hideMark/>
          </w:tcPr>
          <w:p w14:paraId="3A8BE0D6" w14:textId="77777777" w:rsidR="004B021D" w:rsidRPr="000C1D6D" w:rsidRDefault="004B021D" w:rsidP="00E912CE">
            <w:pPr>
              <w:jc w:val="both"/>
              <w:rPr>
                <w:rFonts w:eastAsia="Times New Roman" w:cs="Calibri"/>
                <w:sz w:val="28"/>
                <w:szCs w:val="28"/>
                <w:lang w:eastAsia="en-GB"/>
              </w:rPr>
            </w:pPr>
            <w:r w:rsidRPr="000C1D6D">
              <w:rPr>
                <w:rFonts w:eastAsia="Times New Roman" w:cs="Calibri"/>
                <w:sz w:val="28"/>
                <w:szCs w:val="28"/>
                <w:lang w:eastAsia="en-GB"/>
              </w:rPr>
              <w:t>Octane: ~120</w:t>
            </w:r>
          </w:p>
        </w:tc>
        <w:tc>
          <w:tcPr>
            <w:tcW w:w="0" w:type="auto"/>
            <w:vAlign w:val="center"/>
            <w:hideMark/>
          </w:tcPr>
          <w:p w14:paraId="233D3BD9" w14:textId="77777777" w:rsidR="004B021D" w:rsidRPr="000C1D6D" w:rsidRDefault="004B021D" w:rsidP="00E912CE">
            <w:pPr>
              <w:rPr>
                <w:rFonts w:eastAsia="Times New Roman" w:cs="Calibri"/>
                <w:sz w:val="28"/>
                <w:szCs w:val="28"/>
                <w:lang w:eastAsia="en-GB"/>
              </w:rPr>
            </w:pPr>
            <w:r w:rsidRPr="000C1D6D">
              <w:rPr>
                <w:rFonts w:eastAsia="Times New Roman" w:cs="Calibri"/>
                <w:sz w:val="28"/>
                <w:szCs w:val="28"/>
                <w:lang w:eastAsia="en-GB"/>
              </w:rPr>
              <w:t>Low CO₂, low NOx</w:t>
            </w:r>
          </w:p>
        </w:tc>
      </w:tr>
    </w:tbl>
    <w:p w14:paraId="4C51566F" w14:textId="77777777" w:rsidR="00D45E41" w:rsidRPr="000C1D6D" w:rsidRDefault="00D45E41" w:rsidP="00D45E41">
      <w:pPr>
        <w:jc w:val="both"/>
        <w:rPr>
          <w:rFonts w:eastAsia="Times New Roman" w:cs="Calibri"/>
          <w:sz w:val="28"/>
          <w:szCs w:val="28"/>
          <w:lang w:eastAsia="en-GB"/>
        </w:rPr>
      </w:pPr>
      <w:r w:rsidRPr="000C1D6D">
        <w:rPr>
          <w:rFonts w:eastAsia="Times New Roman" w:cs="Calibri"/>
          <w:sz w:val="28"/>
          <w:szCs w:val="28"/>
          <w:lang w:eastAsia="en-GB"/>
        </w:rPr>
        <w:t>Sources: MacLean et al. (2000); Bhaskara (2021)</w:t>
      </w:r>
    </w:p>
    <w:p w14:paraId="757FA905" w14:textId="77777777" w:rsidR="00257596" w:rsidRPr="000C1D6D" w:rsidRDefault="00257596" w:rsidP="00257596">
      <w:pPr>
        <w:jc w:val="both"/>
        <w:rPr>
          <w:rFonts w:eastAsia="Times New Roman" w:cs="Calibri"/>
          <w:sz w:val="28"/>
          <w:szCs w:val="28"/>
          <w:lang w:eastAsia="en-GB"/>
        </w:rPr>
      </w:pPr>
      <w:r w:rsidRPr="000C1D6D">
        <w:rPr>
          <w:rFonts w:eastAsia="Times New Roman" w:cs="Calibri"/>
          <w:b/>
          <w:bCs/>
          <w:sz w:val="28"/>
          <w:szCs w:val="28"/>
          <w:lang w:eastAsia="en-GB"/>
        </w:rPr>
        <w:t>Gasoline</w:t>
      </w:r>
      <w:r w:rsidRPr="000C1D6D">
        <w:rPr>
          <w:rFonts w:eastAsia="Times New Roman" w:cs="Calibri"/>
          <w:sz w:val="28"/>
          <w:szCs w:val="28"/>
          <w:lang w:eastAsia="en-GB"/>
        </w:rPr>
        <w:t xml:space="preserve"> is favoured for its performance and availability, due to its volatility and high-octane rating, also produces significant CO₂ emissions.</w:t>
      </w:r>
    </w:p>
    <w:p w14:paraId="3D84271E" w14:textId="77777777" w:rsidR="00257596" w:rsidRPr="000C1D6D" w:rsidRDefault="00257596" w:rsidP="00257596">
      <w:pPr>
        <w:jc w:val="both"/>
        <w:rPr>
          <w:rFonts w:eastAsia="Times New Roman" w:cs="Calibri"/>
          <w:sz w:val="28"/>
          <w:szCs w:val="28"/>
          <w:lang w:eastAsia="en-GB"/>
        </w:rPr>
      </w:pPr>
      <w:r w:rsidRPr="000C1D6D">
        <w:rPr>
          <w:rFonts w:eastAsia="Times New Roman" w:cs="Calibri"/>
          <w:b/>
          <w:bCs/>
          <w:sz w:val="28"/>
          <w:szCs w:val="28"/>
          <w:lang w:eastAsia="en-GB"/>
        </w:rPr>
        <w:t>Diesel</w:t>
      </w:r>
      <w:r w:rsidRPr="000C1D6D">
        <w:rPr>
          <w:rFonts w:eastAsia="Times New Roman" w:cs="Calibri"/>
          <w:sz w:val="28"/>
          <w:szCs w:val="28"/>
          <w:lang w:eastAsia="en-GB"/>
        </w:rPr>
        <w:t xml:space="preserve"> engines provide higher efficiency but release more nitrogen oxides and particulates. </w:t>
      </w:r>
    </w:p>
    <w:p w14:paraId="11DD7EF2" w14:textId="77777777" w:rsidR="00257596" w:rsidRPr="000C1D6D" w:rsidRDefault="00257596" w:rsidP="00257596">
      <w:pPr>
        <w:jc w:val="both"/>
        <w:rPr>
          <w:rFonts w:eastAsia="Times New Roman" w:cs="Calibri"/>
          <w:sz w:val="28"/>
          <w:szCs w:val="28"/>
          <w:lang w:eastAsia="en-GB"/>
        </w:rPr>
      </w:pPr>
      <w:r w:rsidRPr="000C1D6D">
        <w:rPr>
          <w:rFonts w:eastAsia="Times New Roman" w:cs="Calibri"/>
          <w:b/>
          <w:bCs/>
          <w:sz w:val="28"/>
          <w:szCs w:val="28"/>
          <w:lang w:eastAsia="en-GB"/>
        </w:rPr>
        <w:t>Ethanol</w:t>
      </w:r>
      <w:r w:rsidRPr="000C1D6D">
        <w:rPr>
          <w:rFonts w:eastAsia="Times New Roman" w:cs="Calibri"/>
          <w:sz w:val="28"/>
          <w:szCs w:val="28"/>
          <w:lang w:eastAsia="en-GB"/>
        </w:rPr>
        <w:t xml:space="preserve">, with its high-octane rating enables efficient combustion and lowers CO₂ output though its lower energy content reduces mileage. </w:t>
      </w:r>
    </w:p>
    <w:p w14:paraId="23802C1C" w14:textId="1E964D7A" w:rsidR="008D1B84" w:rsidRPr="000C1D6D" w:rsidRDefault="00257596" w:rsidP="008D1B84">
      <w:pPr>
        <w:jc w:val="both"/>
        <w:rPr>
          <w:rFonts w:eastAsia="Times New Roman" w:cs="Calibri"/>
          <w:sz w:val="28"/>
          <w:szCs w:val="28"/>
          <w:lang w:eastAsia="en-GB"/>
        </w:rPr>
      </w:pPr>
      <w:r w:rsidRPr="000C1D6D">
        <w:rPr>
          <w:rFonts w:eastAsia="Times New Roman" w:cs="Calibri"/>
          <w:b/>
          <w:bCs/>
          <w:sz w:val="28"/>
          <w:szCs w:val="28"/>
          <w:lang w:eastAsia="en-GB"/>
        </w:rPr>
        <w:t>Compressed Natural Gas (CNG)</w:t>
      </w:r>
      <w:r w:rsidRPr="000C1D6D">
        <w:rPr>
          <w:rFonts w:eastAsia="Times New Roman" w:cs="Calibri"/>
          <w:sz w:val="28"/>
          <w:szCs w:val="28"/>
          <w:lang w:eastAsia="en-GB"/>
        </w:rPr>
        <w:t xml:space="preserve"> burns more cleanly than gasoline and diesel, it produces minimal particulates and offering smoother, quieter operation.</w:t>
      </w:r>
      <w:r w:rsidR="008D1B84" w:rsidRPr="000C1D6D">
        <w:rPr>
          <w:rFonts w:eastAsia="Times New Roman" w:cs="Calibri"/>
          <w:sz w:val="28"/>
          <w:szCs w:val="28"/>
          <w:lang w:eastAsia="en-GB"/>
        </w:rPr>
        <w:t xml:space="preserve"> </w:t>
      </w:r>
    </w:p>
    <w:p w14:paraId="0726FE64" w14:textId="77777777" w:rsidR="008D1B84" w:rsidRDefault="008D1B84">
      <w:pPr>
        <w:spacing w:after="200" w:line="288" w:lineRule="auto"/>
        <w:rPr>
          <w:rFonts w:ascii="Arial" w:eastAsia="Times New Roman" w:hAnsi="Arial" w:cs="Arial"/>
          <w:sz w:val="28"/>
          <w:szCs w:val="28"/>
          <w:lang w:eastAsia="en-GB"/>
        </w:rPr>
      </w:pPr>
      <w:r>
        <w:rPr>
          <w:rFonts w:ascii="Arial" w:eastAsia="Times New Roman" w:hAnsi="Arial" w:cs="Arial"/>
          <w:sz w:val="28"/>
          <w:szCs w:val="28"/>
          <w:lang w:eastAsia="en-GB"/>
        </w:rPr>
        <w:br w:type="page"/>
      </w:r>
    </w:p>
    <w:p w14:paraId="7A40AF69" w14:textId="72B08B90" w:rsidR="00094DFA" w:rsidRDefault="00171016" w:rsidP="008D1B84">
      <w:pPr>
        <w:pStyle w:val="Heading1"/>
        <w:rPr>
          <w:lang w:eastAsia="en-GB"/>
        </w:rPr>
      </w:pPr>
      <w:bookmarkStart w:id="5" w:name="_Toc213594947"/>
      <w:r>
        <w:rPr>
          <w:lang w:eastAsia="en-GB"/>
        </w:rPr>
        <w:lastRenderedPageBreak/>
        <w:t>Life-Cycle Environmental Impact</w:t>
      </w:r>
      <w:bookmarkEnd w:id="5"/>
    </w:p>
    <w:p w14:paraId="2DF36296" w14:textId="77777777" w:rsidR="00171016" w:rsidRDefault="00171016" w:rsidP="00171016">
      <w:pPr>
        <w:rPr>
          <w:lang w:eastAsia="en-GB"/>
        </w:rPr>
      </w:pPr>
    </w:p>
    <w:p w14:paraId="440D33F0" w14:textId="77777777" w:rsidR="007457D7" w:rsidRPr="000C1D6D" w:rsidRDefault="007457D7" w:rsidP="007457D7">
      <w:pPr>
        <w:jc w:val="both"/>
        <w:rPr>
          <w:rFonts w:cs="Calibri"/>
          <w:sz w:val="28"/>
          <w:szCs w:val="28"/>
        </w:rPr>
      </w:pPr>
      <w:r w:rsidRPr="000C1D6D">
        <w:rPr>
          <w:rFonts w:cs="Calibri"/>
          <w:sz w:val="28"/>
          <w:szCs w:val="28"/>
        </w:rPr>
        <w:t>Life-cycle analysis, or LCA for short, takes a good hard look at the complete environmental impact of different fuels, right from the moment they're extracted to the point where they're used. A study by MacLean back in 2000 found that, when it comes to greenhouse gas emissions, gasoline and diesel produces the highest of the list — not in a good way, of course. On the other hand, we’ve got ethanol and CNG (compressed natural gas), which can really cut down on emissions, mainly when they are derived from renewable materials or even waste-based sources</w:t>
      </w:r>
      <w:r w:rsidRPr="000C1D6D">
        <w:rPr>
          <w:rFonts w:cs="Calibri"/>
          <w:sz w:val="28"/>
          <w:szCs w:val="28"/>
        </w:rPr>
        <w:br/>
      </w:r>
      <w:r w:rsidRPr="000C1D6D">
        <w:rPr>
          <w:rFonts w:cs="Calibri"/>
          <w:sz w:val="28"/>
          <w:szCs w:val="28"/>
        </w:rPr>
        <w:br/>
        <w:t xml:space="preserve">In 2024, Liu's research highlights that CNG vehicles can reduce CO₂ and other harmful pollutants emissions by as much as 90% compared to traditional gasoline engines. Which seems like a huge difference, actually. Additionally, </w:t>
      </w:r>
      <w:proofErr w:type="spellStart"/>
      <w:r w:rsidRPr="000C1D6D">
        <w:rPr>
          <w:rFonts w:cs="Calibri"/>
          <w:sz w:val="28"/>
          <w:szCs w:val="28"/>
        </w:rPr>
        <w:t>Aljassar</w:t>
      </w:r>
      <w:proofErr w:type="spellEnd"/>
      <w:r w:rsidRPr="000C1D6D">
        <w:rPr>
          <w:rFonts w:cs="Calibri"/>
          <w:sz w:val="28"/>
          <w:szCs w:val="28"/>
        </w:rPr>
        <w:t xml:space="preserve"> and </w:t>
      </w:r>
      <w:proofErr w:type="spellStart"/>
      <w:r w:rsidRPr="000C1D6D">
        <w:rPr>
          <w:rFonts w:cs="Calibri"/>
          <w:sz w:val="28"/>
          <w:szCs w:val="28"/>
        </w:rPr>
        <w:t>Alzaid</w:t>
      </w:r>
      <w:proofErr w:type="spellEnd"/>
      <w:r w:rsidRPr="000C1D6D">
        <w:rPr>
          <w:rFonts w:cs="Calibri"/>
          <w:sz w:val="28"/>
          <w:szCs w:val="28"/>
        </w:rPr>
        <w:t xml:space="preserve"> (2024) found that both ethanol and CNG can significantly reduce carbon monoxide and unburned hydrocarbon emissions. This makes them ideal choices for bustling city environments where air quality is a big concern.</w:t>
      </w:r>
    </w:p>
    <w:p w14:paraId="498E51F5" w14:textId="77777777" w:rsidR="007457D7" w:rsidRPr="000C1D6D" w:rsidRDefault="007457D7" w:rsidP="007457D7">
      <w:pPr>
        <w:jc w:val="both"/>
        <w:rPr>
          <w:rFonts w:cs="Calibri"/>
          <w:sz w:val="28"/>
          <w:szCs w:val="28"/>
        </w:rPr>
      </w:pPr>
      <w:proofErr w:type="spellStart"/>
      <w:r w:rsidRPr="000C1D6D">
        <w:rPr>
          <w:rFonts w:cs="Calibri"/>
          <w:sz w:val="28"/>
          <w:szCs w:val="28"/>
        </w:rPr>
        <w:t>Zimakowska</w:t>
      </w:r>
      <w:proofErr w:type="spellEnd"/>
      <w:r w:rsidRPr="000C1D6D">
        <w:rPr>
          <w:rFonts w:cs="Calibri"/>
          <w:sz w:val="28"/>
          <w:szCs w:val="28"/>
        </w:rPr>
        <w:t xml:space="preserve">-Laskowska and Laskowski (2024) further highlight that </w:t>
      </w:r>
      <w:proofErr w:type="gramStart"/>
      <w:r w:rsidRPr="000C1D6D">
        <w:rPr>
          <w:rFonts w:cs="Calibri"/>
          <w:b/>
          <w:bCs/>
          <w:sz w:val="28"/>
          <w:szCs w:val="28"/>
        </w:rPr>
        <w:t>BEVs</w:t>
      </w:r>
      <w:proofErr w:type="gramEnd"/>
      <w:r w:rsidRPr="000C1D6D">
        <w:rPr>
          <w:rFonts w:cs="Calibri"/>
          <w:b/>
          <w:bCs/>
          <w:sz w:val="28"/>
          <w:szCs w:val="28"/>
        </w:rPr>
        <w:t xml:space="preserve"> and hybrid vehicles</w:t>
      </w:r>
      <w:r w:rsidRPr="000C1D6D">
        <w:rPr>
          <w:rFonts w:cs="Calibri"/>
          <w:sz w:val="28"/>
          <w:szCs w:val="28"/>
        </w:rPr>
        <w:t xml:space="preserve"> outperform ICE vehicles in terms of emission reduction; however, among ICE fuels, CNG and ethanol are the most environmentally favourable.</w:t>
      </w:r>
    </w:p>
    <w:p w14:paraId="12EAF1D1" w14:textId="3A495C49" w:rsidR="007457D7" w:rsidRPr="000C1D6D" w:rsidRDefault="007457D7" w:rsidP="007457D7">
      <w:pPr>
        <w:jc w:val="both"/>
        <w:rPr>
          <w:rFonts w:cs="Calibri"/>
          <w:sz w:val="28"/>
          <w:szCs w:val="28"/>
        </w:rPr>
      </w:pPr>
      <w:r w:rsidRPr="000C1D6D">
        <w:rPr>
          <w:rFonts w:cs="Calibri"/>
          <w:sz w:val="28"/>
          <w:szCs w:val="28"/>
        </w:rPr>
        <w:t xml:space="preserve">Nonetheless, every alternative presents inevitable trade-offs. The extensive production of ethanol may interfere with food resources, whereas the extraction of CNG can result in methane leakage if not adequately managed </w:t>
      </w:r>
    </w:p>
    <w:p w14:paraId="2B663DDA" w14:textId="77777777" w:rsidR="007457D7" w:rsidRDefault="007457D7">
      <w:pPr>
        <w:spacing w:after="200" w:line="288" w:lineRule="auto"/>
        <w:rPr>
          <w:rFonts w:ascii="Arial" w:hAnsi="Arial" w:cs="Arial"/>
          <w:sz w:val="28"/>
          <w:szCs w:val="28"/>
        </w:rPr>
      </w:pPr>
      <w:r>
        <w:rPr>
          <w:rFonts w:ascii="Arial" w:hAnsi="Arial" w:cs="Arial"/>
          <w:sz w:val="28"/>
          <w:szCs w:val="28"/>
        </w:rPr>
        <w:br w:type="page"/>
      </w:r>
    </w:p>
    <w:p w14:paraId="72F4F434" w14:textId="462CAAD6" w:rsidR="00171016" w:rsidRDefault="00E8743B" w:rsidP="007457D7">
      <w:pPr>
        <w:pStyle w:val="Heading1"/>
      </w:pPr>
      <w:bookmarkStart w:id="6" w:name="_Toc213594948"/>
      <w:r>
        <w:lastRenderedPageBreak/>
        <w:t>Perfo</w:t>
      </w:r>
      <w:r w:rsidR="00296366">
        <w:t>rmance and Efficiency</w:t>
      </w:r>
      <w:bookmarkEnd w:id="6"/>
    </w:p>
    <w:p w14:paraId="0F9C0B47" w14:textId="77777777" w:rsidR="00296366" w:rsidRDefault="00296366" w:rsidP="00296366"/>
    <w:p w14:paraId="2D98372F" w14:textId="77777777" w:rsidR="007A6FC0" w:rsidRPr="000C1D6D" w:rsidRDefault="007A6FC0" w:rsidP="007A6FC0">
      <w:pPr>
        <w:jc w:val="both"/>
        <w:rPr>
          <w:rFonts w:cs="Calibri"/>
          <w:sz w:val="28"/>
          <w:szCs w:val="28"/>
        </w:rPr>
      </w:pPr>
      <w:r w:rsidRPr="000C1D6D">
        <w:rPr>
          <w:rFonts w:cs="Calibri"/>
          <w:sz w:val="28"/>
          <w:szCs w:val="28"/>
        </w:rPr>
        <w:t>Diesel engines generally provide 20–30 percent improved fuel economy compared to gasoline engines, due to higher compression ratios and enhanced combustion efficiency (Bhaskara, 2021). The combustion properties of ethanol facilitate cleaner combustion and can enhance engine performance in flex-fuel vehicles, however, its lower energy content results in a decrease in miles per litre.</w:t>
      </w:r>
    </w:p>
    <w:p w14:paraId="12C95622" w14:textId="6A3166EE" w:rsidR="00BD7E34" w:rsidRPr="000C1D6D" w:rsidRDefault="007A6FC0" w:rsidP="007A6FC0">
      <w:pPr>
        <w:rPr>
          <w:rFonts w:cs="Calibri"/>
          <w:sz w:val="28"/>
          <w:szCs w:val="28"/>
        </w:rPr>
      </w:pPr>
      <w:r w:rsidRPr="000C1D6D">
        <w:rPr>
          <w:rFonts w:cs="Calibri"/>
          <w:sz w:val="28"/>
          <w:szCs w:val="28"/>
        </w:rPr>
        <w:t xml:space="preserve">Vehicles powered by compressed natural gas (CNG) demonstrate strong reliability and decreased engine wear, however, they are hindered by a restricted range and insufficient refuelling stations. Recent advancements in low-temperature combustion (LTC) and direct-injection techniques have enhanced the thermal efficiency of both ethanol and CNG engines, helping to close the performance gap between these alternatives and conventional petroleum-based fuels (SAE International, 2023) </w:t>
      </w:r>
    </w:p>
    <w:p w14:paraId="0446B8F8" w14:textId="77777777" w:rsidR="00BD7E34" w:rsidRDefault="00BD7E34">
      <w:pPr>
        <w:spacing w:after="200" w:line="288" w:lineRule="auto"/>
        <w:rPr>
          <w:rFonts w:ascii="Arial" w:hAnsi="Arial" w:cs="Arial"/>
          <w:sz w:val="28"/>
          <w:szCs w:val="28"/>
        </w:rPr>
      </w:pPr>
      <w:r>
        <w:rPr>
          <w:rFonts w:ascii="Arial" w:hAnsi="Arial" w:cs="Arial"/>
          <w:sz w:val="28"/>
          <w:szCs w:val="28"/>
        </w:rPr>
        <w:br w:type="page"/>
      </w:r>
    </w:p>
    <w:p w14:paraId="783A2885" w14:textId="44DC95E6" w:rsidR="00296366" w:rsidRDefault="00BD7E34" w:rsidP="00BD7E34">
      <w:pPr>
        <w:pStyle w:val="Heading1"/>
      </w:pPr>
      <w:bookmarkStart w:id="7" w:name="_Toc213594949"/>
      <w:r>
        <w:lastRenderedPageBreak/>
        <w:t>Economic and infrastructure Consideration</w:t>
      </w:r>
      <w:r w:rsidR="0000298D">
        <w:t>s</w:t>
      </w:r>
      <w:bookmarkEnd w:id="7"/>
    </w:p>
    <w:p w14:paraId="34A3F1E6" w14:textId="77777777" w:rsidR="00BD7E34" w:rsidRPr="000C1D6D" w:rsidRDefault="00BD7E34" w:rsidP="00BD7E34">
      <w:pPr>
        <w:rPr>
          <w:rFonts w:cs="Calibri"/>
        </w:rPr>
      </w:pPr>
    </w:p>
    <w:p w14:paraId="26B43B75" w14:textId="77777777" w:rsidR="005E4951" w:rsidRPr="000C1D6D" w:rsidRDefault="005E4951" w:rsidP="005E4951">
      <w:pPr>
        <w:jc w:val="both"/>
        <w:rPr>
          <w:rFonts w:cs="Calibri"/>
          <w:sz w:val="28"/>
          <w:szCs w:val="28"/>
        </w:rPr>
      </w:pPr>
      <w:r w:rsidRPr="000C1D6D">
        <w:rPr>
          <w:rFonts w:cs="Calibri"/>
          <w:sz w:val="28"/>
          <w:szCs w:val="28"/>
        </w:rPr>
        <w:t>You know, gasoline and diesel still hold the top spots when it comes to fuelling transportation around the whole world, reason being that it has got a solid infrastructure in place and dependable supply chains which enables smooth running. On the other hand, when it comes to the production of ethanol, its production significantly depends on the agricultural factors and its local availability.</w:t>
      </w:r>
    </w:p>
    <w:p w14:paraId="2EFA4EBA" w14:textId="2E18DC58" w:rsidR="005E4951" w:rsidRPr="000C1D6D" w:rsidRDefault="005E4951" w:rsidP="005E4951">
      <w:pPr>
        <w:jc w:val="both"/>
        <w:rPr>
          <w:rFonts w:cs="Calibri"/>
          <w:sz w:val="28"/>
          <w:szCs w:val="28"/>
        </w:rPr>
      </w:pPr>
      <w:r w:rsidRPr="000C1D6D">
        <w:rPr>
          <w:rFonts w:cs="Calibri"/>
          <w:sz w:val="28"/>
          <w:szCs w:val="28"/>
        </w:rPr>
        <w:t>Talking about Compressed Natural Gas (CNG) which is a notable economic benefit, and the report let us know that the operational costs can be up to 40 percent lower per kilometre than those of gasoline-powered vehicles (Bhaskara, 2021)—</w:t>
      </w:r>
      <w:r w:rsidRPr="000C1D6D">
        <w:rPr>
          <w:rFonts w:cs="Calibri"/>
          <w:color w:val="000000"/>
          <w:sz w:val="28"/>
          <w:szCs w:val="28"/>
          <w:shd w:val="clear" w:color="auto" w:fill="F4F5F6"/>
        </w:rPr>
        <w:t xml:space="preserve"> </w:t>
      </w:r>
      <w:r w:rsidRPr="000C1D6D">
        <w:rPr>
          <w:rFonts w:cs="Calibri"/>
          <w:sz w:val="28"/>
          <w:szCs w:val="28"/>
        </w:rPr>
        <w:t xml:space="preserve">however requires costly alterations to both vehicles and refuelling facilities. Liu (2024) emphasizes the increasing role of policy incentives, including tax reduction and green grant, which are promoting the adoption of alternative fuels and strengthening national energy security. </w:t>
      </w:r>
    </w:p>
    <w:p w14:paraId="0AC9E39B" w14:textId="77777777" w:rsidR="005E4951" w:rsidRDefault="005E4951">
      <w:pPr>
        <w:spacing w:after="200" w:line="288" w:lineRule="auto"/>
        <w:rPr>
          <w:rFonts w:ascii="Arial" w:hAnsi="Arial" w:cs="Arial"/>
          <w:sz w:val="28"/>
          <w:szCs w:val="28"/>
        </w:rPr>
      </w:pPr>
      <w:r>
        <w:rPr>
          <w:rFonts w:ascii="Arial" w:hAnsi="Arial" w:cs="Arial"/>
          <w:sz w:val="28"/>
          <w:szCs w:val="28"/>
        </w:rPr>
        <w:br w:type="page"/>
      </w:r>
    </w:p>
    <w:p w14:paraId="3714A55E" w14:textId="1BF053F2" w:rsidR="00BD7E34" w:rsidRDefault="008407C7" w:rsidP="005E4951">
      <w:pPr>
        <w:pStyle w:val="Heading1"/>
      </w:pPr>
      <w:bookmarkStart w:id="8" w:name="_Toc213594950"/>
      <w:proofErr w:type="gramStart"/>
      <w:r>
        <w:lastRenderedPageBreak/>
        <w:t>Future Outlook</w:t>
      </w:r>
      <w:bookmarkEnd w:id="8"/>
      <w:proofErr w:type="gramEnd"/>
    </w:p>
    <w:p w14:paraId="0E814639" w14:textId="77777777" w:rsidR="008407C7" w:rsidRDefault="008407C7" w:rsidP="008407C7"/>
    <w:p w14:paraId="1A4F4405" w14:textId="3CE5042D" w:rsidR="00204E51" w:rsidRDefault="00204E51" w:rsidP="00204E51">
      <w:pPr>
        <w:jc w:val="both"/>
        <w:rPr>
          <w:rFonts w:ascii="Arial" w:hAnsi="Arial" w:cs="Arial"/>
          <w:sz w:val="28"/>
          <w:szCs w:val="28"/>
        </w:rPr>
      </w:pPr>
      <w:r w:rsidRPr="000C1D6D">
        <w:rPr>
          <w:rFonts w:cs="Calibri"/>
          <w:sz w:val="28"/>
          <w:szCs w:val="28"/>
        </w:rPr>
        <w:t>The European Union has set its aim on achieving net-zero emissions by 2050, and this has led it to propose a ban on the sale of new petrol and diesel vehicles starting in 2035. This step is already sparking some exciting advancements in fuel technology. Bhaskara (2021) predicts an increase in hybrid systems that merge ethanol or CNG with electric propulsion, providing a transitional route towards complete electrification. Recent studies published in Fuels (MDPI, 2025) investigate synthetic fuels and CO₂ methanation techniques that recycle carbon, suggesting that future fuel systems may integrate renewable resources with carbon capture technologies to achieve near-zero net emissions</w:t>
      </w:r>
      <w:r w:rsidRPr="0055586D">
        <w:rPr>
          <w:rFonts w:ascii="Arial" w:hAnsi="Arial" w:cs="Arial"/>
          <w:sz w:val="28"/>
          <w:szCs w:val="28"/>
        </w:rPr>
        <w:t>.</w:t>
      </w:r>
      <w:r>
        <w:rPr>
          <w:rFonts w:ascii="Arial" w:hAnsi="Arial" w:cs="Arial"/>
          <w:sz w:val="28"/>
          <w:szCs w:val="28"/>
        </w:rPr>
        <w:t xml:space="preserve"> </w:t>
      </w:r>
    </w:p>
    <w:p w14:paraId="38DE0DD6" w14:textId="77777777" w:rsidR="00204E51" w:rsidRDefault="00204E51">
      <w:pPr>
        <w:spacing w:after="200" w:line="288" w:lineRule="auto"/>
        <w:rPr>
          <w:rFonts w:ascii="Arial" w:hAnsi="Arial" w:cs="Arial"/>
          <w:sz w:val="28"/>
          <w:szCs w:val="28"/>
        </w:rPr>
      </w:pPr>
      <w:r>
        <w:rPr>
          <w:rFonts w:ascii="Arial" w:hAnsi="Arial" w:cs="Arial"/>
          <w:sz w:val="28"/>
          <w:szCs w:val="28"/>
        </w:rPr>
        <w:br w:type="page"/>
      </w:r>
    </w:p>
    <w:p w14:paraId="16790C99" w14:textId="15B56C14" w:rsidR="00204E51" w:rsidRDefault="00C20BDC" w:rsidP="00204E51">
      <w:pPr>
        <w:pStyle w:val="Heading1"/>
      </w:pPr>
      <w:r>
        <w:lastRenderedPageBreak/>
        <w:t xml:space="preserve"> </w:t>
      </w:r>
      <w:bookmarkStart w:id="9" w:name="_Toc213594951"/>
      <w:r>
        <w:t>Key Insights</w:t>
      </w:r>
      <w:bookmarkEnd w:id="9"/>
    </w:p>
    <w:p w14:paraId="53F56684" w14:textId="77777777" w:rsidR="00C20BDC" w:rsidRDefault="00C20BDC" w:rsidP="00C20BDC"/>
    <w:p w14:paraId="2DAA4084" w14:textId="77777777" w:rsidR="005619C3" w:rsidRPr="000C1D6D" w:rsidRDefault="005619C3" w:rsidP="005619C3">
      <w:pPr>
        <w:jc w:val="both"/>
        <w:rPr>
          <w:rFonts w:cs="Calibri"/>
          <w:sz w:val="28"/>
          <w:szCs w:val="28"/>
        </w:rPr>
      </w:pPr>
      <w:r w:rsidRPr="000C1D6D">
        <w:rPr>
          <w:rFonts w:cs="Calibri"/>
          <w:sz w:val="28"/>
          <w:szCs w:val="28"/>
        </w:rPr>
        <w:t xml:space="preserve">Compared to gasoline, Ethanol and CNG can reduce overall GHG emissions by up to </w:t>
      </w:r>
      <w:r w:rsidRPr="000C1D6D">
        <w:rPr>
          <w:rFonts w:cs="Calibri"/>
          <w:b/>
          <w:bCs/>
          <w:sz w:val="28"/>
          <w:szCs w:val="28"/>
        </w:rPr>
        <w:t>50–90%</w:t>
      </w:r>
      <w:r w:rsidRPr="000C1D6D">
        <w:rPr>
          <w:rFonts w:cs="Calibri"/>
          <w:sz w:val="28"/>
          <w:szCs w:val="28"/>
        </w:rPr>
        <w:t xml:space="preserve"> </w:t>
      </w:r>
    </w:p>
    <w:p w14:paraId="7779DB1F" w14:textId="77777777" w:rsidR="005619C3" w:rsidRPr="000C1D6D" w:rsidRDefault="005619C3" w:rsidP="005619C3">
      <w:pPr>
        <w:jc w:val="both"/>
        <w:rPr>
          <w:rFonts w:cs="Calibri"/>
          <w:sz w:val="28"/>
          <w:szCs w:val="28"/>
        </w:rPr>
      </w:pPr>
      <w:r w:rsidRPr="000C1D6D">
        <w:rPr>
          <w:rFonts w:cs="Calibri"/>
          <w:sz w:val="28"/>
          <w:szCs w:val="28"/>
        </w:rPr>
        <w:t xml:space="preserve">Diesel engines maintain a </w:t>
      </w:r>
      <w:r w:rsidRPr="000C1D6D">
        <w:rPr>
          <w:rFonts w:cs="Calibri"/>
          <w:b/>
          <w:bCs/>
          <w:sz w:val="28"/>
          <w:szCs w:val="28"/>
        </w:rPr>
        <w:t>20–30%</w:t>
      </w:r>
      <w:r w:rsidRPr="000C1D6D">
        <w:rPr>
          <w:rFonts w:cs="Calibri"/>
          <w:sz w:val="28"/>
          <w:szCs w:val="28"/>
        </w:rPr>
        <w:t xml:space="preserve"> efficiency advantage.</w:t>
      </w:r>
    </w:p>
    <w:p w14:paraId="18D825EE" w14:textId="77777777" w:rsidR="005619C3" w:rsidRPr="000C1D6D" w:rsidRDefault="005619C3" w:rsidP="005619C3">
      <w:pPr>
        <w:jc w:val="both"/>
        <w:rPr>
          <w:rFonts w:cs="Calibri"/>
          <w:sz w:val="28"/>
          <w:szCs w:val="28"/>
        </w:rPr>
      </w:pPr>
      <w:r w:rsidRPr="000C1D6D">
        <w:rPr>
          <w:rFonts w:cs="Calibri"/>
          <w:sz w:val="28"/>
          <w:szCs w:val="28"/>
        </w:rPr>
        <w:t xml:space="preserve">CNG provides </w:t>
      </w:r>
      <w:r w:rsidRPr="000C1D6D">
        <w:rPr>
          <w:rFonts w:cs="Calibri"/>
          <w:b/>
          <w:bCs/>
          <w:sz w:val="28"/>
          <w:szCs w:val="28"/>
        </w:rPr>
        <w:t>30–40%</w:t>
      </w:r>
      <w:r w:rsidRPr="000C1D6D">
        <w:rPr>
          <w:rFonts w:cs="Calibri"/>
          <w:sz w:val="28"/>
          <w:szCs w:val="28"/>
        </w:rPr>
        <w:t xml:space="preserve"> lower operating costs per kilometre.</w:t>
      </w:r>
    </w:p>
    <w:p w14:paraId="7EE41C0E" w14:textId="4DD5188B" w:rsidR="005619C3" w:rsidRPr="000C1D6D" w:rsidRDefault="005619C3" w:rsidP="005619C3">
      <w:pPr>
        <w:rPr>
          <w:rFonts w:cs="Calibri"/>
          <w:sz w:val="28"/>
          <w:szCs w:val="28"/>
        </w:rPr>
      </w:pPr>
      <w:r w:rsidRPr="000C1D6D">
        <w:rPr>
          <w:rFonts w:cs="Calibri"/>
          <w:sz w:val="28"/>
          <w:szCs w:val="28"/>
        </w:rPr>
        <w:t xml:space="preserve">Future mobility will likely be shaped by </w:t>
      </w:r>
      <w:r w:rsidRPr="000C1D6D">
        <w:rPr>
          <w:rFonts w:cs="Calibri"/>
          <w:b/>
          <w:bCs/>
          <w:sz w:val="28"/>
          <w:szCs w:val="28"/>
        </w:rPr>
        <w:t>hybrid and synthetic fuel systems</w:t>
      </w:r>
      <w:r w:rsidRPr="000C1D6D">
        <w:rPr>
          <w:rFonts w:cs="Calibri"/>
          <w:sz w:val="28"/>
          <w:szCs w:val="28"/>
        </w:rPr>
        <w:t>, supported by advancements in LTC technology, carbon capture, and renewable energy integration.</w:t>
      </w:r>
    </w:p>
    <w:p w14:paraId="031B728D" w14:textId="77777777" w:rsidR="005619C3" w:rsidRPr="000C1D6D" w:rsidRDefault="005619C3">
      <w:pPr>
        <w:spacing w:after="200" w:line="288" w:lineRule="auto"/>
        <w:rPr>
          <w:rFonts w:cs="Calibri"/>
          <w:sz w:val="28"/>
          <w:szCs w:val="28"/>
        </w:rPr>
      </w:pPr>
      <w:r w:rsidRPr="000C1D6D">
        <w:rPr>
          <w:rFonts w:cs="Calibri"/>
          <w:sz w:val="28"/>
          <w:szCs w:val="28"/>
        </w:rPr>
        <w:br w:type="page"/>
      </w:r>
    </w:p>
    <w:p w14:paraId="4C89642E" w14:textId="1291C2C8" w:rsidR="00C20BDC" w:rsidRPr="00C20BDC" w:rsidRDefault="00652200" w:rsidP="005619C3">
      <w:pPr>
        <w:pStyle w:val="Heading1"/>
      </w:pPr>
      <w:r>
        <w:lastRenderedPageBreak/>
        <w:t xml:space="preserve"> </w:t>
      </w:r>
      <w:bookmarkStart w:id="10" w:name="_Toc213594952"/>
      <w:r>
        <w:t>Conclusion</w:t>
      </w:r>
      <w:bookmarkEnd w:id="10"/>
    </w:p>
    <w:p w14:paraId="26F3DB56" w14:textId="77777777" w:rsidR="008407C7" w:rsidRPr="008407C7" w:rsidRDefault="008407C7" w:rsidP="008407C7"/>
    <w:p w14:paraId="512CD372" w14:textId="77777777" w:rsidR="00991DCE" w:rsidRPr="000C1D6D" w:rsidRDefault="00991DCE" w:rsidP="00680FA1">
      <w:pPr>
        <w:rPr>
          <w:rFonts w:cs="Calibri"/>
          <w:sz w:val="28"/>
          <w:szCs w:val="28"/>
        </w:rPr>
      </w:pPr>
      <w:r w:rsidRPr="000C1D6D">
        <w:rPr>
          <w:rFonts w:cs="Calibri"/>
          <w:sz w:val="28"/>
          <w:szCs w:val="28"/>
        </w:rPr>
        <w:t>This comparative analysis demonstrates that while conventional fuels still dominate global transport, the environmental disadvantages they present are driving swift innovation and policy changes.</w:t>
      </w:r>
    </w:p>
    <w:p w14:paraId="3FB8A2FE" w14:textId="77777777" w:rsidR="00991DCE" w:rsidRPr="000C1D6D" w:rsidRDefault="00991DCE" w:rsidP="00680FA1">
      <w:pPr>
        <w:rPr>
          <w:rFonts w:cs="Calibri"/>
          <w:sz w:val="28"/>
          <w:szCs w:val="28"/>
        </w:rPr>
      </w:pPr>
      <w:r w:rsidRPr="000C1D6D">
        <w:rPr>
          <w:rFonts w:cs="Calibri"/>
          <w:b/>
          <w:bCs/>
          <w:sz w:val="28"/>
          <w:szCs w:val="28"/>
        </w:rPr>
        <w:t>Gasoline</w:t>
      </w:r>
      <w:r w:rsidRPr="000C1D6D">
        <w:rPr>
          <w:rFonts w:cs="Calibri"/>
          <w:sz w:val="28"/>
          <w:szCs w:val="28"/>
        </w:rPr>
        <w:t xml:space="preserve"> remains the dominant but faces growing environmental and regulatory challenges.</w:t>
      </w:r>
    </w:p>
    <w:p w14:paraId="2951B74D" w14:textId="77777777" w:rsidR="00991DCE" w:rsidRPr="000C1D6D" w:rsidRDefault="00991DCE" w:rsidP="00680FA1">
      <w:pPr>
        <w:rPr>
          <w:rFonts w:cs="Calibri"/>
          <w:sz w:val="28"/>
          <w:szCs w:val="28"/>
        </w:rPr>
      </w:pPr>
      <w:r w:rsidRPr="000C1D6D">
        <w:rPr>
          <w:rFonts w:cs="Calibri"/>
          <w:b/>
          <w:bCs/>
          <w:sz w:val="28"/>
          <w:szCs w:val="28"/>
        </w:rPr>
        <w:t>Diesel</w:t>
      </w:r>
      <w:r w:rsidRPr="000C1D6D">
        <w:rPr>
          <w:rFonts w:cs="Calibri"/>
          <w:sz w:val="28"/>
          <w:szCs w:val="28"/>
        </w:rPr>
        <w:t xml:space="preserve"> is efficient but not environmentally friendly</w:t>
      </w:r>
    </w:p>
    <w:p w14:paraId="3EF1D452" w14:textId="77777777" w:rsidR="00991DCE" w:rsidRPr="000C1D6D" w:rsidRDefault="00991DCE" w:rsidP="00680FA1">
      <w:pPr>
        <w:rPr>
          <w:rFonts w:cs="Calibri"/>
          <w:sz w:val="28"/>
          <w:szCs w:val="28"/>
        </w:rPr>
      </w:pPr>
      <w:r w:rsidRPr="000C1D6D">
        <w:rPr>
          <w:rFonts w:cs="Calibri"/>
          <w:b/>
          <w:bCs/>
          <w:sz w:val="28"/>
          <w:szCs w:val="28"/>
        </w:rPr>
        <w:t>Ethanol</w:t>
      </w:r>
      <w:r w:rsidRPr="000C1D6D">
        <w:rPr>
          <w:rFonts w:cs="Calibri"/>
          <w:sz w:val="28"/>
          <w:szCs w:val="28"/>
        </w:rPr>
        <w:t xml:space="preserve"> offers renewable potential and lower CO₂ emissions, though production sustainability remains an issue.</w:t>
      </w:r>
    </w:p>
    <w:p w14:paraId="5E6B3557" w14:textId="0E3F17EE" w:rsidR="005C725D" w:rsidRPr="000C1D6D" w:rsidRDefault="00991DCE" w:rsidP="00680FA1">
      <w:pPr>
        <w:rPr>
          <w:rFonts w:cs="Calibri"/>
          <w:sz w:val="28"/>
          <w:szCs w:val="28"/>
        </w:rPr>
      </w:pPr>
      <w:r w:rsidRPr="000C1D6D">
        <w:rPr>
          <w:rFonts w:cs="Calibri"/>
          <w:b/>
          <w:bCs/>
          <w:sz w:val="28"/>
          <w:szCs w:val="28"/>
        </w:rPr>
        <w:t>CNG</w:t>
      </w:r>
      <w:r w:rsidRPr="000C1D6D">
        <w:rPr>
          <w:rFonts w:cs="Calibri"/>
          <w:sz w:val="28"/>
          <w:szCs w:val="28"/>
        </w:rPr>
        <w:t xml:space="preserve"> delivers the cleanest combustion among fossil fuels, providing notable cost and emission advantages.</w:t>
      </w:r>
      <w:r w:rsidR="005C725D" w:rsidRPr="000C1D6D">
        <w:rPr>
          <w:rFonts w:cs="Calibri"/>
          <w:sz w:val="28"/>
          <w:szCs w:val="28"/>
        </w:rPr>
        <w:t xml:space="preserve"> </w:t>
      </w:r>
    </w:p>
    <w:p w14:paraId="2585BA83" w14:textId="77777777" w:rsidR="005C725D" w:rsidRDefault="005C725D">
      <w:pPr>
        <w:spacing w:after="200" w:line="288" w:lineRule="auto"/>
        <w:rPr>
          <w:rFonts w:ascii="Arial" w:hAnsi="Arial" w:cs="Arial"/>
          <w:sz w:val="28"/>
          <w:szCs w:val="28"/>
        </w:rPr>
      </w:pPr>
      <w:r>
        <w:rPr>
          <w:rFonts w:ascii="Arial" w:hAnsi="Arial" w:cs="Arial"/>
          <w:sz w:val="28"/>
          <w:szCs w:val="28"/>
        </w:rPr>
        <w:br w:type="page"/>
      </w:r>
    </w:p>
    <w:p w14:paraId="42B73523" w14:textId="78602D5D" w:rsidR="008E58D6" w:rsidRDefault="009331AE" w:rsidP="00680FA1">
      <w:pPr>
        <w:pStyle w:val="Heading1"/>
      </w:pPr>
      <w:r>
        <w:lastRenderedPageBreak/>
        <w:t xml:space="preserve"> </w:t>
      </w:r>
      <w:bookmarkStart w:id="11" w:name="_Toc213594953"/>
      <w:r>
        <w:t>References</w:t>
      </w:r>
      <w:bookmarkEnd w:id="11"/>
    </w:p>
    <w:p w14:paraId="0A9C6A63" w14:textId="77777777" w:rsidR="009331AE" w:rsidRDefault="009331AE" w:rsidP="009331AE"/>
    <w:p w14:paraId="20B74144" w14:textId="77777777" w:rsidR="009331AE" w:rsidRPr="009A1713"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r>
      <w:proofErr w:type="spellStart"/>
      <w:r w:rsidRPr="009A1713">
        <w:rPr>
          <w:rFonts w:ascii="Arial" w:hAnsi="Arial" w:cs="Arial"/>
          <w:sz w:val="28"/>
          <w:szCs w:val="28"/>
        </w:rPr>
        <w:t>Aljassar</w:t>
      </w:r>
      <w:proofErr w:type="spellEnd"/>
      <w:r w:rsidRPr="009A1713">
        <w:rPr>
          <w:rFonts w:ascii="Arial" w:hAnsi="Arial" w:cs="Arial"/>
          <w:sz w:val="28"/>
          <w:szCs w:val="28"/>
        </w:rPr>
        <w:t xml:space="preserve">, J.M.M. and </w:t>
      </w:r>
      <w:proofErr w:type="spellStart"/>
      <w:r w:rsidRPr="009A1713">
        <w:rPr>
          <w:rFonts w:ascii="Arial" w:hAnsi="Arial" w:cs="Arial"/>
          <w:sz w:val="28"/>
          <w:szCs w:val="28"/>
        </w:rPr>
        <w:t>Alzaid</w:t>
      </w:r>
      <w:proofErr w:type="spellEnd"/>
      <w:r w:rsidRPr="009A1713">
        <w:rPr>
          <w:rFonts w:ascii="Arial" w:hAnsi="Arial" w:cs="Arial"/>
          <w:sz w:val="28"/>
          <w:szCs w:val="28"/>
        </w:rPr>
        <w:t>, S.H. (2024). The Effect of Alternative Fuels in Reducing Pollution in Internal Combustion Engines. Research Publish Journals. DOI: https://doi.org/10.5281/zenodo.14281668 [Accessed 4 Nov. 2025].</w:t>
      </w:r>
    </w:p>
    <w:p w14:paraId="314F9376" w14:textId="77777777" w:rsidR="009331AE" w:rsidRPr="009A1713"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Automotive Fuels (1984). The Properties and Performance of Modern Automotive Fuels. SAE Technical Paper. Available at: https://www.jstor.org/stable/pdf/44721494.pdf [Accessed 4 Nov. 2025].</w:t>
      </w:r>
    </w:p>
    <w:p w14:paraId="54D8F3D4" w14:textId="77777777" w:rsidR="009331AE"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Bhaskara, B. (2021). Comparative study of alternative fuels for sustainable IC engine operation. World Journal of Advanced Research and Reviews, 12(01), pp.512–520. Available at: https://wjarr.com/sites/default/files/WJARR-2021-0407.pdf [Accessed 4 Nov. 2025].</w:t>
      </w:r>
    </w:p>
    <w:p w14:paraId="220EDD51" w14:textId="77777777" w:rsidR="009331AE" w:rsidRDefault="009331AE" w:rsidP="009331AE">
      <w:pPr>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Gustafsson, T. and Johansson, A. (2015). Comparison between Battery Electric Vehicles and Internal Combustion Engine Vehicles fuelled by Electro fuels. Master’s Thesis, Chalmers University of Technology. Available at: https://publications.lib.chalmers.se/records/fulltext/218621/218621.pdf [Accessed 4 Nov. 2025].</w:t>
      </w:r>
    </w:p>
    <w:p w14:paraId="2F4D22FA" w14:textId="77777777" w:rsidR="009331AE" w:rsidRPr="009A1713"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Liu, Z. (2024). Alternative Fuels in Automotive Vehicles. International Journal of Automotive Manufacturing and Materials. DOI: https://doi.org/10.53941/ijamm0201007 [Accessed 4 Nov. 2025].</w:t>
      </w:r>
    </w:p>
    <w:p w14:paraId="3D438D4A" w14:textId="77777777" w:rsidR="009331AE" w:rsidRPr="009A1713"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 xml:space="preserve">MacLean, H.L., Lave, L.B., Lankey, R., and Joshi, S. (2000). A Life-Cycle Comparison of Alternative Automobile Fuels. Journal of the Air &amp; Waste Management Association, 50(11), pp.1769–1779. Available at: </w:t>
      </w:r>
      <w:r w:rsidRPr="009A1713">
        <w:rPr>
          <w:rFonts w:ascii="Arial" w:hAnsi="Arial" w:cs="Arial"/>
          <w:sz w:val="28"/>
          <w:szCs w:val="28"/>
        </w:rPr>
        <w:lastRenderedPageBreak/>
        <w:t>https://www.tandfonline.com/doi/pdf/10.1080/10473289.2000.10464209 [Accessed 4 Nov. 2025].</w:t>
      </w:r>
    </w:p>
    <w:p w14:paraId="639019C3" w14:textId="77777777" w:rsidR="009331AE"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MDPI (2025). Fuels – An Open Access Journal. Available at: https://www.mdpi.com/journal/fuels [Accessed 4 Nov. 2025].</w:t>
      </w:r>
    </w:p>
    <w:p w14:paraId="2A392B6D" w14:textId="77777777" w:rsidR="009331AE" w:rsidRPr="009A1713" w:rsidRDefault="009331AE" w:rsidP="009331AE">
      <w:pPr>
        <w:jc w:val="both"/>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t>SAE International (2023). Fuels and Combustion Control Strategies for Low-Temperature Combustion Engines. SAE International Journal of Fuels and Lubricants, 16(1). Available at: https://www.sae.org/publications/collections/content/jrn-fl-si-01 [Accessed 4 Nov. 2025].</w:t>
      </w:r>
    </w:p>
    <w:p w14:paraId="6E1E6FE3" w14:textId="6E43C96A" w:rsidR="009331AE" w:rsidRDefault="009331AE" w:rsidP="009331AE">
      <w:pPr>
        <w:rPr>
          <w:rFonts w:ascii="Arial" w:hAnsi="Arial" w:cs="Arial"/>
          <w:sz w:val="28"/>
          <w:szCs w:val="28"/>
        </w:rPr>
      </w:pPr>
      <w:r w:rsidRPr="009A1713">
        <w:rPr>
          <w:rFonts w:ascii="Arial" w:hAnsi="Arial" w:cs="Arial"/>
          <w:sz w:val="28"/>
          <w:szCs w:val="28"/>
        </w:rPr>
        <w:t xml:space="preserve">• </w:t>
      </w:r>
      <w:r w:rsidRPr="009A1713">
        <w:rPr>
          <w:rFonts w:ascii="Arial" w:hAnsi="Arial" w:cs="Arial"/>
          <w:sz w:val="28"/>
          <w:szCs w:val="28"/>
        </w:rPr>
        <w:tab/>
      </w:r>
      <w:proofErr w:type="spellStart"/>
      <w:r w:rsidRPr="009A1713">
        <w:rPr>
          <w:rFonts w:ascii="Arial" w:hAnsi="Arial" w:cs="Arial"/>
          <w:sz w:val="28"/>
          <w:szCs w:val="28"/>
        </w:rPr>
        <w:t>Zimakowska</w:t>
      </w:r>
      <w:proofErr w:type="spellEnd"/>
      <w:r w:rsidRPr="009A1713">
        <w:rPr>
          <w:rFonts w:ascii="Arial" w:hAnsi="Arial" w:cs="Arial"/>
          <w:sz w:val="28"/>
          <w:szCs w:val="28"/>
        </w:rPr>
        <w:t>-Laskowska, M. and Laskowski, P. (2024). Comparison of pollutant emissions from various types of vehicles. Combustion Engines, 197(2), pp.139–145. Available at: https://www.combustion-engines.eu/pdf-181193-110088?filename=Comparison%20of%20pollutant.pdf [Accessed 4 Nov. 2025].</w:t>
      </w:r>
    </w:p>
    <w:p w14:paraId="77F4954E" w14:textId="77777777" w:rsidR="00841E68" w:rsidRPr="009331AE" w:rsidRDefault="00841E68" w:rsidP="009331AE"/>
    <w:p w14:paraId="18FE2364" w14:textId="7CF15884" w:rsidR="00233168" w:rsidRDefault="00233168" w:rsidP="00187667"/>
    <w:p w14:paraId="2D50C26A" w14:textId="77777777" w:rsidR="00991DCE" w:rsidRPr="0055586D" w:rsidRDefault="00991DCE" w:rsidP="00991DCE">
      <w:pPr>
        <w:jc w:val="both"/>
        <w:rPr>
          <w:rFonts w:ascii="Arial" w:hAnsi="Arial" w:cs="Arial"/>
          <w:sz w:val="28"/>
          <w:szCs w:val="28"/>
        </w:rPr>
      </w:pPr>
    </w:p>
    <w:p w14:paraId="53A8CD47" w14:textId="16E322EE" w:rsidR="002437D9" w:rsidRPr="007D7C35" w:rsidRDefault="00BD341F" w:rsidP="002437D9">
      <w:pPr>
        <w:rPr>
          <w:rFonts w:cs="Calibri"/>
          <w:sz w:val="28"/>
          <w:szCs w:val="28"/>
        </w:rPr>
      </w:pPr>
      <w:r w:rsidRPr="007D7C35">
        <w:rPr>
          <w:rFonts w:cs="Calibri"/>
          <w:sz w:val="28"/>
          <w:szCs w:val="28"/>
        </w:rPr>
        <w:t xml:space="preserve">I would like to thank my friend Elizabeth West for going back and </w:t>
      </w:r>
      <w:r w:rsidR="007D7C35" w:rsidRPr="007D7C35">
        <w:rPr>
          <w:rFonts w:cs="Calibri"/>
          <w:sz w:val="28"/>
          <w:szCs w:val="28"/>
        </w:rPr>
        <w:t xml:space="preserve">forth with me on this research </w:t>
      </w:r>
    </w:p>
    <w:sectPr w:rsidR="002437D9" w:rsidRPr="007D7C35" w:rsidSect="00705A6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F89A8" w14:textId="77777777" w:rsidR="002808AA" w:rsidRDefault="002808AA" w:rsidP="005E2ADB">
      <w:pPr>
        <w:spacing w:after="0" w:line="240" w:lineRule="auto"/>
      </w:pPr>
      <w:r>
        <w:separator/>
      </w:r>
    </w:p>
  </w:endnote>
  <w:endnote w:type="continuationSeparator" w:id="0">
    <w:p w14:paraId="7AEA2B71" w14:textId="77777777" w:rsidR="002808AA" w:rsidRDefault="002808AA" w:rsidP="005E2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94A7F" w14:textId="77777777" w:rsidR="002808AA" w:rsidRDefault="002808AA" w:rsidP="005E2ADB">
      <w:pPr>
        <w:spacing w:after="0" w:line="240" w:lineRule="auto"/>
      </w:pPr>
      <w:r>
        <w:separator/>
      </w:r>
    </w:p>
  </w:footnote>
  <w:footnote w:type="continuationSeparator" w:id="0">
    <w:p w14:paraId="7BE3AD75" w14:textId="77777777" w:rsidR="002808AA" w:rsidRDefault="002808AA" w:rsidP="005E2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64E0"/>
    <w:multiLevelType w:val="hybridMultilevel"/>
    <w:tmpl w:val="3D820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57E84"/>
    <w:multiLevelType w:val="hybridMultilevel"/>
    <w:tmpl w:val="AE349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B0D4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1D8643D"/>
    <w:multiLevelType w:val="hybridMultilevel"/>
    <w:tmpl w:val="A4280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50D80"/>
    <w:multiLevelType w:val="hybridMultilevel"/>
    <w:tmpl w:val="1EE00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8053797">
    <w:abstractNumId w:val="4"/>
  </w:num>
  <w:num w:numId="2" w16cid:durableId="466557713">
    <w:abstractNumId w:val="1"/>
  </w:num>
  <w:num w:numId="3" w16cid:durableId="977145556">
    <w:abstractNumId w:val="0"/>
  </w:num>
  <w:num w:numId="4" w16cid:durableId="405803199">
    <w:abstractNumId w:val="2"/>
  </w:num>
  <w:num w:numId="5" w16cid:durableId="549345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BF1"/>
    <w:rsid w:val="0000298D"/>
    <w:rsid w:val="0003211C"/>
    <w:rsid w:val="00037E9D"/>
    <w:rsid w:val="000534A7"/>
    <w:rsid w:val="00082F8B"/>
    <w:rsid w:val="00091B0F"/>
    <w:rsid w:val="00094DFA"/>
    <w:rsid w:val="00095DD2"/>
    <w:rsid w:val="000A05F2"/>
    <w:rsid w:val="000A2646"/>
    <w:rsid w:val="000A39B2"/>
    <w:rsid w:val="000A65DC"/>
    <w:rsid w:val="000C1D6D"/>
    <w:rsid w:val="000D2778"/>
    <w:rsid w:val="000F021B"/>
    <w:rsid w:val="000F4D16"/>
    <w:rsid w:val="0011119C"/>
    <w:rsid w:val="001236BE"/>
    <w:rsid w:val="00153F44"/>
    <w:rsid w:val="00171016"/>
    <w:rsid w:val="00174832"/>
    <w:rsid w:val="00187667"/>
    <w:rsid w:val="00193010"/>
    <w:rsid w:val="00195B59"/>
    <w:rsid w:val="00197959"/>
    <w:rsid w:val="001B13E9"/>
    <w:rsid w:val="001F79CF"/>
    <w:rsid w:val="00204E51"/>
    <w:rsid w:val="00223B7B"/>
    <w:rsid w:val="00233168"/>
    <w:rsid w:val="002437D9"/>
    <w:rsid w:val="00257596"/>
    <w:rsid w:val="0026673D"/>
    <w:rsid w:val="00266A9A"/>
    <w:rsid w:val="002734CC"/>
    <w:rsid w:val="002808AA"/>
    <w:rsid w:val="00296366"/>
    <w:rsid w:val="002A788C"/>
    <w:rsid w:val="002C1D82"/>
    <w:rsid w:val="002C4B0B"/>
    <w:rsid w:val="002D3958"/>
    <w:rsid w:val="00301BD2"/>
    <w:rsid w:val="003354DC"/>
    <w:rsid w:val="003536C3"/>
    <w:rsid w:val="003871DC"/>
    <w:rsid w:val="003A29B1"/>
    <w:rsid w:val="003A6BF1"/>
    <w:rsid w:val="003C6A66"/>
    <w:rsid w:val="003E2A37"/>
    <w:rsid w:val="003F23F3"/>
    <w:rsid w:val="00417B8E"/>
    <w:rsid w:val="00436A91"/>
    <w:rsid w:val="004574F5"/>
    <w:rsid w:val="00476D9C"/>
    <w:rsid w:val="004B021D"/>
    <w:rsid w:val="004E513A"/>
    <w:rsid w:val="004E7768"/>
    <w:rsid w:val="004F2059"/>
    <w:rsid w:val="0052347A"/>
    <w:rsid w:val="0053644A"/>
    <w:rsid w:val="005619C3"/>
    <w:rsid w:val="00593EE8"/>
    <w:rsid w:val="005A727C"/>
    <w:rsid w:val="005B7937"/>
    <w:rsid w:val="005C1D92"/>
    <w:rsid w:val="005C725D"/>
    <w:rsid w:val="005E2ADB"/>
    <w:rsid w:val="005E4951"/>
    <w:rsid w:val="005F6595"/>
    <w:rsid w:val="00600392"/>
    <w:rsid w:val="006310D7"/>
    <w:rsid w:val="00652200"/>
    <w:rsid w:val="00664CCC"/>
    <w:rsid w:val="00680FA1"/>
    <w:rsid w:val="006831A1"/>
    <w:rsid w:val="006E2392"/>
    <w:rsid w:val="00705A64"/>
    <w:rsid w:val="0072033B"/>
    <w:rsid w:val="00720B85"/>
    <w:rsid w:val="00731F58"/>
    <w:rsid w:val="007457D7"/>
    <w:rsid w:val="007468A8"/>
    <w:rsid w:val="0075611E"/>
    <w:rsid w:val="00767D1C"/>
    <w:rsid w:val="00772804"/>
    <w:rsid w:val="007748DB"/>
    <w:rsid w:val="007A6FC0"/>
    <w:rsid w:val="007B7837"/>
    <w:rsid w:val="007D2786"/>
    <w:rsid w:val="007D7C35"/>
    <w:rsid w:val="00813025"/>
    <w:rsid w:val="00817E9F"/>
    <w:rsid w:val="00834809"/>
    <w:rsid w:val="008407C7"/>
    <w:rsid w:val="00841E68"/>
    <w:rsid w:val="00891D12"/>
    <w:rsid w:val="008C54E3"/>
    <w:rsid w:val="008D1B84"/>
    <w:rsid w:val="008E58D6"/>
    <w:rsid w:val="00911E0E"/>
    <w:rsid w:val="0092016C"/>
    <w:rsid w:val="009331AE"/>
    <w:rsid w:val="0097590E"/>
    <w:rsid w:val="00991DCE"/>
    <w:rsid w:val="009A1DEE"/>
    <w:rsid w:val="009C29BD"/>
    <w:rsid w:val="00A45406"/>
    <w:rsid w:val="00A73289"/>
    <w:rsid w:val="00A74848"/>
    <w:rsid w:val="00AC6ABB"/>
    <w:rsid w:val="00AD7EE6"/>
    <w:rsid w:val="00B156EB"/>
    <w:rsid w:val="00B464A4"/>
    <w:rsid w:val="00B56189"/>
    <w:rsid w:val="00B82658"/>
    <w:rsid w:val="00B860BE"/>
    <w:rsid w:val="00B90321"/>
    <w:rsid w:val="00BC1435"/>
    <w:rsid w:val="00BC77A9"/>
    <w:rsid w:val="00BD341F"/>
    <w:rsid w:val="00BD7E34"/>
    <w:rsid w:val="00BF5398"/>
    <w:rsid w:val="00C20BDC"/>
    <w:rsid w:val="00C32A6F"/>
    <w:rsid w:val="00C335C8"/>
    <w:rsid w:val="00C52C96"/>
    <w:rsid w:val="00C800C7"/>
    <w:rsid w:val="00C87915"/>
    <w:rsid w:val="00CC35D1"/>
    <w:rsid w:val="00CC4DB2"/>
    <w:rsid w:val="00CD1E2E"/>
    <w:rsid w:val="00CF4CA9"/>
    <w:rsid w:val="00D16535"/>
    <w:rsid w:val="00D3209F"/>
    <w:rsid w:val="00D3597D"/>
    <w:rsid w:val="00D40A0F"/>
    <w:rsid w:val="00D42008"/>
    <w:rsid w:val="00D45E41"/>
    <w:rsid w:val="00D46643"/>
    <w:rsid w:val="00D56FE1"/>
    <w:rsid w:val="00D65CAC"/>
    <w:rsid w:val="00D71FE3"/>
    <w:rsid w:val="00D73985"/>
    <w:rsid w:val="00DC3F64"/>
    <w:rsid w:val="00DD6978"/>
    <w:rsid w:val="00E075CB"/>
    <w:rsid w:val="00E07EF6"/>
    <w:rsid w:val="00E22B02"/>
    <w:rsid w:val="00E32969"/>
    <w:rsid w:val="00E47A85"/>
    <w:rsid w:val="00E55F61"/>
    <w:rsid w:val="00E616E3"/>
    <w:rsid w:val="00E7034A"/>
    <w:rsid w:val="00E77910"/>
    <w:rsid w:val="00E8743B"/>
    <w:rsid w:val="00EB4ECB"/>
    <w:rsid w:val="00EF64DC"/>
    <w:rsid w:val="00F14E06"/>
    <w:rsid w:val="00F267EF"/>
    <w:rsid w:val="00F33606"/>
    <w:rsid w:val="00F40B6D"/>
    <w:rsid w:val="00F6593C"/>
    <w:rsid w:val="00F77E98"/>
    <w:rsid w:val="00FB5740"/>
    <w:rsid w:val="00FD7A7C"/>
    <w:rsid w:val="00FF0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C248C"/>
  <w15:chartTrackingRefBased/>
  <w15:docId w15:val="{CDCE1EB3-E891-49D3-8804-9830BD1A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09F"/>
    <w:pPr>
      <w:spacing w:after="160" w:line="360" w:lineRule="auto"/>
    </w:pPr>
    <w:rPr>
      <w:rFonts w:ascii="Calibri" w:hAnsi="Calibri"/>
      <w:sz w:val="24"/>
    </w:rPr>
  </w:style>
  <w:style w:type="paragraph" w:styleId="Heading1">
    <w:name w:val="heading 1"/>
    <w:basedOn w:val="Normal"/>
    <w:next w:val="Normal"/>
    <w:link w:val="Heading1Char"/>
    <w:uiPriority w:val="9"/>
    <w:qFormat/>
    <w:rsid w:val="00FB5740"/>
    <w:pPr>
      <w:keepNext/>
      <w:keepLines/>
      <w:numPr>
        <w:numId w:val="4"/>
      </w:numPr>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FB5740"/>
    <w:pPr>
      <w:keepNext/>
      <w:keepLines/>
      <w:numPr>
        <w:ilvl w:val="1"/>
        <w:numId w:val="4"/>
      </w:numPr>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FB5740"/>
    <w:pPr>
      <w:keepNext/>
      <w:keepLines/>
      <w:numPr>
        <w:ilvl w:val="2"/>
        <w:numId w:val="4"/>
      </w:numPr>
      <w:spacing w:before="80" w:after="0" w:line="240" w:lineRule="auto"/>
      <w:outlineLvl w:val="2"/>
    </w:pPr>
    <w:rPr>
      <w:rFonts w:asciiTheme="majorHAnsi" w:eastAsiaTheme="majorEastAsia" w:hAnsiTheme="majorHAnsi" w:cstheme="majorBidi"/>
      <w:color w:val="3A7C22" w:themeColor="accent6" w:themeShade="BF"/>
      <w:szCs w:val="24"/>
    </w:rPr>
  </w:style>
  <w:style w:type="paragraph" w:styleId="Heading4">
    <w:name w:val="heading 4"/>
    <w:basedOn w:val="Normal"/>
    <w:next w:val="Normal"/>
    <w:link w:val="Heading4Char"/>
    <w:uiPriority w:val="9"/>
    <w:semiHidden/>
    <w:unhideWhenUsed/>
    <w:qFormat/>
    <w:rsid w:val="00FB5740"/>
    <w:pPr>
      <w:keepNext/>
      <w:keepLines/>
      <w:numPr>
        <w:ilvl w:val="3"/>
        <w:numId w:val="4"/>
      </w:numPr>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FB5740"/>
    <w:pPr>
      <w:keepNext/>
      <w:keepLines/>
      <w:numPr>
        <w:ilvl w:val="4"/>
        <w:numId w:val="4"/>
      </w:numPr>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FB5740"/>
    <w:pPr>
      <w:keepNext/>
      <w:keepLines/>
      <w:numPr>
        <w:ilvl w:val="5"/>
        <w:numId w:val="4"/>
      </w:numPr>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FB5740"/>
    <w:pPr>
      <w:keepNext/>
      <w:keepLines/>
      <w:numPr>
        <w:ilvl w:val="6"/>
        <w:numId w:val="4"/>
      </w:numPr>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FB5740"/>
    <w:pPr>
      <w:keepNext/>
      <w:keepLines/>
      <w:numPr>
        <w:ilvl w:val="7"/>
        <w:numId w:val="4"/>
      </w:numPr>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FB5740"/>
    <w:pPr>
      <w:keepNext/>
      <w:keepLines/>
      <w:numPr>
        <w:ilvl w:val="8"/>
        <w:numId w:val="4"/>
      </w:numPr>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740"/>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FB5740"/>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FB5740"/>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FB5740"/>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FB5740"/>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FB5740"/>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FB5740"/>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FB5740"/>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FB5740"/>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FB574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B574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B574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B5740"/>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FB574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B5740"/>
    <w:rPr>
      <w:i/>
      <w:iCs/>
      <w:color w:val="262626" w:themeColor="text1" w:themeTint="D9"/>
    </w:rPr>
  </w:style>
  <w:style w:type="paragraph" w:styleId="ListParagraph">
    <w:name w:val="List Paragraph"/>
    <w:basedOn w:val="Normal"/>
    <w:uiPriority w:val="34"/>
    <w:qFormat/>
    <w:rsid w:val="003A6BF1"/>
    <w:pPr>
      <w:ind w:left="720"/>
      <w:contextualSpacing/>
    </w:pPr>
  </w:style>
  <w:style w:type="character" w:styleId="IntenseEmphasis">
    <w:name w:val="Intense Emphasis"/>
    <w:basedOn w:val="DefaultParagraphFont"/>
    <w:uiPriority w:val="21"/>
    <w:qFormat/>
    <w:rsid w:val="00FB5740"/>
    <w:rPr>
      <w:b/>
      <w:bCs/>
      <w:i/>
      <w:iCs/>
    </w:rPr>
  </w:style>
  <w:style w:type="paragraph" w:styleId="IntenseQuote">
    <w:name w:val="Intense Quote"/>
    <w:basedOn w:val="Normal"/>
    <w:next w:val="Normal"/>
    <w:link w:val="IntenseQuoteChar"/>
    <w:uiPriority w:val="30"/>
    <w:qFormat/>
    <w:rsid w:val="00FB5740"/>
    <w:pPr>
      <w:spacing w:before="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FB5740"/>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FB5740"/>
    <w:rPr>
      <w:b/>
      <w:bCs/>
      <w:smallCaps/>
      <w:color w:val="4EA72E" w:themeColor="accent6"/>
    </w:rPr>
  </w:style>
  <w:style w:type="paragraph" w:styleId="Date">
    <w:name w:val="Date"/>
    <w:basedOn w:val="Normal"/>
    <w:next w:val="Normal"/>
    <w:link w:val="DateChar"/>
    <w:uiPriority w:val="99"/>
    <w:semiHidden/>
    <w:unhideWhenUsed/>
    <w:rsid w:val="000A05F2"/>
  </w:style>
  <w:style w:type="character" w:customStyle="1" w:styleId="DateChar">
    <w:name w:val="Date Char"/>
    <w:basedOn w:val="DefaultParagraphFont"/>
    <w:link w:val="Date"/>
    <w:uiPriority w:val="99"/>
    <w:semiHidden/>
    <w:rsid w:val="000A05F2"/>
  </w:style>
  <w:style w:type="paragraph" w:styleId="Caption">
    <w:name w:val="caption"/>
    <w:basedOn w:val="Normal"/>
    <w:next w:val="Normal"/>
    <w:uiPriority w:val="35"/>
    <w:semiHidden/>
    <w:unhideWhenUsed/>
    <w:qFormat/>
    <w:rsid w:val="00FB5740"/>
    <w:pPr>
      <w:spacing w:line="240" w:lineRule="auto"/>
    </w:pPr>
    <w:rPr>
      <w:b/>
      <w:bCs/>
      <w:smallCaps/>
      <w:color w:val="595959" w:themeColor="text1" w:themeTint="A6"/>
    </w:rPr>
  </w:style>
  <w:style w:type="character" w:styleId="Strong">
    <w:name w:val="Strong"/>
    <w:basedOn w:val="DefaultParagraphFont"/>
    <w:uiPriority w:val="22"/>
    <w:qFormat/>
    <w:rsid w:val="00FB5740"/>
    <w:rPr>
      <w:b/>
      <w:bCs/>
    </w:rPr>
  </w:style>
  <w:style w:type="character" w:styleId="Emphasis">
    <w:name w:val="Emphasis"/>
    <w:basedOn w:val="DefaultParagraphFont"/>
    <w:uiPriority w:val="20"/>
    <w:qFormat/>
    <w:rsid w:val="00FB5740"/>
    <w:rPr>
      <w:i/>
      <w:iCs/>
      <w:color w:val="4EA72E" w:themeColor="accent6"/>
    </w:rPr>
  </w:style>
  <w:style w:type="paragraph" w:styleId="NoSpacing">
    <w:name w:val="No Spacing"/>
    <w:uiPriority w:val="1"/>
    <w:qFormat/>
    <w:rsid w:val="00FB5740"/>
    <w:pPr>
      <w:spacing w:after="0" w:line="240" w:lineRule="auto"/>
    </w:pPr>
  </w:style>
  <w:style w:type="character" w:styleId="SubtleEmphasis">
    <w:name w:val="Subtle Emphasis"/>
    <w:basedOn w:val="DefaultParagraphFont"/>
    <w:uiPriority w:val="19"/>
    <w:qFormat/>
    <w:rsid w:val="00FB5740"/>
    <w:rPr>
      <w:i/>
      <w:iCs/>
    </w:rPr>
  </w:style>
  <w:style w:type="character" w:styleId="SubtleReference">
    <w:name w:val="Subtle Reference"/>
    <w:basedOn w:val="DefaultParagraphFont"/>
    <w:uiPriority w:val="31"/>
    <w:qFormat/>
    <w:rsid w:val="00FB5740"/>
    <w:rPr>
      <w:smallCaps/>
      <w:color w:val="595959" w:themeColor="text1" w:themeTint="A6"/>
    </w:rPr>
  </w:style>
  <w:style w:type="character" w:styleId="BookTitle">
    <w:name w:val="Book Title"/>
    <w:basedOn w:val="DefaultParagraphFont"/>
    <w:uiPriority w:val="33"/>
    <w:qFormat/>
    <w:rsid w:val="00FB5740"/>
    <w:rPr>
      <w:b/>
      <w:bCs/>
      <w:caps w:val="0"/>
      <w:smallCaps/>
      <w:spacing w:val="7"/>
      <w:sz w:val="21"/>
      <w:szCs w:val="21"/>
    </w:rPr>
  </w:style>
  <w:style w:type="paragraph" w:styleId="TOCHeading">
    <w:name w:val="TOC Heading"/>
    <w:basedOn w:val="Heading1"/>
    <w:next w:val="Normal"/>
    <w:uiPriority w:val="39"/>
    <w:unhideWhenUsed/>
    <w:qFormat/>
    <w:rsid w:val="00FB5740"/>
    <w:pPr>
      <w:outlineLvl w:val="9"/>
    </w:pPr>
  </w:style>
  <w:style w:type="paragraph" w:styleId="TOC1">
    <w:name w:val="toc 1"/>
    <w:basedOn w:val="Normal"/>
    <w:next w:val="Normal"/>
    <w:autoRedefine/>
    <w:uiPriority w:val="39"/>
    <w:unhideWhenUsed/>
    <w:rsid w:val="00F77E98"/>
    <w:pPr>
      <w:tabs>
        <w:tab w:val="left" w:pos="440"/>
        <w:tab w:val="right" w:leader="dot" w:pos="9016"/>
      </w:tabs>
      <w:spacing w:after="100"/>
    </w:pPr>
  </w:style>
  <w:style w:type="character" w:styleId="Hyperlink">
    <w:name w:val="Hyperlink"/>
    <w:basedOn w:val="DefaultParagraphFont"/>
    <w:uiPriority w:val="99"/>
    <w:unhideWhenUsed/>
    <w:rsid w:val="003A29B1"/>
    <w:rPr>
      <w:color w:val="467886" w:themeColor="hyperlink"/>
      <w:u w:val="single"/>
    </w:rPr>
  </w:style>
  <w:style w:type="paragraph" w:styleId="TOC2">
    <w:name w:val="toc 2"/>
    <w:basedOn w:val="Normal"/>
    <w:next w:val="Normal"/>
    <w:autoRedefine/>
    <w:uiPriority w:val="39"/>
    <w:unhideWhenUsed/>
    <w:rsid w:val="00B464A4"/>
    <w:pPr>
      <w:spacing w:after="100" w:line="259" w:lineRule="auto"/>
      <w:ind w:left="220"/>
    </w:pPr>
    <w:rPr>
      <w:rFonts w:asciiTheme="minorHAnsi" w:hAnsiTheme="minorHAnsi" w:cs="Times New Roman"/>
      <w:sz w:val="22"/>
      <w:szCs w:val="22"/>
      <w:lang w:val="en-US" w:eastAsia="en-US"/>
    </w:rPr>
  </w:style>
  <w:style w:type="paragraph" w:styleId="TOC3">
    <w:name w:val="toc 3"/>
    <w:basedOn w:val="Normal"/>
    <w:next w:val="Normal"/>
    <w:autoRedefine/>
    <w:uiPriority w:val="39"/>
    <w:unhideWhenUsed/>
    <w:rsid w:val="00B464A4"/>
    <w:pPr>
      <w:spacing w:after="100" w:line="259" w:lineRule="auto"/>
      <w:ind w:left="440"/>
    </w:pPr>
    <w:rPr>
      <w:rFonts w:asciiTheme="minorHAnsi" w:hAnsiTheme="minorHAnsi" w:cs="Times New Roman"/>
      <w:sz w:val="22"/>
      <w:szCs w:val="22"/>
      <w:lang w:val="en-US" w:eastAsia="en-US"/>
    </w:rPr>
  </w:style>
  <w:style w:type="paragraph" w:styleId="Header">
    <w:name w:val="header"/>
    <w:basedOn w:val="Normal"/>
    <w:link w:val="HeaderChar"/>
    <w:uiPriority w:val="99"/>
    <w:unhideWhenUsed/>
    <w:rsid w:val="005E2A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ADB"/>
    <w:rPr>
      <w:rFonts w:ascii="Calibri" w:hAnsi="Calibri"/>
      <w:sz w:val="24"/>
    </w:rPr>
  </w:style>
  <w:style w:type="paragraph" w:styleId="Footer">
    <w:name w:val="footer"/>
    <w:basedOn w:val="Normal"/>
    <w:link w:val="FooterChar"/>
    <w:uiPriority w:val="99"/>
    <w:unhideWhenUsed/>
    <w:rsid w:val="005E2A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ADB"/>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f800071db016e6057821ede2961b427c">
  <xsd:schema xmlns:xsd="http://www.w3.org/2001/XMLSchema" xmlns:xs="http://www.w3.org/2001/XMLSchema" xmlns:p="http://schemas.microsoft.com/office/2006/metadata/properties" xmlns:ns3="b4f9f7ee-5770-4a14-8925-17f3d16e50b7" targetNamespace="http://schemas.microsoft.com/office/2006/metadata/properties" ma:root="true" ma:fieldsID="95278e64c23eed627f8f1a97a5c1bad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B4EE00-1F55-4816-9A90-F7C54B0A4A0D}">
  <ds:schemaRef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b4f9f7ee-5770-4a14-8925-17f3d16e50b7"/>
    <ds:schemaRef ds:uri="http://www.w3.org/XML/1998/namespace"/>
    <ds:schemaRef ds:uri="http://purl.org/dc/terms/"/>
  </ds:schemaRefs>
</ds:datastoreItem>
</file>

<file path=customXml/itemProps2.xml><?xml version="1.0" encoding="utf-8"?>
<ds:datastoreItem xmlns:ds="http://schemas.openxmlformats.org/officeDocument/2006/customXml" ds:itemID="{23643878-CB0F-4441-BD96-FBDE0483E823}">
  <ds:schemaRefs>
    <ds:schemaRef ds:uri="http://schemas.microsoft.com/sharepoint/v3/contenttype/forms"/>
  </ds:schemaRefs>
</ds:datastoreItem>
</file>

<file path=customXml/itemProps3.xml><?xml version="1.0" encoding="utf-8"?>
<ds:datastoreItem xmlns:ds="http://schemas.openxmlformats.org/officeDocument/2006/customXml" ds:itemID="{9A98797E-9F64-4E9A-A35A-8A55AFDE0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F36AB9-1BD3-4553-8FCD-15ECF0129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1694</Words>
  <Characters>10497</Characters>
  <Application>Microsoft Office Word</Application>
  <DocSecurity>0</DocSecurity>
  <Lines>265</Lines>
  <Paragraphs>95</Paragraphs>
  <ScaleCrop>false</ScaleCrop>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 Oshodi (2501804)</dc:creator>
  <cp:keywords/>
  <dc:description/>
  <cp:lastModifiedBy>Temi Oshodi (2501804)</cp:lastModifiedBy>
  <cp:revision>3</cp:revision>
  <dcterms:created xsi:type="dcterms:W3CDTF">2025-11-09T15:49:00Z</dcterms:created>
  <dcterms:modified xsi:type="dcterms:W3CDTF">2025-11-09T15:49:00Z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