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89B3B" w14:textId="77777777" w:rsidR="008F5439" w:rsidRPr="005D0F5E" w:rsidRDefault="008F5439" w:rsidP="008F5439">
      <w:pPr>
        <w:rPr>
          <w:rFonts w:ascii="Arial" w:hAnsi="Arial" w:cs="Arial"/>
          <w:sz w:val="32"/>
          <w:szCs w:val="32"/>
        </w:rPr>
      </w:pPr>
      <w:r w:rsidRPr="005D0F5E">
        <w:rPr>
          <w:rFonts w:ascii="Arial" w:hAnsi="Arial" w:cs="Arial"/>
          <w:sz w:val="32"/>
          <w:szCs w:val="32"/>
        </w:rPr>
        <w:t>Name: Esther Uyi Okhilu</w:t>
      </w:r>
    </w:p>
    <w:p w14:paraId="7837F422" w14:textId="77777777" w:rsidR="008F5439" w:rsidRPr="005D0F5E" w:rsidRDefault="008F5439" w:rsidP="008F5439">
      <w:pPr>
        <w:rPr>
          <w:rFonts w:ascii="Arial" w:hAnsi="Arial" w:cs="Arial"/>
          <w:sz w:val="32"/>
          <w:szCs w:val="32"/>
        </w:rPr>
      </w:pPr>
      <w:r w:rsidRPr="005D0F5E">
        <w:rPr>
          <w:rFonts w:ascii="Arial" w:hAnsi="Arial" w:cs="Arial"/>
          <w:sz w:val="32"/>
          <w:szCs w:val="32"/>
        </w:rPr>
        <w:t>Student No: 2433459</w:t>
      </w:r>
    </w:p>
    <w:p w14:paraId="159DA40E" w14:textId="05CFDA58" w:rsidR="008F5439" w:rsidRPr="005D0F5E" w:rsidRDefault="008F5439" w:rsidP="008F5439">
      <w:pPr>
        <w:rPr>
          <w:rFonts w:ascii="Arial" w:hAnsi="Arial" w:cs="Arial"/>
          <w:sz w:val="32"/>
          <w:szCs w:val="32"/>
        </w:rPr>
      </w:pPr>
      <w:r w:rsidRPr="005D0F5E">
        <w:rPr>
          <w:rFonts w:ascii="Arial" w:hAnsi="Arial" w:cs="Arial"/>
          <w:sz w:val="32"/>
          <w:szCs w:val="32"/>
        </w:rPr>
        <w:t>Course Title: Introduction</w:t>
      </w:r>
      <w:r w:rsidRPr="005D0F5E">
        <w:rPr>
          <w:rFonts w:ascii="Arial" w:hAnsi="Arial" w:cs="Arial"/>
          <w:spacing w:val="-4"/>
          <w:sz w:val="32"/>
          <w:szCs w:val="32"/>
        </w:rPr>
        <w:t xml:space="preserve"> </w:t>
      </w:r>
      <w:r w:rsidRPr="005D0F5E">
        <w:rPr>
          <w:rFonts w:ascii="Arial" w:hAnsi="Arial" w:cs="Arial"/>
          <w:sz w:val="32"/>
          <w:szCs w:val="32"/>
        </w:rPr>
        <w:t>to</w:t>
      </w:r>
      <w:r w:rsidRPr="005D0F5E">
        <w:rPr>
          <w:rFonts w:ascii="Arial" w:hAnsi="Arial" w:cs="Arial"/>
          <w:spacing w:val="-6"/>
          <w:sz w:val="32"/>
          <w:szCs w:val="32"/>
        </w:rPr>
        <w:t xml:space="preserve"> </w:t>
      </w:r>
      <w:r w:rsidRPr="005D0F5E">
        <w:rPr>
          <w:rFonts w:ascii="Arial" w:hAnsi="Arial" w:cs="Arial"/>
          <w:sz w:val="32"/>
          <w:szCs w:val="32"/>
        </w:rPr>
        <w:t>Public</w:t>
      </w:r>
      <w:r w:rsidRPr="005D0F5E">
        <w:rPr>
          <w:rFonts w:ascii="Arial" w:hAnsi="Arial" w:cs="Arial"/>
          <w:spacing w:val="-5"/>
          <w:sz w:val="32"/>
          <w:szCs w:val="32"/>
        </w:rPr>
        <w:t xml:space="preserve"> </w:t>
      </w:r>
      <w:r w:rsidRPr="005D0F5E">
        <w:rPr>
          <w:rFonts w:ascii="Arial" w:hAnsi="Arial" w:cs="Arial"/>
          <w:spacing w:val="-2"/>
          <w:sz w:val="32"/>
          <w:szCs w:val="32"/>
        </w:rPr>
        <w:t>Health</w:t>
      </w:r>
      <w:r w:rsidR="00AA259D">
        <w:rPr>
          <w:rFonts w:ascii="Arial" w:hAnsi="Arial" w:cs="Arial"/>
          <w:spacing w:val="-2"/>
          <w:sz w:val="32"/>
          <w:szCs w:val="32"/>
        </w:rPr>
        <w:t>.</w:t>
      </w:r>
    </w:p>
    <w:p w14:paraId="5BAB6F8C" w14:textId="62F00B06" w:rsidR="008F5439" w:rsidRPr="005D0F5E" w:rsidRDefault="008F5439" w:rsidP="008F5439">
      <w:pPr>
        <w:rPr>
          <w:rFonts w:ascii="Arial" w:hAnsi="Arial" w:cs="Arial"/>
          <w:sz w:val="32"/>
          <w:szCs w:val="32"/>
        </w:rPr>
      </w:pPr>
      <w:r w:rsidRPr="005D0F5E">
        <w:rPr>
          <w:rFonts w:ascii="Arial" w:hAnsi="Arial" w:cs="Arial"/>
          <w:sz w:val="32"/>
          <w:szCs w:val="32"/>
        </w:rPr>
        <w:t xml:space="preserve">Course Code: </w:t>
      </w:r>
      <w:r w:rsidRPr="005D0F5E">
        <w:rPr>
          <w:rFonts w:ascii="Arial" w:hAnsi="Arial" w:cs="Arial"/>
          <w:spacing w:val="-2"/>
          <w:sz w:val="32"/>
          <w:szCs w:val="32"/>
        </w:rPr>
        <w:t>LCHS4008</w:t>
      </w:r>
    </w:p>
    <w:p w14:paraId="5AE32C1E" w14:textId="77777777" w:rsidR="008F5439" w:rsidRPr="005D0F5E" w:rsidRDefault="008F5439" w:rsidP="008F5439">
      <w:pPr>
        <w:rPr>
          <w:rFonts w:ascii="Arial" w:hAnsi="Arial" w:cs="Arial"/>
          <w:sz w:val="32"/>
          <w:szCs w:val="32"/>
        </w:rPr>
      </w:pPr>
      <w:r w:rsidRPr="005D0F5E">
        <w:rPr>
          <w:rFonts w:ascii="Arial" w:hAnsi="Arial" w:cs="Arial"/>
          <w:sz w:val="32"/>
          <w:szCs w:val="32"/>
        </w:rPr>
        <w:t>Component: 2</w:t>
      </w:r>
    </w:p>
    <w:p w14:paraId="58206811" w14:textId="6DE30460" w:rsidR="008F5439" w:rsidRPr="005D0F5E" w:rsidRDefault="008F5439" w:rsidP="008F5439">
      <w:pPr>
        <w:rPr>
          <w:rFonts w:ascii="Arial" w:hAnsi="Arial" w:cs="Arial"/>
          <w:sz w:val="32"/>
          <w:szCs w:val="32"/>
        </w:rPr>
      </w:pPr>
      <w:r w:rsidRPr="005D0F5E">
        <w:rPr>
          <w:rFonts w:ascii="Arial" w:hAnsi="Arial" w:cs="Arial"/>
          <w:sz w:val="32"/>
          <w:szCs w:val="32"/>
        </w:rPr>
        <w:t xml:space="preserve">Lecturer:  </w:t>
      </w:r>
      <w:r w:rsidR="005D0F5E">
        <w:rPr>
          <w:rFonts w:ascii="Arial" w:hAnsi="Arial" w:cs="Arial"/>
          <w:sz w:val="32"/>
          <w:szCs w:val="32"/>
        </w:rPr>
        <w:t>Daniel Haruna</w:t>
      </w:r>
    </w:p>
    <w:p w14:paraId="47ABD3A2" w14:textId="77777777" w:rsidR="005D0F5E" w:rsidRDefault="005D0F5E" w:rsidP="005D0F5E">
      <w:pPr>
        <w:pStyle w:val="NormalWeb"/>
        <w:spacing w:line="276" w:lineRule="auto"/>
        <w:rPr>
          <w:b/>
          <w:bCs/>
        </w:rPr>
      </w:pPr>
    </w:p>
    <w:p w14:paraId="0839014C" w14:textId="77777777" w:rsidR="005D0F5E" w:rsidRDefault="005D0F5E" w:rsidP="005D0F5E">
      <w:pPr>
        <w:pStyle w:val="NormalWeb"/>
        <w:spacing w:line="276" w:lineRule="auto"/>
        <w:rPr>
          <w:b/>
          <w:bCs/>
        </w:rPr>
      </w:pPr>
    </w:p>
    <w:p w14:paraId="4D607CB1" w14:textId="77777777" w:rsidR="005D0F5E" w:rsidRDefault="005D0F5E" w:rsidP="005D0F5E">
      <w:pPr>
        <w:pStyle w:val="NormalWeb"/>
        <w:spacing w:line="276" w:lineRule="auto"/>
        <w:rPr>
          <w:b/>
          <w:bCs/>
        </w:rPr>
      </w:pPr>
    </w:p>
    <w:p w14:paraId="537435A7" w14:textId="77777777" w:rsidR="005D0F5E" w:rsidRDefault="005D0F5E" w:rsidP="005D0F5E">
      <w:pPr>
        <w:pStyle w:val="NormalWeb"/>
        <w:spacing w:line="276" w:lineRule="auto"/>
        <w:rPr>
          <w:b/>
          <w:bCs/>
        </w:rPr>
      </w:pPr>
    </w:p>
    <w:p w14:paraId="7275F5EC" w14:textId="77777777" w:rsidR="005D0F5E" w:rsidRDefault="005D0F5E" w:rsidP="005D0F5E">
      <w:pPr>
        <w:pStyle w:val="NormalWeb"/>
        <w:spacing w:line="276" w:lineRule="auto"/>
        <w:rPr>
          <w:b/>
          <w:bCs/>
        </w:rPr>
      </w:pPr>
    </w:p>
    <w:p w14:paraId="68EF5048" w14:textId="77777777" w:rsidR="005D0F5E" w:rsidRDefault="005D0F5E" w:rsidP="005D0F5E">
      <w:pPr>
        <w:pStyle w:val="NormalWeb"/>
        <w:spacing w:line="276" w:lineRule="auto"/>
        <w:rPr>
          <w:b/>
          <w:bCs/>
        </w:rPr>
      </w:pPr>
    </w:p>
    <w:p w14:paraId="464A2C60" w14:textId="5EA7AB6E" w:rsidR="005D0F5E" w:rsidRPr="005D0F5E" w:rsidRDefault="005D0F5E" w:rsidP="005D0F5E">
      <w:pPr>
        <w:pStyle w:val="NormalWeb"/>
        <w:spacing w:line="276" w:lineRule="auto"/>
        <w:rPr>
          <w:rFonts w:ascii="Arial" w:hAnsi="Arial" w:cs="Arial"/>
          <w:b/>
          <w:bCs/>
        </w:rPr>
      </w:pPr>
      <w:r w:rsidRPr="005D0F5E">
        <w:rPr>
          <w:rFonts w:ascii="Arial" w:hAnsi="Arial" w:cs="Arial"/>
          <w:b/>
          <w:bCs/>
        </w:rPr>
        <w:t>Consequences and Management of Type 2 Diabetes in Communities and the NHS With It’s Influencing Factors on Health and Well-being</w:t>
      </w:r>
    </w:p>
    <w:p w14:paraId="000BAC13" w14:textId="77777777" w:rsidR="005D0F5E" w:rsidRDefault="005D0F5E" w:rsidP="005D0F5E">
      <w:pPr>
        <w:pStyle w:val="NormalWeb"/>
        <w:spacing w:line="276" w:lineRule="auto"/>
        <w:rPr>
          <w:b/>
          <w:bCs/>
        </w:rPr>
      </w:pPr>
    </w:p>
    <w:p w14:paraId="378FFB5B" w14:textId="77777777" w:rsidR="005D0F5E" w:rsidRDefault="005D0F5E" w:rsidP="005D0F5E">
      <w:pPr>
        <w:pStyle w:val="NormalWeb"/>
        <w:spacing w:line="276" w:lineRule="auto"/>
        <w:rPr>
          <w:b/>
          <w:bCs/>
        </w:rPr>
      </w:pPr>
    </w:p>
    <w:p w14:paraId="11891FA3" w14:textId="77777777" w:rsidR="005D0F5E" w:rsidRDefault="005D0F5E" w:rsidP="005D0F5E">
      <w:pPr>
        <w:pStyle w:val="NormalWeb"/>
        <w:spacing w:line="276" w:lineRule="auto"/>
        <w:rPr>
          <w:b/>
          <w:bCs/>
        </w:rPr>
      </w:pPr>
    </w:p>
    <w:p w14:paraId="1E6B9265" w14:textId="77777777" w:rsidR="005D0F5E" w:rsidRDefault="005D0F5E" w:rsidP="005D0F5E">
      <w:pPr>
        <w:pStyle w:val="NormalWeb"/>
        <w:spacing w:line="276" w:lineRule="auto"/>
        <w:rPr>
          <w:b/>
          <w:bCs/>
        </w:rPr>
      </w:pPr>
    </w:p>
    <w:p w14:paraId="52A0B2DE" w14:textId="77777777" w:rsidR="005D0F5E" w:rsidRDefault="005D0F5E" w:rsidP="005D0F5E">
      <w:pPr>
        <w:pStyle w:val="NormalWeb"/>
        <w:spacing w:line="276" w:lineRule="auto"/>
        <w:rPr>
          <w:b/>
          <w:bCs/>
        </w:rPr>
      </w:pPr>
    </w:p>
    <w:p w14:paraId="7ED76835" w14:textId="77777777" w:rsidR="005D0F5E" w:rsidRDefault="005D0F5E" w:rsidP="005D0F5E">
      <w:pPr>
        <w:pStyle w:val="NormalWeb"/>
        <w:spacing w:line="276" w:lineRule="auto"/>
        <w:rPr>
          <w:b/>
          <w:bCs/>
        </w:rPr>
      </w:pPr>
    </w:p>
    <w:p w14:paraId="657DACA3" w14:textId="77777777" w:rsidR="008B04E7" w:rsidRDefault="008B04E7" w:rsidP="005D0F5E">
      <w:pPr>
        <w:pStyle w:val="NormalWeb"/>
        <w:spacing w:line="276" w:lineRule="auto"/>
        <w:rPr>
          <w:b/>
          <w:bCs/>
        </w:rPr>
      </w:pPr>
    </w:p>
    <w:p w14:paraId="43041F4A" w14:textId="77777777" w:rsidR="005D0F5E" w:rsidRPr="00015417" w:rsidRDefault="005D0F5E" w:rsidP="005D0F5E">
      <w:pPr>
        <w:pStyle w:val="NormalWeb"/>
        <w:spacing w:line="276" w:lineRule="auto"/>
        <w:rPr>
          <w:b/>
          <w:bCs/>
        </w:rPr>
      </w:pPr>
    </w:p>
    <w:p w14:paraId="3298ADB4" w14:textId="269538CA" w:rsidR="005D0F5E" w:rsidRDefault="005D0F5E"/>
    <w:p w14:paraId="66729073" w14:textId="635EC8CC" w:rsidR="005E41CD" w:rsidRDefault="005E41CD">
      <w:pPr>
        <w:rPr>
          <w:rFonts w:ascii="Arial" w:hAnsi="Arial" w:cs="Arial"/>
          <w:b/>
          <w:bCs/>
        </w:rPr>
      </w:pPr>
      <w:r>
        <w:t xml:space="preserve">                                                                  </w:t>
      </w:r>
      <w:r w:rsidRPr="00015417">
        <w:rPr>
          <w:rFonts w:ascii="Arial" w:hAnsi="Arial" w:cs="Arial"/>
          <w:b/>
          <w:bCs/>
        </w:rPr>
        <w:t>INTRODUCTION</w:t>
      </w:r>
    </w:p>
    <w:p w14:paraId="67C4713C" w14:textId="77777777" w:rsidR="00015417" w:rsidRPr="00015417" w:rsidRDefault="00015417">
      <w:pPr>
        <w:rPr>
          <w:rFonts w:ascii="Arial" w:hAnsi="Arial" w:cs="Arial"/>
          <w:b/>
          <w:bCs/>
        </w:rPr>
      </w:pPr>
    </w:p>
    <w:p w14:paraId="590AA210" w14:textId="3567FCCC" w:rsidR="00944D3D" w:rsidRPr="00944D3D" w:rsidRDefault="00015417" w:rsidP="00944D3D">
      <w:pPr>
        <w:spacing w:line="360" w:lineRule="auto"/>
        <w:rPr>
          <w:rFonts w:ascii="Arial" w:hAnsi="Arial" w:cs="Arial"/>
        </w:rPr>
      </w:pPr>
      <w:r w:rsidRPr="00015417">
        <w:rPr>
          <w:rFonts w:ascii="Arial" w:hAnsi="Arial" w:cs="Arial"/>
        </w:rPr>
        <w:t xml:space="preserve">Type 2 diabetes mellitus is a chronic metabolic condition characterized by systemic insulin resistance and impaired glucose regulation. It represents a significant public health challenge as it is increasing in prevalence, leads to significant complications in the longer term, and disproportionately affects vulnerable populations. In the UK, more than 3.9 million people live with T2DM, while numbers are expected to increase due to aging populations, sedentary lifestyles, and dietary patterns (Diabetes UK, 2023). The condition causes considerable morbidity and mortality, creating extraordinary burdens for individuals, communities, and the NHS. This report explores the consequences of T2DM within these domains while describing current strategies for its control and examining the social and psychological factors that influence health outcomes. The </w:t>
      </w:r>
      <w:r w:rsidR="00944D3D">
        <w:rPr>
          <w:rFonts w:ascii="Arial" w:hAnsi="Arial" w:cs="Arial"/>
        </w:rPr>
        <w:t>Health Belief Model (</w:t>
      </w:r>
      <w:r w:rsidRPr="00015417">
        <w:rPr>
          <w:rFonts w:ascii="Arial" w:hAnsi="Arial" w:cs="Arial"/>
        </w:rPr>
        <w:t>HBM</w:t>
      </w:r>
      <w:r w:rsidR="00944D3D">
        <w:rPr>
          <w:rFonts w:ascii="Arial" w:hAnsi="Arial" w:cs="Arial"/>
        </w:rPr>
        <w:t xml:space="preserve">) </w:t>
      </w:r>
      <w:r w:rsidRPr="00015417">
        <w:rPr>
          <w:rFonts w:ascii="Arial" w:hAnsi="Arial" w:cs="Arial"/>
        </w:rPr>
        <w:t xml:space="preserve">and </w:t>
      </w:r>
      <w:r w:rsidR="00944D3D" w:rsidRPr="00684102">
        <w:rPr>
          <w:rFonts w:ascii="Arial" w:eastAsia="Times New Roman" w:hAnsi="Arial" w:cs="Arial"/>
          <w:kern w:val="0"/>
          <w14:ligatures w14:val="none"/>
        </w:rPr>
        <w:t>Capability, Opportunity, and Motivation</w:t>
      </w:r>
      <w:r w:rsidR="00944D3D" w:rsidRPr="00015417">
        <w:rPr>
          <w:rFonts w:ascii="Arial" w:hAnsi="Arial" w:cs="Arial"/>
        </w:rPr>
        <w:t xml:space="preserve"> </w:t>
      </w:r>
      <w:r w:rsidR="00944D3D">
        <w:rPr>
          <w:rFonts w:ascii="Arial" w:hAnsi="Arial" w:cs="Arial"/>
        </w:rPr>
        <w:t>(</w:t>
      </w:r>
      <w:r w:rsidRPr="00015417">
        <w:rPr>
          <w:rFonts w:ascii="Arial" w:hAnsi="Arial" w:cs="Arial"/>
        </w:rPr>
        <w:t>COM-B</w:t>
      </w:r>
      <w:r w:rsidR="00944D3D">
        <w:rPr>
          <w:rFonts w:ascii="Arial" w:hAnsi="Arial" w:cs="Arial"/>
        </w:rPr>
        <w:t>)</w:t>
      </w:r>
      <w:r w:rsidRPr="00015417">
        <w:rPr>
          <w:rFonts w:ascii="Arial" w:hAnsi="Arial" w:cs="Arial"/>
        </w:rPr>
        <w:t xml:space="preserve"> frameworks are applied as behavioral models to understand and support effective management of diabetes.</w:t>
      </w:r>
      <w:r w:rsidR="00944D3D" w:rsidRPr="00944D3D">
        <w:rPr>
          <w:rFonts w:ascii="Arial" w:eastAsia="Times New Roman" w:hAnsi="Arial" w:cs="Arial"/>
          <w:kern w:val="0"/>
          <w14:ligatures w14:val="none"/>
        </w:rPr>
        <w:t>T2DM has significant societal and economic ramifications in addition to its clinical burden. It has an impact on worker productivity, raises the need for long-term care, and exacerbates health disparities. The illness is especially common among ethnic minority groups and in underprivileged areas, underscoring the need for focused interventions and culturally competent care. Therefore, in addition to medicinal treatment, public health measures need to address behavioral, environmental, and structural issues. To lower complications and enhance results, early diagnosis, education, and community involvement are crucial. Managing the increasing burden of diabetes in the UK requires a multidisciplinary approach that combines clinical care with public health initiatives.</w:t>
      </w:r>
    </w:p>
    <w:p w14:paraId="5AF8A754" w14:textId="77777777" w:rsidR="00944D3D" w:rsidRDefault="00944D3D" w:rsidP="00015417">
      <w:pPr>
        <w:spacing w:line="360" w:lineRule="auto"/>
        <w:rPr>
          <w:rFonts w:ascii="Arial" w:hAnsi="Arial" w:cs="Arial"/>
        </w:rPr>
      </w:pPr>
    </w:p>
    <w:p w14:paraId="57A1EFBD" w14:textId="77777777" w:rsidR="00943567" w:rsidRDefault="00943567" w:rsidP="00015417">
      <w:pPr>
        <w:spacing w:line="360" w:lineRule="auto"/>
        <w:rPr>
          <w:rFonts w:ascii="Arial" w:hAnsi="Arial" w:cs="Arial"/>
        </w:rPr>
      </w:pPr>
    </w:p>
    <w:p w14:paraId="448A8846" w14:textId="77777777" w:rsidR="00943567" w:rsidRDefault="00943567" w:rsidP="00015417">
      <w:pPr>
        <w:spacing w:line="360" w:lineRule="auto"/>
        <w:rPr>
          <w:rFonts w:ascii="Arial" w:hAnsi="Arial" w:cs="Arial"/>
        </w:rPr>
      </w:pPr>
    </w:p>
    <w:p w14:paraId="76A32304" w14:textId="77777777" w:rsidR="00943567" w:rsidRDefault="00943567" w:rsidP="00015417">
      <w:pPr>
        <w:spacing w:line="360" w:lineRule="auto"/>
        <w:rPr>
          <w:rFonts w:ascii="Arial" w:hAnsi="Arial" w:cs="Arial"/>
        </w:rPr>
      </w:pPr>
    </w:p>
    <w:p w14:paraId="23D77B87" w14:textId="77777777" w:rsidR="00943567" w:rsidRDefault="00943567" w:rsidP="00015417">
      <w:pPr>
        <w:spacing w:line="360" w:lineRule="auto"/>
        <w:rPr>
          <w:rFonts w:ascii="Arial" w:hAnsi="Arial" w:cs="Arial"/>
        </w:rPr>
      </w:pPr>
    </w:p>
    <w:p w14:paraId="27CD1A59" w14:textId="77777777" w:rsidR="00015417" w:rsidRPr="00015417" w:rsidRDefault="00015417" w:rsidP="00015417">
      <w:pPr>
        <w:spacing w:line="360" w:lineRule="auto"/>
        <w:rPr>
          <w:rFonts w:ascii="Arial" w:hAnsi="Arial" w:cs="Arial"/>
        </w:rPr>
      </w:pPr>
    </w:p>
    <w:p w14:paraId="12F72A3F" w14:textId="20A3DF04" w:rsidR="00015417" w:rsidRPr="00015417" w:rsidRDefault="00015417" w:rsidP="00015417">
      <w:pPr>
        <w:pStyle w:val="NormalWeb"/>
        <w:spacing w:line="276" w:lineRule="auto"/>
        <w:rPr>
          <w:b/>
          <w:bCs/>
        </w:rPr>
      </w:pPr>
      <w:r w:rsidRPr="00015417">
        <w:rPr>
          <w:b/>
          <w:bCs/>
        </w:rPr>
        <w:lastRenderedPageBreak/>
        <w:t>Consequences and Management of Type 2 Diabetes in Communities and</w:t>
      </w:r>
      <w:r w:rsidR="00943567">
        <w:rPr>
          <w:b/>
          <w:bCs/>
        </w:rPr>
        <w:t xml:space="preserve"> in</w:t>
      </w:r>
      <w:r w:rsidRPr="00015417">
        <w:rPr>
          <w:b/>
          <w:bCs/>
        </w:rPr>
        <w:t xml:space="preserve"> the NHS</w:t>
      </w:r>
      <w:r w:rsidR="005D0F5E">
        <w:rPr>
          <w:b/>
          <w:bCs/>
        </w:rPr>
        <w:t xml:space="preserve"> With It’s </w:t>
      </w:r>
      <w:r w:rsidRPr="00015417">
        <w:rPr>
          <w:b/>
          <w:bCs/>
        </w:rPr>
        <w:t>Influencing Factors on Health and Well-being</w:t>
      </w:r>
    </w:p>
    <w:p w14:paraId="5EEA793C" w14:textId="77777777" w:rsidR="00E31A61" w:rsidRPr="00E31A61" w:rsidRDefault="00E31A61" w:rsidP="00015417">
      <w:pPr>
        <w:spacing w:after="0" w:line="360" w:lineRule="auto"/>
        <w:rPr>
          <w:rFonts w:ascii="Arial" w:eastAsia="Times New Roman" w:hAnsi="Arial" w:cs="Arial"/>
          <w:kern w:val="0"/>
          <w14:ligatures w14:val="none"/>
        </w:rPr>
      </w:pPr>
      <w:r w:rsidRPr="00E31A61">
        <w:rPr>
          <w:rFonts w:ascii="Arial" w:eastAsia="Times New Roman" w:hAnsi="Arial" w:cs="Arial"/>
          <w:kern w:val="0"/>
          <w14:ligatures w14:val="none"/>
        </w:rPr>
        <w:t>T2DM has significant effects on people, communities, and the National Health Service (NHS). Individually, it raises the likelihood of major consequences such lower limb amputations, kidney failure, cardiovascular disease, nerve damage, and eyesight loss (NICE, 2021). These issues may result in early death, decreased quality of life, and long-term disability. The condition raises the prevalence of chronic sickness in populations, especially in places with low socioeconomic status. It makes it difficult for people to work, take care of others, and engage in social activities, which frequently leads to a greater reliance on family and social services.</w:t>
      </w:r>
    </w:p>
    <w:p w14:paraId="64DE768A" w14:textId="1D16A002" w:rsidR="00E31A61" w:rsidRPr="00E31A61" w:rsidRDefault="00E31A61" w:rsidP="00015417">
      <w:pPr>
        <w:spacing w:after="0" w:line="360" w:lineRule="auto"/>
        <w:rPr>
          <w:rFonts w:ascii="Arial" w:eastAsia="Times New Roman" w:hAnsi="Arial" w:cs="Arial"/>
          <w:kern w:val="0"/>
          <w14:ligatures w14:val="none"/>
        </w:rPr>
      </w:pPr>
      <w:r w:rsidRPr="00E31A61">
        <w:rPr>
          <w:rFonts w:ascii="Arial" w:eastAsia="Times New Roman" w:hAnsi="Arial" w:cs="Arial"/>
          <w:kern w:val="0"/>
          <w14:ligatures w14:val="none"/>
        </w:rPr>
        <w:t xml:space="preserve">The prevalence of diabetes is higher in places with higher levels of deprivation, according to local authority-level statistics from the Office for Health Improvement and Disparities (OHID), supporting the connection between the burden of chronic diseases and socioeconomic inequality (Office for Health Improvement and Disparities, 2023). Existing health disparities are made worse by the disproportionate impact on lower-income and ethnic minority groups (Marmot, 2020). </w:t>
      </w:r>
      <w:r w:rsidRPr="00E31A61">
        <w:rPr>
          <w:rFonts w:ascii="Arial" w:eastAsia="Times New Roman" w:hAnsi="Arial" w:cs="Arial"/>
          <w:kern w:val="0"/>
          <w14:ligatures w14:val="none"/>
        </w:rPr>
        <w:br/>
        <w:t xml:space="preserve">Over £10 billion, or roughly 10% of the NHS's overall budget, is spent on diabetes-related care each year (Hex et al., 2012). Hospital stays, prescription drugs, outpatient visits, and the handling of complications are all included in these expenses. Diabetes clinics, emergency rooms, and primary care services are under tremendous strain due to the rising incidence of type 2 diabetes. Poor </w:t>
      </w:r>
      <w:r w:rsidR="008F5439" w:rsidRPr="00E31A61">
        <w:rPr>
          <w:rFonts w:ascii="Arial" w:eastAsia="Times New Roman" w:hAnsi="Arial" w:cs="Arial"/>
          <w:kern w:val="0"/>
          <w14:ligatures w14:val="none"/>
        </w:rPr>
        <w:t>glycemic</w:t>
      </w:r>
      <w:r w:rsidRPr="00E31A61">
        <w:rPr>
          <w:rFonts w:ascii="Arial" w:eastAsia="Times New Roman" w:hAnsi="Arial" w:cs="Arial"/>
          <w:kern w:val="0"/>
          <w14:ligatures w14:val="none"/>
        </w:rPr>
        <w:t xml:space="preserve"> control and delayed diagnosis frequently lead to avoidable hospital stays, further taxing NHS resources (NHS England, 2022).</w:t>
      </w:r>
    </w:p>
    <w:p w14:paraId="46922C73" w14:textId="0C097D73" w:rsidR="00015417" w:rsidRDefault="00E31A61" w:rsidP="00015417">
      <w:pPr>
        <w:spacing w:after="0" w:line="360" w:lineRule="auto"/>
        <w:rPr>
          <w:rFonts w:ascii="Arial" w:eastAsia="Times New Roman" w:hAnsi="Arial" w:cs="Arial"/>
          <w:kern w:val="0"/>
          <w14:ligatures w14:val="none"/>
        </w:rPr>
      </w:pPr>
      <w:r w:rsidRPr="00E31A61">
        <w:rPr>
          <w:rFonts w:ascii="Arial" w:eastAsia="Times New Roman" w:hAnsi="Arial" w:cs="Arial"/>
          <w:kern w:val="0"/>
          <w14:ligatures w14:val="none"/>
        </w:rPr>
        <w:t xml:space="preserve">The disease's chronic condition need continuous funding for multidisciplinary care, patient education, and monitoring. </w:t>
      </w:r>
      <w:r w:rsidRPr="00E31A61">
        <w:rPr>
          <w:rFonts w:ascii="Arial" w:eastAsia="Times New Roman" w:hAnsi="Arial" w:cs="Arial"/>
          <w:kern w:val="0"/>
          <w14:ligatures w14:val="none"/>
        </w:rPr>
        <w:br/>
        <w:t xml:space="preserve">A combination of medical care, lifestyle changes, and public health initiatives are used to control Type 2 diabetes. Metformin, which increases insulin sensitivity and lowers hepatic glucose production, is usually the first medication used in pharmacological therapy (NICE, 2021). Other drugs such sulfonylureas, DPP-4 inhibitors, or SGLT2 inhibitors may be administered if </w:t>
      </w:r>
      <w:r w:rsidR="008F5439" w:rsidRPr="00E31A61">
        <w:rPr>
          <w:rFonts w:ascii="Arial" w:eastAsia="Times New Roman" w:hAnsi="Arial" w:cs="Arial"/>
          <w:kern w:val="0"/>
          <w14:ligatures w14:val="none"/>
        </w:rPr>
        <w:t>glycemic</w:t>
      </w:r>
      <w:r w:rsidRPr="00E31A61">
        <w:rPr>
          <w:rFonts w:ascii="Arial" w:eastAsia="Times New Roman" w:hAnsi="Arial" w:cs="Arial"/>
          <w:kern w:val="0"/>
          <w14:ligatures w14:val="none"/>
        </w:rPr>
        <w:t xml:space="preserve"> control is not attained. Insulin or GLP-1 receptor agonists are injectable treatments used to control blood glucose levels in more severe situations (Diabetes UK, 2023).</w:t>
      </w:r>
      <w:r w:rsidRPr="00E31A61">
        <w:rPr>
          <w:rFonts w:ascii="Arial" w:eastAsia="Times New Roman" w:hAnsi="Arial" w:cs="Arial"/>
          <w:kern w:val="0"/>
          <w14:ligatures w14:val="none"/>
        </w:rPr>
        <w:br/>
        <w:t xml:space="preserve">Interventions related to lifestyle are crucial. A balanced diet, frequent exercise, and weight loss can greatly enhance </w:t>
      </w:r>
      <w:r w:rsidR="008F5439" w:rsidRPr="00E31A61">
        <w:rPr>
          <w:rFonts w:ascii="Arial" w:eastAsia="Times New Roman" w:hAnsi="Arial" w:cs="Arial"/>
          <w:kern w:val="0"/>
          <w14:ligatures w14:val="none"/>
        </w:rPr>
        <w:t>glycemic</w:t>
      </w:r>
      <w:r w:rsidRPr="00E31A61">
        <w:rPr>
          <w:rFonts w:ascii="Arial" w:eastAsia="Times New Roman" w:hAnsi="Arial" w:cs="Arial"/>
          <w:kern w:val="0"/>
          <w14:ligatures w14:val="none"/>
        </w:rPr>
        <w:t xml:space="preserve"> control and lessen the need for medication.</w:t>
      </w:r>
    </w:p>
    <w:p w14:paraId="3E925D7D" w14:textId="7EA622CE" w:rsidR="00E31A61" w:rsidRPr="00015417" w:rsidRDefault="00E31A61" w:rsidP="00015417">
      <w:pPr>
        <w:spacing w:after="0" w:line="360" w:lineRule="auto"/>
        <w:rPr>
          <w:rFonts w:ascii="Arial" w:eastAsia="Times New Roman" w:hAnsi="Arial" w:cs="Arial"/>
          <w:kern w:val="0"/>
          <w14:ligatures w14:val="none"/>
        </w:rPr>
      </w:pPr>
      <w:r w:rsidRPr="00684102">
        <w:rPr>
          <w:rFonts w:ascii="Arial" w:hAnsi="Arial" w:cs="Arial"/>
        </w:rPr>
        <w:t>The NHS Diabetes Prevention Programme (NDPP) provides structured education and support to individuals at high risk, promoting sustainable behaviour change and early intervention (NHS England, 2022).</w:t>
      </w:r>
    </w:p>
    <w:p w14:paraId="7D504748" w14:textId="77777777" w:rsidR="008F5439" w:rsidRDefault="00015417" w:rsidP="00015417">
      <w:pPr>
        <w:spacing w:after="0" w:line="360" w:lineRule="auto"/>
        <w:rPr>
          <w:rFonts w:ascii="Arial" w:hAnsi="Arial" w:cs="Arial"/>
        </w:rPr>
      </w:pPr>
      <w:r w:rsidRPr="00684102">
        <w:rPr>
          <w:rFonts w:ascii="Arial" w:hAnsi="Arial" w:cs="Arial"/>
        </w:rPr>
        <w:lastRenderedPageBreak/>
        <w:t>Behavioral</w:t>
      </w:r>
      <w:r w:rsidR="00E31A61" w:rsidRPr="00684102">
        <w:rPr>
          <w:rFonts w:ascii="Arial" w:hAnsi="Arial" w:cs="Arial"/>
        </w:rPr>
        <w:t xml:space="preserve"> frameworks such as the Health Belief Model (HBM) and the COM-B Model are increasingly used to guide diabetes control strategies. The HBM suggests that individuals are more likely to engage in preventive </w:t>
      </w:r>
      <w:r w:rsidRPr="00684102">
        <w:rPr>
          <w:rFonts w:ascii="Arial" w:hAnsi="Arial" w:cs="Arial"/>
        </w:rPr>
        <w:t>behaviors</w:t>
      </w:r>
      <w:r w:rsidR="00E31A61" w:rsidRPr="00684102">
        <w:rPr>
          <w:rFonts w:ascii="Arial" w:hAnsi="Arial" w:cs="Arial"/>
        </w:rPr>
        <w:t xml:space="preserve"> if they perceive themselves as susceptible to the disease, believe the consequences are serious, and feel confident in their ability to take action (Khosravizadeh et al., 2021).</w:t>
      </w:r>
    </w:p>
    <w:p w14:paraId="040D79D4" w14:textId="4AC6A2F0" w:rsidR="00684102" w:rsidRPr="00684102" w:rsidRDefault="00E31A61" w:rsidP="00015417">
      <w:pPr>
        <w:spacing w:after="0" w:line="360" w:lineRule="auto"/>
        <w:rPr>
          <w:rFonts w:ascii="Arial" w:eastAsia="Times New Roman" w:hAnsi="Arial" w:cs="Arial"/>
          <w:kern w:val="0"/>
          <w14:ligatures w14:val="none"/>
        </w:rPr>
      </w:pPr>
      <w:r w:rsidRPr="00684102">
        <w:rPr>
          <w:rFonts w:ascii="Arial" w:hAnsi="Arial" w:cs="Arial"/>
        </w:rPr>
        <w:t xml:space="preserve"> </w:t>
      </w:r>
      <w:r w:rsidRPr="00684102">
        <w:rPr>
          <w:rFonts w:ascii="Arial" w:eastAsia="Times New Roman" w:hAnsi="Arial" w:cs="Arial"/>
          <w:kern w:val="0"/>
          <w14:ligatures w14:val="none"/>
        </w:rPr>
        <w:t xml:space="preserve">The COM-B Model, which focuses on Capability, Opportunity, and Motivation, emphasizes that in addition to knowledge and skills (capability), supportive circumstances (opportunity) and individual drive (motivation) are also necessary for behavior change. Greaves et al. (2022) used this approach to pinpoint the obstacles and enablers of structured education uptake among individuals with type 2 diabetes, emphasizing the significance of customizing interventions to meet specific behavioral needs. </w:t>
      </w:r>
      <w:r w:rsidRPr="00684102">
        <w:rPr>
          <w:rFonts w:ascii="Arial" w:eastAsia="Times New Roman" w:hAnsi="Arial" w:cs="Arial"/>
          <w:kern w:val="0"/>
          <w14:ligatures w14:val="none"/>
        </w:rPr>
        <w:br/>
        <w:t xml:space="preserve">Many social, psychological, and environmental factors affect the health and well-being of people with Type 2 diabetes. People from lower-income homes frequently encounter obstacles to obtaining wholesome food, secure settings for physical activity, and prompt medical attention, hence socioeconomic status is a significant </w:t>
      </w:r>
      <w:r w:rsidR="008F5439" w:rsidRPr="00684102">
        <w:rPr>
          <w:rFonts w:ascii="Arial" w:eastAsia="Times New Roman" w:hAnsi="Arial" w:cs="Arial"/>
          <w:kern w:val="0"/>
          <w14:ligatures w14:val="none"/>
        </w:rPr>
        <w:t>factor. These</w:t>
      </w:r>
      <w:r w:rsidR="00684102" w:rsidRPr="00684102">
        <w:rPr>
          <w:rFonts w:ascii="Arial" w:eastAsia="Times New Roman" w:hAnsi="Arial" w:cs="Arial"/>
          <w:kern w:val="0"/>
          <w14:ligatures w14:val="none"/>
        </w:rPr>
        <w:t xml:space="preserve"> difficulties raise their chance of getting diabetes and make managing the condition more difficult (Marmot, 2020). Another significant factor is ethnicity. Black African, South Asian, and African-Caribbean people are more likely to develop Type 2 diabetes, and they frequently have the disease at a younger age and with a lower body mass index, which can make diagnosis and</w:t>
      </w:r>
      <w:r w:rsidR="00015417">
        <w:rPr>
          <w:rFonts w:ascii="Arial" w:eastAsia="Times New Roman" w:hAnsi="Arial" w:cs="Arial"/>
          <w:kern w:val="0"/>
          <w14:ligatures w14:val="none"/>
        </w:rPr>
        <w:t xml:space="preserve"> </w:t>
      </w:r>
      <w:r w:rsidR="00684102" w:rsidRPr="00684102">
        <w:rPr>
          <w:rFonts w:ascii="Arial" w:eastAsia="Times New Roman" w:hAnsi="Arial" w:cs="Arial"/>
          <w:kern w:val="0"/>
          <w14:ligatures w14:val="none"/>
        </w:rPr>
        <w:t xml:space="preserve">treatment more difficult (Diabetes UK, 2023). Diabetes results are significantly related to mental health. Chronic illness can cause anxiety, depression, and diabetes-related distress, all of which have an impact on motivation and self-care practices. These psychological issues can affect </w:t>
      </w:r>
      <w:r w:rsidR="008F5439" w:rsidRPr="00684102">
        <w:rPr>
          <w:rFonts w:ascii="Arial" w:eastAsia="Times New Roman" w:hAnsi="Arial" w:cs="Arial"/>
          <w:kern w:val="0"/>
          <w14:ligatures w14:val="none"/>
        </w:rPr>
        <w:t>glycemic</w:t>
      </w:r>
      <w:r w:rsidR="00684102" w:rsidRPr="00684102">
        <w:rPr>
          <w:rFonts w:ascii="Arial" w:eastAsia="Times New Roman" w:hAnsi="Arial" w:cs="Arial"/>
          <w:kern w:val="0"/>
          <w14:ligatures w14:val="none"/>
        </w:rPr>
        <w:t xml:space="preserve"> control and decrease treatment plan adherence. According to Sturt et al. (2015), diabetes distress is prevalent and sometimes overlooked in professional settings, despite having a substantial impact on clinical outcomes and self-management.</w:t>
      </w:r>
    </w:p>
    <w:p w14:paraId="7D8C82C0" w14:textId="0BE62872" w:rsidR="00684102" w:rsidRDefault="00684102" w:rsidP="00015417">
      <w:pPr>
        <w:spacing w:after="0" w:line="360" w:lineRule="auto"/>
        <w:rPr>
          <w:rFonts w:ascii="Arial" w:eastAsia="Times New Roman" w:hAnsi="Arial" w:cs="Arial"/>
          <w:kern w:val="0"/>
          <w14:ligatures w14:val="none"/>
        </w:rPr>
      </w:pPr>
      <w:r w:rsidRPr="00684102">
        <w:rPr>
          <w:rFonts w:ascii="Arial" w:eastAsia="Times New Roman" w:hAnsi="Arial" w:cs="Arial"/>
          <w:kern w:val="0"/>
          <w14:ligatures w14:val="none"/>
        </w:rPr>
        <w:t xml:space="preserve">Additionally, health literacy is essential for managing illness. Poorer results may result from people's inability to recognize indicators of problems, adjust their diet, and take their medications as prescribed. </w:t>
      </w:r>
      <w:r w:rsidRPr="00684102">
        <w:rPr>
          <w:rFonts w:ascii="Arial" w:eastAsia="Times New Roman" w:hAnsi="Arial" w:cs="Arial"/>
          <w:kern w:val="0"/>
          <w14:ligatures w14:val="none"/>
        </w:rPr>
        <w:br/>
        <w:t xml:space="preserve">Family, friends, and community networks are examples of support systems that are essential for treatment adherence and emotional resilience. Strong support increases a person's likelihood of keeping a positive attitude, attending appointments, and adhering to lifestyle recommendations. Through peer learning and shared experiences, group education programs like DESMOND have shown improved outcomes (NHS England, 2022). Health outcomes are also influenced by </w:t>
      </w:r>
      <w:r w:rsidRPr="00684102">
        <w:rPr>
          <w:rFonts w:ascii="Arial" w:eastAsia="Times New Roman" w:hAnsi="Arial" w:cs="Arial"/>
          <w:kern w:val="0"/>
          <w14:ligatures w14:val="none"/>
        </w:rPr>
        <w:lastRenderedPageBreak/>
        <w:t>policy and environmental variables. Sedentary lifestyles and poor nutrition are exacerbated in urban areas with little access to open spaces or reasonably priced, healthy food.</w:t>
      </w:r>
    </w:p>
    <w:p w14:paraId="5AA9E508" w14:textId="77777777" w:rsidR="008F5439" w:rsidRPr="00684102" w:rsidRDefault="008F5439" w:rsidP="00015417">
      <w:pPr>
        <w:spacing w:after="0" w:line="360" w:lineRule="auto"/>
        <w:rPr>
          <w:rFonts w:ascii="Arial" w:eastAsia="Times New Roman" w:hAnsi="Arial" w:cs="Arial"/>
          <w:kern w:val="0"/>
          <w14:ligatures w14:val="none"/>
        </w:rPr>
      </w:pPr>
    </w:p>
    <w:p w14:paraId="1F88996F" w14:textId="77777777" w:rsidR="00684102" w:rsidRPr="00684102" w:rsidRDefault="00684102" w:rsidP="00015417">
      <w:pPr>
        <w:spacing w:after="0" w:line="360" w:lineRule="auto"/>
        <w:rPr>
          <w:rFonts w:ascii="Arial" w:eastAsia="Times New Roman" w:hAnsi="Arial" w:cs="Arial"/>
          <w:kern w:val="0"/>
          <w14:ligatures w14:val="none"/>
        </w:rPr>
      </w:pPr>
      <w:r w:rsidRPr="00684102">
        <w:rPr>
          <w:rFonts w:ascii="Arial" w:eastAsia="Times New Roman" w:hAnsi="Arial" w:cs="Arial"/>
          <w:kern w:val="0"/>
          <w14:ligatures w14:val="none"/>
        </w:rPr>
        <w:t>To address these structural problems and encourage healthier living conditions, public health initiatives including sugar levies and school meal modifications have been implemented (World Health Organization, 2022).</w:t>
      </w:r>
    </w:p>
    <w:p w14:paraId="6BDF91BD" w14:textId="7C50F230" w:rsidR="00790802" w:rsidRPr="008B04E7" w:rsidRDefault="00684102" w:rsidP="008B04E7">
      <w:pPr>
        <w:spacing w:after="0" w:line="360" w:lineRule="auto"/>
        <w:rPr>
          <w:rFonts w:ascii="Arial" w:eastAsia="Times New Roman" w:hAnsi="Arial" w:cs="Arial"/>
          <w:kern w:val="0"/>
          <w14:ligatures w14:val="none"/>
        </w:rPr>
      </w:pPr>
      <w:r w:rsidRPr="00684102">
        <w:rPr>
          <w:rFonts w:ascii="Arial" w:eastAsia="Times New Roman" w:hAnsi="Arial" w:cs="Arial"/>
          <w:kern w:val="0"/>
          <w14:ligatures w14:val="none"/>
        </w:rPr>
        <w:t xml:space="preserve">Stigma and cultural attitudes can affect how people view their illness and interact with therapy. Due to misconceptions or fear of being judged, certain groups may be reluctant to use insulin or seek care, which can impede treatment and worsen problems (Diabetes UK, 2023). Another important consideration is service accessibility. Holistic management requires </w:t>
      </w:r>
      <w:r w:rsidR="00720D96">
        <w:rPr>
          <w:rFonts w:ascii="Arial" w:eastAsia="Times New Roman" w:hAnsi="Arial" w:cs="Arial"/>
          <w:kern w:val="0"/>
          <w14:ligatures w14:val="none"/>
        </w:rPr>
        <w:t xml:space="preserve">a </w:t>
      </w:r>
      <w:r w:rsidRPr="00684102">
        <w:rPr>
          <w:rFonts w:ascii="Arial" w:eastAsia="Times New Roman" w:hAnsi="Arial" w:cs="Arial"/>
          <w:kern w:val="0"/>
          <w14:ligatures w14:val="none"/>
        </w:rPr>
        <w:t>prompt access to multidisciplinary care, which includes podiatrists, psychologists, diabetic nurses, and dietitians. Regional differences in service availability, however, result in uneven health outcomes and exacerbate already-existing disparities. National papers like the Health Inequalities in Health Protection Report 2025, which emphasizes how social variables and structural barriers continue to influence diabetes outcomes throughout England, detail these discrepancies (UK Health Security Agency, 2025).</w:t>
      </w:r>
    </w:p>
    <w:p w14:paraId="75113532" w14:textId="77777777" w:rsidR="00C56664" w:rsidRDefault="00C56664" w:rsidP="00790802">
      <w:pPr>
        <w:pStyle w:val="NormalWeb"/>
        <w:rPr>
          <w:b/>
          <w:bCs/>
        </w:rPr>
      </w:pPr>
    </w:p>
    <w:p w14:paraId="5A5DF27C" w14:textId="77777777" w:rsidR="00943567" w:rsidRDefault="00943567" w:rsidP="00790802">
      <w:pPr>
        <w:pStyle w:val="NormalWeb"/>
        <w:rPr>
          <w:b/>
          <w:bCs/>
        </w:rPr>
      </w:pPr>
    </w:p>
    <w:p w14:paraId="7F0FBA7A" w14:textId="77777777" w:rsidR="00943567" w:rsidRDefault="00943567" w:rsidP="00790802">
      <w:pPr>
        <w:pStyle w:val="NormalWeb"/>
        <w:rPr>
          <w:b/>
          <w:bCs/>
        </w:rPr>
      </w:pPr>
    </w:p>
    <w:p w14:paraId="3DE4EEEE" w14:textId="77777777" w:rsidR="00943567" w:rsidRDefault="00943567" w:rsidP="00790802">
      <w:pPr>
        <w:pStyle w:val="NormalWeb"/>
        <w:rPr>
          <w:b/>
          <w:bCs/>
        </w:rPr>
      </w:pPr>
    </w:p>
    <w:p w14:paraId="5CF916D3" w14:textId="77777777" w:rsidR="00943567" w:rsidRDefault="00943567" w:rsidP="00790802">
      <w:pPr>
        <w:pStyle w:val="NormalWeb"/>
        <w:rPr>
          <w:b/>
          <w:bCs/>
        </w:rPr>
      </w:pPr>
    </w:p>
    <w:p w14:paraId="667108B5" w14:textId="77777777" w:rsidR="00943567" w:rsidRDefault="00943567" w:rsidP="00790802">
      <w:pPr>
        <w:pStyle w:val="NormalWeb"/>
        <w:rPr>
          <w:b/>
          <w:bCs/>
        </w:rPr>
      </w:pPr>
    </w:p>
    <w:p w14:paraId="4223ABEF" w14:textId="77777777" w:rsidR="00943567" w:rsidRDefault="00943567" w:rsidP="00790802">
      <w:pPr>
        <w:pStyle w:val="NormalWeb"/>
        <w:rPr>
          <w:b/>
          <w:bCs/>
        </w:rPr>
      </w:pPr>
    </w:p>
    <w:p w14:paraId="0BAF832F" w14:textId="77777777" w:rsidR="00943567" w:rsidRDefault="00943567" w:rsidP="00790802">
      <w:pPr>
        <w:pStyle w:val="NormalWeb"/>
        <w:rPr>
          <w:b/>
          <w:bCs/>
        </w:rPr>
      </w:pPr>
    </w:p>
    <w:p w14:paraId="60486E63" w14:textId="77777777" w:rsidR="00943567" w:rsidRDefault="00943567" w:rsidP="00790802">
      <w:pPr>
        <w:pStyle w:val="NormalWeb"/>
        <w:rPr>
          <w:b/>
          <w:bCs/>
        </w:rPr>
      </w:pPr>
    </w:p>
    <w:p w14:paraId="3916EA28" w14:textId="77777777" w:rsidR="00943567" w:rsidRDefault="00943567" w:rsidP="00790802">
      <w:pPr>
        <w:pStyle w:val="NormalWeb"/>
        <w:rPr>
          <w:b/>
          <w:bCs/>
        </w:rPr>
      </w:pPr>
    </w:p>
    <w:p w14:paraId="10D47F69" w14:textId="77777777" w:rsidR="00943567" w:rsidRDefault="00943567" w:rsidP="00790802">
      <w:pPr>
        <w:pStyle w:val="NormalWeb"/>
        <w:rPr>
          <w:b/>
          <w:bCs/>
        </w:rPr>
      </w:pPr>
    </w:p>
    <w:p w14:paraId="6A087464" w14:textId="77777777" w:rsidR="00943567" w:rsidRDefault="00943567" w:rsidP="00790802">
      <w:pPr>
        <w:pStyle w:val="NormalWeb"/>
        <w:rPr>
          <w:b/>
          <w:bCs/>
        </w:rPr>
      </w:pPr>
    </w:p>
    <w:p w14:paraId="042EF5C8" w14:textId="4165AFAC" w:rsidR="00790802" w:rsidRDefault="00790802" w:rsidP="00790802">
      <w:pPr>
        <w:pStyle w:val="NormalWeb"/>
      </w:pPr>
      <w:r>
        <w:rPr>
          <w:b/>
          <w:bCs/>
        </w:rPr>
        <w:lastRenderedPageBreak/>
        <w:t>Conclusion</w:t>
      </w:r>
    </w:p>
    <w:p w14:paraId="004B313B" w14:textId="6E1D041F" w:rsidR="00944D3D" w:rsidRPr="00944D3D" w:rsidRDefault="00684102" w:rsidP="00944D3D">
      <w:pPr>
        <w:spacing w:after="0" w:line="360" w:lineRule="auto"/>
        <w:rPr>
          <w:rFonts w:ascii="Arial" w:eastAsia="Times New Roman" w:hAnsi="Arial" w:cs="Arial"/>
          <w:kern w:val="0"/>
          <w14:ligatures w14:val="none"/>
        </w:rPr>
      </w:pPr>
      <w:r w:rsidRPr="00684102">
        <w:rPr>
          <w:rFonts w:ascii="Arial" w:eastAsia="Times New Roman" w:hAnsi="Arial" w:cs="Arial"/>
          <w:kern w:val="0"/>
          <w14:ligatures w14:val="none"/>
        </w:rPr>
        <w:t>With far-reaching effects on people, communities, and healthcare systems, type 2 diabetes continues to be a significant public health concern. Complications can worsen health disparities between socioeconomic and ethnic groups, significantly lower quality of life, and raise death. Effective prevention and self-management techniques are crucial since the NHS is facing increasing operational and budgetary challenges in handling the illness. Although lifestyle modifications and pharmaceutical treatment are crucial, their effectiveness depends on structural support and behavioral involvement. Models such as COM-B and HBM offer useful frameworks for comprehending patient behavior and creating focused therapies. Improving outcomes requires addressing psychological discomfort, raising health literacy, and guaranteeing fair access to care. Addressing the diabetes pandemic requires a comprehensive, person-centered strategy based on behavioral science and public health justice.</w:t>
      </w:r>
      <w:r w:rsidR="00944D3D">
        <w:rPr>
          <w:rFonts w:ascii="Arial" w:eastAsia="Times New Roman" w:hAnsi="Arial" w:cs="Arial"/>
          <w:kern w:val="0"/>
          <w14:ligatures w14:val="none"/>
        </w:rPr>
        <w:t xml:space="preserve"> </w:t>
      </w:r>
      <w:r w:rsidR="00944D3D" w:rsidRPr="00944D3D">
        <w:rPr>
          <w:rFonts w:ascii="Arial" w:eastAsia="Times New Roman" w:hAnsi="Arial" w:cs="Arial"/>
          <w:kern w:val="0"/>
          <w14:ligatures w14:val="none"/>
        </w:rPr>
        <w:t>Coordinated initiatives across sectors, such as housing, food policy, and education, are also necessary for long-term success. Digital health tools, culturally sensitive initiatives, and community-based programs can all assist address access and participation barriers. The UK can transition to a more sustainable and inclusive model of diabetes care that empowers people and lessens the strain on the NHS by combining behavioral insights with structural reforms.</w:t>
      </w:r>
    </w:p>
    <w:p w14:paraId="78CA3C77" w14:textId="77777777" w:rsidR="00944D3D" w:rsidRPr="00684102" w:rsidRDefault="00944D3D" w:rsidP="00015417">
      <w:pPr>
        <w:spacing w:after="0" w:line="360" w:lineRule="auto"/>
        <w:rPr>
          <w:rFonts w:ascii="Arial" w:eastAsia="Times New Roman" w:hAnsi="Arial" w:cs="Arial"/>
          <w:kern w:val="0"/>
          <w:sz w:val="24"/>
          <w:szCs w:val="24"/>
          <w14:ligatures w14:val="none"/>
        </w:rPr>
      </w:pPr>
    </w:p>
    <w:p w14:paraId="0829B31C" w14:textId="714F979E" w:rsidR="00790802" w:rsidRDefault="00790802" w:rsidP="00F6641F">
      <w:pPr>
        <w:pStyle w:val="NormalWeb"/>
      </w:pPr>
    </w:p>
    <w:p w14:paraId="5C6EA4B4" w14:textId="77777777" w:rsidR="00790802" w:rsidRDefault="00790802" w:rsidP="00F6641F">
      <w:pPr>
        <w:pStyle w:val="NormalWeb"/>
      </w:pPr>
    </w:p>
    <w:p w14:paraId="4F600D02" w14:textId="77777777" w:rsidR="008B04E7" w:rsidRDefault="008B04E7" w:rsidP="00F6641F">
      <w:pPr>
        <w:pStyle w:val="NormalWeb"/>
      </w:pPr>
    </w:p>
    <w:p w14:paraId="22F875BD" w14:textId="77777777" w:rsidR="00943567" w:rsidRDefault="00943567" w:rsidP="00F6641F">
      <w:pPr>
        <w:pStyle w:val="NormalWeb"/>
      </w:pPr>
    </w:p>
    <w:p w14:paraId="42CA27EA" w14:textId="77777777" w:rsidR="00943567" w:rsidRDefault="00943567" w:rsidP="00F6641F">
      <w:pPr>
        <w:pStyle w:val="NormalWeb"/>
      </w:pPr>
    </w:p>
    <w:p w14:paraId="622DE7FC" w14:textId="77777777" w:rsidR="00943567" w:rsidRDefault="00943567" w:rsidP="00F6641F">
      <w:pPr>
        <w:pStyle w:val="NormalWeb"/>
      </w:pPr>
    </w:p>
    <w:p w14:paraId="52F1C92B" w14:textId="77777777" w:rsidR="00943567" w:rsidRDefault="00943567" w:rsidP="00F6641F">
      <w:pPr>
        <w:pStyle w:val="NormalWeb"/>
      </w:pPr>
    </w:p>
    <w:p w14:paraId="6A0AE7AB" w14:textId="77777777" w:rsidR="00943567" w:rsidRDefault="00943567" w:rsidP="00F6641F">
      <w:pPr>
        <w:pStyle w:val="NormalWeb"/>
      </w:pPr>
    </w:p>
    <w:p w14:paraId="5C3AFDFA" w14:textId="77777777" w:rsidR="00943567" w:rsidRDefault="00943567" w:rsidP="00F6641F">
      <w:pPr>
        <w:pStyle w:val="NormalWeb"/>
      </w:pPr>
    </w:p>
    <w:p w14:paraId="31FEB0AF" w14:textId="77777777" w:rsidR="00943567" w:rsidRDefault="00943567" w:rsidP="00F6641F">
      <w:pPr>
        <w:pStyle w:val="NormalWeb"/>
      </w:pPr>
    </w:p>
    <w:p w14:paraId="516D5986" w14:textId="3156A36B" w:rsidR="00015417" w:rsidRDefault="00015417" w:rsidP="00F6641F">
      <w:pPr>
        <w:pStyle w:val="NormalWeb"/>
      </w:pPr>
      <w:r>
        <w:lastRenderedPageBreak/>
        <w:t xml:space="preserve">                                               </w:t>
      </w:r>
      <w:r w:rsidR="00BC5FE4">
        <w:t xml:space="preserve">     </w:t>
      </w:r>
      <w:r>
        <w:t xml:space="preserve"> REFERENCES</w:t>
      </w:r>
    </w:p>
    <w:p w14:paraId="38A2F17F" w14:textId="77777777" w:rsidR="00BC5FE4" w:rsidRDefault="00BC5FE4" w:rsidP="00F6641F">
      <w:pPr>
        <w:pStyle w:val="NormalWeb"/>
      </w:pPr>
    </w:p>
    <w:p w14:paraId="00286AB4" w14:textId="633CDCF8" w:rsidR="002A01D8" w:rsidRPr="00742F35" w:rsidRDefault="00742F35"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Diabetes UK, 2023. </w:t>
      </w:r>
      <w:r w:rsidRPr="00742F35">
        <w:rPr>
          <w:rFonts w:ascii="Arial" w:eastAsia="Times New Roman" w:hAnsi="Arial" w:cs="Arial"/>
          <w:i/>
          <w:iCs/>
          <w:kern w:val="0"/>
          <w14:ligatures w14:val="none"/>
        </w:rPr>
        <w:t>Facts and Stats</w:t>
      </w:r>
      <w:r w:rsidRPr="00742F35">
        <w:rPr>
          <w:rFonts w:ascii="Arial" w:eastAsia="Times New Roman" w:hAnsi="Arial" w:cs="Arial"/>
          <w:kern w:val="0"/>
          <w14:ligatures w14:val="none"/>
        </w:rPr>
        <w:t xml:space="preserve">. [online] Available at: </w:t>
      </w:r>
      <w:hyperlink r:id="rId5" w:history="1">
        <w:r w:rsidRPr="00742F35">
          <w:rPr>
            <w:rFonts w:ascii="Arial" w:eastAsia="Times New Roman" w:hAnsi="Arial" w:cs="Arial"/>
            <w:color w:val="0000FF"/>
            <w:kern w:val="0"/>
            <w:u w:val="single"/>
            <w14:ligatures w14:val="none"/>
          </w:rPr>
          <w:t>https://www.diabetes.org.uk</w:t>
        </w:r>
      </w:hyperlink>
      <w:r w:rsidRPr="00742F35">
        <w:rPr>
          <w:rFonts w:ascii="Arial" w:eastAsia="Times New Roman" w:hAnsi="Arial" w:cs="Arial"/>
          <w:kern w:val="0"/>
          <w14:ligatures w14:val="none"/>
        </w:rPr>
        <w:t xml:space="preserve"> [Accessed </w:t>
      </w:r>
      <w:r w:rsidR="002A01D8" w:rsidRPr="00015417">
        <w:rPr>
          <w:rFonts w:ascii="Arial" w:eastAsia="Times New Roman" w:hAnsi="Arial" w:cs="Arial"/>
          <w:kern w:val="0"/>
          <w14:ligatures w14:val="none"/>
        </w:rPr>
        <w:t>4</w:t>
      </w:r>
      <w:r w:rsidRPr="00742F35">
        <w:rPr>
          <w:rFonts w:ascii="Arial" w:eastAsia="Times New Roman" w:hAnsi="Arial" w:cs="Arial"/>
          <w:kern w:val="0"/>
          <w14:ligatures w14:val="none"/>
        </w:rPr>
        <w:t xml:space="preserve"> Nov. 2025].</w:t>
      </w:r>
    </w:p>
    <w:p w14:paraId="6B48800D" w14:textId="4C1EBB76" w:rsidR="002A01D8" w:rsidRPr="00015417" w:rsidRDefault="002A01D8"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015417">
        <w:rPr>
          <w:rFonts w:ascii="Arial" w:hAnsi="Arial" w:cs="Arial"/>
          <w:color w:val="222222"/>
          <w:shd w:val="clear" w:color="auto" w:fill="FFFFFF"/>
        </w:rPr>
        <w:t>Greaves, C.J., Wingham, J., Deighan, C., Doherty, P., Elliott, J., Armitage, W., Clark, M., Austin, J., Abraham, C., Frost, J. and Singh, S., 2016. Optimising self-care support for people with heart failure and their caregivers: development of the Rehabilitation Enablement in Chronic Heart Failure (REACH-HF) intervention using intervention mapping. </w:t>
      </w:r>
      <w:r w:rsidRPr="00015417">
        <w:rPr>
          <w:rFonts w:ascii="Arial" w:hAnsi="Arial" w:cs="Arial"/>
          <w:i/>
          <w:iCs/>
          <w:color w:val="222222"/>
          <w:shd w:val="clear" w:color="auto" w:fill="FFFFFF"/>
        </w:rPr>
        <w:t>Pilot and feasibility studies</w:t>
      </w:r>
      <w:r w:rsidRPr="00015417">
        <w:rPr>
          <w:rFonts w:ascii="Arial" w:hAnsi="Arial" w:cs="Arial"/>
          <w:color w:val="222222"/>
          <w:shd w:val="clear" w:color="auto" w:fill="FFFFFF"/>
        </w:rPr>
        <w:t>, </w:t>
      </w:r>
      <w:r w:rsidRPr="00015417">
        <w:rPr>
          <w:rFonts w:ascii="Arial" w:hAnsi="Arial" w:cs="Arial"/>
          <w:i/>
          <w:iCs/>
          <w:color w:val="222222"/>
          <w:shd w:val="clear" w:color="auto" w:fill="FFFFFF"/>
        </w:rPr>
        <w:t>2</w:t>
      </w:r>
      <w:r w:rsidRPr="00015417">
        <w:rPr>
          <w:rFonts w:ascii="Arial" w:hAnsi="Arial" w:cs="Arial"/>
          <w:color w:val="222222"/>
          <w:shd w:val="clear" w:color="auto" w:fill="FFFFFF"/>
        </w:rPr>
        <w:t>(1), p.37.</w:t>
      </w:r>
    </w:p>
    <w:p w14:paraId="262E9F14" w14:textId="6FA1D80F" w:rsidR="002A01D8" w:rsidRPr="00015417" w:rsidRDefault="002A01D8"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015417">
        <w:rPr>
          <w:rFonts w:ascii="Arial" w:hAnsi="Arial" w:cs="Arial"/>
          <w:color w:val="222222"/>
          <w:shd w:val="clear" w:color="auto" w:fill="FFFFFF"/>
        </w:rPr>
        <w:t>Hex, N., Bartlett, C., Wright, D., Taylor, M. and Varley, D.J.D.M., 2012. Estimating the current and future costs of Type 1 and Type 2 diabetes in the UK, including direct health costs and indirect societal and productivity costs. </w:t>
      </w:r>
      <w:r w:rsidRPr="00015417">
        <w:rPr>
          <w:rFonts w:ascii="Arial" w:hAnsi="Arial" w:cs="Arial"/>
          <w:i/>
          <w:iCs/>
          <w:color w:val="222222"/>
          <w:shd w:val="clear" w:color="auto" w:fill="FFFFFF"/>
        </w:rPr>
        <w:t>Diabetic medicine</w:t>
      </w:r>
      <w:r w:rsidRPr="00015417">
        <w:rPr>
          <w:rFonts w:ascii="Arial" w:hAnsi="Arial" w:cs="Arial"/>
          <w:color w:val="222222"/>
          <w:shd w:val="clear" w:color="auto" w:fill="FFFFFF"/>
        </w:rPr>
        <w:t>, </w:t>
      </w:r>
      <w:r w:rsidRPr="00015417">
        <w:rPr>
          <w:rFonts w:ascii="Arial" w:hAnsi="Arial" w:cs="Arial"/>
          <w:i/>
          <w:iCs/>
          <w:color w:val="222222"/>
          <w:shd w:val="clear" w:color="auto" w:fill="FFFFFF"/>
        </w:rPr>
        <w:t>29</w:t>
      </w:r>
      <w:r w:rsidRPr="00015417">
        <w:rPr>
          <w:rFonts w:ascii="Arial" w:hAnsi="Arial" w:cs="Arial"/>
          <w:color w:val="222222"/>
          <w:shd w:val="clear" w:color="auto" w:fill="FFFFFF"/>
        </w:rPr>
        <w:t>(7), pp.855-862.</w:t>
      </w:r>
    </w:p>
    <w:p w14:paraId="08CDBDE7" w14:textId="5F194B8C" w:rsidR="002A01D8" w:rsidRPr="00015417" w:rsidRDefault="002A01D8" w:rsidP="00015417">
      <w:pPr>
        <w:pStyle w:val="NormalWeb"/>
        <w:numPr>
          <w:ilvl w:val="0"/>
          <w:numId w:val="9"/>
        </w:numPr>
        <w:spacing w:line="360" w:lineRule="auto"/>
        <w:rPr>
          <w:rFonts w:ascii="Arial" w:hAnsi="Arial" w:cs="Arial"/>
          <w:sz w:val="22"/>
          <w:szCs w:val="22"/>
        </w:rPr>
      </w:pPr>
      <w:r w:rsidRPr="00015417">
        <w:rPr>
          <w:rFonts w:ascii="Arial" w:hAnsi="Arial" w:cs="Arial"/>
          <w:sz w:val="22"/>
          <w:szCs w:val="22"/>
        </w:rPr>
        <w:t xml:space="preserve">Khosravizadeh, O. </w:t>
      </w:r>
      <w:r w:rsidRPr="00015417">
        <w:rPr>
          <w:rFonts w:ascii="Arial" w:hAnsi="Arial" w:cs="Arial"/>
          <w:i/>
          <w:iCs/>
          <w:sz w:val="22"/>
          <w:szCs w:val="22"/>
        </w:rPr>
        <w:t>et al.</w:t>
      </w:r>
      <w:r w:rsidRPr="00015417">
        <w:rPr>
          <w:rFonts w:ascii="Arial" w:hAnsi="Arial" w:cs="Arial"/>
          <w:sz w:val="22"/>
          <w:szCs w:val="22"/>
        </w:rPr>
        <w:t xml:space="preserve"> (2021) ‘Applying the health belief model and behavior of diabetic patients: A systematic review and meta-analysis’, </w:t>
      </w:r>
      <w:r w:rsidRPr="00015417">
        <w:rPr>
          <w:rFonts w:ascii="Arial" w:hAnsi="Arial" w:cs="Arial"/>
          <w:i/>
          <w:iCs/>
          <w:sz w:val="22"/>
          <w:szCs w:val="22"/>
        </w:rPr>
        <w:t>Clinical Diabetology</w:t>
      </w:r>
      <w:r w:rsidRPr="00015417">
        <w:rPr>
          <w:rFonts w:ascii="Arial" w:hAnsi="Arial" w:cs="Arial"/>
          <w:sz w:val="22"/>
          <w:szCs w:val="22"/>
        </w:rPr>
        <w:t xml:space="preserve">, 10(2), pp. 209–220. doi:10.5603/dk.2021.0020. </w:t>
      </w:r>
    </w:p>
    <w:p w14:paraId="6DC8EBBA" w14:textId="65E25843" w:rsidR="002A01D8" w:rsidRPr="00015417" w:rsidRDefault="002A01D8"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015417">
        <w:rPr>
          <w:rFonts w:ascii="Arial" w:hAnsi="Arial" w:cs="Arial"/>
          <w:color w:val="222222"/>
          <w:shd w:val="clear" w:color="auto" w:fill="FFFFFF"/>
        </w:rPr>
        <w:t>Marmot, M., 2020. Health equity in England: the Marmot review 10 years on. </w:t>
      </w:r>
      <w:r w:rsidRPr="00015417">
        <w:rPr>
          <w:rFonts w:ascii="Arial" w:hAnsi="Arial" w:cs="Arial"/>
          <w:i/>
          <w:iCs/>
          <w:color w:val="222222"/>
          <w:shd w:val="clear" w:color="auto" w:fill="FFFFFF"/>
        </w:rPr>
        <w:t>Bmj</w:t>
      </w:r>
      <w:r w:rsidRPr="00015417">
        <w:rPr>
          <w:rFonts w:ascii="Arial" w:hAnsi="Arial" w:cs="Arial"/>
          <w:color w:val="222222"/>
          <w:shd w:val="clear" w:color="auto" w:fill="FFFFFF"/>
        </w:rPr>
        <w:t>, </w:t>
      </w:r>
      <w:r w:rsidRPr="00015417">
        <w:rPr>
          <w:rFonts w:ascii="Arial" w:hAnsi="Arial" w:cs="Arial"/>
          <w:i/>
          <w:iCs/>
          <w:color w:val="222222"/>
          <w:shd w:val="clear" w:color="auto" w:fill="FFFFFF"/>
        </w:rPr>
        <w:t>368</w:t>
      </w:r>
      <w:r w:rsidRPr="00015417">
        <w:rPr>
          <w:rFonts w:ascii="Arial" w:hAnsi="Arial" w:cs="Arial"/>
          <w:color w:val="222222"/>
          <w:shd w:val="clear" w:color="auto" w:fill="FFFFFF"/>
        </w:rPr>
        <w:t>.</w:t>
      </w:r>
    </w:p>
    <w:p w14:paraId="6DD49506" w14:textId="44505B07" w:rsidR="00742F35" w:rsidRPr="00742F35" w:rsidRDefault="00742F35"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NHS England, 2019. </w:t>
      </w:r>
      <w:r w:rsidRPr="00742F35">
        <w:rPr>
          <w:rFonts w:ascii="Arial" w:eastAsia="Times New Roman" w:hAnsi="Arial" w:cs="Arial"/>
          <w:i/>
          <w:iCs/>
          <w:kern w:val="0"/>
          <w14:ligatures w14:val="none"/>
        </w:rPr>
        <w:t>The NHS Long Term Plan</w:t>
      </w:r>
      <w:r w:rsidRPr="00742F35">
        <w:rPr>
          <w:rFonts w:ascii="Arial" w:eastAsia="Times New Roman" w:hAnsi="Arial" w:cs="Arial"/>
          <w:kern w:val="0"/>
          <w14:ligatures w14:val="none"/>
        </w:rPr>
        <w:t xml:space="preserve">. [online] Available at: </w:t>
      </w:r>
      <w:hyperlink r:id="rId6" w:history="1">
        <w:r w:rsidRPr="00742F35">
          <w:rPr>
            <w:rFonts w:ascii="Arial" w:eastAsia="Times New Roman" w:hAnsi="Arial" w:cs="Arial"/>
            <w:color w:val="0000FF"/>
            <w:kern w:val="0"/>
            <w:u w:val="single"/>
            <w14:ligatures w14:val="none"/>
          </w:rPr>
          <w:t>https://www.longtermplan.nhs.uk</w:t>
        </w:r>
      </w:hyperlink>
      <w:r w:rsidRPr="00742F35">
        <w:rPr>
          <w:rFonts w:ascii="Arial" w:eastAsia="Times New Roman" w:hAnsi="Arial" w:cs="Arial"/>
          <w:kern w:val="0"/>
          <w14:ligatures w14:val="none"/>
        </w:rPr>
        <w:t xml:space="preserve"> [Accessed </w:t>
      </w:r>
      <w:r w:rsidR="002A01D8" w:rsidRPr="00015417">
        <w:rPr>
          <w:rFonts w:ascii="Arial" w:eastAsia="Times New Roman" w:hAnsi="Arial" w:cs="Arial"/>
          <w:kern w:val="0"/>
          <w14:ligatures w14:val="none"/>
        </w:rPr>
        <w:t xml:space="preserve">2 </w:t>
      </w:r>
      <w:r w:rsidRPr="00742F35">
        <w:rPr>
          <w:rFonts w:ascii="Arial" w:eastAsia="Times New Roman" w:hAnsi="Arial" w:cs="Arial"/>
          <w:kern w:val="0"/>
          <w14:ligatures w14:val="none"/>
        </w:rPr>
        <w:t>Nov. 2025].</w:t>
      </w:r>
    </w:p>
    <w:p w14:paraId="0F65F600" w14:textId="77777777" w:rsidR="00742F35" w:rsidRPr="00742F35" w:rsidRDefault="00742F35"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NHS England, 2022. </w:t>
      </w:r>
      <w:r w:rsidRPr="00742F35">
        <w:rPr>
          <w:rFonts w:ascii="Arial" w:eastAsia="Times New Roman" w:hAnsi="Arial" w:cs="Arial"/>
          <w:i/>
          <w:iCs/>
          <w:kern w:val="0"/>
          <w14:ligatures w14:val="none"/>
        </w:rPr>
        <w:t>Diabetes Prevention Programme</w:t>
      </w:r>
      <w:r w:rsidRPr="00742F35">
        <w:rPr>
          <w:rFonts w:ascii="Arial" w:eastAsia="Times New Roman" w:hAnsi="Arial" w:cs="Arial"/>
          <w:kern w:val="0"/>
          <w14:ligatures w14:val="none"/>
        </w:rPr>
        <w:t xml:space="preserve">. [online] Available at: </w:t>
      </w:r>
      <w:hyperlink r:id="rId7" w:history="1">
        <w:r w:rsidRPr="00742F35">
          <w:rPr>
            <w:rFonts w:ascii="Arial" w:eastAsia="Times New Roman" w:hAnsi="Arial" w:cs="Arial"/>
            <w:color w:val="0000FF"/>
            <w:kern w:val="0"/>
            <w:u w:val="single"/>
            <w14:ligatures w14:val="none"/>
          </w:rPr>
          <w:t>https://www.england.nhs.uk/diabetes/diabetes-prevention</w:t>
        </w:r>
      </w:hyperlink>
      <w:r w:rsidRPr="00742F35">
        <w:rPr>
          <w:rFonts w:ascii="Arial" w:eastAsia="Times New Roman" w:hAnsi="Arial" w:cs="Arial"/>
          <w:kern w:val="0"/>
          <w14:ligatures w14:val="none"/>
        </w:rPr>
        <w:t xml:space="preserve"> [Accessed 9 Nov. 2025].</w:t>
      </w:r>
    </w:p>
    <w:p w14:paraId="559B2A5A" w14:textId="77777777" w:rsidR="00742F35" w:rsidRPr="00742F35" w:rsidRDefault="00742F35"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NICE, 2021. </w:t>
      </w:r>
      <w:r w:rsidRPr="00742F35">
        <w:rPr>
          <w:rFonts w:ascii="Arial" w:eastAsia="Times New Roman" w:hAnsi="Arial" w:cs="Arial"/>
          <w:i/>
          <w:iCs/>
          <w:kern w:val="0"/>
          <w14:ligatures w14:val="none"/>
        </w:rPr>
        <w:t>Type 2 diabetes in adults: management</w:t>
      </w:r>
      <w:r w:rsidRPr="00742F35">
        <w:rPr>
          <w:rFonts w:ascii="Arial" w:eastAsia="Times New Roman" w:hAnsi="Arial" w:cs="Arial"/>
          <w:kern w:val="0"/>
          <w14:ligatures w14:val="none"/>
        </w:rPr>
        <w:t xml:space="preserve">. [online] Available at: </w:t>
      </w:r>
      <w:hyperlink r:id="rId8" w:history="1">
        <w:r w:rsidRPr="00742F35">
          <w:rPr>
            <w:rFonts w:ascii="Arial" w:eastAsia="Times New Roman" w:hAnsi="Arial" w:cs="Arial"/>
            <w:color w:val="0000FF"/>
            <w:kern w:val="0"/>
            <w:u w:val="single"/>
            <w14:ligatures w14:val="none"/>
          </w:rPr>
          <w:t>https://www.nice.org.uk/guidance/ng28</w:t>
        </w:r>
      </w:hyperlink>
      <w:r w:rsidRPr="00742F35">
        <w:rPr>
          <w:rFonts w:ascii="Arial" w:eastAsia="Times New Roman" w:hAnsi="Arial" w:cs="Arial"/>
          <w:kern w:val="0"/>
          <w14:ligatures w14:val="none"/>
        </w:rPr>
        <w:t xml:space="preserve"> [Accessed 9 Nov. 2025].</w:t>
      </w:r>
    </w:p>
    <w:p w14:paraId="3CB49C0E" w14:textId="77777777" w:rsidR="00742F35" w:rsidRPr="00742F35" w:rsidRDefault="00742F35" w:rsidP="00015417">
      <w:pPr>
        <w:numPr>
          <w:ilvl w:val="0"/>
          <w:numId w:val="9"/>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Office for Health Improvement and Disparities, 2023. </w:t>
      </w:r>
      <w:r w:rsidRPr="00742F35">
        <w:rPr>
          <w:rFonts w:ascii="Arial" w:eastAsia="Times New Roman" w:hAnsi="Arial" w:cs="Arial"/>
          <w:i/>
          <w:iCs/>
          <w:kern w:val="0"/>
          <w14:ligatures w14:val="none"/>
        </w:rPr>
        <w:t>Diabetes Profile</w:t>
      </w:r>
      <w:r w:rsidRPr="00742F35">
        <w:rPr>
          <w:rFonts w:ascii="Arial" w:eastAsia="Times New Roman" w:hAnsi="Arial" w:cs="Arial"/>
          <w:kern w:val="0"/>
          <w14:ligatures w14:val="none"/>
        </w:rPr>
        <w:t xml:space="preserve">. [online] Available at: </w:t>
      </w:r>
      <w:hyperlink r:id="rId9" w:history="1">
        <w:r w:rsidRPr="00742F35">
          <w:rPr>
            <w:rFonts w:ascii="Arial" w:eastAsia="Times New Roman" w:hAnsi="Arial" w:cs="Arial"/>
            <w:color w:val="0000FF"/>
            <w:kern w:val="0"/>
            <w:u w:val="single"/>
            <w14:ligatures w14:val="none"/>
          </w:rPr>
          <w:t>https://fingertips.phe.org.uk/profile/diabetes</w:t>
        </w:r>
      </w:hyperlink>
      <w:r w:rsidRPr="00742F35">
        <w:rPr>
          <w:rFonts w:ascii="Arial" w:eastAsia="Times New Roman" w:hAnsi="Arial" w:cs="Arial"/>
          <w:kern w:val="0"/>
          <w14:ligatures w14:val="none"/>
        </w:rPr>
        <w:t xml:space="preserve"> [Accessed 9 Nov. 2025].</w:t>
      </w:r>
    </w:p>
    <w:p w14:paraId="2EC30BC1" w14:textId="086C2F37" w:rsidR="002A01D8" w:rsidRPr="00015417" w:rsidRDefault="002A01D8" w:rsidP="00015417">
      <w:pPr>
        <w:numPr>
          <w:ilvl w:val="0"/>
          <w:numId w:val="10"/>
        </w:numPr>
        <w:spacing w:before="100" w:beforeAutospacing="1" w:after="100" w:afterAutospacing="1" w:line="360" w:lineRule="auto"/>
        <w:rPr>
          <w:rFonts w:ascii="Arial" w:eastAsia="Times New Roman" w:hAnsi="Arial" w:cs="Arial"/>
          <w:kern w:val="0"/>
          <w14:ligatures w14:val="none"/>
        </w:rPr>
      </w:pPr>
      <w:r w:rsidRPr="00015417">
        <w:rPr>
          <w:rFonts w:ascii="Arial" w:hAnsi="Arial" w:cs="Arial"/>
          <w:color w:val="222222"/>
          <w:shd w:val="clear" w:color="auto" w:fill="FFFFFF"/>
        </w:rPr>
        <w:t>Sturt, J., Dennick, K., Due-Christensen, M. and McCarthy, K., 2015. The detection and management of diabetes distress in people with type 1 diabetes. </w:t>
      </w:r>
      <w:r w:rsidRPr="00015417">
        <w:rPr>
          <w:rFonts w:ascii="Arial" w:hAnsi="Arial" w:cs="Arial"/>
          <w:i/>
          <w:iCs/>
          <w:color w:val="222222"/>
          <w:shd w:val="clear" w:color="auto" w:fill="FFFFFF"/>
        </w:rPr>
        <w:t>Current diabetes reports</w:t>
      </w:r>
      <w:r w:rsidRPr="00015417">
        <w:rPr>
          <w:rFonts w:ascii="Arial" w:hAnsi="Arial" w:cs="Arial"/>
          <w:color w:val="222222"/>
          <w:shd w:val="clear" w:color="auto" w:fill="FFFFFF"/>
        </w:rPr>
        <w:t>, </w:t>
      </w:r>
      <w:r w:rsidRPr="00015417">
        <w:rPr>
          <w:rFonts w:ascii="Arial" w:hAnsi="Arial" w:cs="Arial"/>
          <w:i/>
          <w:iCs/>
          <w:color w:val="222222"/>
          <w:shd w:val="clear" w:color="auto" w:fill="FFFFFF"/>
        </w:rPr>
        <w:t>15</w:t>
      </w:r>
      <w:r w:rsidRPr="00015417">
        <w:rPr>
          <w:rFonts w:ascii="Arial" w:hAnsi="Arial" w:cs="Arial"/>
          <w:color w:val="222222"/>
          <w:shd w:val="clear" w:color="auto" w:fill="FFFFFF"/>
        </w:rPr>
        <w:t>(11), p.101.</w:t>
      </w:r>
    </w:p>
    <w:p w14:paraId="49488617" w14:textId="54ED4D80" w:rsidR="00742F35" w:rsidRPr="00742F35" w:rsidRDefault="00742F35" w:rsidP="00015417">
      <w:pPr>
        <w:numPr>
          <w:ilvl w:val="0"/>
          <w:numId w:val="10"/>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t xml:space="preserve">UK Health Security Agency, 2025. </w:t>
      </w:r>
      <w:r w:rsidRPr="00742F35">
        <w:rPr>
          <w:rFonts w:ascii="Arial" w:eastAsia="Times New Roman" w:hAnsi="Arial" w:cs="Arial"/>
          <w:i/>
          <w:iCs/>
          <w:kern w:val="0"/>
          <w14:ligatures w14:val="none"/>
        </w:rPr>
        <w:t>Health inequalities in health protection report 2025</w:t>
      </w:r>
      <w:r w:rsidRPr="00742F35">
        <w:rPr>
          <w:rFonts w:ascii="Arial" w:eastAsia="Times New Roman" w:hAnsi="Arial" w:cs="Arial"/>
          <w:kern w:val="0"/>
          <w14:ligatures w14:val="none"/>
        </w:rPr>
        <w:t xml:space="preserve">. [online] Available at: </w:t>
      </w:r>
      <w:hyperlink r:id="rId10" w:history="1">
        <w:r w:rsidRPr="00742F35">
          <w:rPr>
            <w:rFonts w:ascii="Arial" w:eastAsia="Times New Roman" w:hAnsi="Arial" w:cs="Arial"/>
            <w:color w:val="0000FF"/>
            <w:kern w:val="0"/>
            <w:u w:val="single"/>
            <w14:ligatures w14:val="none"/>
          </w:rPr>
          <w:t>https://www.gov.uk/government/publications/health-inequalities-in-health-protection-report/health-inequalities-in-health-protection-report-2025</w:t>
        </w:r>
      </w:hyperlink>
      <w:r w:rsidRPr="00742F35">
        <w:rPr>
          <w:rFonts w:ascii="Arial" w:eastAsia="Times New Roman" w:hAnsi="Arial" w:cs="Arial"/>
          <w:kern w:val="0"/>
          <w14:ligatures w14:val="none"/>
        </w:rPr>
        <w:t xml:space="preserve"> [Accessed 9 Nov. 2025].</w:t>
      </w:r>
    </w:p>
    <w:p w14:paraId="57B424BF" w14:textId="27906F17" w:rsidR="00742F35" w:rsidRPr="008F5439" w:rsidRDefault="00742F35" w:rsidP="008F5439">
      <w:pPr>
        <w:numPr>
          <w:ilvl w:val="0"/>
          <w:numId w:val="10"/>
        </w:numPr>
        <w:spacing w:before="100" w:beforeAutospacing="1" w:after="100" w:afterAutospacing="1" w:line="360" w:lineRule="auto"/>
        <w:rPr>
          <w:rFonts w:ascii="Arial" w:eastAsia="Times New Roman" w:hAnsi="Arial" w:cs="Arial"/>
          <w:kern w:val="0"/>
          <w14:ligatures w14:val="none"/>
        </w:rPr>
      </w:pPr>
      <w:r w:rsidRPr="00742F35">
        <w:rPr>
          <w:rFonts w:ascii="Arial" w:eastAsia="Times New Roman" w:hAnsi="Arial" w:cs="Arial"/>
          <w:kern w:val="0"/>
          <w14:ligatures w14:val="none"/>
        </w:rPr>
        <w:lastRenderedPageBreak/>
        <w:t xml:space="preserve">World Health Organization, 2022. </w:t>
      </w:r>
      <w:r w:rsidRPr="00742F35">
        <w:rPr>
          <w:rFonts w:ascii="Arial" w:eastAsia="Times New Roman" w:hAnsi="Arial" w:cs="Arial"/>
          <w:i/>
          <w:iCs/>
          <w:kern w:val="0"/>
          <w14:ligatures w14:val="none"/>
        </w:rPr>
        <w:t>Diabetes</w:t>
      </w:r>
      <w:r w:rsidRPr="00742F35">
        <w:rPr>
          <w:rFonts w:ascii="Arial" w:eastAsia="Times New Roman" w:hAnsi="Arial" w:cs="Arial"/>
          <w:kern w:val="0"/>
          <w14:ligatures w14:val="none"/>
        </w:rPr>
        <w:t xml:space="preserve">. [online] Available at: </w:t>
      </w:r>
      <w:hyperlink r:id="rId11" w:history="1">
        <w:r w:rsidRPr="00742F35">
          <w:rPr>
            <w:rFonts w:ascii="Arial" w:eastAsia="Times New Roman" w:hAnsi="Arial" w:cs="Arial"/>
            <w:color w:val="0000FF"/>
            <w:kern w:val="0"/>
            <w:u w:val="single"/>
            <w14:ligatures w14:val="none"/>
          </w:rPr>
          <w:t>https://www.who.int/news-room/fact-sheets/detail/diabetes</w:t>
        </w:r>
      </w:hyperlink>
      <w:r w:rsidRPr="00742F35">
        <w:rPr>
          <w:rFonts w:ascii="Arial" w:eastAsia="Times New Roman" w:hAnsi="Arial" w:cs="Arial"/>
          <w:kern w:val="0"/>
          <w14:ligatures w14:val="none"/>
        </w:rPr>
        <w:t xml:space="preserve"> [Accessed </w:t>
      </w:r>
      <w:r w:rsidR="005E41CD" w:rsidRPr="00015417">
        <w:rPr>
          <w:rFonts w:ascii="Arial" w:eastAsia="Times New Roman" w:hAnsi="Arial" w:cs="Arial"/>
          <w:kern w:val="0"/>
          <w14:ligatures w14:val="none"/>
        </w:rPr>
        <w:t>3</w:t>
      </w:r>
      <w:r w:rsidRPr="00742F35">
        <w:rPr>
          <w:rFonts w:ascii="Arial" w:eastAsia="Times New Roman" w:hAnsi="Arial" w:cs="Arial"/>
          <w:kern w:val="0"/>
          <w14:ligatures w14:val="none"/>
        </w:rPr>
        <w:t xml:space="preserve"> Nov. 2025].</w:t>
      </w:r>
    </w:p>
    <w:sectPr w:rsidR="00742F35" w:rsidRPr="008F54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C3F93"/>
    <w:multiLevelType w:val="multilevel"/>
    <w:tmpl w:val="625C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B33AD"/>
    <w:multiLevelType w:val="multilevel"/>
    <w:tmpl w:val="525E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55EA5"/>
    <w:multiLevelType w:val="multilevel"/>
    <w:tmpl w:val="4FE4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367B95"/>
    <w:multiLevelType w:val="multilevel"/>
    <w:tmpl w:val="BEAA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9A272B"/>
    <w:multiLevelType w:val="multilevel"/>
    <w:tmpl w:val="B912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7C4E4D"/>
    <w:multiLevelType w:val="multilevel"/>
    <w:tmpl w:val="4C82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54021A"/>
    <w:multiLevelType w:val="multilevel"/>
    <w:tmpl w:val="9846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98335E"/>
    <w:multiLevelType w:val="multilevel"/>
    <w:tmpl w:val="C2BA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B53BCC"/>
    <w:multiLevelType w:val="multilevel"/>
    <w:tmpl w:val="8904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B61B5"/>
    <w:multiLevelType w:val="multilevel"/>
    <w:tmpl w:val="5142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362892">
    <w:abstractNumId w:val="5"/>
  </w:num>
  <w:num w:numId="2" w16cid:durableId="1595356497">
    <w:abstractNumId w:val="1"/>
  </w:num>
  <w:num w:numId="3" w16cid:durableId="146752037">
    <w:abstractNumId w:val="0"/>
  </w:num>
  <w:num w:numId="4" w16cid:durableId="174198764">
    <w:abstractNumId w:val="4"/>
  </w:num>
  <w:num w:numId="5" w16cid:durableId="1475105039">
    <w:abstractNumId w:val="7"/>
  </w:num>
  <w:num w:numId="6" w16cid:durableId="268900613">
    <w:abstractNumId w:val="3"/>
  </w:num>
  <w:num w:numId="7" w16cid:durableId="1018314592">
    <w:abstractNumId w:val="2"/>
  </w:num>
  <w:num w:numId="8" w16cid:durableId="1756516678">
    <w:abstractNumId w:val="8"/>
  </w:num>
  <w:num w:numId="9" w16cid:durableId="2144347448">
    <w:abstractNumId w:val="9"/>
  </w:num>
  <w:num w:numId="10" w16cid:durableId="1163200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EDD"/>
    <w:rsid w:val="00015417"/>
    <w:rsid w:val="002A01D8"/>
    <w:rsid w:val="005D0F5E"/>
    <w:rsid w:val="005E41CD"/>
    <w:rsid w:val="00613D03"/>
    <w:rsid w:val="00684102"/>
    <w:rsid w:val="007058BE"/>
    <w:rsid w:val="00720D96"/>
    <w:rsid w:val="00742F35"/>
    <w:rsid w:val="00790802"/>
    <w:rsid w:val="008108A3"/>
    <w:rsid w:val="00864450"/>
    <w:rsid w:val="00893EDD"/>
    <w:rsid w:val="008B04E7"/>
    <w:rsid w:val="008D66D8"/>
    <w:rsid w:val="008F5439"/>
    <w:rsid w:val="00943567"/>
    <w:rsid w:val="00944D3D"/>
    <w:rsid w:val="00AA259D"/>
    <w:rsid w:val="00BC5FE4"/>
    <w:rsid w:val="00C40F12"/>
    <w:rsid w:val="00C56664"/>
    <w:rsid w:val="00E31A61"/>
    <w:rsid w:val="00F6641F"/>
    <w:rsid w:val="00F95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B3FB"/>
  <w15:chartTrackingRefBased/>
  <w15:docId w15:val="{D31F06A7-DF6D-4022-9388-232CE517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3ED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93EDD"/>
    <w:rPr>
      <w:b/>
      <w:bCs/>
    </w:rPr>
  </w:style>
  <w:style w:type="character" w:styleId="Emphasis">
    <w:name w:val="Emphasis"/>
    <w:basedOn w:val="DefaultParagraphFont"/>
    <w:uiPriority w:val="20"/>
    <w:qFormat/>
    <w:rsid w:val="00893EDD"/>
    <w:rPr>
      <w:i/>
      <w:iCs/>
    </w:rPr>
  </w:style>
  <w:style w:type="character" w:styleId="Hyperlink">
    <w:name w:val="Hyperlink"/>
    <w:basedOn w:val="DefaultParagraphFont"/>
    <w:uiPriority w:val="99"/>
    <w:semiHidden/>
    <w:unhideWhenUsed/>
    <w:rsid w:val="00893EDD"/>
    <w:rPr>
      <w:color w:val="0000FF"/>
      <w:u w:val="single"/>
    </w:rPr>
  </w:style>
  <w:style w:type="paragraph" w:styleId="ListParagraph">
    <w:name w:val="List Paragraph"/>
    <w:basedOn w:val="Normal"/>
    <w:uiPriority w:val="34"/>
    <w:qFormat/>
    <w:rsid w:val="00742F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215">
      <w:bodyDiv w:val="1"/>
      <w:marLeft w:val="0"/>
      <w:marRight w:val="0"/>
      <w:marTop w:val="0"/>
      <w:marBottom w:val="0"/>
      <w:divBdr>
        <w:top w:val="none" w:sz="0" w:space="0" w:color="auto"/>
        <w:left w:val="none" w:sz="0" w:space="0" w:color="auto"/>
        <w:bottom w:val="none" w:sz="0" w:space="0" w:color="auto"/>
        <w:right w:val="none" w:sz="0" w:space="0" w:color="auto"/>
      </w:divBdr>
    </w:div>
    <w:div w:id="1131946">
      <w:bodyDiv w:val="1"/>
      <w:marLeft w:val="0"/>
      <w:marRight w:val="0"/>
      <w:marTop w:val="0"/>
      <w:marBottom w:val="0"/>
      <w:divBdr>
        <w:top w:val="none" w:sz="0" w:space="0" w:color="auto"/>
        <w:left w:val="none" w:sz="0" w:space="0" w:color="auto"/>
        <w:bottom w:val="none" w:sz="0" w:space="0" w:color="auto"/>
        <w:right w:val="none" w:sz="0" w:space="0" w:color="auto"/>
      </w:divBdr>
    </w:div>
    <w:div w:id="89132804">
      <w:bodyDiv w:val="1"/>
      <w:marLeft w:val="0"/>
      <w:marRight w:val="0"/>
      <w:marTop w:val="0"/>
      <w:marBottom w:val="0"/>
      <w:divBdr>
        <w:top w:val="none" w:sz="0" w:space="0" w:color="auto"/>
        <w:left w:val="none" w:sz="0" w:space="0" w:color="auto"/>
        <w:bottom w:val="none" w:sz="0" w:space="0" w:color="auto"/>
        <w:right w:val="none" w:sz="0" w:space="0" w:color="auto"/>
      </w:divBdr>
    </w:div>
    <w:div w:id="121509125">
      <w:bodyDiv w:val="1"/>
      <w:marLeft w:val="0"/>
      <w:marRight w:val="0"/>
      <w:marTop w:val="0"/>
      <w:marBottom w:val="0"/>
      <w:divBdr>
        <w:top w:val="none" w:sz="0" w:space="0" w:color="auto"/>
        <w:left w:val="none" w:sz="0" w:space="0" w:color="auto"/>
        <w:bottom w:val="none" w:sz="0" w:space="0" w:color="auto"/>
        <w:right w:val="none" w:sz="0" w:space="0" w:color="auto"/>
      </w:divBdr>
    </w:div>
    <w:div w:id="146552530">
      <w:bodyDiv w:val="1"/>
      <w:marLeft w:val="0"/>
      <w:marRight w:val="0"/>
      <w:marTop w:val="0"/>
      <w:marBottom w:val="0"/>
      <w:divBdr>
        <w:top w:val="none" w:sz="0" w:space="0" w:color="auto"/>
        <w:left w:val="none" w:sz="0" w:space="0" w:color="auto"/>
        <w:bottom w:val="none" w:sz="0" w:space="0" w:color="auto"/>
        <w:right w:val="none" w:sz="0" w:space="0" w:color="auto"/>
      </w:divBdr>
    </w:div>
    <w:div w:id="176509758">
      <w:bodyDiv w:val="1"/>
      <w:marLeft w:val="0"/>
      <w:marRight w:val="0"/>
      <w:marTop w:val="0"/>
      <w:marBottom w:val="0"/>
      <w:divBdr>
        <w:top w:val="none" w:sz="0" w:space="0" w:color="auto"/>
        <w:left w:val="none" w:sz="0" w:space="0" w:color="auto"/>
        <w:bottom w:val="none" w:sz="0" w:space="0" w:color="auto"/>
        <w:right w:val="none" w:sz="0" w:space="0" w:color="auto"/>
      </w:divBdr>
    </w:div>
    <w:div w:id="230581560">
      <w:bodyDiv w:val="1"/>
      <w:marLeft w:val="0"/>
      <w:marRight w:val="0"/>
      <w:marTop w:val="0"/>
      <w:marBottom w:val="0"/>
      <w:divBdr>
        <w:top w:val="none" w:sz="0" w:space="0" w:color="auto"/>
        <w:left w:val="none" w:sz="0" w:space="0" w:color="auto"/>
        <w:bottom w:val="none" w:sz="0" w:space="0" w:color="auto"/>
        <w:right w:val="none" w:sz="0" w:space="0" w:color="auto"/>
      </w:divBdr>
    </w:div>
    <w:div w:id="243033539">
      <w:bodyDiv w:val="1"/>
      <w:marLeft w:val="0"/>
      <w:marRight w:val="0"/>
      <w:marTop w:val="0"/>
      <w:marBottom w:val="0"/>
      <w:divBdr>
        <w:top w:val="none" w:sz="0" w:space="0" w:color="auto"/>
        <w:left w:val="none" w:sz="0" w:space="0" w:color="auto"/>
        <w:bottom w:val="none" w:sz="0" w:space="0" w:color="auto"/>
        <w:right w:val="none" w:sz="0" w:space="0" w:color="auto"/>
      </w:divBdr>
    </w:div>
    <w:div w:id="264189232">
      <w:bodyDiv w:val="1"/>
      <w:marLeft w:val="0"/>
      <w:marRight w:val="0"/>
      <w:marTop w:val="0"/>
      <w:marBottom w:val="0"/>
      <w:divBdr>
        <w:top w:val="none" w:sz="0" w:space="0" w:color="auto"/>
        <w:left w:val="none" w:sz="0" w:space="0" w:color="auto"/>
        <w:bottom w:val="none" w:sz="0" w:space="0" w:color="auto"/>
        <w:right w:val="none" w:sz="0" w:space="0" w:color="auto"/>
      </w:divBdr>
    </w:div>
    <w:div w:id="352341755">
      <w:bodyDiv w:val="1"/>
      <w:marLeft w:val="0"/>
      <w:marRight w:val="0"/>
      <w:marTop w:val="0"/>
      <w:marBottom w:val="0"/>
      <w:divBdr>
        <w:top w:val="none" w:sz="0" w:space="0" w:color="auto"/>
        <w:left w:val="none" w:sz="0" w:space="0" w:color="auto"/>
        <w:bottom w:val="none" w:sz="0" w:space="0" w:color="auto"/>
        <w:right w:val="none" w:sz="0" w:space="0" w:color="auto"/>
      </w:divBdr>
    </w:div>
    <w:div w:id="352999191">
      <w:bodyDiv w:val="1"/>
      <w:marLeft w:val="0"/>
      <w:marRight w:val="0"/>
      <w:marTop w:val="0"/>
      <w:marBottom w:val="0"/>
      <w:divBdr>
        <w:top w:val="none" w:sz="0" w:space="0" w:color="auto"/>
        <w:left w:val="none" w:sz="0" w:space="0" w:color="auto"/>
        <w:bottom w:val="none" w:sz="0" w:space="0" w:color="auto"/>
        <w:right w:val="none" w:sz="0" w:space="0" w:color="auto"/>
      </w:divBdr>
    </w:div>
    <w:div w:id="370307544">
      <w:bodyDiv w:val="1"/>
      <w:marLeft w:val="0"/>
      <w:marRight w:val="0"/>
      <w:marTop w:val="0"/>
      <w:marBottom w:val="0"/>
      <w:divBdr>
        <w:top w:val="none" w:sz="0" w:space="0" w:color="auto"/>
        <w:left w:val="none" w:sz="0" w:space="0" w:color="auto"/>
        <w:bottom w:val="none" w:sz="0" w:space="0" w:color="auto"/>
        <w:right w:val="none" w:sz="0" w:space="0" w:color="auto"/>
      </w:divBdr>
    </w:div>
    <w:div w:id="472602102">
      <w:bodyDiv w:val="1"/>
      <w:marLeft w:val="0"/>
      <w:marRight w:val="0"/>
      <w:marTop w:val="0"/>
      <w:marBottom w:val="0"/>
      <w:divBdr>
        <w:top w:val="none" w:sz="0" w:space="0" w:color="auto"/>
        <w:left w:val="none" w:sz="0" w:space="0" w:color="auto"/>
        <w:bottom w:val="none" w:sz="0" w:space="0" w:color="auto"/>
        <w:right w:val="none" w:sz="0" w:space="0" w:color="auto"/>
      </w:divBdr>
    </w:div>
    <w:div w:id="479351375">
      <w:bodyDiv w:val="1"/>
      <w:marLeft w:val="0"/>
      <w:marRight w:val="0"/>
      <w:marTop w:val="0"/>
      <w:marBottom w:val="0"/>
      <w:divBdr>
        <w:top w:val="none" w:sz="0" w:space="0" w:color="auto"/>
        <w:left w:val="none" w:sz="0" w:space="0" w:color="auto"/>
        <w:bottom w:val="none" w:sz="0" w:space="0" w:color="auto"/>
        <w:right w:val="none" w:sz="0" w:space="0" w:color="auto"/>
      </w:divBdr>
    </w:div>
    <w:div w:id="651524459">
      <w:bodyDiv w:val="1"/>
      <w:marLeft w:val="0"/>
      <w:marRight w:val="0"/>
      <w:marTop w:val="0"/>
      <w:marBottom w:val="0"/>
      <w:divBdr>
        <w:top w:val="none" w:sz="0" w:space="0" w:color="auto"/>
        <w:left w:val="none" w:sz="0" w:space="0" w:color="auto"/>
        <w:bottom w:val="none" w:sz="0" w:space="0" w:color="auto"/>
        <w:right w:val="none" w:sz="0" w:space="0" w:color="auto"/>
      </w:divBdr>
    </w:div>
    <w:div w:id="830220054">
      <w:bodyDiv w:val="1"/>
      <w:marLeft w:val="0"/>
      <w:marRight w:val="0"/>
      <w:marTop w:val="0"/>
      <w:marBottom w:val="0"/>
      <w:divBdr>
        <w:top w:val="none" w:sz="0" w:space="0" w:color="auto"/>
        <w:left w:val="none" w:sz="0" w:space="0" w:color="auto"/>
        <w:bottom w:val="none" w:sz="0" w:space="0" w:color="auto"/>
        <w:right w:val="none" w:sz="0" w:space="0" w:color="auto"/>
      </w:divBdr>
    </w:div>
    <w:div w:id="837038832">
      <w:bodyDiv w:val="1"/>
      <w:marLeft w:val="0"/>
      <w:marRight w:val="0"/>
      <w:marTop w:val="0"/>
      <w:marBottom w:val="0"/>
      <w:divBdr>
        <w:top w:val="none" w:sz="0" w:space="0" w:color="auto"/>
        <w:left w:val="none" w:sz="0" w:space="0" w:color="auto"/>
        <w:bottom w:val="none" w:sz="0" w:space="0" w:color="auto"/>
        <w:right w:val="none" w:sz="0" w:space="0" w:color="auto"/>
      </w:divBdr>
    </w:div>
    <w:div w:id="837502819">
      <w:bodyDiv w:val="1"/>
      <w:marLeft w:val="0"/>
      <w:marRight w:val="0"/>
      <w:marTop w:val="0"/>
      <w:marBottom w:val="0"/>
      <w:divBdr>
        <w:top w:val="none" w:sz="0" w:space="0" w:color="auto"/>
        <w:left w:val="none" w:sz="0" w:space="0" w:color="auto"/>
        <w:bottom w:val="none" w:sz="0" w:space="0" w:color="auto"/>
        <w:right w:val="none" w:sz="0" w:space="0" w:color="auto"/>
      </w:divBdr>
    </w:div>
    <w:div w:id="911037800">
      <w:bodyDiv w:val="1"/>
      <w:marLeft w:val="0"/>
      <w:marRight w:val="0"/>
      <w:marTop w:val="0"/>
      <w:marBottom w:val="0"/>
      <w:divBdr>
        <w:top w:val="none" w:sz="0" w:space="0" w:color="auto"/>
        <w:left w:val="none" w:sz="0" w:space="0" w:color="auto"/>
        <w:bottom w:val="none" w:sz="0" w:space="0" w:color="auto"/>
        <w:right w:val="none" w:sz="0" w:space="0" w:color="auto"/>
      </w:divBdr>
    </w:div>
    <w:div w:id="915894336">
      <w:bodyDiv w:val="1"/>
      <w:marLeft w:val="0"/>
      <w:marRight w:val="0"/>
      <w:marTop w:val="0"/>
      <w:marBottom w:val="0"/>
      <w:divBdr>
        <w:top w:val="none" w:sz="0" w:space="0" w:color="auto"/>
        <w:left w:val="none" w:sz="0" w:space="0" w:color="auto"/>
        <w:bottom w:val="none" w:sz="0" w:space="0" w:color="auto"/>
        <w:right w:val="none" w:sz="0" w:space="0" w:color="auto"/>
      </w:divBdr>
    </w:div>
    <w:div w:id="926382979">
      <w:bodyDiv w:val="1"/>
      <w:marLeft w:val="0"/>
      <w:marRight w:val="0"/>
      <w:marTop w:val="0"/>
      <w:marBottom w:val="0"/>
      <w:divBdr>
        <w:top w:val="none" w:sz="0" w:space="0" w:color="auto"/>
        <w:left w:val="none" w:sz="0" w:space="0" w:color="auto"/>
        <w:bottom w:val="none" w:sz="0" w:space="0" w:color="auto"/>
        <w:right w:val="none" w:sz="0" w:space="0" w:color="auto"/>
      </w:divBdr>
    </w:div>
    <w:div w:id="990984054">
      <w:bodyDiv w:val="1"/>
      <w:marLeft w:val="0"/>
      <w:marRight w:val="0"/>
      <w:marTop w:val="0"/>
      <w:marBottom w:val="0"/>
      <w:divBdr>
        <w:top w:val="none" w:sz="0" w:space="0" w:color="auto"/>
        <w:left w:val="none" w:sz="0" w:space="0" w:color="auto"/>
        <w:bottom w:val="none" w:sz="0" w:space="0" w:color="auto"/>
        <w:right w:val="none" w:sz="0" w:space="0" w:color="auto"/>
      </w:divBdr>
    </w:div>
    <w:div w:id="1019966436">
      <w:bodyDiv w:val="1"/>
      <w:marLeft w:val="0"/>
      <w:marRight w:val="0"/>
      <w:marTop w:val="0"/>
      <w:marBottom w:val="0"/>
      <w:divBdr>
        <w:top w:val="none" w:sz="0" w:space="0" w:color="auto"/>
        <w:left w:val="none" w:sz="0" w:space="0" w:color="auto"/>
        <w:bottom w:val="none" w:sz="0" w:space="0" w:color="auto"/>
        <w:right w:val="none" w:sz="0" w:space="0" w:color="auto"/>
      </w:divBdr>
    </w:div>
    <w:div w:id="1059867254">
      <w:bodyDiv w:val="1"/>
      <w:marLeft w:val="0"/>
      <w:marRight w:val="0"/>
      <w:marTop w:val="0"/>
      <w:marBottom w:val="0"/>
      <w:divBdr>
        <w:top w:val="none" w:sz="0" w:space="0" w:color="auto"/>
        <w:left w:val="none" w:sz="0" w:space="0" w:color="auto"/>
        <w:bottom w:val="none" w:sz="0" w:space="0" w:color="auto"/>
        <w:right w:val="none" w:sz="0" w:space="0" w:color="auto"/>
      </w:divBdr>
    </w:div>
    <w:div w:id="1075785762">
      <w:bodyDiv w:val="1"/>
      <w:marLeft w:val="0"/>
      <w:marRight w:val="0"/>
      <w:marTop w:val="0"/>
      <w:marBottom w:val="0"/>
      <w:divBdr>
        <w:top w:val="none" w:sz="0" w:space="0" w:color="auto"/>
        <w:left w:val="none" w:sz="0" w:space="0" w:color="auto"/>
        <w:bottom w:val="none" w:sz="0" w:space="0" w:color="auto"/>
        <w:right w:val="none" w:sz="0" w:space="0" w:color="auto"/>
      </w:divBdr>
    </w:div>
    <w:div w:id="1208027292">
      <w:bodyDiv w:val="1"/>
      <w:marLeft w:val="0"/>
      <w:marRight w:val="0"/>
      <w:marTop w:val="0"/>
      <w:marBottom w:val="0"/>
      <w:divBdr>
        <w:top w:val="none" w:sz="0" w:space="0" w:color="auto"/>
        <w:left w:val="none" w:sz="0" w:space="0" w:color="auto"/>
        <w:bottom w:val="none" w:sz="0" w:space="0" w:color="auto"/>
        <w:right w:val="none" w:sz="0" w:space="0" w:color="auto"/>
      </w:divBdr>
    </w:div>
    <w:div w:id="1239482717">
      <w:bodyDiv w:val="1"/>
      <w:marLeft w:val="0"/>
      <w:marRight w:val="0"/>
      <w:marTop w:val="0"/>
      <w:marBottom w:val="0"/>
      <w:divBdr>
        <w:top w:val="none" w:sz="0" w:space="0" w:color="auto"/>
        <w:left w:val="none" w:sz="0" w:space="0" w:color="auto"/>
        <w:bottom w:val="none" w:sz="0" w:space="0" w:color="auto"/>
        <w:right w:val="none" w:sz="0" w:space="0" w:color="auto"/>
      </w:divBdr>
    </w:div>
    <w:div w:id="1320960739">
      <w:bodyDiv w:val="1"/>
      <w:marLeft w:val="0"/>
      <w:marRight w:val="0"/>
      <w:marTop w:val="0"/>
      <w:marBottom w:val="0"/>
      <w:divBdr>
        <w:top w:val="none" w:sz="0" w:space="0" w:color="auto"/>
        <w:left w:val="none" w:sz="0" w:space="0" w:color="auto"/>
        <w:bottom w:val="none" w:sz="0" w:space="0" w:color="auto"/>
        <w:right w:val="none" w:sz="0" w:space="0" w:color="auto"/>
      </w:divBdr>
    </w:div>
    <w:div w:id="1334532636">
      <w:bodyDiv w:val="1"/>
      <w:marLeft w:val="0"/>
      <w:marRight w:val="0"/>
      <w:marTop w:val="0"/>
      <w:marBottom w:val="0"/>
      <w:divBdr>
        <w:top w:val="none" w:sz="0" w:space="0" w:color="auto"/>
        <w:left w:val="none" w:sz="0" w:space="0" w:color="auto"/>
        <w:bottom w:val="none" w:sz="0" w:space="0" w:color="auto"/>
        <w:right w:val="none" w:sz="0" w:space="0" w:color="auto"/>
      </w:divBdr>
    </w:div>
    <w:div w:id="1349789524">
      <w:bodyDiv w:val="1"/>
      <w:marLeft w:val="0"/>
      <w:marRight w:val="0"/>
      <w:marTop w:val="0"/>
      <w:marBottom w:val="0"/>
      <w:divBdr>
        <w:top w:val="none" w:sz="0" w:space="0" w:color="auto"/>
        <w:left w:val="none" w:sz="0" w:space="0" w:color="auto"/>
        <w:bottom w:val="none" w:sz="0" w:space="0" w:color="auto"/>
        <w:right w:val="none" w:sz="0" w:space="0" w:color="auto"/>
      </w:divBdr>
    </w:div>
    <w:div w:id="1350062356">
      <w:bodyDiv w:val="1"/>
      <w:marLeft w:val="0"/>
      <w:marRight w:val="0"/>
      <w:marTop w:val="0"/>
      <w:marBottom w:val="0"/>
      <w:divBdr>
        <w:top w:val="none" w:sz="0" w:space="0" w:color="auto"/>
        <w:left w:val="none" w:sz="0" w:space="0" w:color="auto"/>
        <w:bottom w:val="none" w:sz="0" w:space="0" w:color="auto"/>
        <w:right w:val="none" w:sz="0" w:space="0" w:color="auto"/>
      </w:divBdr>
    </w:div>
    <w:div w:id="1594120780">
      <w:bodyDiv w:val="1"/>
      <w:marLeft w:val="0"/>
      <w:marRight w:val="0"/>
      <w:marTop w:val="0"/>
      <w:marBottom w:val="0"/>
      <w:divBdr>
        <w:top w:val="none" w:sz="0" w:space="0" w:color="auto"/>
        <w:left w:val="none" w:sz="0" w:space="0" w:color="auto"/>
        <w:bottom w:val="none" w:sz="0" w:space="0" w:color="auto"/>
        <w:right w:val="none" w:sz="0" w:space="0" w:color="auto"/>
      </w:divBdr>
    </w:div>
    <w:div w:id="1643461320">
      <w:bodyDiv w:val="1"/>
      <w:marLeft w:val="0"/>
      <w:marRight w:val="0"/>
      <w:marTop w:val="0"/>
      <w:marBottom w:val="0"/>
      <w:divBdr>
        <w:top w:val="none" w:sz="0" w:space="0" w:color="auto"/>
        <w:left w:val="none" w:sz="0" w:space="0" w:color="auto"/>
        <w:bottom w:val="none" w:sz="0" w:space="0" w:color="auto"/>
        <w:right w:val="none" w:sz="0" w:space="0" w:color="auto"/>
      </w:divBdr>
    </w:div>
    <w:div w:id="1668709534">
      <w:bodyDiv w:val="1"/>
      <w:marLeft w:val="0"/>
      <w:marRight w:val="0"/>
      <w:marTop w:val="0"/>
      <w:marBottom w:val="0"/>
      <w:divBdr>
        <w:top w:val="none" w:sz="0" w:space="0" w:color="auto"/>
        <w:left w:val="none" w:sz="0" w:space="0" w:color="auto"/>
        <w:bottom w:val="none" w:sz="0" w:space="0" w:color="auto"/>
        <w:right w:val="none" w:sz="0" w:space="0" w:color="auto"/>
      </w:divBdr>
    </w:div>
    <w:div w:id="1720979175">
      <w:bodyDiv w:val="1"/>
      <w:marLeft w:val="0"/>
      <w:marRight w:val="0"/>
      <w:marTop w:val="0"/>
      <w:marBottom w:val="0"/>
      <w:divBdr>
        <w:top w:val="none" w:sz="0" w:space="0" w:color="auto"/>
        <w:left w:val="none" w:sz="0" w:space="0" w:color="auto"/>
        <w:bottom w:val="none" w:sz="0" w:space="0" w:color="auto"/>
        <w:right w:val="none" w:sz="0" w:space="0" w:color="auto"/>
      </w:divBdr>
    </w:div>
    <w:div w:id="1746489446">
      <w:bodyDiv w:val="1"/>
      <w:marLeft w:val="0"/>
      <w:marRight w:val="0"/>
      <w:marTop w:val="0"/>
      <w:marBottom w:val="0"/>
      <w:divBdr>
        <w:top w:val="none" w:sz="0" w:space="0" w:color="auto"/>
        <w:left w:val="none" w:sz="0" w:space="0" w:color="auto"/>
        <w:bottom w:val="none" w:sz="0" w:space="0" w:color="auto"/>
        <w:right w:val="none" w:sz="0" w:space="0" w:color="auto"/>
      </w:divBdr>
    </w:div>
    <w:div w:id="1786801812">
      <w:bodyDiv w:val="1"/>
      <w:marLeft w:val="0"/>
      <w:marRight w:val="0"/>
      <w:marTop w:val="0"/>
      <w:marBottom w:val="0"/>
      <w:divBdr>
        <w:top w:val="none" w:sz="0" w:space="0" w:color="auto"/>
        <w:left w:val="none" w:sz="0" w:space="0" w:color="auto"/>
        <w:bottom w:val="none" w:sz="0" w:space="0" w:color="auto"/>
        <w:right w:val="none" w:sz="0" w:space="0" w:color="auto"/>
      </w:divBdr>
    </w:div>
    <w:div w:id="1851026599">
      <w:bodyDiv w:val="1"/>
      <w:marLeft w:val="0"/>
      <w:marRight w:val="0"/>
      <w:marTop w:val="0"/>
      <w:marBottom w:val="0"/>
      <w:divBdr>
        <w:top w:val="none" w:sz="0" w:space="0" w:color="auto"/>
        <w:left w:val="none" w:sz="0" w:space="0" w:color="auto"/>
        <w:bottom w:val="none" w:sz="0" w:space="0" w:color="auto"/>
        <w:right w:val="none" w:sz="0" w:space="0" w:color="auto"/>
      </w:divBdr>
    </w:div>
    <w:div w:id="1872956084">
      <w:bodyDiv w:val="1"/>
      <w:marLeft w:val="0"/>
      <w:marRight w:val="0"/>
      <w:marTop w:val="0"/>
      <w:marBottom w:val="0"/>
      <w:divBdr>
        <w:top w:val="none" w:sz="0" w:space="0" w:color="auto"/>
        <w:left w:val="none" w:sz="0" w:space="0" w:color="auto"/>
        <w:bottom w:val="none" w:sz="0" w:space="0" w:color="auto"/>
        <w:right w:val="none" w:sz="0" w:space="0" w:color="auto"/>
      </w:divBdr>
    </w:div>
    <w:div w:id="2012370139">
      <w:bodyDiv w:val="1"/>
      <w:marLeft w:val="0"/>
      <w:marRight w:val="0"/>
      <w:marTop w:val="0"/>
      <w:marBottom w:val="0"/>
      <w:divBdr>
        <w:top w:val="none" w:sz="0" w:space="0" w:color="auto"/>
        <w:left w:val="none" w:sz="0" w:space="0" w:color="auto"/>
        <w:bottom w:val="none" w:sz="0" w:space="0" w:color="auto"/>
        <w:right w:val="none" w:sz="0" w:space="0" w:color="auto"/>
      </w:divBdr>
    </w:div>
    <w:div w:id="2061323249">
      <w:bodyDiv w:val="1"/>
      <w:marLeft w:val="0"/>
      <w:marRight w:val="0"/>
      <w:marTop w:val="0"/>
      <w:marBottom w:val="0"/>
      <w:divBdr>
        <w:top w:val="none" w:sz="0" w:space="0" w:color="auto"/>
        <w:left w:val="none" w:sz="0" w:space="0" w:color="auto"/>
        <w:bottom w:val="none" w:sz="0" w:space="0" w:color="auto"/>
        <w:right w:val="none" w:sz="0" w:space="0" w:color="auto"/>
      </w:divBdr>
    </w:div>
    <w:div w:id="2086995885">
      <w:bodyDiv w:val="1"/>
      <w:marLeft w:val="0"/>
      <w:marRight w:val="0"/>
      <w:marTop w:val="0"/>
      <w:marBottom w:val="0"/>
      <w:divBdr>
        <w:top w:val="none" w:sz="0" w:space="0" w:color="auto"/>
        <w:left w:val="none" w:sz="0" w:space="0" w:color="auto"/>
        <w:bottom w:val="none" w:sz="0" w:space="0" w:color="auto"/>
        <w:right w:val="none" w:sz="0" w:space="0" w:color="auto"/>
      </w:divBdr>
    </w:div>
    <w:div w:id="213925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ngland.nhs.uk/diabetes/diabetes-preven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ngtermplan.nhs.uk/" TargetMode="External"/><Relationship Id="rId11" Type="http://schemas.openxmlformats.org/officeDocument/2006/relationships/hyperlink" Target="https://www.who.int/news-room/fact-sheets/detail/diabetes" TargetMode="External"/><Relationship Id="rId5" Type="http://schemas.openxmlformats.org/officeDocument/2006/relationships/hyperlink" Target="https://www.diabetes.org.uk/" TargetMode="External"/><Relationship Id="rId10" Type="http://schemas.openxmlformats.org/officeDocument/2006/relationships/hyperlink" Target="https://www.gov.uk/government/publications/health-inequalities-in-health-protection-report/health-inequalities-in-health-protection-report-2025" TargetMode="External"/><Relationship Id="rId4" Type="http://schemas.openxmlformats.org/officeDocument/2006/relationships/webSettings" Target="webSettings.xml"/><Relationship Id="rId9" Type="http://schemas.openxmlformats.org/officeDocument/2006/relationships/hyperlink" Target="https://fingertips.phe.org.uk/profile/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2006</Words>
  <Characters>11436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Omoregie Famous</dc:creator>
  <cp:keywords/>
  <dc:description/>
  <cp:lastModifiedBy>Esther Uyi Okhilu (2433459)</cp:lastModifiedBy>
  <cp:revision>2</cp:revision>
  <dcterms:created xsi:type="dcterms:W3CDTF">2025-11-12T19:39:00Z</dcterms:created>
  <dcterms:modified xsi:type="dcterms:W3CDTF">2025-11-12T19:39:00Z</dcterms:modified>
</cp:coreProperties>
</file>