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5E5678" w14:textId="77777777" w:rsidR="002C3443" w:rsidRDefault="002C3443" w:rsidP="002C344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w:t>
      </w:r>
    </w:p>
    <w:p w14:paraId="5228124F" w14:textId="77777777" w:rsidR="002C3443" w:rsidRDefault="002C3443" w:rsidP="002C344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2024)</w:t>
      </w:r>
    </w:p>
    <w:p w14:paraId="66533CEF" w14:textId="77777777" w:rsidR="002C3443" w:rsidRDefault="002C3443" w:rsidP="002C3443">
      <w:pPr>
        <w:pStyle w:val="Heading1"/>
      </w:pPr>
      <w:bookmarkStart w:id="0" w:name="_Toc163248639"/>
      <w:r>
        <w:t>Part b) Company’s financial performances</w:t>
      </w:r>
      <w:bookmarkEnd w:id="0"/>
    </w:p>
    <w:p w14:paraId="22558DAB" w14:textId="77777777" w:rsidR="002C3443" w:rsidRDefault="002C3443" w:rsidP="002C3443">
      <w:pPr>
        <w:pStyle w:val="Heading2"/>
      </w:pPr>
      <w:bookmarkStart w:id="1" w:name="_Toc163248640"/>
      <w:r>
        <w:t xml:space="preserve">1. Calculation of financial </w:t>
      </w:r>
      <w:r w:rsidRPr="00D62A92">
        <w:t>ratios</w:t>
      </w:r>
      <w:r>
        <w:t xml:space="preserve"> and briefly discuss your results</w:t>
      </w:r>
      <w:bookmarkEnd w:id="1"/>
    </w:p>
    <w:p w14:paraId="4728A1BA" w14:textId="77777777" w:rsidR="002C3443" w:rsidRDefault="002C3443" w:rsidP="002C344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BA9DD24" wp14:editId="5E957269">
            <wp:extent cx="5731200" cy="3683000"/>
            <wp:effectExtent l="0" t="0" r="0" b="0"/>
            <wp:docPr id="9" name="image10.png" descr="A screenshot of a table&#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0.png" descr="A screenshot of a table&#10;&#10;Description automatically generated"/>
                    <pic:cNvPicPr preferRelativeResize="0"/>
                  </pic:nvPicPr>
                  <pic:blipFill>
                    <a:blip r:embed="rId5"/>
                    <a:srcRect/>
                    <a:stretch>
                      <a:fillRect/>
                    </a:stretch>
                  </pic:blipFill>
                  <pic:spPr>
                    <a:xfrm>
                      <a:off x="0" y="0"/>
                      <a:ext cx="5731200" cy="3683000"/>
                    </a:xfrm>
                    <a:prstGeom prst="rect">
                      <a:avLst/>
                    </a:prstGeom>
                    <a:ln/>
                  </pic:spPr>
                </pic:pic>
              </a:graphicData>
            </a:graphic>
          </wp:inline>
        </w:drawing>
      </w:r>
    </w:p>
    <w:p w14:paraId="7CD136C8"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Efficiency Ratio</w:t>
      </w:r>
    </w:p>
    <w:p w14:paraId="012F8B2D"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Inventories Turnover Ratio</w:t>
      </w:r>
    </w:p>
    <w:p w14:paraId="17FADBD9"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typical range (ratio) for inventory turnover of Walt Disney Company in 2014-2019 is around 8.60. This makes Oct. the third most seasonal month for Walt Disney, with the merchandise selling 8.6 times a year, on average (</w:t>
      </w:r>
      <w:r>
        <w:rPr>
          <w:rFonts w:ascii="Times New Roman" w:eastAsia="Times New Roman" w:hAnsi="Times New Roman" w:cs="Times New Roman"/>
          <w:color w:val="222222"/>
          <w:sz w:val="24"/>
          <w:szCs w:val="24"/>
          <w:highlight w:val="white"/>
        </w:rPr>
        <w:t>Nasution, 2020)</w:t>
      </w:r>
      <w:r>
        <w:rPr>
          <w:rFonts w:ascii="Times New Roman" w:eastAsia="Times New Roman" w:hAnsi="Times New Roman" w:cs="Times New Roman"/>
          <w:sz w:val="24"/>
          <w:szCs w:val="24"/>
        </w:rPr>
        <w:t xml:space="preserve">. High inventory turnover ratio in most cases signals impeccable inventory control, since by this </w:t>
      </w:r>
      <w:proofErr w:type="gramStart"/>
      <w:r>
        <w:rPr>
          <w:rFonts w:ascii="Times New Roman" w:eastAsia="Times New Roman" w:hAnsi="Times New Roman" w:cs="Times New Roman"/>
          <w:sz w:val="24"/>
          <w:szCs w:val="24"/>
        </w:rPr>
        <w:t>it can be seen that the</w:t>
      </w:r>
      <w:proofErr w:type="gramEnd"/>
      <w:r>
        <w:rPr>
          <w:rFonts w:ascii="Times New Roman" w:eastAsia="Times New Roman" w:hAnsi="Times New Roman" w:cs="Times New Roman"/>
          <w:sz w:val="24"/>
          <w:szCs w:val="24"/>
        </w:rPr>
        <w:t xml:space="preserve"> company is using its stock efficiently and is selling its items through it adequately.</w:t>
      </w:r>
    </w:p>
    <w:p w14:paraId="0DD0C48A" w14:textId="77777777" w:rsidR="002C3443" w:rsidRDefault="002C3443" w:rsidP="002C3443">
      <w:pPr>
        <w:spacing w:line="360" w:lineRule="auto"/>
        <w:jc w:val="both"/>
        <w:rPr>
          <w:rFonts w:ascii="Times New Roman" w:eastAsia="Times New Roman" w:hAnsi="Times New Roman" w:cs="Times New Roman"/>
          <w:sz w:val="24"/>
          <w:szCs w:val="24"/>
        </w:rPr>
      </w:pPr>
    </w:p>
    <w:p w14:paraId="1D10A3A9"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Settlement Period for Receivable</w:t>
      </w:r>
    </w:p>
    <w:p w14:paraId="22634B19"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payable days of receivables of Walt Disney Company increased significantly from that of 2019 levels (76 days) to those of 2023 (51 days). This possibility is the reason why those types of transactions are always much faster (</w:t>
      </w:r>
      <w:proofErr w:type="spellStart"/>
      <w:r>
        <w:rPr>
          <w:rFonts w:ascii="Times New Roman" w:eastAsia="Times New Roman" w:hAnsi="Times New Roman" w:cs="Times New Roman"/>
          <w:sz w:val="24"/>
          <w:szCs w:val="24"/>
        </w:rPr>
        <w:t>Listiadi</w:t>
      </w:r>
      <w:proofErr w:type="spellEnd"/>
      <w:r>
        <w:rPr>
          <w:rFonts w:ascii="Times New Roman" w:eastAsia="Times New Roman" w:hAnsi="Times New Roman" w:cs="Times New Roman"/>
          <w:sz w:val="24"/>
          <w:szCs w:val="24"/>
        </w:rPr>
        <w:t xml:space="preserve">, 2022). An overall decline in the duration of </w:t>
      </w:r>
      <w:r>
        <w:rPr>
          <w:rFonts w:ascii="Times New Roman" w:eastAsia="Times New Roman" w:hAnsi="Times New Roman" w:cs="Times New Roman"/>
          <w:sz w:val="24"/>
          <w:szCs w:val="24"/>
        </w:rPr>
        <w:lastRenderedPageBreak/>
        <w:t>trade transactions allows for quicker collection of the money, thereby easing down the money waiting, increasing the cash flow.</w:t>
      </w:r>
    </w:p>
    <w:p w14:paraId="5644BEDB" w14:textId="77777777" w:rsidR="002C3443" w:rsidRDefault="002C3443" w:rsidP="002C3443">
      <w:pPr>
        <w:spacing w:line="360" w:lineRule="auto"/>
        <w:jc w:val="both"/>
        <w:rPr>
          <w:rFonts w:ascii="Times New Roman" w:eastAsia="Times New Roman" w:hAnsi="Times New Roman" w:cs="Times New Roman"/>
          <w:sz w:val="24"/>
          <w:szCs w:val="24"/>
        </w:rPr>
      </w:pPr>
    </w:p>
    <w:p w14:paraId="265AC5AB"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Settlement Period for Payables</w:t>
      </w:r>
    </w:p>
    <w:p w14:paraId="035DF4B6"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 the average settlement period for creditors in Walt Disney, it gradually developed as an alarming tendency </w:t>
      </w:r>
      <w:proofErr w:type="gramStart"/>
      <w:r>
        <w:rPr>
          <w:rFonts w:ascii="Times New Roman" w:eastAsia="Times New Roman" w:hAnsi="Times New Roman" w:cs="Times New Roman"/>
          <w:sz w:val="24"/>
          <w:szCs w:val="24"/>
        </w:rPr>
        <w:t>during</w:t>
      </w:r>
      <w:proofErr w:type="gramEnd"/>
      <w:r>
        <w:rPr>
          <w:rFonts w:ascii="Times New Roman" w:eastAsia="Times New Roman" w:hAnsi="Times New Roman" w:cs="Times New Roman"/>
          <w:sz w:val="24"/>
          <w:szCs w:val="24"/>
        </w:rPr>
        <w:t xml:space="preserve"> 5 years (2018-2022). It increased very high in the beginning, starting with 936 days in 2019, and it peaked in 2021 with 1,617 days. In this case, depicts an enormous postponement of the payments to provide them with commodities and services (Ilter, 2020). It could be beneficial by enhancing a profit in the short run, yet the long-term consequences could be most detrimental to relationships with vendors, ultimately predisposing the latter to the possible future episode of product scarcity or price increase.</w:t>
      </w:r>
    </w:p>
    <w:p w14:paraId="46819773" w14:textId="77777777" w:rsidR="002C3443" w:rsidRDefault="002C3443" w:rsidP="002C3443">
      <w:pPr>
        <w:spacing w:line="360" w:lineRule="auto"/>
        <w:jc w:val="both"/>
        <w:rPr>
          <w:rFonts w:ascii="Times New Roman" w:eastAsia="Times New Roman" w:hAnsi="Times New Roman" w:cs="Times New Roman"/>
          <w:sz w:val="24"/>
          <w:szCs w:val="24"/>
        </w:rPr>
      </w:pPr>
    </w:p>
    <w:p w14:paraId="749BEC7E"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Working Capital Cycle</w:t>
      </w:r>
    </w:p>
    <w:p w14:paraId="1CCC9630"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capital cycle of Walt Disney during this period (2019-2023) showed a shift to the left, meaning, Walt Disney was on the positive cash flow. The negative value shows that the company gets money from the clients ahead of time than it does from the suppliers because of this process. 2019 recorded the longest payment period of -850 days between suppliers and the organisation (that is 850 days in beforehand of the pay)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While it improved somewhat by the middle of 2023 (-1,218 days), it anyway signifies that Disney fleet ratios are more efficient than large retail stores since it requires less inventory and generates cash flow faster by collecting customer payments quicker.</w:t>
      </w:r>
    </w:p>
    <w:p w14:paraId="6FAA5F04" w14:textId="77777777" w:rsidR="002C3443" w:rsidRDefault="002C3443" w:rsidP="002C3443">
      <w:pPr>
        <w:spacing w:line="360" w:lineRule="auto"/>
        <w:jc w:val="both"/>
        <w:rPr>
          <w:rFonts w:ascii="Times New Roman" w:eastAsia="Times New Roman" w:hAnsi="Times New Roman" w:cs="Times New Roman"/>
          <w:sz w:val="24"/>
          <w:szCs w:val="24"/>
        </w:rPr>
      </w:pPr>
    </w:p>
    <w:p w14:paraId="760C0367"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Ratios</w:t>
      </w:r>
    </w:p>
    <w:p w14:paraId="45EB7670"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w:t>
      </w:r>
    </w:p>
    <w:p w14:paraId="752B6F71"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financing items which saw a number of </w:t>
      </w:r>
      <w:proofErr w:type="gramStart"/>
      <w:r>
        <w:rPr>
          <w:rFonts w:ascii="Times New Roman" w:eastAsia="Times New Roman" w:hAnsi="Times New Roman" w:cs="Times New Roman"/>
          <w:sz w:val="24"/>
          <w:szCs w:val="24"/>
        </w:rPr>
        <w:t>growth</w:t>
      </w:r>
      <w:proofErr w:type="gramEnd"/>
      <w:r>
        <w:rPr>
          <w:rFonts w:ascii="Times New Roman" w:eastAsia="Times New Roman" w:hAnsi="Times New Roman" w:cs="Times New Roman"/>
          <w:sz w:val="24"/>
          <w:szCs w:val="24"/>
        </w:rPr>
        <w:t xml:space="preserve"> was Walt Disney's debt-to-equity ratio starting from 0.2 in the year 2019 but in 2023 it increased up to 0.4. It means that the business has very recently increased the borrowings which have helped in financing the operations whereas raising equity from the equity shareholders has not been an easy exercise for the company (Nukala and Prasada Rao, 2021). It is true that the D/E ratio, which is higher, can raise some doubts about the company’s financial risks of which Disney’s current ratio </w:t>
      </w:r>
      <w:proofErr w:type="gramStart"/>
      <w:r>
        <w:rPr>
          <w:rFonts w:ascii="Times New Roman" w:eastAsia="Times New Roman" w:hAnsi="Times New Roman" w:cs="Times New Roman"/>
          <w:sz w:val="24"/>
          <w:szCs w:val="24"/>
        </w:rPr>
        <w:t>still remains</w:t>
      </w:r>
      <w:proofErr w:type="gramEnd"/>
      <w:r>
        <w:rPr>
          <w:rFonts w:ascii="Times New Roman" w:eastAsia="Times New Roman" w:hAnsi="Times New Roman" w:cs="Times New Roman"/>
          <w:sz w:val="24"/>
          <w:szCs w:val="24"/>
        </w:rPr>
        <w:t xml:space="preserve"> more than 1, showing that it has enough short-term assets to pay its liabilities. </w:t>
      </w:r>
    </w:p>
    <w:p w14:paraId="1E5F2A34" w14:textId="77777777" w:rsidR="002C3443" w:rsidRDefault="002C3443" w:rsidP="002C3443">
      <w:pPr>
        <w:spacing w:line="360" w:lineRule="auto"/>
        <w:jc w:val="both"/>
        <w:rPr>
          <w:rFonts w:ascii="Times New Roman" w:eastAsia="Times New Roman" w:hAnsi="Times New Roman" w:cs="Times New Roman"/>
          <w:b/>
          <w:i/>
          <w:sz w:val="24"/>
          <w:szCs w:val="24"/>
        </w:rPr>
      </w:pPr>
    </w:p>
    <w:p w14:paraId="43E2D2F3"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Gearing Ratio</w:t>
      </w:r>
    </w:p>
    <w:p w14:paraId="6FC387BF"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revelation that Walt Disney Inc has a financial gearing ratio, which follows the same pattern as its D/E ratio, is an indication that the company is increasingly reliant on debt financing. Thus, there was a steady rise in the female population from 52% in 2019 to 51% in 2023. Gearing Revenue means approaching a company's capital constitution in terms of debt as a proportion of total assets. While Disney's debt-to-equity ratio may not be growing aggressively and looks safe now, it still offers potential risks (Hidayat and Kurniasih, 2022). This is an essential step of comparison with industry benchmarks as well as monitoring its dynamic and performance on a company's ability to cover its debts.</w:t>
      </w:r>
    </w:p>
    <w:p w14:paraId="3B3B9190" w14:textId="77777777" w:rsidR="002C3443" w:rsidRDefault="002C3443" w:rsidP="002C3443">
      <w:pPr>
        <w:spacing w:line="360" w:lineRule="auto"/>
        <w:jc w:val="both"/>
        <w:rPr>
          <w:rFonts w:ascii="Times New Roman" w:eastAsia="Times New Roman" w:hAnsi="Times New Roman" w:cs="Times New Roman"/>
          <w:sz w:val="24"/>
          <w:szCs w:val="24"/>
        </w:rPr>
      </w:pPr>
    </w:p>
    <w:p w14:paraId="774C1FCB"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Interest Cover Ratio</w:t>
      </w:r>
    </w:p>
    <w:p w14:paraId="3E6CB0D2"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Walt Disney concern coverage ratio was indicating a drastic improvement in 2023 (a strong 3.94) from 2020 (a worrying 1.17). This position indicates the solvency of the company which is based on its capacity to cover its interest expenses with its operating earnings. A proportion below one suggests a problem meeting the liabilities incurred from interest (</w:t>
      </w:r>
      <w:proofErr w:type="spellStart"/>
      <w:r>
        <w:rPr>
          <w:rFonts w:ascii="Times New Roman" w:eastAsia="Times New Roman" w:hAnsi="Times New Roman" w:cs="Times New Roman"/>
          <w:sz w:val="24"/>
          <w:szCs w:val="24"/>
        </w:rPr>
        <w:t>Setiany</w:t>
      </w:r>
      <w:proofErr w:type="spellEnd"/>
      <w:r>
        <w:rPr>
          <w:rFonts w:ascii="Times New Roman" w:eastAsia="Times New Roman" w:hAnsi="Times New Roman" w:cs="Times New Roman"/>
          <w:sz w:val="24"/>
          <w:szCs w:val="24"/>
        </w:rPr>
        <w:t>, 2021). The improvement by the companies on its profitability demonstrates that it is enough to cover their debt servicing. The ratio when it explores the debt to manage finances is still not the most important one. Probably they will classify debt ratio above three as a promising sign of financial health improving.</w:t>
      </w:r>
    </w:p>
    <w:p w14:paraId="6AC84EB7" w14:textId="77777777" w:rsidR="002C3443" w:rsidRDefault="002C3443" w:rsidP="002C3443">
      <w:pPr>
        <w:spacing w:line="360" w:lineRule="auto"/>
        <w:jc w:val="both"/>
        <w:rPr>
          <w:rFonts w:ascii="Times New Roman" w:eastAsia="Times New Roman" w:hAnsi="Times New Roman" w:cs="Times New Roman"/>
          <w:b/>
          <w:sz w:val="24"/>
          <w:szCs w:val="24"/>
        </w:rPr>
      </w:pPr>
    </w:p>
    <w:p w14:paraId="2180A7F0"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Profitability Ratio</w:t>
      </w:r>
    </w:p>
    <w:p w14:paraId="5FB75390"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Return on Capital Employed (ROCE)</w:t>
      </w:r>
    </w:p>
    <w:p w14:paraId="170DB00E"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ROCE of Walt Disney proved quite variable for five years from 2019 that accounted for 12.15% and 2023 with only 3.98%. It is also observed a significant decrease in 2020 that amounts to (1.31%). This probably has an impact on factors on the entertainment industry (</w:t>
      </w:r>
      <w:proofErr w:type="spellStart"/>
      <w:r>
        <w:rPr>
          <w:rFonts w:ascii="Times New Roman" w:eastAsia="Times New Roman" w:hAnsi="Times New Roman" w:cs="Times New Roman"/>
          <w:sz w:val="24"/>
          <w:szCs w:val="24"/>
        </w:rPr>
        <w:t>Iliemena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Although a recovery can be seen, the ROCE that was recorded is not as high as its 2019 peak, suggesting that there is still some work to be done to better the utilisation of capital for the business in its pursuit of generating profits.</w:t>
      </w:r>
    </w:p>
    <w:p w14:paraId="0327BC6A" w14:textId="77777777" w:rsidR="002C3443" w:rsidRDefault="002C3443" w:rsidP="002C3443">
      <w:pPr>
        <w:spacing w:line="360" w:lineRule="auto"/>
        <w:jc w:val="both"/>
        <w:rPr>
          <w:rFonts w:ascii="Times New Roman" w:eastAsia="Times New Roman" w:hAnsi="Times New Roman" w:cs="Times New Roman"/>
          <w:sz w:val="24"/>
          <w:szCs w:val="24"/>
        </w:rPr>
      </w:pPr>
    </w:p>
    <w:p w14:paraId="2673F23F"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Gross Profit Margin</w:t>
      </w:r>
    </w:p>
    <w:p w14:paraId="49211628"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Walt Disney Company displayed a rising trend in gross profit margin during the period of five years (2019-2013), which went from </w:t>
      </w:r>
      <w:proofErr w:type="gramStart"/>
      <w:r>
        <w:rPr>
          <w:rFonts w:ascii="Times New Roman" w:eastAsia="Times New Roman" w:hAnsi="Times New Roman" w:cs="Times New Roman"/>
          <w:sz w:val="24"/>
          <w:szCs w:val="24"/>
        </w:rPr>
        <w:t>2.%</w:t>
      </w:r>
      <w:proofErr w:type="gramEnd"/>
      <w:r>
        <w:rPr>
          <w:rFonts w:ascii="Times New Roman" w:eastAsia="Times New Roman" w:hAnsi="Times New Roman" w:cs="Times New Roman"/>
          <w:sz w:val="24"/>
          <w:szCs w:val="24"/>
        </w:rPr>
        <w:t xml:space="preserve"> to 34.% in 2023. This, in turn, shows that the manufacturer is making bigger profits from the sales of its products and/or services after they have been deducted the cost of sold goods. It is imperative to state that the earnings before interests, taxes, depreciations, and amortisation </w:t>
      </w:r>
      <w:proofErr w:type="gramStart"/>
      <w:r>
        <w:rPr>
          <w:rFonts w:ascii="Times New Roman" w:eastAsia="Times New Roman" w:hAnsi="Times New Roman" w:cs="Times New Roman"/>
          <w:sz w:val="24"/>
          <w:szCs w:val="24"/>
        </w:rPr>
        <w:t>is an approximation of</w:t>
      </w:r>
      <w:proofErr w:type="gramEnd"/>
      <w:r>
        <w:rPr>
          <w:rFonts w:ascii="Times New Roman" w:eastAsia="Times New Roman" w:hAnsi="Times New Roman" w:cs="Times New Roman"/>
          <w:sz w:val="24"/>
          <w:szCs w:val="24"/>
        </w:rPr>
        <w:t xml:space="preserve"> how well the company </w:t>
      </w:r>
      <w:r>
        <w:rPr>
          <w:rFonts w:ascii="Times New Roman" w:eastAsia="Times New Roman" w:hAnsi="Times New Roman" w:cs="Times New Roman"/>
          <w:sz w:val="24"/>
          <w:szCs w:val="24"/>
        </w:rPr>
        <w:lastRenderedPageBreak/>
        <w:t>has performed (</w:t>
      </w:r>
      <w:proofErr w:type="spellStart"/>
      <w:r>
        <w:rPr>
          <w:rFonts w:ascii="Times New Roman" w:eastAsia="Times New Roman" w:hAnsi="Times New Roman" w:cs="Times New Roman"/>
          <w:sz w:val="24"/>
          <w:szCs w:val="24"/>
        </w:rPr>
        <w:t>Nariswari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Nugraha</w:t>
      </w:r>
      <w:proofErr w:type="spellEnd"/>
      <w:r>
        <w:rPr>
          <w:rFonts w:ascii="Times New Roman" w:eastAsia="Times New Roman" w:hAnsi="Times New Roman" w:cs="Times New Roman"/>
          <w:sz w:val="24"/>
          <w:szCs w:val="24"/>
        </w:rPr>
        <w:t>, 2020). This betterment indicates that Disney has potentially achieved an optimal operating capability.</w:t>
      </w:r>
    </w:p>
    <w:p w14:paraId="155BE103" w14:textId="77777777" w:rsidR="002C3443" w:rsidRDefault="002C3443" w:rsidP="002C3443">
      <w:pPr>
        <w:spacing w:line="360" w:lineRule="auto"/>
        <w:jc w:val="both"/>
        <w:rPr>
          <w:rFonts w:ascii="Times New Roman" w:eastAsia="Times New Roman" w:hAnsi="Times New Roman" w:cs="Times New Roman"/>
          <w:sz w:val="24"/>
          <w:szCs w:val="24"/>
        </w:rPr>
      </w:pPr>
    </w:p>
    <w:p w14:paraId="00D3F9D3"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Operating Profit Margin</w:t>
      </w:r>
    </w:p>
    <w:p w14:paraId="5F23BCF0" w14:textId="77777777" w:rsidR="002C3443" w:rsidRPr="00D62A92" w:rsidRDefault="002C3443" w:rsidP="002C3443">
      <w:pPr>
        <w:spacing w:line="360" w:lineRule="auto"/>
        <w:jc w:val="both"/>
        <w:rPr>
          <w:rFonts w:ascii="Times New Roman" w:eastAsia="Times New Roman" w:hAnsi="Times New Roman" w:cs="Times New Roman"/>
          <w:sz w:val="24"/>
          <w:szCs w:val="24"/>
        </w:rPr>
      </w:pPr>
      <w:r w:rsidRPr="00D62A92">
        <w:rPr>
          <w:rFonts w:ascii="Times New Roman" w:eastAsia="Gungsuh" w:hAnsi="Times New Roman" w:cs="Times New Roman"/>
          <w:sz w:val="24"/>
          <w:szCs w:val="24"/>
        </w:rPr>
        <w:t>The operating profit margin of Walt Disney was on a bumpy road. Namely, it went to the bottom of 23.43% in 2019 and 5.30% in 2023. It tumbled drastically in 2020 (−2.67%) as headwinds of the pandemic-related issues might be involved. Despite partial recovery being visible, it’s still far from pre-pandemic levels (</w:t>
      </w:r>
      <w:proofErr w:type="spellStart"/>
      <w:r w:rsidRPr="00D62A92">
        <w:rPr>
          <w:rFonts w:ascii="Times New Roman" w:eastAsia="Gungsuh" w:hAnsi="Times New Roman" w:cs="Times New Roman"/>
          <w:sz w:val="24"/>
          <w:szCs w:val="24"/>
        </w:rPr>
        <w:t>Budianto</w:t>
      </w:r>
      <w:proofErr w:type="spellEnd"/>
      <w:r w:rsidRPr="00D62A92">
        <w:rPr>
          <w:rFonts w:ascii="Times New Roman" w:eastAsia="Gungsuh" w:hAnsi="Times New Roman" w:cs="Times New Roman"/>
          <w:sz w:val="24"/>
          <w:szCs w:val="24"/>
        </w:rPr>
        <w:t xml:space="preserve"> and Dewi, 2023). Therefore, it’s time to focus more on addressing profitability by taking care of all the actual costs.</w:t>
      </w:r>
    </w:p>
    <w:p w14:paraId="7914203F" w14:textId="77777777" w:rsidR="002C3443" w:rsidRDefault="002C3443" w:rsidP="002C3443">
      <w:pPr>
        <w:spacing w:line="360" w:lineRule="auto"/>
        <w:jc w:val="both"/>
        <w:rPr>
          <w:rFonts w:ascii="Times New Roman" w:eastAsia="Times New Roman" w:hAnsi="Times New Roman" w:cs="Times New Roman"/>
          <w:sz w:val="24"/>
          <w:szCs w:val="24"/>
        </w:rPr>
      </w:pPr>
    </w:p>
    <w:p w14:paraId="14260D1F"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Liquidity Ratio</w:t>
      </w:r>
    </w:p>
    <w:p w14:paraId="12D21809"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Current Ratio</w:t>
      </w:r>
    </w:p>
    <w:p w14:paraId="20F0C679"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about Walt Disney's current ratio starts with 2019 which is about 0.9 and ends with 2023 with 1.05. It would be better if the current ratio was from 1.5 to 3 and that a company owned enough current assets (like cash or inventory) to cover the short-term debt (like – bills and upcoming payments of debt) (</w:t>
      </w:r>
      <w:proofErr w:type="spellStart"/>
      <w:r>
        <w:rPr>
          <w:rFonts w:ascii="Times New Roman" w:eastAsia="Times New Roman" w:hAnsi="Times New Roman" w:cs="Times New Roman"/>
          <w:sz w:val="24"/>
          <w:szCs w:val="24"/>
        </w:rPr>
        <w:t>Irsan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Rambe</w:t>
      </w:r>
      <w:proofErr w:type="spellEnd"/>
      <w:r>
        <w:rPr>
          <w:rFonts w:ascii="Times New Roman" w:eastAsia="Times New Roman" w:hAnsi="Times New Roman" w:cs="Times New Roman"/>
          <w:sz w:val="24"/>
          <w:szCs w:val="24"/>
        </w:rPr>
        <w:t xml:space="preserve">, 2021). Similarly, unlike other sectors, Disney has never gone below one,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the ratio being just over one tells us that must be tread carefully. This could lead to over credit ending in bills that are unmanageable.</w:t>
      </w:r>
    </w:p>
    <w:p w14:paraId="4FFAC215" w14:textId="77777777" w:rsidR="002C3443" w:rsidRDefault="002C3443" w:rsidP="002C3443">
      <w:pPr>
        <w:spacing w:line="360" w:lineRule="auto"/>
        <w:jc w:val="both"/>
        <w:rPr>
          <w:rFonts w:ascii="Times New Roman" w:eastAsia="Times New Roman" w:hAnsi="Times New Roman" w:cs="Times New Roman"/>
          <w:sz w:val="24"/>
          <w:szCs w:val="24"/>
        </w:rPr>
      </w:pPr>
    </w:p>
    <w:p w14:paraId="61F48D52"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Acid Test Ratio</w:t>
      </w:r>
    </w:p>
    <w:p w14:paraId="7DDE7FFE"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liquidity position of The Walt Disney Company, as depicted by the lower acid-test ratio, nevertheless, became a source for concern in the period 2019-2023 which occurred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“acid test ratio” of 0.84 in 2019 and 0.66 in 2023. The ratio of this class of stocks covers only the more liquid current assets, and thus, the inventory is not included. Only cash and marketable securities go into making up the list. An indicator below 1 will imply that it is extremely difficult to meet pressing short-term obligations using existing sole liquid assets (</w:t>
      </w:r>
      <w:proofErr w:type="spellStart"/>
      <w:r>
        <w:rPr>
          <w:rFonts w:ascii="Times New Roman" w:eastAsia="Times New Roman" w:hAnsi="Times New Roman" w:cs="Times New Roman"/>
          <w:sz w:val="24"/>
          <w:szCs w:val="24"/>
        </w:rPr>
        <w:t>Kumoro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The deteriorating ratio of SMKN of Disney hints at a problem associated with the meeting of short-term needs as well as the need for sale of shares or assets. This shows that the good preparation and cutting down of current debt and settling current debts are necessary.</w:t>
      </w:r>
    </w:p>
    <w:p w14:paraId="5BE1211E" w14:textId="77777777" w:rsidR="002C3443" w:rsidRDefault="002C3443" w:rsidP="002C3443">
      <w:pPr>
        <w:spacing w:line="360" w:lineRule="auto"/>
        <w:jc w:val="both"/>
        <w:rPr>
          <w:rFonts w:ascii="Times New Roman" w:eastAsia="Times New Roman" w:hAnsi="Times New Roman" w:cs="Times New Roman"/>
          <w:b/>
          <w:sz w:val="24"/>
          <w:szCs w:val="24"/>
        </w:rPr>
      </w:pPr>
    </w:p>
    <w:p w14:paraId="66C060D3" w14:textId="77777777" w:rsidR="002C3443" w:rsidRDefault="002C3443" w:rsidP="002C3443">
      <w:pPr>
        <w:pStyle w:val="Heading2"/>
      </w:pPr>
      <w:bookmarkStart w:id="2" w:name="_Toc163248641"/>
      <w:r>
        <w:lastRenderedPageBreak/>
        <w:t>2. Critically evaluate the ratios you calculated using academic references</w:t>
      </w:r>
      <w:bookmarkEnd w:id="2"/>
    </w:p>
    <w:p w14:paraId="7D4F7230"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Efficiency Ratio</w:t>
      </w:r>
    </w:p>
    <w:p w14:paraId="6BDC9F16"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strength of Disney’s average inventory turnover ratio of 8.6 over the last five years, its inventory management has not been poor, as the company has managed to sell its stock eight and a half times during the whole year on average. On the contrary, a more complimentary approach should be used. The article by </w:t>
      </w:r>
      <w:proofErr w:type="spellStart"/>
      <w:r>
        <w:rPr>
          <w:rFonts w:ascii="Times New Roman" w:eastAsia="Times New Roman" w:hAnsi="Times New Roman" w:cs="Times New Roman"/>
          <w:sz w:val="24"/>
          <w:szCs w:val="24"/>
        </w:rPr>
        <w:t>Alarussi</w:t>
      </w:r>
      <w:proofErr w:type="spellEnd"/>
      <w:r>
        <w:rPr>
          <w:rFonts w:ascii="Times New Roman" w:eastAsia="Times New Roman" w:hAnsi="Times New Roman" w:cs="Times New Roman"/>
          <w:sz w:val="24"/>
          <w:szCs w:val="24"/>
        </w:rPr>
        <w:t xml:space="preserve"> (2021) says that the return on sales which is higher rather than normal is typically a positive sign in retail.</w:t>
      </w:r>
    </w:p>
    <w:p w14:paraId="09CFEE61" w14:textId="77777777" w:rsidR="002C3443" w:rsidRDefault="002C3443" w:rsidP="002C3443">
      <w:pPr>
        <w:spacing w:line="360" w:lineRule="auto"/>
        <w:jc w:val="both"/>
        <w:rPr>
          <w:rFonts w:ascii="Times New Roman" w:eastAsia="Times New Roman" w:hAnsi="Times New Roman" w:cs="Times New Roman"/>
          <w:sz w:val="24"/>
          <w:szCs w:val="24"/>
        </w:rPr>
      </w:pPr>
    </w:p>
    <w:p w14:paraId="08F8BB8F"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Gearing Ratios</w:t>
      </w:r>
    </w:p>
    <w:p w14:paraId="494018E4"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Disney's debt-to-capital ratio (from 52% in 2019 to 51% in 2023) shows that much of Disney's financing appears to come from debt. Although it is not that high, it is desirable that the level of those screened is monitored. The financial risk rise is possible in the long-term if the coefficient of ratio has a high level (Tudose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Long-term prosperity of the company being the main goal, let's get this ratio analysed and compared with industry benchmarks to see if it's easy or hard on their debt paying ability.</w:t>
      </w:r>
    </w:p>
    <w:p w14:paraId="3B07C8A8" w14:textId="77777777" w:rsidR="002C3443" w:rsidRDefault="002C3443" w:rsidP="002C3443">
      <w:pPr>
        <w:spacing w:line="360" w:lineRule="auto"/>
        <w:jc w:val="both"/>
        <w:rPr>
          <w:rFonts w:ascii="Times New Roman" w:eastAsia="Times New Roman" w:hAnsi="Times New Roman" w:cs="Times New Roman"/>
          <w:b/>
          <w:i/>
          <w:sz w:val="24"/>
          <w:szCs w:val="24"/>
        </w:rPr>
      </w:pPr>
    </w:p>
    <w:p w14:paraId="34A9A91A"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Profitability Ratio</w:t>
      </w:r>
    </w:p>
    <w:p w14:paraId="6BC91CA4"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Profits of Walt Disney can be understood as both positive and negative according to the financial indicators. The volatilities of the ROCE, indicated in the consistency of profits, yielded by the invested capital might be applicable to the company's challenge of generating regular returns. On the other hand, the gross profit margin has been showing a gradual positive trend, especially in the last quarter, which indicates that the company is generating higher profits from its core operations (Husain and </w:t>
      </w:r>
      <w:proofErr w:type="spellStart"/>
      <w:r>
        <w:rPr>
          <w:rFonts w:ascii="Times New Roman" w:eastAsia="Times New Roman" w:hAnsi="Times New Roman" w:cs="Times New Roman"/>
          <w:sz w:val="24"/>
          <w:szCs w:val="24"/>
        </w:rPr>
        <w:t>Sunardi</w:t>
      </w:r>
      <w:proofErr w:type="spellEnd"/>
      <w:r>
        <w:rPr>
          <w:rFonts w:ascii="Times New Roman" w:eastAsia="Times New Roman" w:hAnsi="Times New Roman" w:cs="Times New Roman"/>
          <w:sz w:val="24"/>
          <w:szCs w:val="24"/>
        </w:rPr>
        <w:t>, 2020). However, its operating profit margin is still lower compared to that of pre-pandemic levels. This indicates an enhancement of the overall profitability, as the after-taxes earnings are a good indicator of dependability. In addition to this further study of industry benchmarks for the latter ratios can result in a broad picture about the performance of Disney.</w:t>
      </w:r>
    </w:p>
    <w:p w14:paraId="1D5CA363" w14:textId="77777777" w:rsidR="002C3443" w:rsidRDefault="002C3443" w:rsidP="002C3443">
      <w:pPr>
        <w:spacing w:line="360" w:lineRule="auto"/>
        <w:jc w:val="both"/>
        <w:rPr>
          <w:rFonts w:ascii="Times New Roman" w:eastAsia="Times New Roman" w:hAnsi="Times New Roman" w:cs="Times New Roman"/>
          <w:b/>
          <w:i/>
          <w:sz w:val="24"/>
          <w:szCs w:val="24"/>
        </w:rPr>
      </w:pPr>
    </w:p>
    <w:p w14:paraId="05F4BE59"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Liquidity Ratio</w:t>
      </w:r>
    </w:p>
    <w:p w14:paraId="19370459"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ratios related to liquidity of Walt Disney may have some negative aspects. The current ratio is over 1 for the time being so it has a little bit of a cushion for the immediate obligations. The downcast acid-test ratio, which is a highly selective measure, was on a steady decline, </w:t>
      </w:r>
      <w:r>
        <w:rPr>
          <w:rFonts w:ascii="Times New Roman" w:eastAsia="Times New Roman" w:hAnsi="Times New Roman" w:cs="Times New Roman"/>
          <w:sz w:val="24"/>
          <w:szCs w:val="24"/>
        </w:rPr>
        <w:lastRenderedPageBreak/>
        <w:t>evidently confirming that the company has problems covering its immediate needs with liquid assets with higher liquidity rates (</w:t>
      </w:r>
      <w:proofErr w:type="spellStart"/>
      <w:r>
        <w:rPr>
          <w:rFonts w:ascii="Times New Roman" w:eastAsia="Times New Roman" w:hAnsi="Times New Roman" w:cs="Times New Roman"/>
          <w:sz w:val="24"/>
          <w:szCs w:val="24"/>
        </w:rPr>
        <w:t>Pattiruhu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Paais</w:t>
      </w:r>
      <w:proofErr w:type="spellEnd"/>
      <w:r>
        <w:rPr>
          <w:rFonts w:ascii="Times New Roman" w:eastAsia="Times New Roman" w:hAnsi="Times New Roman" w:cs="Times New Roman"/>
          <w:sz w:val="24"/>
          <w:szCs w:val="24"/>
        </w:rPr>
        <w:t>, 2020). These examples show how being mindful of the current liabilities and having positive cash flow to overcome financial pressure are essential.</w:t>
      </w:r>
    </w:p>
    <w:p w14:paraId="6EAE7DA8" w14:textId="77777777" w:rsidR="002C3443" w:rsidRDefault="002C3443" w:rsidP="002C3443">
      <w:pPr>
        <w:spacing w:line="360" w:lineRule="auto"/>
        <w:jc w:val="both"/>
        <w:rPr>
          <w:rFonts w:ascii="Times New Roman" w:eastAsia="Times New Roman" w:hAnsi="Times New Roman" w:cs="Times New Roman"/>
          <w:b/>
          <w:sz w:val="24"/>
          <w:szCs w:val="24"/>
        </w:rPr>
      </w:pPr>
    </w:p>
    <w:p w14:paraId="37178021" w14:textId="77777777" w:rsidR="002C3443" w:rsidRDefault="002C3443" w:rsidP="002C3443">
      <w:pPr>
        <w:pStyle w:val="Heading2"/>
      </w:pPr>
      <w:bookmarkStart w:id="3" w:name="_Toc163248642"/>
      <w:r>
        <w:t>3. Comparison of your selected company to a major competitor</w:t>
      </w:r>
      <w:bookmarkEnd w:id="3"/>
    </w:p>
    <w:p w14:paraId="1B9B539F"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6531929" wp14:editId="5CF90CC4">
            <wp:extent cx="5731200" cy="2540000"/>
            <wp:effectExtent l="0" t="0" r="0" b="0"/>
            <wp:docPr id="1" name="image9.png"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9.png" descr="A screenshot of a computer screen&#10;&#10;Description automatically generated"/>
                    <pic:cNvPicPr preferRelativeResize="0"/>
                  </pic:nvPicPr>
                  <pic:blipFill>
                    <a:blip r:embed="rId6"/>
                    <a:srcRect/>
                    <a:stretch>
                      <a:fillRect/>
                    </a:stretch>
                  </pic:blipFill>
                  <pic:spPr>
                    <a:xfrm>
                      <a:off x="0" y="0"/>
                      <a:ext cx="5731200" cy="2540000"/>
                    </a:xfrm>
                    <a:prstGeom prst="rect">
                      <a:avLst/>
                    </a:prstGeom>
                    <a:ln/>
                  </pic:spPr>
                </pic:pic>
              </a:graphicData>
            </a:graphic>
          </wp:inline>
        </w:drawing>
      </w:r>
    </w:p>
    <w:p w14:paraId="30E3C83D"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Efficiency Ratio</w:t>
      </w:r>
    </w:p>
    <w:p w14:paraId="2D859EF5"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Inventories Turnover Ratio</w:t>
      </w:r>
    </w:p>
    <w:p w14:paraId="7A2FEBD3"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Netflix's average inventory turnover ratio (2019-2023: Apples enjoy higher brand recognition than Disney's (-0.8). It follows that Netflix updates its content inventory a bit rarely (i.e. this might be due to its streaming-centred business model in comparison to that of video distribution) (</w:t>
      </w:r>
      <w:proofErr w:type="spellStart"/>
      <w:r>
        <w:rPr>
          <w:rFonts w:ascii="Times New Roman" w:eastAsia="Times New Roman" w:hAnsi="Times New Roman" w:cs="Times New Roman"/>
          <w:sz w:val="24"/>
          <w:szCs w:val="24"/>
        </w:rPr>
        <w:t>Herison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1B770127" w14:textId="77777777" w:rsidR="002C3443" w:rsidRDefault="002C3443" w:rsidP="002C3443">
      <w:pPr>
        <w:spacing w:line="360" w:lineRule="auto"/>
        <w:jc w:val="both"/>
        <w:rPr>
          <w:rFonts w:ascii="Times New Roman" w:eastAsia="Times New Roman" w:hAnsi="Times New Roman" w:cs="Times New Roman"/>
          <w:sz w:val="24"/>
          <w:szCs w:val="24"/>
        </w:rPr>
      </w:pPr>
    </w:p>
    <w:p w14:paraId="3F74069E"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Settlement Period for Receivable</w:t>
      </w:r>
    </w:p>
    <w:p w14:paraId="612E9FE2"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Amongst all, Disney gets paid faster than Netflix since it is taking payments from the customers immediately. On average, Disney films collect after 42 days (2019-2023) whereas Netflix needs a much longer period, as Netflix’s films collect after 77 days (</w:t>
      </w:r>
      <w:proofErr w:type="spellStart"/>
      <w:r>
        <w:rPr>
          <w:rFonts w:ascii="Times New Roman" w:eastAsia="Times New Roman" w:hAnsi="Times New Roman" w:cs="Times New Roman"/>
          <w:sz w:val="24"/>
          <w:szCs w:val="24"/>
        </w:rPr>
        <w:t>Listiadi</w:t>
      </w:r>
      <w:proofErr w:type="spellEnd"/>
      <w:r>
        <w:rPr>
          <w:rFonts w:ascii="Times New Roman" w:eastAsia="Times New Roman" w:hAnsi="Times New Roman" w:cs="Times New Roman"/>
          <w:sz w:val="24"/>
          <w:szCs w:val="24"/>
        </w:rPr>
        <w:t>, 2022). This indicates that Disney's invoice and collections system are more effective.</w:t>
      </w:r>
    </w:p>
    <w:p w14:paraId="54B87BB0" w14:textId="77777777" w:rsidR="002C3443" w:rsidRDefault="002C3443" w:rsidP="002C3443">
      <w:pPr>
        <w:spacing w:line="360" w:lineRule="auto"/>
        <w:jc w:val="both"/>
        <w:rPr>
          <w:rFonts w:ascii="Times New Roman" w:eastAsia="Times New Roman" w:hAnsi="Times New Roman" w:cs="Times New Roman"/>
          <w:sz w:val="24"/>
          <w:szCs w:val="24"/>
        </w:rPr>
      </w:pPr>
    </w:p>
    <w:p w14:paraId="446DFFEE"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Average Settlement Period for Payables</w:t>
      </w:r>
    </w:p>
    <w:p w14:paraId="4B002401"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Netflix settles payments to suppliers much faster than Disney (average: It is apparent that a solitary trip to space might considerably influence an astronaut's psychological health and well-</w:t>
      </w:r>
      <w:r>
        <w:rPr>
          <w:rFonts w:ascii="Times New Roman" w:eastAsia="Times New Roman" w:hAnsi="Times New Roman" w:cs="Times New Roman"/>
          <w:sz w:val="24"/>
          <w:szCs w:val="24"/>
        </w:rPr>
        <w:lastRenderedPageBreak/>
        <w:t>being (Nguyen, 2021). Such Assumption could show that Netflix would give preference to quick payment for continuing fair trade relationships or negotiating the best deals.</w:t>
      </w:r>
    </w:p>
    <w:p w14:paraId="5F720C55" w14:textId="77777777" w:rsidR="002C3443" w:rsidRDefault="002C3443" w:rsidP="002C3443">
      <w:pPr>
        <w:spacing w:line="360" w:lineRule="auto"/>
        <w:jc w:val="both"/>
        <w:rPr>
          <w:rFonts w:ascii="Times New Roman" w:eastAsia="Times New Roman" w:hAnsi="Times New Roman" w:cs="Times New Roman"/>
          <w:sz w:val="24"/>
          <w:szCs w:val="24"/>
        </w:rPr>
      </w:pPr>
    </w:p>
    <w:p w14:paraId="35500E25"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Working Capital Cycle</w:t>
      </w:r>
    </w:p>
    <w:p w14:paraId="5B3B5F2E"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Netflix constantly boasts a shorter working capital cycle (average: OSG's profitability is 214 times) (374 days) greater than that of Disney's (-1,097 days). As a result, Netflix makes the money go back to its customers and pay suppliers quicker - this enhances the inflow of cash - whereas Disney seems to gain by pre-payments or extended payment terms, which delays the outflow of cash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0FBF5B54" w14:textId="77777777" w:rsidR="002C3443" w:rsidRDefault="002C3443" w:rsidP="002C3443">
      <w:pPr>
        <w:spacing w:line="360" w:lineRule="auto"/>
        <w:jc w:val="both"/>
        <w:rPr>
          <w:rFonts w:ascii="Times New Roman" w:eastAsia="Times New Roman" w:hAnsi="Times New Roman" w:cs="Times New Roman"/>
          <w:sz w:val="24"/>
          <w:szCs w:val="24"/>
        </w:rPr>
      </w:pPr>
    </w:p>
    <w:p w14:paraId="3B1F6368"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Ratios</w:t>
      </w:r>
    </w:p>
    <w:p w14:paraId="3E3567F8"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w:t>
      </w:r>
    </w:p>
    <w:p w14:paraId="21E2711C"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debt financing is the option that is preferred by Disney as well as by Netflix. Although the D/E ratio of Disney remained between 0.2 to 0.4 throughout the years (2019 and 2023), Netflix's debt ratio stayed even higher (0.3 for the same period) (</w:t>
      </w:r>
      <w:proofErr w:type="spellStart"/>
      <w:r>
        <w:rPr>
          <w:rFonts w:ascii="Times New Roman" w:eastAsia="Times New Roman" w:hAnsi="Times New Roman" w:cs="Times New Roman"/>
          <w:sz w:val="24"/>
          <w:szCs w:val="24"/>
        </w:rPr>
        <w:t>Giaretta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Chesini</w:t>
      </w:r>
      <w:proofErr w:type="spellEnd"/>
      <w:r>
        <w:rPr>
          <w:rFonts w:ascii="Times New Roman" w:eastAsia="Times New Roman" w:hAnsi="Times New Roman" w:cs="Times New Roman"/>
          <w:sz w:val="24"/>
          <w:szCs w:val="24"/>
        </w:rPr>
        <w:t xml:space="preserve">, 2021). It is the case where it is very clear that the former company is supposed to be the risk-taker in this case through debt rather than the latter </w:t>
      </w:r>
      <w:proofErr w:type="gramStart"/>
      <w:r>
        <w:rPr>
          <w:rFonts w:ascii="Times New Roman" w:eastAsia="Times New Roman" w:hAnsi="Times New Roman" w:cs="Times New Roman"/>
          <w:sz w:val="24"/>
          <w:szCs w:val="24"/>
        </w:rPr>
        <w:t>company</w:t>
      </w:r>
      <w:proofErr w:type="gramEnd"/>
    </w:p>
    <w:p w14:paraId="0719F4C0" w14:textId="77777777" w:rsidR="002C3443" w:rsidRDefault="002C3443" w:rsidP="002C3443">
      <w:pPr>
        <w:spacing w:line="360" w:lineRule="auto"/>
        <w:jc w:val="both"/>
        <w:rPr>
          <w:rFonts w:ascii="Times New Roman" w:eastAsia="Times New Roman" w:hAnsi="Times New Roman" w:cs="Times New Roman"/>
          <w:sz w:val="24"/>
          <w:szCs w:val="24"/>
        </w:rPr>
      </w:pPr>
    </w:p>
    <w:p w14:paraId="09CF185C"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Gearing Ratio</w:t>
      </w:r>
    </w:p>
    <w:p w14:paraId="68E63425"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both companies utilise debt financing, Disney's gearing ratio (average: Consequently, (60.6% for Prime Video) is not as high as that of Netflix (the average value of which stands at 78.7%). This may reveal that a greater portion of Netflix is of debt and thus a higher proportion of risk compared to that of Disney (GEZER and KINGIR, 2020). </w:t>
      </w:r>
    </w:p>
    <w:p w14:paraId="626B6E85" w14:textId="77777777" w:rsidR="002C3443" w:rsidRDefault="002C3443" w:rsidP="002C3443">
      <w:pPr>
        <w:spacing w:line="360" w:lineRule="auto"/>
        <w:jc w:val="both"/>
        <w:rPr>
          <w:rFonts w:ascii="Times New Roman" w:eastAsia="Times New Roman" w:hAnsi="Times New Roman" w:cs="Times New Roman"/>
          <w:sz w:val="24"/>
          <w:szCs w:val="24"/>
        </w:rPr>
      </w:pPr>
    </w:p>
    <w:p w14:paraId="4E7BC08D"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Interest Cover Ratio</w:t>
      </w:r>
    </w:p>
    <w:p w14:paraId="7C96D210"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Netflix has an edge in its ability to manage this debt burden of its. Their interest coverage ratio (average: The average ratings of the Pirates (7.4) spotlight its low popularity among Disney fans compared to the average (3.4) (</w:t>
      </w:r>
      <w:proofErr w:type="spellStart"/>
      <w:r>
        <w:rPr>
          <w:rFonts w:ascii="Times New Roman" w:eastAsia="Times New Roman" w:hAnsi="Times New Roman" w:cs="Times New Roman"/>
          <w:sz w:val="24"/>
          <w:szCs w:val="24"/>
        </w:rPr>
        <w:t>Setiany</w:t>
      </w:r>
      <w:proofErr w:type="spellEnd"/>
      <w:r>
        <w:rPr>
          <w:rFonts w:ascii="Times New Roman" w:eastAsia="Times New Roman" w:hAnsi="Times New Roman" w:cs="Times New Roman"/>
          <w:sz w:val="24"/>
          <w:szCs w:val="24"/>
        </w:rPr>
        <w:t>, 2021). In other words, Netflix runs at a larger scale of operating income to cover its interest charges, thereby decreasing the possibility of defaulting on its debts.</w:t>
      </w:r>
    </w:p>
    <w:p w14:paraId="41059EC8" w14:textId="77777777" w:rsidR="002C3443" w:rsidRDefault="002C3443" w:rsidP="002C3443">
      <w:pPr>
        <w:spacing w:line="360" w:lineRule="auto"/>
        <w:jc w:val="both"/>
        <w:rPr>
          <w:rFonts w:ascii="Times New Roman" w:eastAsia="Times New Roman" w:hAnsi="Times New Roman" w:cs="Times New Roman"/>
          <w:sz w:val="24"/>
          <w:szCs w:val="24"/>
        </w:rPr>
      </w:pPr>
    </w:p>
    <w:p w14:paraId="0FA938F3"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Profitability Ratio</w:t>
      </w:r>
    </w:p>
    <w:p w14:paraId="69FA7108"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Return on Capital Employed (ROCE)</w:t>
      </w:r>
    </w:p>
    <w:p w14:paraId="47CF26EF"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Netflix is an outperformer or stands out from the crowd in case of profit effectiveness of the invested capital if compared to Disney. In the past five years Netflix has enjoyed 20.8% as RoCE average compared to the 5.9% which Disney has had (Lisek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otherwise, Netflix is working more efficiently with the capital that it starts in its business activity.</w:t>
      </w:r>
    </w:p>
    <w:p w14:paraId="71156F4B" w14:textId="77777777" w:rsidR="002C3443" w:rsidRDefault="002C3443" w:rsidP="002C3443">
      <w:pPr>
        <w:spacing w:line="360" w:lineRule="auto"/>
        <w:jc w:val="both"/>
        <w:rPr>
          <w:rFonts w:ascii="Times New Roman" w:eastAsia="Times New Roman" w:hAnsi="Times New Roman" w:cs="Times New Roman"/>
          <w:sz w:val="24"/>
          <w:szCs w:val="24"/>
        </w:rPr>
      </w:pPr>
    </w:p>
    <w:p w14:paraId="5E5B9398"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Gross Profit Margin</w:t>
      </w:r>
    </w:p>
    <w:p w14:paraId="7A3A1817"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they enjoy high gross profit margins, although Netflix surpasses its rival with very minimal differences (Sunaryo, 2021). Netflix's average gross margin in years (2019-2023) was 39.9%, Disney's was even lower 6.4%. Accordingly, Netflix has a higher gross margin which suggests that it remains with a bigger slice of revenue after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the cost of goods sold.</w:t>
      </w:r>
    </w:p>
    <w:p w14:paraId="21BB1D73" w14:textId="77777777" w:rsidR="002C3443" w:rsidRDefault="002C3443" w:rsidP="002C3443">
      <w:pPr>
        <w:spacing w:line="360" w:lineRule="auto"/>
        <w:jc w:val="both"/>
        <w:rPr>
          <w:rFonts w:ascii="Times New Roman" w:eastAsia="Times New Roman" w:hAnsi="Times New Roman" w:cs="Times New Roman"/>
          <w:sz w:val="24"/>
          <w:szCs w:val="24"/>
        </w:rPr>
      </w:pPr>
    </w:p>
    <w:p w14:paraId="22657841"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Operating Profit Margin</w:t>
      </w:r>
    </w:p>
    <w:p w14:paraId="29C32749"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night-codon gets a bigger Gross Profit Margin, Disney is indeed much stronger than that when it comes to Operating Profit Margin. </w:t>
      </w:r>
      <w:proofErr w:type="gramStart"/>
      <w:r>
        <w:rPr>
          <w:rFonts w:ascii="Times New Roman" w:eastAsia="Times New Roman" w:hAnsi="Times New Roman" w:cs="Times New Roman"/>
          <w:sz w:val="24"/>
          <w:szCs w:val="24"/>
        </w:rPr>
        <w:t>In reality, it</w:t>
      </w:r>
      <w:proofErr w:type="gramEnd"/>
      <w:r>
        <w:rPr>
          <w:rFonts w:ascii="Times New Roman" w:eastAsia="Times New Roman" w:hAnsi="Times New Roman" w:cs="Times New Roman"/>
          <w:sz w:val="24"/>
          <w:szCs w:val="24"/>
        </w:rPr>
        <w:t xml:space="preserve"> was 17.7% outperformance for Netflix in a 5-year time span and 9.2% for Disney. This implies that Disney is better performing in terms of controlling its operational expenses, and that the percentage of gross profit that is </w:t>
      </w:r>
      <w:proofErr w:type="gramStart"/>
      <w:r>
        <w:rPr>
          <w:rFonts w:ascii="Times New Roman" w:eastAsia="Times New Roman" w:hAnsi="Times New Roman" w:cs="Times New Roman"/>
          <w:sz w:val="24"/>
          <w:szCs w:val="24"/>
        </w:rPr>
        <w:t>actually operating</w:t>
      </w:r>
      <w:proofErr w:type="gramEnd"/>
      <w:r>
        <w:rPr>
          <w:rFonts w:ascii="Times New Roman" w:eastAsia="Times New Roman" w:hAnsi="Times New Roman" w:cs="Times New Roman"/>
          <w:sz w:val="24"/>
          <w:szCs w:val="24"/>
        </w:rPr>
        <w:t xml:space="preserve"> profit has increased substantially (</w:t>
      </w:r>
      <w:proofErr w:type="spellStart"/>
      <w:r>
        <w:rPr>
          <w:rFonts w:ascii="Times New Roman" w:eastAsia="Times New Roman" w:hAnsi="Times New Roman" w:cs="Times New Roman"/>
          <w:sz w:val="24"/>
          <w:szCs w:val="24"/>
        </w:rPr>
        <w:t>Choiriyah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3EC6F4E9" w14:textId="77777777" w:rsidR="002C3443" w:rsidRDefault="002C3443" w:rsidP="002C3443">
      <w:pPr>
        <w:spacing w:line="360" w:lineRule="auto"/>
        <w:jc w:val="both"/>
        <w:rPr>
          <w:rFonts w:ascii="Times New Roman" w:eastAsia="Times New Roman" w:hAnsi="Times New Roman" w:cs="Times New Roman"/>
          <w:sz w:val="24"/>
          <w:szCs w:val="24"/>
        </w:rPr>
      </w:pPr>
    </w:p>
    <w:p w14:paraId="71AE5CDE" w14:textId="77777777" w:rsidR="002C3443" w:rsidRDefault="002C3443" w:rsidP="002C344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Liquidity Ratio</w:t>
      </w:r>
    </w:p>
    <w:p w14:paraId="492DA2C4"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Current Ratio</w:t>
      </w:r>
    </w:p>
    <w:p w14:paraId="76CA0541"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for Disney, having the current and fluctuating ratios, will not significantly hinder the company, placing it in a superior position in terms of short-term solvency over Netflix (</w:t>
      </w:r>
      <w:proofErr w:type="spellStart"/>
      <w:r>
        <w:rPr>
          <w:rFonts w:ascii="Times New Roman" w:eastAsia="Times New Roman" w:hAnsi="Times New Roman" w:cs="Times New Roman"/>
          <w:sz w:val="24"/>
          <w:szCs w:val="24"/>
        </w:rPr>
        <w:t>Novyarni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Permana</w:t>
      </w:r>
      <w:proofErr w:type="spellEnd"/>
      <w:r>
        <w:rPr>
          <w:rFonts w:ascii="Times New Roman" w:eastAsia="Times New Roman" w:hAnsi="Times New Roman" w:cs="Times New Roman"/>
          <w:sz w:val="24"/>
          <w:szCs w:val="24"/>
        </w:rPr>
        <w:t>, 2020). A simple glance at their current ratios would reveal that Disney is above the average as it has 1.02 while Netflix sits at 1.09. On the contrary, the distance between corporations is limited, which possibly means that the overhead for the sudden day-to-day commitments is also low.</w:t>
      </w:r>
    </w:p>
    <w:p w14:paraId="3F387677" w14:textId="77777777" w:rsidR="002C3443" w:rsidRDefault="002C3443" w:rsidP="002C3443">
      <w:pPr>
        <w:spacing w:line="360" w:lineRule="auto"/>
        <w:jc w:val="both"/>
        <w:rPr>
          <w:rFonts w:ascii="Times New Roman" w:eastAsia="Times New Roman" w:hAnsi="Times New Roman" w:cs="Times New Roman"/>
          <w:b/>
          <w:i/>
          <w:sz w:val="24"/>
          <w:szCs w:val="24"/>
        </w:rPr>
      </w:pPr>
    </w:p>
    <w:p w14:paraId="742583C7" w14:textId="77777777" w:rsidR="002C3443" w:rsidRDefault="002C3443" w:rsidP="002C344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Acid Test Ratio</w:t>
      </w:r>
    </w:p>
    <w:p w14:paraId="5E3D4D3F" w14:textId="77777777" w:rsidR="002C3443" w:rsidRDefault="002C3443" w:rsidP="002C34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Netflix has taken the position of immediate liquidity it is essential to understand the risks associated with it. Comparing this with sixty-year-old company, Disney, their talked- about Acid-Test Ratio which is equal to 1.05 is much, much higher than that of Disney (with its value being a quarter less than one) (</w:t>
      </w:r>
      <w:proofErr w:type="spellStart"/>
      <w:r>
        <w:rPr>
          <w:rFonts w:ascii="Times New Roman" w:eastAsia="Times New Roman" w:hAnsi="Times New Roman" w:cs="Times New Roman"/>
          <w:sz w:val="24"/>
          <w:szCs w:val="24"/>
        </w:rPr>
        <w:t>Tumanggor</w:t>
      </w:r>
      <w:proofErr w:type="spellEnd"/>
      <w:r>
        <w:rPr>
          <w:rFonts w:ascii="Times New Roman" w:eastAsia="Times New Roman" w:hAnsi="Times New Roman" w:cs="Times New Roman"/>
          <w:sz w:val="24"/>
          <w:szCs w:val="24"/>
        </w:rPr>
        <w:t xml:space="preserve">, 2020). Thereby, Netflix has prompt substances (in cash and marketable securities) to respond to the immediate needs of the financial situation vs. </w:t>
      </w:r>
      <w:r>
        <w:rPr>
          <w:rFonts w:ascii="Times New Roman" w:eastAsia="Times New Roman" w:hAnsi="Times New Roman" w:cs="Times New Roman"/>
          <w:sz w:val="24"/>
          <w:szCs w:val="24"/>
        </w:rPr>
        <w:lastRenderedPageBreak/>
        <w:t>Disney that have high-priced fixed assets that can lead to strict cash flow and, consequently, cause challenges in meeting deadlines.</w:t>
      </w:r>
    </w:p>
    <w:p w14:paraId="70C94FB6" w14:textId="77777777" w:rsidR="002C3443" w:rsidRDefault="002C3443" w:rsidP="002C3443">
      <w:pPr>
        <w:spacing w:line="360" w:lineRule="auto"/>
        <w:jc w:val="both"/>
        <w:rPr>
          <w:rFonts w:ascii="Times New Roman" w:eastAsia="Times New Roman" w:hAnsi="Times New Roman" w:cs="Times New Roman"/>
          <w:sz w:val="24"/>
          <w:szCs w:val="24"/>
        </w:rPr>
      </w:pPr>
    </w:p>
    <w:p w14:paraId="7603F38C" w14:textId="77777777" w:rsidR="002C3443" w:rsidRDefault="002C3443" w:rsidP="002C3443">
      <w:pPr>
        <w:pStyle w:val="Heading2"/>
      </w:pPr>
      <w:bookmarkStart w:id="4" w:name="_Toc163248643"/>
      <w:r>
        <w:t>4. Recommendations on improving the financial management</w:t>
      </w:r>
      <w:bookmarkEnd w:id="4"/>
    </w:p>
    <w:p w14:paraId="10A33A92" w14:textId="77777777" w:rsidR="002C3443" w:rsidRDefault="002C3443" w:rsidP="002C344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Inventory: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do benchmarking within theme parks, analyse these industry standards to enhance inventory levels.</w:t>
      </w:r>
    </w:p>
    <w:p w14:paraId="610ABE7D" w14:textId="77777777" w:rsidR="002C3443" w:rsidRDefault="002C3443" w:rsidP="002C3443">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Debt:</w:t>
      </w:r>
      <w:r>
        <w:rPr>
          <w:rFonts w:ascii="Times New Roman" w:eastAsia="Times New Roman" w:hAnsi="Times New Roman" w:cs="Times New Roman"/>
          <w:sz w:val="24"/>
          <w:szCs w:val="24"/>
        </w:rPr>
        <w:t xml:space="preserve"> Work on methods of decreasing debt growth or look for the options to create more equity to effectively handle financial risks. A wide range of important societal issues exist, including climate change, access to quality education, all the way to public healthcare.</w:t>
      </w:r>
    </w:p>
    <w:p w14:paraId="743ABE3D" w14:textId="77777777" w:rsidR="002C3443" w:rsidRDefault="002C3443" w:rsidP="002C344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Profitability:</w:t>
      </w:r>
      <w:r>
        <w:rPr>
          <w:rFonts w:ascii="Times New Roman" w:eastAsia="Times New Roman" w:hAnsi="Times New Roman" w:cs="Times New Roman"/>
          <w:sz w:val="24"/>
          <w:szCs w:val="24"/>
        </w:rPr>
        <w:t xml:space="preserve"> Steer attention towards enhancing theme park functional capacity and make plans to increase it (</w:t>
      </w:r>
      <w:proofErr w:type="spellStart"/>
      <w:r>
        <w:rPr>
          <w:rFonts w:ascii="Times New Roman" w:eastAsia="Times New Roman" w:hAnsi="Times New Roman" w:cs="Times New Roman"/>
          <w:sz w:val="24"/>
          <w:szCs w:val="24"/>
        </w:rPr>
        <w:t>Almashhadani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Almashhadani</w:t>
      </w:r>
      <w:proofErr w:type="spellEnd"/>
      <w:r>
        <w:rPr>
          <w:rFonts w:ascii="Times New Roman" w:eastAsia="Times New Roman" w:hAnsi="Times New Roman" w:cs="Times New Roman"/>
          <w:sz w:val="24"/>
          <w:szCs w:val="24"/>
        </w:rPr>
        <w:t>, 2022).</w:t>
      </w:r>
    </w:p>
    <w:p w14:paraId="0CA11B88" w14:textId="77777777" w:rsidR="002C3443" w:rsidRDefault="002C3443" w:rsidP="002C344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Liquidity:</w:t>
      </w:r>
      <w:r>
        <w:rPr>
          <w:rFonts w:ascii="Times New Roman" w:eastAsia="Times New Roman" w:hAnsi="Times New Roman" w:cs="Times New Roman"/>
          <w:sz w:val="24"/>
          <w:szCs w:val="24"/>
        </w:rPr>
        <w:t xml:space="preserve"> Investigate techniques making it possible to handle cash flow better or raise the flash assets for the valuation relevant short-term solvency.</w:t>
      </w:r>
    </w:p>
    <w:p w14:paraId="364B6A73" w14:textId="77777777" w:rsidR="008B7D1B" w:rsidRDefault="008B7D1B"/>
    <w:sectPr w:rsidR="008B7D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ungsuh">
    <w:charset w:val="81"/>
    <w:family w:val="roman"/>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BF0BE9"/>
    <w:multiLevelType w:val="multilevel"/>
    <w:tmpl w:val="56265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BC3F3A"/>
    <w:multiLevelType w:val="multilevel"/>
    <w:tmpl w:val="B9B6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6372BF"/>
    <w:multiLevelType w:val="multilevel"/>
    <w:tmpl w:val="D276A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AD757D"/>
    <w:multiLevelType w:val="multilevel"/>
    <w:tmpl w:val="409CF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087220">
    <w:abstractNumId w:val="0"/>
  </w:num>
  <w:num w:numId="2" w16cid:durableId="1242988042">
    <w:abstractNumId w:val="2"/>
  </w:num>
  <w:num w:numId="3" w16cid:durableId="132842920">
    <w:abstractNumId w:val="3"/>
  </w:num>
  <w:num w:numId="4" w16cid:durableId="1907914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43"/>
    <w:rsid w:val="002C3443"/>
    <w:rsid w:val="008B7D1B"/>
    <w:rsid w:val="00FA1C5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7CAC7"/>
  <w15:chartTrackingRefBased/>
  <w15:docId w15:val="{57FD2CBA-58CC-47EF-B02A-AAFA12DAD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443"/>
    <w:pPr>
      <w:spacing w:after="0" w:line="276" w:lineRule="auto"/>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2C3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4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4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4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4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3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443"/>
    <w:rPr>
      <w:rFonts w:eastAsiaTheme="majorEastAsia" w:cstheme="majorBidi"/>
      <w:color w:val="272727" w:themeColor="text1" w:themeTint="D8"/>
    </w:rPr>
  </w:style>
  <w:style w:type="paragraph" w:styleId="Title">
    <w:name w:val="Title"/>
    <w:basedOn w:val="Normal"/>
    <w:next w:val="Normal"/>
    <w:link w:val="TitleChar"/>
    <w:uiPriority w:val="10"/>
    <w:qFormat/>
    <w:rsid w:val="002C3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443"/>
    <w:pPr>
      <w:spacing w:before="160"/>
      <w:jc w:val="center"/>
    </w:pPr>
    <w:rPr>
      <w:i/>
      <w:iCs/>
      <w:color w:val="404040" w:themeColor="text1" w:themeTint="BF"/>
    </w:rPr>
  </w:style>
  <w:style w:type="character" w:customStyle="1" w:styleId="QuoteChar">
    <w:name w:val="Quote Char"/>
    <w:basedOn w:val="DefaultParagraphFont"/>
    <w:link w:val="Quote"/>
    <w:uiPriority w:val="29"/>
    <w:rsid w:val="002C3443"/>
    <w:rPr>
      <w:i/>
      <w:iCs/>
      <w:color w:val="404040" w:themeColor="text1" w:themeTint="BF"/>
    </w:rPr>
  </w:style>
  <w:style w:type="paragraph" w:styleId="ListParagraph">
    <w:name w:val="List Paragraph"/>
    <w:basedOn w:val="Normal"/>
    <w:uiPriority w:val="34"/>
    <w:qFormat/>
    <w:rsid w:val="002C3443"/>
    <w:pPr>
      <w:ind w:left="720"/>
      <w:contextualSpacing/>
    </w:pPr>
  </w:style>
  <w:style w:type="character" w:styleId="IntenseEmphasis">
    <w:name w:val="Intense Emphasis"/>
    <w:basedOn w:val="DefaultParagraphFont"/>
    <w:uiPriority w:val="21"/>
    <w:qFormat/>
    <w:rsid w:val="002C3443"/>
    <w:rPr>
      <w:i/>
      <w:iCs/>
      <w:color w:val="0F4761" w:themeColor="accent1" w:themeShade="BF"/>
    </w:rPr>
  </w:style>
  <w:style w:type="paragraph" w:styleId="IntenseQuote">
    <w:name w:val="Intense Quote"/>
    <w:basedOn w:val="Normal"/>
    <w:next w:val="Normal"/>
    <w:link w:val="IntenseQuoteChar"/>
    <w:uiPriority w:val="30"/>
    <w:qFormat/>
    <w:rsid w:val="002C3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443"/>
    <w:rPr>
      <w:i/>
      <w:iCs/>
      <w:color w:val="0F4761" w:themeColor="accent1" w:themeShade="BF"/>
    </w:rPr>
  </w:style>
  <w:style w:type="character" w:styleId="IntenseReference">
    <w:name w:val="Intense Reference"/>
    <w:basedOn w:val="DefaultParagraphFont"/>
    <w:uiPriority w:val="32"/>
    <w:qFormat/>
    <w:rsid w:val="002C34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2457</Words>
  <Characters>14008</Characters>
  <Application>Microsoft Office Word</Application>
  <DocSecurity>0</DocSecurity>
  <Lines>116</Lines>
  <Paragraphs>32</Paragraphs>
  <ScaleCrop>false</ScaleCrop>
  <Company/>
  <LinksUpToDate>false</LinksUpToDate>
  <CharactersWithSpaces>16433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Dareen Dilipkumar Christian (2309485)</dc:creator>
  <cp:keywords/>
  <dc:description/>
  <cp:lastModifiedBy>Dareen Dilipkumar Christian (2309485)</cp:lastModifiedBy>
  <cp:revision>1</cp:revision>
  <dcterms:created xsi:type="dcterms:W3CDTF">2024-04-09T13:19:00Z</dcterms:created>
  <dcterms:modified xsi:type="dcterms:W3CDTF">2024-04-09T13:20:00Z</dcterms:modified>
</cp:coreProperties>
</file>