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6281A5" w14:textId="77777777" w:rsidR="003E1F00" w:rsidRDefault="003E1F00">
      <w:pPr>
        <w:jc w:val="center"/>
        <w:rPr>
          <w:b/>
          <w:sz w:val="32"/>
          <w:lang w:val="en-GB"/>
        </w:rPr>
      </w:pPr>
    </w:p>
    <w:p w14:paraId="1F146817" w14:textId="77777777" w:rsidR="003E1F00" w:rsidRDefault="003E1F00">
      <w:pPr>
        <w:jc w:val="center"/>
        <w:rPr>
          <w:b/>
          <w:sz w:val="32"/>
          <w:lang w:val="en-GB"/>
        </w:rPr>
      </w:pPr>
    </w:p>
    <w:p w14:paraId="6CEA0954" w14:textId="77777777" w:rsidR="003E1F00" w:rsidRDefault="003E1F00">
      <w:pPr>
        <w:jc w:val="center"/>
        <w:rPr>
          <w:b/>
          <w:sz w:val="32"/>
          <w:lang w:val="en-GB"/>
        </w:rPr>
      </w:pPr>
    </w:p>
    <w:p w14:paraId="6974C696" w14:textId="77777777" w:rsidR="003E1F00" w:rsidRDefault="003E1F00">
      <w:pPr>
        <w:jc w:val="center"/>
        <w:rPr>
          <w:b/>
          <w:sz w:val="32"/>
          <w:lang w:val="en-GB"/>
        </w:rPr>
      </w:pPr>
    </w:p>
    <w:p w14:paraId="3FF35810" w14:textId="77777777" w:rsidR="003E1F00" w:rsidRDefault="003E1F00">
      <w:pPr>
        <w:jc w:val="center"/>
        <w:rPr>
          <w:b/>
          <w:sz w:val="32"/>
          <w:lang w:val="en-GB"/>
        </w:rPr>
      </w:pPr>
    </w:p>
    <w:p w14:paraId="7586230B" w14:textId="77777777" w:rsidR="003E1F00" w:rsidRDefault="003E1F00">
      <w:pPr>
        <w:jc w:val="center"/>
        <w:rPr>
          <w:b/>
          <w:sz w:val="32"/>
          <w:lang w:val="en-GB"/>
        </w:rPr>
      </w:pPr>
    </w:p>
    <w:p w14:paraId="35FB56E8" w14:textId="77777777" w:rsidR="003E1F00" w:rsidRDefault="003E1F00">
      <w:pPr>
        <w:jc w:val="center"/>
        <w:rPr>
          <w:b/>
          <w:sz w:val="32"/>
          <w:lang w:val="en-GB"/>
        </w:rPr>
      </w:pPr>
    </w:p>
    <w:p w14:paraId="0641CA24" w14:textId="77777777" w:rsidR="003E1F00" w:rsidRDefault="003E1F00">
      <w:pPr>
        <w:jc w:val="center"/>
        <w:rPr>
          <w:b/>
          <w:sz w:val="32"/>
          <w:lang w:val="en-GB"/>
        </w:rPr>
      </w:pPr>
    </w:p>
    <w:p w14:paraId="24F481F9" w14:textId="77777777" w:rsidR="003E1F00" w:rsidRDefault="00E60324">
      <w:pPr>
        <w:jc w:val="center"/>
        <w:rPr>
          <w:b/>
          <w:sz w:val="32"/>
          <w:lang w:val="en-GB"/>
        </w:rPr>
      </w:pPr>
      <w:r>
        <w:rPr>
          <w:b/>
          <w:sz w:val="32"/>
          <w:lang w:val="en-GB"/>
        </w:rPr>
        <w:t>LCBB4007: INTRODUCTION TO BUSINESS</w:t>
      </w:r>
    </w:p>
    <w:p w14:paraId="532AFE74" w14:textId="77777777" w:rsidR="003E1F00" w:rsidRDefault="00E60324">
      <w:pPr>
        <w:jc w:val="center"/>
        <w:rPr>
          <w:b/>
          <w:sz w:val="32"/>
          <w:lang w:val="en-US"/>
        </w:rPr>
      </w:pPr>
      <w:r>
        <w:rPr>
          <w:b/>
          <w:sz w:val="32"/>
          <w:lang w:val="en-GB"/>
        </w:rPr>
        <w:t>COMPONENT 1: COURSEWORK: ESSAY</w:t>
      </w:r>
      <w:r>
        <w:rPr>
          <w:b/>
          <w:sz w:val="32"/>
          <w:lang w:val="en-US"/>
        </w:rPr>
        <w:t xml:space="preserve"> </w:t>
      </w:r>
    </w:p>
    <w:p w14:paraId="33708F8B" w14:textId="77777777" w:rsidR="003E1F00" w:rsidRDefault="00E60324">
      <w:pPr>
        <w:jc w:val="center"/>
        <w:rPr>
          <w:b/>
          <w:sz w:val="32"/>
          <w:lang w:val="en-US"/>
        </w:rPr>
      </w:pPr>
      <w:r>
        <w:rPr>
          <w:b/>
          <w:sz w:val="32"/>
          <w:lang w:val="en-US"/>
        </w:rPr>
        <w:t>BARROS HELGA</w:t>
      </w:r>
    </w:p>
    <w:p w14:paraId="003F9474" w14:textId="77777777" w:rsidR="003E1F00" w:rsidRDefault="00E60324">
      <w:pPr>
        <w:jc w:val="center"/>
        <w:rPr>
          <w:b/>
          <w:sz w:val="32"/>
          <w:lang w:val="en-US"/>
        </w:rPr>
      </w:pPr>
      <w:r>
        <w:rPr>
          <w:b/>
          <w:sz w:val="32"/>
          <w:lang w:val="en-US"/>
        </w:rPr>
        <w:t xml:space="preserve"> Student ID: 2246034</w:t>
      </w:r>
    </w:p>
    <w:p w14:paraId="222EC829" w14:textId="77777777" w:rsidR="003E1F00" w:rsidRDefault="00E60324">
      <w:pPr>
        <w:jc w:val="left"/>
        <w:rPr>
          <w:b/>
          <w:sz w:val="32"/>
          <w:lang w:val="en-US"/>
        </w:rPr>
      </w:pPr>
      <w:r>
        <w:rPr>
          <w:b/>
          <w:sz w:val="32"/>
          <w:lang w:val="en-GB"/>
        </w:rPr>
        <w:br w:type="page"/>
      </w:r>
    </w:p>
    <w:sdt>
      <w:sdtPr>
        <w:rPr>
          <w:rFonts w:ascii="Times New Roman" w:eastAsiaTheme="minorHAnsi" w:hAnsi="Times New Roman" w:cstheme="minorBidi"/>
          <w:color w:val="000000" w:themeColor="text1"/>
          <w:sz w:val="24"/>
          <w:szCs w:val="22"/>
          <w:lang w:val="en-IN"/>
        </w:rPr>
        <w:id w:val="1183940622"/>
        <w:docPartObj>
          <w:docPartGallery w:val="Table of Contents"/>
          <w:docPartUnique/>
        </w:docPartObj>
      </w:sdtPr>
      <w:sdtEndPr>
        <w:rPr>
          <w:b/>
          <w:bCs/>
        </w:rPr>
      </w:sdtEndPr>
      <w:sdtContent>
        <w:p w14:paraId="77C19234" w14:textId="77777777" w:rsidR="003E1F00" w:rsidRDefault="00E60324">
          <w:pPr>
            <w:pStyle w:val="TOCHeading1"/>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Table of Contents</w:t>
          </w:r>
        </w:p>
        <w:p w14:paraId="5812BDCA" w14:textId="77777777" w:rsidR="003E1F00" w:rsidRDefault="00E60324">
          <w:pPr>
            <w:pStyle w:val="TOC1"/>
            <w:tabs>
              <w:tab w:val="right" w:leader="dot" w:pos="9016"/>
            </w:tabs>
            <w:rPr>
              <w:rFonts w:asciiTheme="minorHAnsi" w:eastAsiaTheme="minorEastAsia" w:hAnsiTheme="minorHAnsi"/>
              <w:color w:val="auto"/>
              <w:sz w:val="22"/>
              <w:lang w:val="en-US"/>
            </w:rPr>
          </w:pPr>
          <w:r>
            <w:fldChar w:fldCharType="begin"/>
          </w:r>
          <w:r>
            <w:instrText xml:space="preserve"> TOC \o "1-3" \h \z \u </w:instrText>
          </w:r>
          <w:r>
            <w:fldChar w:fldCharType="separate"/>
          </w:r>
          <w:hyperlink w:anchor="_Toc172206381" w:history="1">
            <w:r>
              <w:rPr>
                <w:rStyle w:val="Hyperlink"/>
                <w:lang w:val="en-GB"/>
              </w:rPr>
              <w:t>Introduction</w:t>
            </w:r>
            <w:r>
              <w:tab/>
            </w:r>
            <w:r>
              <w:fldChar w:fldCharType="begin"/>
            </w:r>
            <w:r>
              <w:instrText xml:space="preserve"> PAGEREF _Toc172206381 \h </w:instrText>
            </w:r>
            <w:r>
              <w:fldChar w:fldCharType="separate"/>
            </w:r>
            <w:r>
              <w:t>3</w:t>
            </w:r>
            <w:r>
              <w:fldChar w:fldCharType="end"/>
            </w:r>
          </w:hyperlink>
        </w:p>
        <w:p w14:paraId="6207D39C" w14:textId="77777777" w:rsidR="003E1F00" w:rsidRDefault="00E60324">
          <w:pPr>
            <w:pStyle w:val="TOC1"/>
            <w:tabs>
              <w:tab w:val="right" w:leader="dot" w:pos="9016"/>
            </w:tabs>
            <w:rPr>
              <w:rFonts w:asciiTheme="minorHAnsi" w:eastAsiaTheme="minorEastAsia" w:hAnsiTheme="minorHAnsi"/>
              <w:color w:val="auto"/>
              <w:sz w:val="22"/>
              <w:lang w:val="en-US"/>
            </w:rPr>
          </w:pPr>
          <w:hyperlink w:anchor="_Toc172206382" w:history="1">
            <w:r>
              <w:rPr>
                <w:rStyle w:val="Hyperlink"/>
                <w:lang w:val="en-GB"/>
              </w:rPr>
              <w:t>Main Body</w:t>
            </w:r>
            <w:r>
              <w:tab/>
            </w:r>
            <w:r>
              <w:fldChar w:fldCharType="begin"/>
            </w:r>
            <w:r>
              <w:instrText xml:space="preserve"> PAGEREF _Toc172206382 \h </w:instrText>
            </w:r>
            <w:r>
              <w:fldChar w:fldCharType="separate"/>
            </w:r>
            <w:r>
              <w:t>3</w:t>
            </w:r>
            <w:r>
              <w:fldChar w:fldCharType="end"/>
            </w:r>
          </w:hyperlink>
        </w:p>
        <w:p w14:paraId="614DF0B8" w14:textId="77777777" w:rsidR="003E1F00" w:rsidRDefault="00E60324">
          <w:pPr>
            <w:pStyle w:val="TOC2"/>
            <w:tabs>
              <w:tab w:val="right" w:leader="dot" w:pos="9016"/>
            </w:tabs>
            <w:rPr>
              <w:rFonts w:asciiTheme="minorHAnsi" w:eastAsiaTheme="minorEastAsia" w:hAnsiTheme="minorHAnsi"/>
              <w:color w:val="auto"/>
              <w:sz w:val="22"/>
              <w:lang w:val="en-US"/>
            </w:rPr>
          </w:pPr>
          <w:hyperlink w:anchor="_Toc172206383" w:history="1">
            <w:r>
              <w:rPr>
                <w:rStyle w:val="Hyperlink"/>
                <w:lang w:val="en-GB"/>
              </w:rPr>
              <w:t>Accounting and Finance</w:t>
            </w:r>
            <w:r>
              <w:tab/>
            </w:r>
            <w:r>
              <w:fldChar w:fldCharType="begin"/>
            </w:r>
            <w:r>
              <w:instrText xml:space="preserve"> PAGEREF _Toc172206383 \h </w:instrText>
            </w:r>
            <w:r>
              <w:fldChar w:fldCharType="separate"/>
            </w:r>
            <w:r>
              <w:t>3</w:t>
            </w:r>
            <w:r>
              <w:fldChar w:fldCharType="end"/>
            </w:r>
          </w:hyperlink>
        </w:p>
        <w:p w14:paraId="0618B603" w14:textId="77777777" w:rsidR="003E1F00" w:rsidRDefault="00E60324">
          <w:pPr>
            <w:pStyle w:val="TOC2"/>
            <w:tabs>
              <w:tab w:val="right" w:leader="dot" w:pos="9016"/>
            </w:tabs>
            <w:rPr>
              <w:rFonts w:asciiTheme="minorHAnsi" w:eastAsiaTheme="minorEastAsia" w:hAnsiTheme="minorHAnsi"/>
              <w:color w:val="auto"/>
              <w:sz w:val="22"/>
              <w:lang w:val="en-US"/>
            </w:rPr>
          </w:pPr>
          <w:hyperlink w:anchor="_Toc172206384" w:history="1">
            <w:r>
              <w:rPr>
                <w:rStyle w:val="Hyperlink"/>
                <w:lang w:val="en-GB"/>
              </w:rPr>
              <w:t>Marketing</w:t>
            </w:r>
            <w:r>
              <w:tab/>
            </w:r>
            <w:r>
              <w:fldChar w:fldCharType="begin"/>
            </w:r>
            <w:r>
              <w:instrText xml:space="preserve"> PAGEREF _Toc172206384 \h </w:instrText>
            </w:r>
            <w:r>
              <w:fldChar w:fldCharType="separate"/>
            </w:r>
            <w:r>
              <w:t>4</w:t>
            </w:r>
            <w:r>
              <w:fldChar w:fldCharType="end"/>
            </w:r>
          </w:hyperlink>
        </w:p>
        <w:p w14:paraId="7D0B4B88" w14:textId="77777777" w:rsidR="003E1F00" w:rsidRDefault="00E60324">
          <w:pPr>
            <w:pStyle w:val="TOC2"/>
            <w:tabs>
              <w:tab w:val="right" w:leader="dot" w:pos="9016"/>
            </w:tabs>
            <w:rPr>
              <w:rFonts w:asciiTheme="minorHAnsi" w:eastAsiaTheme="minorEastAsia" w:hAnsiTheme="minorHAnsi"/>
              <w:color w:val="auto"/>
              <w:sz w:val="22"/>
              <w:lang w:val="en-US"/>
            </w:rPr>
          </w:pPr>
          <w:hyperlink w:anchor="_Toc172206385" w:history="1">
            <w:r>
              <w:rPr>
                <w:rStyle w:val="Hyperlink"/>
                <w:lang w:val="en-GB"/>
              </w:rPr>
              <w:t>Human Resource Management</w:t>
            </w:r>
            <w:r>
              <w:tab/>
            </w:r>
            <w:r>
              <w:fldChar w:fldCharType="begin"/>
            </w:r>
            <w:r>
              <w:instrText xml:space="preserve"> PAGEREF _Toc172206385 \h </w:instrText>
            </w:r>
            <w:r>
              <w:fldChar w:fldCharType="separate"/>
            </w:r>
            <w:r>
              <w:t>4</w:t>
            </w:r>
            <w:r>
              <w:fldChar w:fldCharType="end"/>
            </w:r>
          </w:hyperlink>
        </w:p>
        <w:p w14:paraId="355D9452" w14:textId="77777777" w:rsidR="003E1F00" w:rsidRDefault="00E60324">
          <w:pPr>
            <w:pStyle w:val="TOC2"/>
            <w:tabs>
              <w:tab w:val="right" w:leader="dot" w:pos="9016"/>
            </w:tabs>
            <w:rPr>
              <w:rFonts w:asciiTheme="minorHAnsi" w:eastAsiaTheme="minorEastAsia" w:hAnsiTheme="minorHAnsi"/>
              <w:color w:val="auto"/>
              <w:sz w:val="22"/>
              <w:lang w:val="en-US"/>
            </w:rPr>
          </w:pPr>
          <w:hyperlink w:anchor="_Toc172206386" w:history="1">
            <w:r>
              <w:rPr>
                <w:rStyle w:val="Hyperlink"/>
                <w:lang w:val="en-GB"/>
              </w:rPr>
              <w:t>Organisational Culture</w:t>
            </w:r>
            <w:r>
              <w:tab/>
            </w:r>
            <w:r>
              <w:fldChar w:fldCharType="begin"/>
            </w:r>
            <w:r>
              <w:instrText xml:space="preserve"> PAGEREF _Toc172206386 \h </w:instrText>
            </w:r>
            <w:r>
              <w:fldChar w:fldCharType="separate"/>
            </w:r>
            <w:r>
              <w:t>5</w:t>
            </w:r>
            <w:r>
              <w:fldChar w:fldCharType="end"/>
            </w:r>
          </w:hyperlink>
        </w:p>
        <w:p w14:paraId="620FE7A0" w14:textId="77777777" w:rsidR="003E1F00" w:rsidRDefault="00E60324">
          <w:pPr>
            <w:pStyle w:val="TOC1"/>
            <w:tabs>
              <w:tab w:val="right" w:leader="dot" w:pos="9016"/>
            </w:tabs>
            <w:rPr>
              <w:rFonts w:asciiTheme="minorHAnsi" w:eastAsiaTheme="minorEastAsia" w:hAnsiTheme="minorHAnsi"/>
              <w:color w:val="auto"/>
              <w:sz w:val="22"/>
              <w:lang w:val="en-US"/>
            </w:rPr>
          </w:pPr>
          <w:hyperlink w:anchor="_Toc172206387" w:history="1">
            <w:r>
              <w:rPr>
                <w:rStyle w:val="Hyperlink"/>
                <w:lang w:val="en-GB"/>
              </w:rPr>
              <w:t>Conclusion</w:t>
            </w:r>
            <w:r>
              <w:tab/>
            </w:r>
            <w:r>
              <w:fldChar w:fldCharType="begin"/>
            </w:r>
            <w:r>
              <w:instrText xml:space="preserve"> PAGEREF _Toc172206387 \h </w:instrText>
            </w:r>
            <w:r>
              <w:fldChar w:fldCharType="separate"/>
            </w:r>
            <w:r>
              <w:t>6</w:t>
            </w:r>
            <w:r>
              <w:fldChar w:fldCharType="end"/>
            </w:r>
          </w:hyperlink>
        </w:p>
        <w:p w14:paraId="1735DD2A" w14:textId="77777777" w:rsidR="003E1F00" w:rsidRDefault="00E60324">
          <w:pPr>
            <w:pStyle w:val="TOC1"/>
            <w:tabs>
              <w:tab w:val="right" w:leader="dot" w:pos="9016"/>
            </w:tabs>
            <w:rPr>
              <w:rFonts w:asciiTheme="minorHAnsi" w:eastAsiaTheme="minorEastAsia" w:hAnsiTheme="minorHAnsi"/>
              <w:color w:val="auto"/>
              <w:sz w:val="22"/>
              <w:lang w:val="en-US"/>
            </w:rPr>
          </w:pPr>
          <w:hyperlink w:anchor="_Toc172206388" w:history="1">
            <w:r>
              <w:rPr>
                <w:rStyle w:val="Hyperlink"/>
                <w:lang w:val="en-GB"/>
              </w:rPr>
              <w:t>References</w:t>
            </w:r>
            <w:r>
              <w:tab/>
            </w:r>
            <w:r>
              <w:fldChar w:fldCharType="begin"/>
            </w:r>
            <w:r>
              <w:instrText xml:space="preserve"> PAGEREF _Toc172206388 \h </w:instrText>
            </w:r>
            <w:r>
              <w:fldChar w:fldCharType="separate"/>
            </w:r>
            <w:r>
              <w:t>7</w:t>
            </w:r>
            <w:r>
              <w:fldChar w:fldCharType="end"/>
            </w:r>
          </w:hyperlink>
        </w:p>
        <w:p w14:paraId="0872474A" w14:textId="77777777" w:rsidR="003E1F00" w:rsidRDefault="00E60324">
          <w:r>
            <w:rPr>
              <w:b/>
              <w:bCs/>
            </w:rPr>
            <w:fldChar w:fldCharType="end"/>
          </w:r>
        </w:p>
      </w:sdtContent>
    </w:sdt>
    <w:p w14:paraId="232589BF" w14:textId="77777777" w:rsidR="003E1F00" w:rsidRDefault="003E1F00">
      <w:pPr>
        <w:jc w:val="center"/>
        <w:rPr>
          <w:b/>
          <w:sz w:val="32"/>
          <w:lang w:val="en-GB"/>
        </w:rPr>
      </w:pPr>
    </w:p>
    <w:p w14:paraId="72223023" w14:textId="77777777" w:rsidR="003E1F00" w:rsidRDefault="00E60324">
      <w:pPr>
        <w:rPr>
          <w:lang w:val="en-GB"/>
        </w:rPr>
      </w:pPr>
      <w:r>
        <w:rPr>
          <w:lang w:val="en-GB"/>
        </w:rPr>
        <w:br w:type="page"/>
      </w:r>
    </w:p>
    <w:p w14:paraId="249DA10F" w14:textId="77777777" w:rsidR="003E1F00" w:rsidRDefault="00E60324">
      <w:pPr>
        <w:pStyle w:val="Heading1"/>
        <w:rPr>
          <w:lang w:val="en-GB"/>
        </w:rPr>
      </w:pPr>
      <w:bookmarkStart w:id="0" w:name="_Toc172206381"/>
      <w:r>
        <w:rPr>
          <w:sz w:val="28"/>
          <w:szCs w:val="28"/>
          <w:lang w:val="en-GB"/>
        </w:rPr>
        <w:lastRenderedPageBreak/>
        <w:t>Introduction</w:t>
      </w:r>
      <w:bookmarkEnd w:id="0"/>
    </w:p>
    <w:p w14:paraId="4E38771E" w14:textId="77777777" w:rsidR="003E1F00" w:rsidRDefault="00E60324">
      <w:pPr>
        <w:jc w:val="left"/>
        <w:rPr>
          <w:rFonts w:eastAsia="SimSun" w:cs="Times New Roman"/>
          <w:szCs w:val="24"/>
          <w:lang w:val="en-US" w:eastAsia="zh-CN" w:bidi="ar"/>
        </w:rPr>
      </w:pPr>
      <w:bookmarkStart w:id="1" w:name="_Toc172206382"/>
      <w:r>
        <w:rPr>
          <w:rFonts w:eastAsia="SimSun" w:cs="Times New Roman"/>
          <w:szCs w:val="24"/>
          <w:lang w:val="en-US" w:eastAsia="zh-CN" w:bidi="ar"/>
        </w:rPr>
        <w:t xml:space="preserve">Marks &amp; Spencer (M&amp;S) is a prominent British </w:t>
      </w:r>
      <w:r>
        <w:rPr>
          <w:rFonts w:eastAsia="SimSun" w:cs="Times New Roman"/>
          <w:szCs w:val="24"/>
          <w:lang w:val="en-US" w:eastAsia="zh-CN" w:bidi="ar"/>
        </w:rPr>
        <w:t xml:space="preserve">multinational retailer founded in 1884 by Michael Marks and Thomas Spencer. It operates primarily in the private sector, focusing on providing high-quality clothing, home products, and food. M&amp;S is renowned for its commitment to quality, innovation, and customer service, distinguishing itself in the highly competitive retail market. The company’s mission is “to make every moment special” by offering products and services that cater to the diverse needs of its customers. With over 1,000 stores worldwide and </w:t>
      </w:r>
      <w:r>
        <w:rPr>
          <w:rFonts w:eastAsia="SimSun" w:cs="Times New Roman"/>
          <w:szCs w:val="24"/>
          <w:lang w:val="en-US" w:eastAsia="zh-CN" w:bidi="ar"/>
        </w:rPr>
        <w:t>a growing online presence, M&amp;S serves millions of customers, continually evolving to meet the changing demands of the market. M&amp;S’s product range includes stylish and sustainable clothing, premium food products, and household items, all designed to enhance the everyday lives of its customers. The company’s dedication to sustainability and ethical sourcing further underscores its commitment to corporate responsibility and long-term growth (Marks &amp; Spencer, 2024).</w:t>
      </w:r>
    </w:p>
    <w:p w14:paraId="673E9C5A" w14:textId="77777777" w:rsidR="003E1F00" w:rsidRDefault="00E60324">
      <w:pPr>
        <w:pStyle w:val="Heading2"/>
        <w:rPr>
          <w:rFonts w:eastAsia="SimSun" w:cs="Times New Roman"/>
          <w:szCs w:val="24"/>
          <w:lang w:val="en-GB" w:eastAsia="zh-CN" w:bidi="ar"/>
        </w:rPr>
      </w:pPr>
      <w:bookmarkStart w:id="2" w:name="_Toc172206383"/>
      <w:bookmarkEnd w:id="1"/>
      <w:r>
        <w:rPr>
          <w:rFonts w:eastAsia="SimSun" w:cs="Times New Roman"/>
          <w:szCs w:val="24"/>
          <w:lang w:val="en-GB" w:eastAsia="zh-CN" w:bidi="ar"/>
        </w:rPr>
        <w:t>Accounting and Finance</w:t>
      </w:r>
      <w:bookmarkEnd w:id="2"/>
    </w:p>
    <w:p w14:paraId="68011C75" w14:textId="77777777" w:rsidR="003E1F00" w:rsidRDefault="00E60324">
      <w:pPr>
        <w:jc w:val="left"/>
        <w:rPr>
          <w:rFonts w:eastAsia="SimSun" w:cs="Times New Roman"/>
          <w:szCs w:val="24"/>
          <w:lang w:val="en-US" w:eastAsia="zh-CN" w:bidi="ar"/>
        </w:rPr>
      </w:pPr>
      <w:bookmarkStart w:id="3" w:name="_Toc172206384"/>
      <w:r>
        <w:rPr>
          <w:rFonts w:eastAsia="SimSun" w:cs="Times New Roman"/>
          <w:szCs w:val="24"/>
          <w:lang w:val="en-US" w:eastAsia="zh-CN" w:bidi="ar"/>
        </w:rPr>
        <w:t>The accounting and finance function at Marks &amp; Spencer is pivotal in ensuring the company’s financial health and sustainability. This department is responsible for managing financial planning, budgeting, and forecasting, ensuring that the company’s resources are allocated efficiently to maximize profitability. Accurate financial reporting and analysis allow M&amp;S to monitor its performance, identify trends, and make informed decisions. The finance team also plays a critical role in managing risks, including m</w:t>
      </w:r>
      <w:r>
        <w:rPr>
          <w:rFonts w:eastAsia="SimSun" w:cs="Times New Roman"/>
          <w:szCs w:val="24"/>
          <w:lang w:val="en-US" w:eastAsia="zh-CN" w:bidi="ar"/>
        </w:rPr>
        <w:t>arket fluctuations and changes in consumer behavior, which can impact profitability. Through careful cash flow management and investment strategies, the finance function ensures that M&amp;S can meet its short-term obligations while investing in long-term growth opportunities (Deloitte, 2023). This department also handles external financial communications, such as reports to shareholders and regulatory filings, maintaining transparency and trust with stakeholders. Effective financial management is crucial for M</w:t>
      </w:r>
      <w:r>
        <w:rPr>
          <w:rFonts w:eastAsia="SimSun" w:cs="Times New Roman"/>
          <w:szCs w:val="24"/>
          <w:lang w:val="en-US" w:eastAsia="zh-CN" w:bidi="ar"/>
        </w:rPr>
        <w:t>&amp;S to maintain its market position and drive future growth (PwC, 2023).</w:t>
      </w:r>
    </w:p>
    <w:p w14:paraId="0DADA6B3" w14:textId="77777777" w:rsidR="003E1F00" w:rsidRDefault="003E1F00">
      <w:pPr>
        <w:pStyle w:val="Heading2"/>
        <w:rPr>
          <w:rFonts w:eastAsia="SimSun" w:cs="Times New Roman"/>
          <w:szCs w:val="24"/>
          <w:lang w:val="en-GB" w:eastAsia="zh-CN" w:bidi="ar"/>
        </w:rPr>
      </w:pPr>
    </w:p>
    <w:p w14:paraId="59E0CD9C" w14:textId="77777777" w:rsidR="003E1F00" w:rsidRDefault="003E1F00">
      <w:pPr>
        <w:pStyle w:val="Heading2"/>
        <w:rPr>
          <w:rFonts w:eastAsia="SimSun" w:cs="Times New Roman"/>
          <w:szCs w:val="24"/>
          <w:lang w:val="en-GB" w:eastAsia="zh-CN" w:bidi="ar"/>
        </w:rPr>
      </w:pPr>
    </w:p>
    <w:p w14:paraId="203CB66F" w14:textId="77777777" w:rsidR="003E1F00" w:rsidRDefault="003E1F00">
      <w:pPr>
        <w:pStyle w:val="Heading2"/>
        <w:rPr>
          <w:rFonts w:eastAsia="SimSun" w:cs="Times New Roman"/>
          <w:szCs w:val="24"/>
          <w:lang w:val="en-GB" w:eastAsia="zh-CN" w:bidi="ar"/>
        </w:rPr>
      </w:pPr>
    </w:p>
    <w:p w14:paraId="542F9538" w14:textId="77777777" w:rsidR="003E1F00" w:rsidRDefault="003E1F00">
      <w:pPr>
        <w:rPr>
          <w:lang w:val="en-GB" w:eastAsia="zh-CN"/>
        </w:rPr>
      </w:pPr>
    </w:p>
    <w:p w14:paraId="407C5777" w14:textId="77777777" w:rsidR="003E1F00" w:rsidRDefault="003E1F00">
      <w:pPr>
        <w:pStyle w:val="Heading2"/>
        <w:rPr>
          <w:rFonts w:eastAsia="SimSun" w:cs="Times New Roman"/>
          <w:szCs w:val="24"/>
          <w:lang w:val="en-GB" w:eastAsia="zh-CN" w:bidi="ar"/>
        </w:rPr>
      </w:pPr>
    </w:p>
    <w:p w14:paraId="7D344D10" w14:textId="77777777" w:rsidR="003E1F00" w:rsidRDefault="003E1F00">
      <w:pPr>
        <w:pStyle w:val="Heading2"/>
        <w:rPr>
          <w:rFonts w:eastAsia="SimSun" w:cs="Times New Roman"/>
          <w:szCs w:val="24"/>
          <w:lang w:val="en-GB" w:eastAsia="zh-CN" w:bidi="ar"/>
        </w:rPr>
      </w:pPr>
    </w:p>
    <w:p w14:paraId="5A7D6109" w14:textId="77777777" w:rsidR="003E1F00" w:rsidRDefault="00E60324">
      <w:pPr>
        <w:pStyle w:val="Heading2"/>
        <w:rPr>
          <w:rFonts w:eastAsia="SimSun" w:cs="Times New Roman"/>
          <w:szCs w:val="24"/>
          <w:lang w:val="en-GB" w:eastAsia="zh-CN" w:bidi="ar"/>
        </w:rPr>
      </w:pPr>
      <w:r>
        <w:rPr>
          <w:rFonts w:eastAsia="SimSun" w:cs="Times New Roman"/>
          <w:szCs w:val="24"/>
          <w:lang w:val="en-GB" w:eastAsia="zh-CN" w:bidi="ar"/>
        </w:rPr>
        <w:t>Marketing</w:t>
      </w:r>
      <w:bookmarkEnd w:id="3"/>
    </w:p>
    <w:p w14:paraId="17008AC9" w14:textId="77777777" w:rsidR="003E1F00" w:rsidRDefault="00E60324">
      <w:pPr>
        <w:pStyle w:val="NormalWeb"/>
        <w:rPr>
          <w:lang w:bidi="ar"/>
        </w:rPr>
      </w:pPr>
      <w:bookmarkStart w:id="4" w:name="_Toc172206385"/>
      <w:r>
        <w:rPr>
          <w:lang w:bidi="ar"/>
        </w:rPr>
        <w:t>Marketing is a core function at Marks &amp; Spencer, essential for building brand awareness, attracting customers, and driving sales. M&amp;S’s marketing strategy is centered around understanding customer needs and preferences, which allows the company to tailor its offerings and communication efforts effectively. The marketing team utilizes a mix of traditional and digital channels to reach a broad audience, emphasizing the quality and value of M&amp;S products (Chaffey &amp; Ellis-Chadwick, 2019). Campaigns often highlig</w:t>
      </w:r>
      <w:r>
        <w:rPr>
          <w:lang w:bidi="ar"/>
        </w:rPr>
        <w:t>ht the company’s commitment to sustainability, ethical sourcing, and innovation, reinforcing its brand image as a responsible and forward-thinking retailer. The marketing function also plays a critical role in market research, gathering data on consumer trends, competitor activities, and market dynamics (Kotler &amp; Keller, 2020). This information is vital for product development, pricing strategies, and promotional activities. By engaging with customers through various touchpoints, M&amp;S builds loyalty and enco</w:t>
      </w:r>
      <w:r>
        <w:rPr>
          <w:lang w:bidi="ar"/>
        </w:rPr>
        <w:t>urages repeat business, which is essential for maintaining its competitive edge in the retail industry (M&amp;S Annual Report, 2023).</w:t>
      </w:r>
    </w:p>
    <w:p w14:paraId="0AD905CF" w14:textId="77777777" w:rsidR="003E1F00" w:rsidRDefault="00E60324">
      <w:pPr>
        <w:pStyle w:val="Heading2"/>
        <w:rPr>
          <w:rFonts w:eastAsia="SimSun" w:cs="Times New Roman"/>
          <w:szCs w:val="24"/>
          <w:lang w:val="en-GB" w:eastAsia="zh-CN" w:bidi="ar"/>
        </w:rPr>
      </w:pPr>
      <w:r>
        <w:rPr>
          <w:rFonts w:eastAsia="SimSun" w:cs="Times New Roman"/>
          <w:szCs w:val="24"/>
          <w:lang w:val="en-GB" w:eastAsia="zh-CN" w:bidi="ar"/>
        </w:rPr>
        <w:t>Human Resource Management</w:t>
      </w:r>
      <w:bookmarkEnd w:id="4"/>
    </w:p>
    <w:p w14:paraId="42C07FEF" w14:textId="77777777" w:rsidR="003E1F00" w:rsidRDefault="00E60324">
      <w:pPr>
        <w:jc w:val="left"/>
        <w:rPr>
          <w:rFonts w:eastAsia="SimSun" w:cs="Times New Roman"/>
          <w:szCs w:val="24"/>
          <w:lang w:val="en-US" w:eastAsia="zh-CN" w:bidi="ar"/>
        </w:rPr>
      </w:pPr>
      <w:r>
        <w:rPr>
          <w:rFonts w:eastAsia="SimSun" w:cs="Times New Roman"/>
          <w:szCs w:val="24"/>
          <w:lang w:val="en-US" w:eastAsia="zh-CN" w:bidi="ar"/>
        </w:rPr>
        <w:t xml:space="preserve">Human Resource Management (HRM) at Marks &amp; Spencer is integral to attracting, developing, and retaining talent, which is crucial for the company’s success. The HR department is responsible for recruiting skilled employees who align with the company’s values and culture. Training and development programs are essential to ensure that employees are equipped with the necessary skills and knowledge to perform their roles effectively (Armstrong &amp; Taylor, 2020). M&amp;S places a strong emphasis on employee engagement </w:t>
      </w:r>
      <w:r>
        <w:rPr>
          <w:rFonts w:eastAsia="SimSun" w:cs="Times New Roman"/>
          <w:szCs w:val="24"/>
          <w:lang w:val="en-US" w:eastAsia="zh-CN" w:bidi="ar"/>
        </w:rPr>
        <w:t xml:space="preserve">and well-being, recognizing that a motivated workforce is more productive and contributes positively to the organizational environment. HRM also oversees performance management, ensuring that employees are evaluated fairly and rewarded for their contributions. By fostering a positive work culture, M&amp;S encourages collaboration, </w:t>
      </w:r>
      <w:r>
        <w:rPr>
          <w:rFonts w:eastAsia="SimSun" w:cs="Times New Roman"/>
          <w:szCs w:val="24"/>
          <w:lang w:val="en-US" w:eastAsia="zh-CN" w:bidi="ar"/>
        </w:rPr>
        <w:lastRenderedPageBreak/>
        <w:t>innovation, and customer-centricity, which are key drivers of business success (M&amp;S, 2024). Additionally, the HR department is responsible for managing employee relations, ensuring co</w:t>
      </w:r>
      <w:r>
        <w:rPr>
          <w:rFonts w:eastAsia="SimSun" w:cs="Times New Roman"/>
          <w:szCs w:val="24"/>
          <w:lang w:val="en-US" w:eastAsia="zh-CN" w:bidi="ar"/>
        </w:rPr>
        <w:t>mpliance with labor laws, and promoting diversity and inclusion within the workplace. A strong HR function is vital for M&amp;S to maintain a high-performing and engaged workforce, which is critical for achieving its business objectives (CIPD, 2023).</w:t>
      </w:r>
    </w:p>
    <w:p w14:paraId="6DF8D454" w14:textId="77777777" w:rsidR="003E1F00" w:rsidRDefault="00E60324">
      <w:pPr>
        <w:jc w:val="left"/>
        <w:rPr>
          <w:rFonts w:eastAsia="SimSun" w:cs="Times New Roman"/>
          <w:szCs w:val="24"/>
          <w:lang w:val="en-GB" w:eastAsia="zh-CN" w:bidi="ar"/>
        </w:rPr>
      </w:pPr>
      <w:r>
        <w:rPr>
          <w:rFonts w:eastAsia="SimSun" w:cs="Times New Roman"/>
          <w:szCs w:val="24"/>
          <w:lang w:val="en-GB" w:eastAsia="zh-CN" w:bidi="ar"/>
        </w:rPr>
        <w:br w:type="page"/>
      </w:r>
    </w:p>
    <w:p w14:paraId="7DF698EB" w14:textId="77777777" w:rsidR="003E1F00" w:rsidRDefault="00E60324">
      <w:pPr>
        <w:pStyle w:val="Heading2"/>
        <w:rPr>
          <w:rFonts w:eastAsia="SimSun" w:cs="Times New Roman"/>
          <w:szCs w:val="24"/>
          <w:lang w:val="en-GB" w:eastAsia="zh-CN" w:bidi="ar"/>
        </w:rPr>
      </w:pPr>
      <w:bookmarkStart w:id="5" w:name="_Toc172206386"/>
      <w:r>
        <w:rPr>
          <w:rFonts w:eastAsia="SimSun" w:cs="Times New Roman"/>
          <w:szCs w:val="24"/>
          <w:lang w:val="en-GB" w:eastAsia="zh-CN" w:bidi="ar"/>
        </w:rPr>
        <w:lastRenderedPageBreak/>
        <w:t>Organisational Culture</w:t>
      </w:r>
      <w:bookmarkEnd w:id="5"/>
    </w:p>
    <w:p w14:paraId="785559B1" w14:textId="77777777" w:rsidR="003E1F00" w:rsidRDefault="00E60324">
      <w:pPr>
        <w:pStyle w:val="NormalWeb"/>
        <w:rPr>
          <w:lang w:bidi="ar"/>
        </w:rPr>
      </w:pPr>
      <w:bookmarkStart w:id="6" w:name="_Toc172206387"/>
      <w:r>
        <w:rPr>
          <w:lang w:bidi="ar"/>
        </w:rPr>
        <w:t>Marks &amp; Spencer’s organizational culture is characterized by a commitment to quality, innovation, and customer service, which are core values that guide the company’s operations. The culture at M&amp;S is deeply rooted in its history and tradition of excellence, yet it remains dynamic and adaptive to the changing retail landscape. One of the defining aspects of M&amp;S’s culture is its focus on sustainability and ethical business practices. The company has implemented numerous initiatives aimed at reducing its envi</w:t>
      </w:r>
      <w:r>
        <w:rPr>
          <w:lang w:bidi="ar"/>
        </w:rPr>
        <w:t>ronmental footprint, such as sourcing sustainable materials, reducing waste, and promoting energy efficiency (Marks &amp; Spencer, 2023). This commitment to sustainability is not only a moral imperative but also a strategic advantage that resonates with increasingly conscious consumers.</w:t>
      </w:r>
    </w:p>
    <w:p w14:paraId="7D5ED1E9" w14:textId="77777777" w:rsidR="003E1F00" w:rsidRDefault="00E60324">
      <w:pPr>
        <w:pStyle w:val="NormalWeb"/>
        <w:rPr>
          <w:lang w:bidi="ar"/>
        </w:rPr>
      </w:pPr>
      <w:r>
        <w:rPr>
          <w:lang w:bidi="ar"/>
        </w:rPr>
        <w:t>The culture at M&amp;S also emphasizes collaboration and teamwork. Employees are encouraged to work together across departments to achieve common goals, fostering a sense of unity and shared purpose. This collaborative environment is supported by open communication channels and a flat organizational structure, which allows for the free flow of ideas and innovation (Schein, 2017). M&amp;S values the contributions of its employees and actively seeks their input in decision-making processes, which helps to create a se</w:t>
      </w:r>
      <w:r>
        <w:rPr>
          <w:lang w:bidi="ar"/>
        </w:rPr>
        <w:t>nse of ownership and accountability (Robbins &amp; Judge, 2021).</w:t>
      </w:r>
    </w:p>
    <w:p w14:paraId="39A7C62A" w14:textId="77777777" w:rsidR="003E1F00" w:rsidRDefault="00E60324">
      <w:pPr>
        <w:pStyle w:val="NormalWeb"/>
        <w:rPr>
          <w:lang w:bidi="ar"/>
        </w:rPr>
      </w:pPr>
      <w:r>
        <w:rPr>
          <w:lang w:bidi="ar"/>
        </w:rPr>
        <w:t>Customer-centricity is another cornerstone of M&amp;S’s organizational culture. The company places the customer at the heart of everything it does, from product development to service delivery. This focus on customer satisfaction drives M&amp;S to continuously improve its offerings and enhance the shopping experience. Employees are trained to understand customer needs and go the extra mile to ensure that customers leave with a positive impression of the brand (M&amp;S Annual Report, 2023).</w:t>
      </w:r>
    </w:p>
    <w:p w14:paraId="746A1019" w14:textId="77777777" w:rsidR="003E1F00" w:rsidRDefault="00E60324">
      <w:pPr>
        <w:pStyle w:val="NormalWeb"/>
        <w:rPr>
          <w:lang w:bidi="ar"/>
        </w:rPr>
      </w:pPr>
      <w:r>
        <w:rPr>
          <w:lang w:bidi="ar"/>
        </w:rPr>
        <w:t>Diversity and inclusion are also integral to the culture at M&amp;S. The company recognizes the importance of a diverse workforce in driving innovation and reflecting the diversity of its customer base. M&amp;S is committed to creating an inclusive environment where all employees feel valued and respected, regardless of their background or identity. This commitment is reflected in the company’s policies and practices, which aim to promote equality and prevent discrimination (M&amp;S, 2023).</w:t>
      </w:r>
    </w:p>
    <w:p w14:paraId="23F87CEE" w14:textId="77777777" w:rsidR="003E1F00" w:rsidRDefault="00E60324">
      <w:pPr>
        <w:pStyle w:val="NormalWeb"/>
        <w:rPr>
          <w:lang w:bidi="ar"/>
        </w:rPr>
      </w:pPr>
      <w:r>
        <w:rPr>
          <w:lang w:bidi="ar"/>
        </w:rPr>
        <w:t xml:space="preserve">The culture at M&amp;S is not without its challenges. The retail industry is highly competitive, and M&amp;S must constantly adapt to changes in consumer behavior, technological advancements, and economic conditions. However, the company’s </w:t>
      </w:r>
      <w:r>
        <w:rPr>
          <w:lang w:bidi="ar"/>
        </w:rPr>
        <w:t>strong cultural foundation provides a solid platform for navigating these challenges. By staying true to its values while embracing change, M&amp;S can continue to thrive in an ever-evolving market (Schein, 2017).</w:t>
      </w:r>
    </w:p>
    <w:p w14:paraId="0EDD7508" w14:textId="77777777" w:rsidR="003E1F00" w:rsidRDefault="003E1F00">
      <w:pPr>
        <w:pStyle w:val="Heading1"/>
        <w:rPr>
          <w:rFonts w:eastAsia="SimSun" w:cs="Times New Roman"/>
          <w:szCs w:val="24"/>
          <w:lang w:val="en-GB" w:eastAsia="zh-CN" w:bidi="ar"/>
        </w:rPr>
      </w:pPr>
    </w:p>
    <w:p w14:paraId="60DF5AB8" w14:textId="77777777" w:rsidR="003E1F00" w:rsidRDefault="003E1F00">
      <w:pPr>
        <w:rPr>
          <w:lang w:val="en-GB" w:eastAsia="zh-CN"/>
        </w:rPr>
      </w:pPr>
    </w:p>
    <w:p w14:paraId="73A82220" w14:textId="77777777" w:rsidR="003E1F00" w:rsidRDefault="00E60324">
      <w:pPr>
        <w:pStyle w:val="Heading1"/>
        <w:rPr>
          <w:rFonts w:eastAsia="SimSun" w:cs="Times New Roman"/>
          <w:szCs w:val="24"/>
          <w:lang w:val="en-GB" w:eastAsia="zh-CN" w:bidi="ar"/>
        </w:rPr>
      </w:pPr>
      <w:r>
        <w:rPr>
          <w:rFonts w:eastAsia="SimSun" w:cs="Times New Roman"/>
          <w:szCs w:val="24"/>
          <w:lang w:val="en-GB" w:eastAsia="zh-CN" w:bidi="ar"/>
        </w:rPr>
        <w:lastRenderedPageBreak/>
        <w:t>Conclusion</w:t>
      </w:r>
      <w:bookmarkEnd w:id="6"/>
    </w:p>
    <w:p w14:paraId="14322B4D" w14:textId="77777777" w:rsidR="003E1F00" w:rsidRDefault="00E60324">
      <w:pPr>
        <w:jc w:val="left"/>
        <w:rPr>
          <w:rFonts w:eastAsia="SimSun" w:cs="Times New Roman"/>
          <w:szCs w:val="24"/>
          <w:lang w:val="en-US" w:eastAsia="zh-CN" w:bidi="ar"/>
        </w:rPr>
      </w:pPr>
      <w:r>
        <w:rPr>
          <w:rFonts w:eastAsia="SimSun" w:cs="Times New Roman" w:hint="eastAsia"/>
          <w:szCs w:val="24"/>
          <w:lang w:val="en-US" w:eastAsia="zh-CN" w:bidi="ar"/>
        </w:rPr>
        <w:t>Marks &amp; Spencer</w:t>
      </w:r>
      <w:r>
        <w:rPr>
          <w:rFonts w:eastAsia="SimSun" w:cs="Times New Roman" w:hint="eastAsia"/>
          <w:szCs w:val="24"/>
          <w:lang w:val="en-US" w:eastAsia="zh-CN" w:bidi="ar"/>
        </w:rPr>
        <w:t>’</w:t>
      </w:r>
      <w:r>
        <w:rPr>
          <w:rFonts w:eastAsia="SimSun" w:cs="Times New Roman" w:hint="eastAsia"/>
          <w:szCs w:val="24"/>
          <w:lang w:val="en-US" w:eastAsia="zh-CN" w:bidi="ar"/>
        </w:rPr>
        <w:t>s key functions and organizational culture are crucial to its overall performance and long-term success. The finance, marketing, and HR functions each play a vital role in ensuring the company</w:t>
      </w:r>
      <w:r>
        <w:rPr>
          <w:rFonts w:eastAsia="SimSun" w:cs="Times New Roman" w:hint="eastAsia"/>
          <w:szCs w:val="24"/>
          <w:lang w:val="en-US" w:eastAsia="zh-CN" w:bidi="ar"/>
        </w:rPr>
        <w:t>’</w:t>
      </w:r>
      <w:r>
        <w:rPr>
          <w:rFonts w:eastAsia="SimSun" w:cs="Times New Roman" w:hint="eastAsia"/>
          <w:szCs w:val="24"/>
          <w:lang w:val="en-US" w:eastAsia="zh-CN" w:bidi="ar"/>
        </w:rPr>
        <w:t>s financial stability, brand strength, and workforce productivity. Meanwhile, M&amp;S</w:t>
      </w:r>
      <w:r>
        <w:rPr>
          <w:rFonts w:eastAsia="SimSun" w:cs="Times New Roman" w:hint="eastAsia"/>
          <w:szCs w:val="24"/>
          <w:lang w:val="en-US" w:eastAsia="zh-CN" w:bidi="ar"/>
        </w:rPr>
        <w:t>’</w:t>
      </w:r>
      <w:r>
        <w:rPr>
          <w:rFonts w:eastAsia="SimSun" w:cs="Times New Roman" w:hint="eastAsia"/>
          <w:szCs w:val="24"/>
          <w:lang w:val="en-US" w:eastAsia="zh-CN" w:bidi="ar"/>
        </w:rPr>
        <w:t>s culture of quality, sustainability, collaboration, and customer-centricity fosters an environment that supports innovation and continuous improvement. By aligning its key functions with its cultural values, M&amp;S is well-positioned to m</w:t>
      </w:r>
      <w:r>
        <w:rPr>
          <w:rFonts w:eastAsia="SimSun" w:cs="Times New Roman" w:hint="eastAsia"/>
          <w:szCs w:val="24"/>
          <w:lang w:val="en-US" w:eastAsia="zh-CN" w:bidi="ar"/>
        </w:rPr>
        <w:t>aintain its competitive edge in the retail industry and continue delivering value to its customers, employees, and shareholders. The integration of strong functional management with a robust organizational culture enables M&amp;S to adapt to market changes, meet customer expectations, and achieve sustainable growth.</w:t>
      </w:r>
    </w:p>
    <w:p w14:paraId="63B3DE3F" w14:textId="77777777" w:rsidR="003E1F00" w:rsidRDefault="00E60324">
      <w:pPr>
        <w:jc w:val="left"/>
        <w:rPr>
          <w:rFonts w:eastAsia="SimSun" w:cs="Times New Roman"/>
          <w:szCs w:val="24"/>
          <w:lang w:val="en-GB" w:eastAsia="zh-CN" w:bidi="ar"/>
        </w:rPr>
      </w:pPr>
      <w:r>
        <w:rPr>
          <w:rFonts w:eastAsia="SimSun" w:cs="Times New Roman"/>
          <w:szCs w:val="24"/>
          <w:lang w:val="en-GB" w:eastAsia="zh-CN" w:bidi="ar"/>
        </w:rPr>
        <w:br w:type="page"/>
      </w:r>
    </w:p>
    <w:p w14:paraId="0661F659" w14:textId="77777777" w:rsidR="003E1F00" w:rsidRDefault="00E60324">
      <w:pPr>
        <w:pStyle w:val="Heading1"/>
        <w:rPr>
          <w:rFonts w:eastAsia="SimSun" w:cs="Times New Roman"/>
          <w:szCs w:val="24"/>
          <w:lang w:val="en-GB" w:eastAsia="zh-CN" w:bidi="ar"/>
        </w:rPr>
      </w:pPr>
      <w:bookmarkStart w:id="7" w:name="_Toc172206388"/>
      <w:r>
        <w:rPr>
          <w:rFonts w:eastAsia="SimSun" w:cs="Times New Roman"/>
          <w:szCs w:val="24"/>
          <w:lang w:val="en-GB" w:eastAsia="zh-CN" w:bidi="ar"/>
        </w:rPr>
        <w:lastRenderedPageBreak/>
        <w:t>References</w:t>
      </w:r>
      <w:bookmarkEnd w:id="7"/>
    </w:p>
    <w:p w14:paraId="7734778A" w14:textId="77777777" w:rsidR="003E1F00" w:rsidRDefault="00E60324">
      <w:pPr>
        <w:pStyle w:val="NormalWeb"/>
        <w:rPr>
          <w:lang w:bidi="ar"/>
        </w:rPr>
      </w:pPr>
      <w:r>
        <w:rPr>
          <w:lang w:bidi="ar"/>
        </w:rPr>
        <w:t>Armstrong, M., &amp; Taylor, S. (2020). Armstrong's Handbook of Human Resource Management Practice. Kogan Page.</w:t>
      </w:r>
    </w:p>
    <w:p w14:paraId="32DAE6B7" w14:textId="77777777" w:rsidR="003E1F00" w:rsidRDefault="00E60324">
      <w:pPr>
        <w:pStyle w:val="NormalWeb"/>
        <w:rPr>
          <w:lang w:bidi="ar"/>
        </w:rPr>
      </w:pPr>
      <w:r>
        <w:rPr>
          <w:lang w:bidi="ar"/>
        </w:rPr>
        <w:t>Chaffey, D., &amp; Ellis-Chadwick, F. (2019). Digital Marketing: Strategy, Implementation, and Practice. Pearson Education.</w:t>
      </w:r>
    </w:p>
    <w:p w14:paraId="12D1BE72" w14:textId="77777777" w:rsidR="003E1F00" w:rsidRDefault="00E60324">
      <w:pPr>
        <w:pStyle w:val="NormalWeb"/>
        <w:rPr>
          <w:lang w:bidi="ar"/>
        </w:rPr>
      </w:pPr>
      <w:r>
        <w:rPr>
          <w:lang w:bidi="ar"/>
        </w:rPr>
        <w:t>CIPD. (2023). HR Strategy and Planning. Chartered Institute of Personnel and Development.</w:t>
      </w:r>
    </w:p>
    <w:p w14:paraId="1383C53A" w14:textId="77777777" w:rsidR="003E1F00" w:rsidRDefault="00E60324">
      <w:pPr>
        <w:pStyle w:val="NormalWeb"/>
        <w:rPr>
          <w:lang w:bidi="ar"/>
        </w:rPr>
      </w:pPr>
      <w:r>
        <w:rPr>
          <w:lang w:bidi="ar"/>
        </w:rPr>
        <w:t>Deloitte. (2023). Financial Performance Management: Trends and Insights. Deloitte Insights.</w:t>
      </w:r>
    </w:p>
    <w:p w14:paraId="4132032F" w14:textId="77777777" w:rsidR="003E1F00" w:rsidRDefault="00E60324">
      <w:pPr>
        <w:pStyle w:val="NormalWeb"/>
        <w:rPr>
          <w:lang w:bidi="ar"/>
        </w:rPr>
      </w:pPr>
      <w:r>
        <w:rPr>
          <w:lang w:bidi="ar"/>
        </w:rPr>
        <w:t xml:space="preserve">Kotler, P., &amp; Keller, K. L. (2020). </w:t>
      </w:r>
      <w:r>
        <w:rPr>
          <w:lang w:bidi="ar"/>
        </w:rPr>
        <w:t>Marketing Management. Pearson Education.</w:t>
      </w:r>
    </w:p>
    <w:p w14:paraId="36B0F5FF" w14:textId="77777777" w:rsidR="003E1F00" w:rsidRDefault="00E60324">
      <w:pPr>
        <w:pStyle w:val="NormalWeb"/>
        <w:rPr>
          <w:lang w:bidi="ar"/>
        </w:rPr>
      </w:pPr>
      <w:r>
        <w:rPr>
          <w:lang w:bidi="ar"/>
        </w:rPr>
        <w:t>Marks &amp; Spencer. (2023). Sustainability Report. Marks &amp; Spencer.</w:t>
      </w:r>
    </w:p>
    <w:p w14:paraId="3DD9FBE6" w14:textId="77777777" w:rsidR="003E1F00" w:rsidRDefault="00E60324">
      <w:pPr>
        <w:pStyle w:val="NormalWeb"/>
        <w:rPr>
          <w:lang w:bidi="ar"/>
        </w:rPr>
      </w:pPr>
      <w:r>
        <w:rPr>
          <w:lang w:bidi="ar"/>
        </w:rPr>
        <w:t>Marks &amp; Spencer. (2024). Annual Report and Financial Statements. Marks &amp; Spencer.</w:t>
      </w:r>
    </w:p>
    <w:p w14:paraId="6EA16C3C" w14:textId="77777777" w:rsidR="003E1F00" w:rsidRDefault="00E60324">
      <w:pPr>
        <w:pStyle w:val="NormalWeb"/>
        <w:rPr>
          <w:lang w:bidi="ar"/>
        </w:rPr>
      </w:pPr>
      <w:r>
        <w:rPr>
          <w:lang w:bidi="ar"/>
        </w:rPr>
        <w:t>PwC. (2023). Retail and Consumer Report: Financial Planning and Analysis in Retail. PricewaterhouseCoopers.</w:t>
      </w:r>
    </w:p>
    <w:p w14:paraId="41C23727" w14:textId="77777777" w:rsidR="003E1F00" w:rsidRDefault="00E60324">
      <w:pPr>
        <w:pStyle w:val="NormalWeb"/>
        <w:rPr>
          <w:lang w:bidi="ar"/>
        </w:rPr>
      </w:pPr>
      <w:r>
        <w:rPr>
          <w:lang w:bidi="ar"/>
        </w:rPr>
        <w:t>Robbins, S. P., &amp; Judge, T. A. (2021). Organizational Behavior. Pearson Education.</w:t>
      </w:r>
    </w:p>
    <w:p w14:paraId="52CAA8A9" w14:textId="77777777" w:rsidR="003E1F00" w:rsidRDefault="00E60324">
      <w:pPr>
        <w:pStyle w:val="NormalWeb"/>
        <w:rPr>
          <w:lang w:bidi="ar"/>
        </w:rPr>
      </w:pPr>
      <w:r>
        <w:rPr>
          <w:lang w:bidi="ar"/>
        </w:rPr>
        <w:t>Schein, E. H. (2017). Organizational Culture and Leadership. Wiley &amp; Sons.</w:t>
      </w:r>
    </w:p>
    <w:p w14:paraId="43B53EE6" w14:textId="77777777" w:rsidR="003E1F00" w:rsidRDefault="003E1F00">
      <w:pPr>
        <w:rPr>
          <w:lang w:val="en-GB"/>
        </w:rPr>
      </w:pPr>
    </w:p>
    <w:p w14:paraId="1B3ADFCA" w14:textId="77777777" w:rsidR="003E1F00" w:rsidRDefault="003E1F00">
      <w:pPr>
        <w:rPr>
          <w:lang w:val="en-GB"/>
        </w:rPr>
      </w:pPr>
    </w:p>
    <w:p w14:paraId="3CA800E1" w14:textId="77777777" w:rsidR="003E1F00" w:rsidRDefault="003E1F00">
      <w:pPr>
        <w:rPr>
          <w:lang w:val="en-GB"/>
        </w:rPr>
      </w:pPr>
    </w:p>
    <w:p w14:paraId="14368FEF" w14:textId="77777777" w:rsidR="003E1F00" w:rsidRDefault="003E1F00">
      <w:pPr>
        <w:rPr>
          <w:lang w:val="en-GB"/>
        </w:rPr>
      </w:pPr>
    </w:p>
    <w:sectPr w:rsidR="003E1F00">
      <w:footerReference w:type="default" r:id="rId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8B07C3" w14:textId="77777777" w:rsidR="003E1F00" w:rsidRDefault="00E60324">
      <w:pPr>
        <w:spacing w:line="240" w:lineRule="auto"/>
      </w:pPr>
      <w:r>
        <w:separator/>
      </w:r>
    </w:p>
  </w:endnote>
  <w:endnote w:type="continuationSeparator" w:id="0">
    <w:p w14:paraId="07BEBC4D" w14:textId="77777777" w:rsidR="003E1F00" w:rsidRDefault="00E603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等线 Light">
    <w:altName w:val="苹方-简"/>
    <w:charset w:val="00"/>
    <w:family w:val="auto"/>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2533271"/>
      <w:docPartObj>
        <w:docPartGallery w:val="AutoText"/>
      </w:docPartObj>
    </w:sdtPr>
    <w:sdtEndPr/>
    <w:sdtContent>
      <w:p w14:paraId="3511F7C1" w14:textId="77777777" w:rsidR="003E1F00" w:rsidRDefault="00E60324">
        <w:pPr>
          <w:pStyle w:val="Footer"/>
          <w:jc w:val="right"/>
        </w:pPr>
        <w:r>
          <w:fldChar w:fldCharType="begin"/>
        </w:r>
        <w:r>
          <w:instrText xml:space="preserve"> PAGE   \* MERGEFORMAT </w:instrText>
        </w:r>
        <w:r>
          <w:fldChar w:fldCharType="separate"/>
        </w:r>
        <w:r>
          <w:t>2</w:t>
        </w:r>
        <w:r>
          <w:fldChar w:fldCharType="end"/>
        </w:r>
      </w:p>
    </w:sdtContent>
  </w:sdt>
  <w:p w14:paraId="0D5A69A7" w14:textId="77777777" w:rsidR="003E1F00" w:rsidRDefault="003E1F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86047C" w14:textId="77777777" w:rsidR="003E1F00" w:rsidRDefault="00E60324">
      <w:pPr>
        <w:spacing w:after="0"/>
      </w:pPr>
      <w:r>
        <w:separator/>
      </w:r>
    </w:p>
  </w:footnote>
  <w:footnote w:type="continuationSeparator" w:id="0">
    <w:p w14:paraId="60213268" w14:textId="77777777" w:rsidR="003E1F00" w:rsidRDefault="00E60324">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7667"/>
    <w:rsid w:val="DFFDA13C"/>
    <w:rsid w:val="000E7667"/>
    <w:rsid w:val="00174728"/>
    <w:rsid w:val="00192B9B"/>
    <w:rsid w:val="002540E7"/>
    <w:rsid w:val="002A3EA4"/>
    <w:rsid w:val="003628C2"/>
    <w:rsid w:val="003E1F00"/>
    <w:rsid w:val="00460FA1"/>
    <w:rsid w:val="00522CC8"/>
    <w:rsid w:val="005C28AA"/>
    <w:rsid w:val="006A73CE"/>
    <w:rsid w:val="00763547"/>
    <w:rsid w:val="00854778"/>
    <w:rsid w:val="00BB5038"/>
    <w:rsid w:val="00BB5D3B"/>
    <w:rsid w:val="00C64B03"/>
    <w:rsid w:val="00C64CB4"/>
    <w:rsid w:val="00CB6780"/>
    <w:rsid w:val="00D3603C"/>
    <w:rsid w:val="00D631D7"/>
    <w:rsid w:val="00D80553"/>
    <w:rsid w:val="00E22502"/>
    <w:rsid w:val="00E57ED3"/>
    <w:rsid w:val="00E60324"/>
    <w:rsid w:val="00E72733"/>
    <w:rsid w:val="00EA3863"/>
    <w:rsid w:val="2FFBF39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C341E24"/>
  <w15:docId w15:val="{D4C9D29A-4DE1-41D0-B459-66C5AA739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eastAsiaTheme="minorHAnsi" w:cstheme="minorBidi"/>
      <w:color w:val="000000" w:themeColor="text1"/>
      <w:sz w:val="24"/>
      <w:szCs w:val="22"/>
      <w:lang w:val="en-IN" w:eastAsia="en-US"/>
    </w:rPr>
  </w:style>
  <w:style w:type="paragraph" w:styleId="Heading1">
    <w:name w:val="heading 1"/>
    <w:basedOn w:val="Normal"/>
    <w:next w:val="Normal"/>
    <w:link w:val="Heading1Char"/>
    <w:uiPriority w:val="9"/>
    <w:qFormat/>
    <w:pPr>
      <w:keepNext/>
      <w:keepLines/>
      <w:spacing w:before="480" w:after="240"/>
      <w:outlineLvl w:val="0"/>
    </w:pPr>
    <w:rPr>
      <w:rFonts w:eastAsiaTheme="majorEastAsia" w:cstheme="majorBidi"/>
      <w:b/>
      <w:szCs w:val="32"/>
    </w:rPr>
  </w:style>
  <w:style w:type="paragraph" w:styleId="Heading2">
    <w:name w:val="heading 2"/>
    <w:basedOn w:val="Normal"/>
    <w:next w:val="Normal"/>
    <w:link w:val="Heading2Char"/>
    <w:uiPriority w:val="9"/>
    <w:unhideWhenUsed/>
    <w:qFormat/>
    <w:pPr>
      <w:keepNext/>
      <w:keepLines/>
      <w:spacing w:before="280" w:after="240"/>
      <w:outlineLvl w:val="1"/>
    </w:pPr>
    <w:rPr>
      <w:rFonts w:eastAsiaTheme="majorEastAsia" w:cstheme="majorBidi"/>
      <w:b/>
      <w:szCs w:val="26"/>
    </w:rPr>
  </w:style>
  <w:style w:type="paragraph" w:styleId="Heading4">
    <w:name w:val="heading 4"/>
    <w:next w:val="Normal"/>
    <w:uiPriority w:val="9"/>
    <w:semiHidden/>
    <w:unhideWhenUsed/>
    <w:qFormat/>
    <w:pPr>
      <w:spacing w:beforeAutospacing="1" w:afterAutospacing="1"/>
      <w:outlineLvl w:val="3"/>
    </w:pPr>
    <w:rPr>
      <w:rFonts w:ascii="SimSun" w:hAnsi="SimSun" w:hint="eastAsia"/>
      <w:b/>
      <w:bCs/>
      <w:sz w:val="24"/>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uiPriority w:val="99"/>
    <w:semiHidden/>
    <w:unhideWhenUsed/>
    <w:pPr>
      <w:spacing w:beforeAutospacing="1" w:afterAutospacing="1"/>
    </w:pPr>
    <w:rPr>
      <w:sz w:val="24"/>
      <w:szCs w:val="24"/>
      <w:lang w:val="en-US" w:eastAsia="zh-CN"/>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character" w:customStyle="1" w:styleId="Heading1Char">
    <w:name w:val="Heading 1 Char"/>
    <w:basedOn w:val="DefaultParagraphFont"/>
    <w:link w:val="Heading1"/>
    <w:uiPriority w:val="9"/>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Pr>
      <w:rFonts w:ascii="Times New Roman" w:eastAsiaTheme="majorEastAsia" w:hAnsi="Times New Roman" w:cstheme="majorBidi"/>
      <w:b/>
      <w:color w:val="000000" w:themeColor="text1"/>
      <w:sz w:val="24"/>
      <w:szCs w:val="26"/>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hAnsiTheme="majorHAnsi"/>
      <w:b w:val="0"/>
      <w:color w:val="2F5496" w:themeColor="accent1" w:themeShade="BF"/>
      <w:sz w:val="32"/>
      <w:lang w:val="en-US"/>
    </w:rPr>
  </w:style>
  <w:style w:type="character" w:customStyle="1" w:styleId="HeaderChar">
    <w:name w:val="Header Char"/>
    <w:basedOn w:val="DefaultParagraphFont"/>
    <w:link w:val="Header"/>
    <w:uiPriority w:val="99"/>
    <w:rPr>
      <w:rFonts w:ascii="Times New Roman" w:hAnsi="Times New Roman"/>
      <w:color w:val="000000" w:themeColor="text1"/>
      <w:sz w:val="24"/>
    </w:rPr>
  </w:style>
  <w:style w:type="character" w:customStyle="1" w:styleId="FooterChar">
    <w:name w:val="Footer Char"/>
    <w:basedOn w:val="DefaultParagraphFont"/>
    <w:link w:val="Footer"/>
    <w:uiPriority w:val="99"/>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8</Pages>
  <Words>1494</Words>
  <Characters>8519</Characters>
  <Application>Microsoft Office Word</Application>
  <DocSecurity>4</DocSecurity>
  <Lines>70</Lines>
  <Paragraphs>19</Paragraphs>
  <ScaleCrop>false</ScaleCrop>
  <Company/>
  <LinksUpToDate>false</LinksUpToDate>
  <CharactersWithSpaces>9994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lux</dc:creator>
  <cp:lastModifiedBy>Helga Sofia Filipe De Sousa Lima Barros (2246034)</cp:lastModifiedBy>
  <cp:revision>2</cp:revision>
  <dcterms:created xsi:type="dcterms:W3CDTF">2024-08-30T21:18:00Z</dcterms:created>
  <dcterms:modified xsi:type="dcterms:W3CDTF">2024-08-30T21:18:00Z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1033-5.7.3.8096</vt:lpwstr>
  </property>
</Properties>
</file>