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4D1B6FB" wp14:paraId="170A2C55" wp14:textId="2AB9AE18">
      <w:pPr>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04D1B6FB" wp14:paraId="1197A35D" wp14:textId="1C7F9CB3">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6ACB237">
        <w:rPr>
          <w:rFonts w:ascii="Arial" w:hAnsi="Arial" w:eastAsia="Arial" w:cs="Arial"/>
          <w:b w:val="1"/>
          <w:bCs w:val="1"/>
          <w:i w:val="0"/>
          <w:iCs w:val="0"/>
          <w:caps w:val="0"/>
          <w:smallCaps w:val="0"/>
          <w:noProof w:val="0"/>
          <w:color w:val="000000" w:themeColor="text1" w:themeTint="FF" w:themeShade="FF"/>
          <w:sz w:val="48"/>
          <w:szCs w:val="48"/>
          <w:lang w:val="en-US"/>
        </w:rPr>
        <w:t xml:space="preserve">UNIVERSITY OF WALES TRINITY SAINT DAVID </w:t>
      </w:r>
    </w:p>
    <w:p xmlns:wp14="http://schemas.microsoft.com/office/word/2010/wordml" w:rsidP="04D1B6FB" wp14:paraId="39FC37FC" wp14:textId="15F0252C">
      <w:pPr>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04D1B6FB" wp14:paraId="78529B75" wp14:textId="3A544EFF">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Building your Personal Brand for Sustainable Employment</w:t>
      </w:r>
    </w:p>
    <w:p xmlns:wp14="http://schemas.microsoft.com/office/word/2010/wordml" w:rsidP="04D1B6FB" wp14:paraId="6C1F2958" wp14:textId="193CA817">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BMHP5015 Component 1</w:t>
      </w:r>
      <w:r w:rsidRPr="04D1B6FB" w:rsidR="26ACB237">
        <w:rPr>
          <w:rFonts w:ascii="Arial" w:hAnsi="Arial" w:eastAsia="Arial" w:cs="Arial"/>
          <w:b w:val="0"/>
          <w:bCs w:val="0"/>
          <w:i w:val="0"/>
          <w:iCs w:val="0"/>
          <w:caps w:val="0"/>
          <w:smallCaps w:val="0"/>
          <w:noProof w:val="0"/>
          <w:color w:val="000000" w:themeColor="text1" w:themeTint="FF" w:themeShade="FF"/>
          <w:sz w:val="40"/>
          <w:szCs w:val="40"/>
          <w:lang w:val="en-US"/>
        </w:rPr>
        <w:t>:</w:t>
      </w: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 xml:space="preserve"> Portfolio of Set Exercises</w:t>
      </w:r>
    </w:p>
    <w:p xmlns:wp14="http://schemas.microsoft.com/office/word/2010/wordml" w:rsidP="04D1B6FB" wp14:paraId="22944B33" wp14:textId="047D3793">
      <w:pPr>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4D1B6FB" wp14:paraId="6D48892D" wp14:textId="04A2E784">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0"/>
          <w:bCs w:val="0"/>
          <w:i w:val="0"/>
          <w:iCs w:val="0"/>
          <w:caps w:val="0"/>
          <w:smallCaps w:val="0"/>
          <w:noProof w:val="0"/>
          <w:color w:val="000000" w:themeColor="text1" w:themeTint="FF" w:themeShade="FF"/>
          <w:sz w:val="40"/>
          <w:szCs w:val="40"/>
          <w:lang w:val="en-US"/>
        </w:rPr>
        <w:t>By</w:t>
      </w:r>
    </w:p>
    <w:p xmlns:wp14="http://schemas.microsoft.com/office/word/2010/wordml" w:rsidP="04D1B6FB" wp14:paraId="5A02453C" wp14:textId="15140303">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Kate Narh</w:t>
      </w:r>
    </w:p>
    <w:p xmlns:wp14="http://schemas.microsoft.com/office/word/2010/wordml" w:rsidP="04D1B6FB" wp14:paraId="5DD5638B" wp14:textId="05EB767E">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Student Number: 2419949</w:t>
      </w:r>
    </w:p>
    <w:p xmlns:wp14="http://schemas.microsoft.com/office/word/2010/wordml" w:rsidP="04D1B6FB" wp14:paraId="246B8788" wp14:textId="6D960FD5">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Course: BSc Health and Social Care</w:t>
      </w:r>
    </w:p>
    <w:p xmlns:wp14="http://schemas.microsoft.com/office/word/2010/wordml" w:rsidP="04D1B6FB" wp14:paraId="37121A41" wp14:textId="2E6006A1">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Lecturer: Dr Robert Narkowski</w:t>
      </w:r>
    </w:p>
    <w:p xmlns:wp14="http://schemas.microsoft.com/office/word/2010/wordml" w:rsidP="04D1B6FB" wp14:paraId="3147DE2B" wp14:textId="5E73E8E9">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4D1B6FB" wp14:paraId="56249BAE" wp14:textId="35287F0D">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Due: 26</w:t>
      </w:r>
      <w:r w:rsidRPr="04D1B6FB" w:rsidR="26ACB237">
        <w:rPr>
          <w:rFonts w:ascii="Arial" w:hAnsi="Arial" w:eastAsia="Arial" w:cs="Arial"/>
          <w:b w:val="1"/>
          <w:bCs w:val="1"/>
          <w:i w:val="0"/>
          <w:iCs w:val="0"/>
          <w:caps w:val="0"/>
          <w:smallCaps w:val="0"/>
          <w:noProof w:val="0"/>
          <w:color w:val="000000" w:themeColor="text1" w:themeTint="FF" w:themeShade="FF"/>
          <w:sz w:val="40"/>
          <w:szCs w:val="40"/>
          <w:vertAlign w:val="superscript"/>
          <w:lang w:val="en-US"/>
        </w:rPr>
        <w:t>th</w:t>
      </w:r>
      <w:r w:rsidRPr="04D1B6FB" w:rsidR="26ACB237">
        <w:rPr>
          <w:rFonts w:ascii="Arial" w:hAnsi="Arial" w:eastAsia="Arial" w:cs="Arial"/>
          <w:b w:val="1"/>
          <w:bCs w:val="1"/>
          <w:i w:val="0"/>
          <w:iCs w:val="0"/>
          <w:caps w:val="0"/>
          <w:smallCaps w:val="0"/>
          <w:noProof w:val="0"/>
          <w:color w:val="000000" w:themeColor="text1" w:themeTint="FF" w:themeShade="FF"/>
          <w:sz w:val="40"/>
          <w:szCs w:val="40"/>
          <w:lang w:val="en-US"/>
        </w:rPr>
        <w:t xml:space="preserve"> October 2026</w:t>
      </w:r>
    </w:p>
    <w:p xmlns:wp14="http://schemas.microsoft.com/office/word/2010/wordml" w:rsidP="04D1B6FB" wp14:paraId="08D8314A" wp14:textId="3982E0A5">
      <w:pPr>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4D1B6FB" wp14:paraId="766B16B3" wp14:textId="139D7BC0">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3BB34D94" wp14:textId="3376295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7E5025D5" wp14:textId="631C4A5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D1B6FB" wp14:paraId="5B97873C" wp14:textId="2967C00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D1B6FB" wp14:paraId="5B579010" wp14:textId="1ADE0CE8">
      <w:pP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6ACB237">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04D1B6FB" w:rsidR="26ACB237">
        <w:rPr>
          <w:rFonts w:ascii="Arial" w:hAnsi="Arial" w:eastAsia="Arial" w:cs="Arial"/>
          <w:b w:val="1"/>
          <w:bCs w:val="1"/>
          <w:i w:val="0"/>
          <w:iCs w:val="0"/>
          <w:caps w:val="0"/>
          <w:smallCaps w:val="0"/>
          <w:noProof w:val="0"/>
          <w:color w:val="000000" w:themeColor="text1" w:themeTint="FF" w:themeShade="FF"/>
          <w:sz w:val="48"/>
          <w:szCs w:val="48"/>
          <w:lang w:val="en-GB"/>
        </w:rPr>
        <w:t>Task 1 – Personal Brand</w:t>
      </w:r>
    </w:p>
    <w:p xmlns:wp14="http://schemas.microsoft.com/office/word/2010/wordml" w:rsidP="04D1B6FB" wp14:paraId="326AD6A5" wp14:textId="22218F8F">
      <w:pPr>
        <w:pStyle w:val="Heading2"/>
        <w:keepNext w:val="1"/>
        <w:keepLines w:val="1"/>
        <w:spacing w:before="299" w:after="299"/>
        <w:rPr>
          <w:rFonts w:ascii="Arial" w:hAnsi="Arial" w:eastAsia="Arial" w:cs="Arial"/>
          <w:b w:val="0"/>
          <w:bCs w:val="0"/>
          <w:i w:val="0"/>
          <w:iCs w:val="0"/>
          <w:caps w:val="0"/>
          <w:smallCaps w:val="0"/>
          <w:noProof w:val="0"/>
          <w:color w:val="000000" w:themeColor="text1" w:themeTint="FF" w:themeShade="FF"/>
          <w:sz w:val="32"/>
          <w:szCs w:val="32"/>
          <w:lang w:val="en-GB"/>
        </w:rPr>
      </w:pPr>
      <w:r w:rsidRPr="04D1B6FB" w:rsidR="26ACB237">
        <w:rPr>
          <w:rFonts w:ascii="Arial" w:hAnsi="Arial" w:eastAsia="Arial" w:cs="Arial"/>
          <w:b w:val="1"/>
          <w:bCs w:val="1"/>
          <w:i w:val="0"/>
          <w:iCs w:val="0"/>
          <w:caps w:val="0"/>
          <w:smallCaps w:val="0"/>
          <w:noProof w:val="0"/>
          <w:color w:val="000000" w:themeColor="text1" w:themeTint="FF" w:themeShade="FF"/>
          <w:sz w:val="32"/>
          <w:szCs w:val="32"/>
          <w:lang w:val="en-GB"/>
        </w:rPr>
        <w:t>Developing My Professional Identity and Personal Brand Reflection</w:t>
      </w:r>
    </w:p>
    <w:p xmlns:wp14="http://schemas.microsoft.com/office/word/2010/wordml" w:rsidP="04D1B6FB" wp14:paraId="7F1F6B9C" wp14:textId="5A3855C0">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Minor-Cooley and Parks-Yancy (2020) highlight the importance of personal branding in communicating professional strengths and value. As a Registered General Nurse since 1993, I possess substantial clinical expertise, empathy and professional accountability. My Health and Social Care degree builds on this experience, developing the leadership competencies needed for progression towards nursing home management.</w:t>
      </w:r>
    </w:p>
    <w:p xmlns:wp14="http://schemas.microsoft.com/office/word/2010/wordml" w:rsidP="04D1B6FB" wp14:paraId="54D18371" wp14:textId="2F2D5341">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Through more than three decades of clinical practice, I have developed systems thinking by coordinating multidisciplinary teams, managing competing priorities and supporting safe patient care. Mentoring colleagues and supporting staff integration have strengthened my teamwork and staff-development skills. Cummings et al. (2018) highlight the importance of effective leadership in promoting positive nursing workforce outcomes.</w:t>
      </w:r>
    </w:p>
    <w:p xmlns:wp14="http://schemas.microsoft.com/office/word/2010/wordml" w:rsidP="04D1B6FB" wp14:paraId="7C1481A5" wp14:textId="3886A588">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However, clinical experience alone is insufficient for management progression. Nursing home management requires strategic decision-making, financial planning, workforce management and effective resource allocation. Fitzgerald (2020) explains that professional identity encompasses knowledge, skills, values and ethics. These dimensions reflect my commitment to compassionate care, integrity and accountability. Nevertheless, I recognise development needs in budgeting, workforce planning, conflict resolution and regulatory compliance.</w:t>
      </w:r>
    </w:p>
    <w:p xmlns:wp14="http://schemas.microsoft.com/office/word/2010/wordml" w:rsidP="04D1B6FB" wp14:paraId="437D074D" wp14:textId="20E5D089">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Over the next six months, I will seek additional staff-management responsibilities, investigate nursing home operational requirements and develop my budgeting and workforce-planning knowledge through structured professional development. I will also improve my understanding of safeguarding, staff supervision and training to support safe resident care (National Institute for Health and Care Excellence, 2021). Feedback from colleagues and managers, alongside reflective documentation, will help me evaluate my progress.</w:t>
      </w:r>
    </w:p>
    <w:p xmlns:wp14="http://schemas.microsoft.com/office/word/2010/wordml" w:rsidP="04D1B6FB" wp14:paraId="36D5F35A" wp14:textId="2B9EFF84">
      <w:pPr>
        <w:pStyle w:val="Heading2"/>
        <w:keepNext w:val="1"/>
        <w:keepLines w:val="1"/>
        <w:spacing w:before="299" w:after="299"/>
        <w:rPr>
          <w:rFonts w:ascii="Arial" w:hAnsi="Arial" w:eastAsia="Arial" w:cs="Arial"/>
          <w:b w:val="0"/>
          <w:bCs w:val="0"/>
          <w:i w:val="0"/>
          <w:iCs w:val="0"/>
          <w:caps w:val="0"/>
          <w:smallCaps w:val="0"/>
          <w:noProof w:val="0"/>
          <w:color w:val="000000" w:themeColor="text1" w:themeTint="FF" w:themeShade="FF"/>
          <w:sz w:val="32"/>
          <w:szCs w:val="32"/>
          <w:lang w:val="en-GB"/>
        </w:rPr>
      </w:pPr>
      <w:r w:rsidRPr="04D1B6FB" w:rsidR="26ACB237">
        <w:rPr>
          <w:rFonts w:ascii="Arial" w:hAnsi="Arial" w:eastAsia="Arial" w:cs="Arial"/>
          <w:b w:val="1"/>
          <w:bCs w:val="1"/>
          <w:i w:val="0"/>
          <w:iCs w:val="0"/>
          <w:caps w:val="0"/>
          <w:smallCaps w:val="0"/>
          <w:noProof w:val="0"/>
          <w:color w:val="000000" w:themeColor="text1" w:themeTint="FF" w:themeShade="FF"/>
          <w:sz w:val="32"/>
          <w:szCs w:val="32"/>
          <w:lang w:val="en-GB"/>
        </w:rPr>
        <w:t>Conclusion</w:t>
      </w:r>
    </w:p>
    <w:p xmlns:wp14="http://schemas.microsoft.com/office/word/2010/wordml" w:rsidP="04D1B6FB" wp14:paraId="4C4E5DA7" wp14:textId="71FF0BB6">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My nursing experience provides a strong foundation for management readiness. Continued learning and the development of wider organisational and leadership competencies will support my progression towards nursing home management.</w:t>
      </w:r>
    </w:p>
    <w:p xmlns:wp14="http://schemas.microsoft.com/office/word/2010/wordml" w:rsidP="04D1B6FB" wp14:paraId="02FCD6A5" wp14:textId="1C3D1B9B">
      <w:pP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4D1B6FB" wp14:paraId="5C67A146" wp14:textId="1DB909A1">
      <w:pP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6ACB237">
        <w:rPr>
          <w:rFonts w:ascii="Arial" w:hAnsi="Arial" w:eastAsia="Arial" w:cs="Arial"/>
          <w:b w:val="1"/>
          <w:bCs w:val="1"/>
          <w:i w:val="0"/>
          <w:iCs w:val="0"/>
          <w:caps w:val="0"/>
          <w:smallCaps w:val="0"/>
          <w:noProof w:val="0"/>
          <w:color w:val="000000" w:themeColor="text1" w:themeTint="FF" w:themeShade="FF"/>
          <w:sz w:val="48"/>
          <w:szCs w:val="48"/>
          <w:lang w:val="en-GB"/>
        </w:rPr>
        <w:t xml:space="preserve"> Task 2</w:t>
      </w:r>
    </w:p>
    <w:p xmlns:wp14="http://schemas.microsoft.com/office/word/2010/wordml" w:rsidP="04D1B6FB" wp14:paraId="2B22ACD8" wp14:textId="6EFCD037">
      <w:pP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6ACB237">
        <w:rPr>
          <w:rFonts w:ascii="Arial" w:hAnsi="Arial" w:eastAsia="Arial" w:cs="Arial"/>
          <w:b w:val="1"/>
          <w:bCs w:val="1"/>
          <w:i w:val="0"/>
          <w:iCs w:val="0"/>
          <w:caps w:val="0"/>
          <w:smallCaps w:val="0"/>
          <w:noProof w:val="0"/>
          <w:color w:val="000000" w:themeColor="text1" w:themeTint="FF" w:themeShade="FF"/>
          <w:sz w:val="48"/>
          <w:szCs w:val="48"/>
          <w:lang w:val="en-GB"/>
        </w:rPr>
        <w:t>Network Map and Rationale</w:t>
      </w:r>
    </w:p>
    <w:p xmlns:wp14="http://schemas.microsoft.com/office/word/2010/wordml" w:rsidP="04D1B6FB" wp14:paraId="3544D70A" wp14:textId="1A4958B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5ADFBE4B" wp14:textId="5B70F3E3">
      <w:pPr>
        <w:spacing w:after="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4C3B3900" wp14:textId="1A705B35">
      <w:pPr>
        <w:spacing w:after="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26ACB237">
        <w:drawing>
          <wp:inline xmlns:wp14="http://schemas.microsoft.com/office/word/2010/wordprocessingDrawing" wp14:editId="500857CD" wp14:anchorId="4898D55B">
            <wp:extent cx="5724525" cy="3819525"/>
            <wp:effectExtent l="0" t="0" r="0" b="0"/>
            <wp:docPr id="2043852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3852293" name="Picture 2043852293"/>
                    <pic:cNvPicPr/>
                  </pic:nvPicPr>
                  <pic:blipFill>
                    <a:blip xmlns:r="http://schemas.openxmlformats.org/officeDocument/2006/relationships" r:embed="rId534760718">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xmlns:wp14="http://schemas.microsoft.com/office/word/2010/wordml" w:rsidP="04D1B6FB" wp14:paraId="13C382F2" wp14:textId="056A3BAE">
      <w:pPr>
        <w:pStyle w:val="Heading3"/>
        <w:keepNext w:val="1"/>
        <w:keepLines w:val="1"/>
        <w:spacing w:before="0" w:after="0" w:line="30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6ACB237">
        <w:rPr>
          <w:rFonts w:ascii="Arial" w:hAnsi="Arial" w:eastAsia="Arial" w:cs="Arial"/>
          <w:b w:val="1"/>
          <w:bCs w:val="1"/>
          <w:i w:val="0"/>
          <w:iCs w:val="0"/>
          <w:caps w:val="0"/>
          <w:smallCaps w:val="0"/>
          <w:noProof w:val="0"/>
          <w:color w:val="000000" w:themeColor="text1" w:themeTint="FF" w:themeShade="FF"/>
          <w:sz w:val="28"/>
          <w:szCs w:val="28"/>
          <w:lang w:val="en-GB"/>
        </w:rPr>
        <w:t>Rationale</w:t>
      </w:r>
    </w:p>
    <w:p xmlns:wp14="http://schemas.microsoft.com/office/word/2010/wordml" w:rsidP="04D1B6FB" wp14:paraId="3EC1E818" wp14:textId="3F9675B7">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Social capital refers to the resources, knowledge and opportunities that individuals gain through social relationships and networks (Coleman, 1990; Putnam, Leonardi and Nanetti, 1993). As shown in Figure 1, my personal and professional network includes career, social, support and community connections that reflect bonding, bridging and linking social capital.</w:t>
      </w:r>
    </w:p>
    <w:p xmlns:wp14="http://schemas.microsoft.com/office/word/2010/wordml" w:rsidP="04D1B6FB" wp14:paraId="4C188EAC" wp14:textId="7001DD99">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Bonding social capital represents my strongest source of support and includes family, close friends and trusted associates. These relationships provide emotional support, practical assistance and stability, helping me balance work and academic commitments. They also contribute to resilience and wellbeing when facing personal, academic and workplace challenges. However, relying heavily on close relationships may limit exposure to new perspectives and opportunities.</w:t>
      </w:r>
    </w:p>
    <w:p xmlns:wp14="http://schemas.microsoft.com/office/word/2010/wordml" w:rsidP="04D1B6FB" wp14:paraId="43A77401" wp14:textId="6BF66D5B">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Bridging social capital is demonstrated through connections with university classmates, lecturers, volunteer groups and community organisations. Granovetter (1973) argues that weak ties provide access to new information and opportunities beyond immediate social circles. These relationships support personal development by increasing knowledge, confidence and skills relevant to healthcare administration and leadership.</w:t>
      </w:r>
    </w:p>
    <w:p xmlns:wp14="http://schemas.microsoft.com/office/word/2010/wordml" w:rsidP="04D1B6FB" wp14:paraId="6CD09E8D" wp14:textId="15D59C5B">
      <w:pPr>
        <w:spacing w:before="210" w:after="210" w:line="360" w:lineRule="auto"/>
        <w:jc w:val="both"/>
      </w:pPr>
      <w:r w:rsidRPr="04D1B6FB" w:rsidR="26ACB237">
        <w:rPr>
          <w:rFonts w:ascii="Arial" w:hAnsi="Arial" w:eastAsia="Arial" w:cs="Arial"/>
          <w:b w:val="0"/>
          <w:bCs w:val="0"/>
          <w:i w:val="0"/>
          <w:iCs w:val="0"/>
          <w:caps w:val="0"/>
          <w:smallCaps w:val="0"/>
          <w:noProof w:val="0"/>
          <w:color w:val="000000" w:themeColor="text1" w:themeTint="FF" w:themeShade="FF"/>
          <w:sz w:val="22"/>
          <w:szCs w:val="22"/>
          <w:lang w:val="en-GB"/>
        </w:rPr>
        <w:t>A weakness within my network is limited linking social capital, particularly connections with healthcare leaders and organisational decision-makers. Szreter and Woolcock (2004) suggest that linking social capital creates opportunities for influence, mentoring and access to resources across professional hierarchies. As my career goal is to progress into a nursing home management role, strengthening these connections is essential. Over the next six months, I intend to seek mentoring opportunities, join professional networks and attend industry events to enhance my leadership development and career progression.</w:t>
      </w:r>
    </w:p>
    <w:p xmlns:wp14="http://schemas.microsoft.com/office/word/2010/wordml" w:rsidP="04D1B6FB" wp14:paraId="4CA63A7B" wp14:textId="3528F848">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7128B5D4" wp14:textId="08FAAD3A">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3617F16E" wp14:textId="7CF1B2B5">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76415FCE" wp14:textId="28EA5112">
      <w:pPr>
        <w:spacing w:after="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6E2D73A3" wp14:textId="66AFAA6A">
      <w:pP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9AEC733">
        <w:rPr>
          <w:rFonts w:ascii="Arial" w:hAnsi="Arial" w:eastAsia="Arial" w:cs="Arial"/>
          <w:b w:val="1"/>
          <w:bCs w:val="1"/>
          <w:i w:val="0"/>
          <w:iCs w:val="0"/>
          <w:caps w:val="0"/>
          <w:smallCaps w:val="0"/>
          <w:noProof w:val="0"/>
          <w:color w:val="000000" w:themeColor="text1" w:themeTint="FF" w:themeShade="FF"/>
          <w:sz w:val="48"/>
          <w:szCs w:val="48"/>
          <w:lang w:val="en-US"/>
        </w:rPr>
        <w:t xml:space="preserve">Task 3: Blog </w:t>
      </w:r>
    </w:p>
    <w:p xmlns:wp14="http://schemas.microsoft.com/office/word/2010/wordml" w:rsidP="04D1B6FB" wp14:paraId="20445F24" wp14:textId="13E55CFB">
      <w:pPr>
        <w:pStyle w:val="Heading1"/>
        <w:keepNext w:val="1"/>
        <w:keepLines w:val="1"/>
        <w:spacing w:before="281" w:after="281" w:line="300"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9AEC733">
        <w:rPr>
          <w:rFonts w:ascii="Arial" w:hAnsi="Arial" w:eastAsia="Arial" w:cs="Arial"/>
          <w:b w:val="1"/>
          <w:bCs w:val="1"/>
          <w:i w:val="0"/>
          <w:iCs w:val="0"/>
          <w:caps w:val="0"/>
          <w:smallCaps w:val="0"/>
          <w:noProof w:val="0"/>
          <w:color w:val="000000" w:themeColor="text1" w:themeTint="FF" w:themeShade="FF"/>
          <w:sz w:val="48"/>
          <w:szCs w:val="48"/>
          <w:lang w:val="en-US"/>
        </w:rPr>
        <w:t>Why Is Adult Social Care Struggling to Recruit in Birmingham?</w:t>
      </w:r>
    </w:p>
    <w:p xmlns:wp14="http://schemas.microsoft.com/office/word/2010/wordml" w:rsidP="04D1B6FB" wp14:paraId="140AE4A1" wp14:textId="1BB93C41">
      <w:pPr>
        <w:spacing w:before="210" w:after="210" w:line="30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US"/>
        </w:rPr>
        <w:t>Target audience: Jobseekers in Birmingham considering a career in adult social care</w:t>
      </w:r>
      <w:r w:rsidRPr="04D1B6FB" w:rsidR="29AEC73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04D1B6FB" wp14:paraId="241737D6" wp14:textId="675E6E1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29AEC733">
        <w:drawing>
          <wp:inline xmlns:wp14="http://schemas.microsoft.com/office/word/2010/wordprocessingDrawing" wp14:editId="6FC5AAF3" wp14:anchorId="40CEC4B5">
            <wp:extent cx="3819525" cy="5724525"/>
            <wp:effectExtent l="0" t="0" r="0" b="0"/>
            <wp:docPr id="11234653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7746383" name="Picture 937746383"/>
                    <pic:cNvPicPr/>
                  </pic:nvPicPr>
                  <pic:blipFill>
                    <a:blip xmlns:r="http://schemas.openxmlformats.org/officeDocument/2006/relationships" r:embed="rId2109079903">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xmlns:wp14="http://schemas.microsoft.com/office/word/2010/wordml" w:rsidP="04D1B6FB" wp14:paraId="12054ABC" wp14:textId="23D7DB4F">
      <w:pPr>
        <w:spacing w:before="210" w:after="210" w:line="30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1"/>
          <w:bCs w:val="1"/>
          <w:i w:val="0"/>
          <w:iCs w:val="0"/>
          <w:caps w:val="0"/>
          <w:smallCaps w:val="0"/>
          <w:noProof w:val="0"/>
          <w:color w:val="000000" w:themeColor="text1" w:themeTint="FF" w:themeShade="FF"/>
          <w:sz w:val="21"/>
          <w:szCs w:val="21"/>
          <w:lang w:val="en-US"/>
        </w:rPr>
        <w:t>Figure 1. Factors influencing recruitment and retention in adult social care in Birmingham.</w:t>
      </w:r>
    </w:p>
    <w:p xmlns:wp14="http://schemas.microsoft.com/office/word/2010/wordml" w:rsidP="04D1B6FB" wp14:paraId="2007D12D" wp14:textId="32203041">
      <w:pPr>
        <w:spacing w:before="210" w:after="210" w:line="30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0"/>
          <w:bCs w:val="0"/>
          <w:i w:val="1"/>
          <w:iCs w:val="1"/>
          <w:caps w:val="0"/>
          <w:smallCaps w:val="0"/>
          <w:noProof w:val="0"/>
          <w:color w:val="000000" w:themeColor="text1" w:themeTint="FF" w:themeShade="FF"/>
          <w:sz w:val="21"/>
          <w:szCs w:val="21"/>
          <w:lang w:val="en-US"/>
        </w:rPr>
        <w:t>Source: Adapted from Skills for Care (2025; 2026), Birmingham City Council (2026) and Real Living Wage Foundation (2026).</w:t>
      </w:r>
    </w:p>
    <w:p xmlns:wp14="http://schemas.microsoft.com/office/word/2010/wordml" w:rsidP="04D1B6FB" wp14:paraId="4F6A8C58" wp14:textId="615F6DC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44"/>
          <w:szCs w:val="44"/>
          <w:lang w:val="en-GB"/>
        </w:rPr>
      </w:pPr>
    </w:p>
    <w:p xmlns:wp14="http://schemas.microsoft.com/office/word/2010/wordml" w:rsidP="04D1B6FB" wp14:paraId="0B96AF64" wp14:textId="7514255C">
      <w:pPr>
        <w:pStyle w:val="Heading2"/>
        <w:keepNext w:val="1"/>
        <w:keepLines w:val="1"/>
        <w:spacing w:before="261" w:after="261" w:line="300" w:lineRule="auto"/>
        <w:jc w:val="both"/>
        <w:rPr>
          <w:rFonts w:ascii="Segoe UI" w:hAnsi="Segoe UI" w:eastAsia="Segoe UI" w:cs="Segoe UI"/>
          <w:b w:val="0"/>
          <w:bCs w:val="0"/>
          <w:i w:val="0"/>
          <w:iCs w:val="0"/>
          <w:caps w:val="0"/>
          <w:smallCaps w:val="0"/>
          <w:noProof w:val="0"/>
          <w:color w:val="000000" w:themeColor="text1" w:themeTint="FF" w:themeShade="FF"/>
          <w:sz w:val="32"/>
          <w:szCs w:val="32"/>
          <w:lang w:val="en-GB"/>
        </w:rPr>
      </w:pPr>
      <w:r w:rsidRPr="04D1B6FB" w:rsidR="29AEC733">
        <w:rPr>
          <w:rFonts w:ascii="Segoe UI" w:hAnsi="Segoe UI" w:eastAsia="Segoe UI" w:cs="Segoe UI"/>
          <w:b w:val="1"/>
          <w:bCs w:val="1"/>
          <w:i w:val="0"/>
          <w:iCs w:val="0"/>
          <w:caps w:val="0"/>
          <w:smallCaps w:val="0"/>
          <w:noProof w:val="0"/>
          <w:color w:val="000000" w:themeColor="text1" w:themeTint="FF" w:themeShade="FF"/>
          <w:sz w:val="32"/>
          <w:szCs w:val="32"/>
          <w:lang w:val="en-US"/>
        </w:rPr>
        <w:t>Introduction</w:t>
      </w:r>
    </w:p>
    <w:p xmlns:wp14="http://schemas.microsoft.com/office/word/2010/wordml" w:rsidP="04D1B6FB" wp14:paraId="5E9E9EFB" wp14:textId="1E0F87E7">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Adult social care in Birmingham offers meaningful work, yet employers continue to experience difficulties </w:t>
      </w:r>
      <w:hyperlink r:id="Ra29cdc5b21204512">
        <w:r w:rsidRPr="04D1B6FB" w:rsidR="29AEC733">
          <w:rPr>
            <w:rStyle w:val="Hyperlink"/>
            <w:b w:val="0"/>
            <w:bCs w:val="0"/>
            <w:i w:val="0"/>
            <w:iCs w:val="0"/>
            <w:caps w:val="0"/>
            <w:smallCaps w:val="0"/>
            <w:strike w:val="0"/>
            <w:dstrike w:val="0"/>
            <w:noProof w:val="0"/>
            <w:lang w:val="en-GB"/>
          </w:rPr>
          <w:t>recruiting</w:t>
        </w:r>
      </w:hyperlink>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retaining staff. </w:t>
      </w:r>
      <w:hyperlink r:id="R7103977b569b4ee9">
        <w:r w:rsidRPr="04D1B6FB" w:rsidR="29AEC733">
          <w:rPr>
            <w:rStyle w:val="Hyperlink"/>
            <w:b w:val="0"/>
            <w:bCs w:val="0"/>
            <w:i w:val="0"/>
            <w:iCs w:val="0"/>
            <w:caps w:val="0"/>
            <w:smallCaps w:val="0"/>
            <w:strike w:val="0"/>
            <w:dstrike w:val="0"/>
            <w:noProof w:val="0"/>
            <w:lang w:val="en-GB"/>
          </w:rPr>
          <w:t>The challenge</w:t>
        </w:r>
      </w:hyperlink>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 is not simply a shortage of applicants. Factors such as </w:t>
      </w:r>
      <w:hyperlink r:id="Rdc9b33409624413f">
        <w:r w:rsidRPr="04D1B6FB" w:rsidR="29AEC733">
          <w:rPr>
            <w:rStyle w:val="Hyperlink"/>
            <w:b w:val="0"/>
            <w:bCs w:val="0"/>
            <w:i w:val="0"/>
            <w:iCs w:val="0"/>
            <w:caps w:val="0"/>
            <w:smallCaps w:val="0"/>
            <w:strike w:val="0"/>
            <w:dstrike w:val="0"/>
            <w:noProof w:val="0"/>
            <w:lang w:val="en-GB"/>
          </w:rPr>
          <w:t>Low pay,</w:t>
        </w:r>
      </w:hyperlink>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employment conditions and limited opportunities for career advancement can affect whether people choose to enter or remain in the sector (Skills for Care, 2025). Understanding these issues can help jobseekers make informed career decisions.</w:t>
      </w:r>
    </w:p>
    <w:p xmlns:wp14="http://schemas.microsoft.com/office/word/2010/wordml" w:rsidP="04D1B6FB" wp14:paraId="14BBCD29" wp14:textId="5F9E268A">
      <w:pPr>
        <w:pStyle w:val="Heading2"/>
        <w:keepNext w:val="1"/>
        <w:keepLines w:val="1"/>
        <w:spacing w:before="261" w:after="261" w:line="30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US"/>
        </w:rPr>
        <w:t>The Pay Problem</w:t>
      </w:r>
    </w:p>
    <w:p xmlns:wp14="http://schemas.microsoft.com/office/word/2010/wordml" w:rsidP="04D1B6FB" wp14:paraId="568440C0" wp14:textId="74C86632">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skills, knowledge preservation, compassion, and responsibility are all required for care work. However, pay remains a significant concern. According </w:t>
      </w:r>
      <w:hyperlink r:id="R2f17f8e9fb3c4252">
        <w:r w:rsidRPr="04D1B6FB" w:rsidR="29AEC733">
          <w:rPr>
            <w:rStyle w:val="Hyperlink"/>
            <w:b w:val="0"/>
            <w:bCs w:val="0"/>
            <w:i w:val="0"/>
            <w:iCs w:val="0"/>
            <w:caps w:val="0"/>
            <w:smallCaps w:val="0"/>
            <w:strike w:val="0"/>
            <w:dstrike w:val="0"/>
            <w:noProof w:val="0"/>
            <w:lang w:val="en-GB"/>
          </w:rPr>
          <w:t>Skills for Care</w:t>
        </w:r>
      </w:hyperlink>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 (2026), the median hourly pay for care workers in England's independent adult social care sector was £12.60, while the West Midlands median rate was £12.45. The report also found that 49% of care workers were paid below the </w:t>
      </w:r>
      <w:hyperlink r:id="R8b0f5dbaf8d748cf">
        <w:r w:rsidRPr="04D1B6FB" w:rsidR="29AEC733">
          <w:rPr>
            <w:rStyle w:val="Hyperlink"/>
            <w:b w:val="0"/>
            <w:bCs w:val="0"/>
            <w:i w:val="0"/>
            <w:iCs w:val="0"/>
            <w:caps w:val="0"/>
            <w:smallCaps w:val="0"/>
            <w:strike w:val="0"/>
            <w:dstrike w:val="0"/>
            <w:noProof w:val="0"/>
            <w:lang w:val="en-GB"/>
          </w:rPr>
          <w:t>Real Living Wage.</w:t>
        </w:r>
      </w:hyperlink>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 Rising living costs may make care work less financially appealing than jobs in other industries.</w:t>
      </w:r>
    </w:p>
    <w:p xmlns:wp14="http://schemas.microsoft.com/office/word/2010/wordml" w:rsidP="04D1B6FB" wp14:paraId="1922C57D" wp14:textId="36D50E3F">
      <w:pPr>
        <w:pStyle w:val="Heading2"/>
        <w:keepNext w:val="1"/>
        <w:keepLines w:val="1"/>
        <w:spacing w:before="261" w:after="261" w:line="30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US"/>
        </w:rPr>
        <w:t>Why Do Workers Leave?</w:t>
      </w:r>
    </w:p>
    <w:p xmlns:wp14="http://schemas.microsoft.com/office/word/2010/wordml" w:rsidP="04D1B6FB" wp14:paraId="1B4879A4" wp14:textId="43722DFE">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Another challenge is how to </w:t>
      </w:r>
      <w:hyperlink r:id="R7dbeeb42467b4bd2">
        <w:r w:rsidRPr="04D1B6FB" w:rsidR="29AEC733">
          <w:rPr>
            <w:rStyle w:val="Hyperlink"/>
            <w:b w:val="0"/>
            <w:bCs w:val="0"/>
            <w:i w:val="0"/>
            <w:iCs w:val="0"/>
            <w:caps w:val="0"/>
            <w:smallCaps w:val="0"/>
            <w:strike w:val="0"/>
            <w:dstrike w:val="0"/>
            <w:noProof w:val="0"/>
            <w:lang w:val="en-GB"/>
          </w:rPr>
          <w:t>retain their staff</w:t>
        </w:r>
      </w:hyperlink>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w:t>
      </w: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 Skills for Care (2025) found that turnover was </w:t>
      </w:r>
      <w:r w:rsidRPr="04D1B6FB" w:rsidR="29AEC733">
        <w:rPr>
          <w:rFonts w:ascii="Arial" w:hAnsi="Arial" w:eastAsia="Arial" w:cs="Arial"/>
          <w:b w:val="1"/>
          <w:bCs w:val="1"/>
          <w:i w:val="0"/>
          <w:iCs w:val="0"/>
          <w:caps w:val="0"/>
          <w:smallCaps w:val="0"/>
          <w:noProof w:val="0"/>
          <w:color w:val="000000" w:themeColor="text1" w:themeTint="FF" w:themeShade="FF"/>
          <w:sz w:val="22"/>
          <w:szCs w:val="22"/>
          <w:lang w:val="en-US"/>
        </w:rPr>
        <w:t>42.2%</w:t>
      </w: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 among care workers with none of five positive employment factors, compared with </w:t>
      </w:r>
      <w:r w:rsidRPr="04D1B6FB" w:rsidR="29AEC733">
        <w:rPr>
          <w:rFonts w:ascii="Arial" w:hAnsi="Arial" w:eastAsia="Arial" w:cs="Arial"/>
          <w:b w:val="1"/>
          <w:bCs w:val="1"/>
          <w:i w:val="0"/>
          <w:iCs w:val="0"/>
          <w:caps w:val="0"/>
          <w:smallCaps w:val="0"/>
          <w:noProof w:val="0"/>
          <w:color w:val="000000" w:themeColor="text1" w:themeTint="FF" w:themeShade="FF"/>
          <w:sz w:val="22"/>
          <w:szCs w:val="22"/>
          <w:lang w:val="en-US"/>
        </w:rPr>
        <w:t>14.4%</w:t>
      </w: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 among those with all five positive employment factors. These include competitive pay, guaranteed hours, training opportunities, relevant qualifications, and full-time employment. This evidence suggests that better employment conditions can improve workforce stability and continuity of care.</w:t>
      </w:r>
    </w:p>
    <w:p xmlns:wp14="http://schemas.microsoft.com/office/word/2010/wordml" w:rsidP="04D1B6FB" wp14:paraId="459EFC44" wp14:textId="54A95955">
      <w:pPr>
        <w:pStyle w:val="Heading2"/>
        <w:keepNext w:val="1"/>
        <w:keepLines w:val="1"/>
        <w:spacing w:before="261" w:after="261" w:line="30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US"/>
        </w:rPr>
        <w:t>What Should Jobseekers Look For?</w:t>
      </w:r>
    </w:p>
    <w:p xmlns:wp14="http://schemas.microsoft.com/office/word/2010/wordml" w:rsidP="04D1B6FB" wp14:paraId="13FA1F63" wp14:textId="2BC684A5">
      <w:pPr>
        <w:spacing w:before="210" w:after="21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Before accepting a role, ask:</w:t>
      </w:r>
    </w:p>
    <w:p xmlns:wp14="http://schemas.microsoft.com/office/word/2010/wordml" w:rsidP="04D1B6FB" wp14:paraId="42531EEB" wp14:textId="2ABAA579">
      <w:pPr>
        <w:pStyle w:val="ListParagraph"/>
        <w:numPr>
          <w:ilvl w:val="0"/>
          <w:numId w:val="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Will </w:t>
      </w:r>
      <w:hyperlink r:id="R54fa3bcd5bf94c42">
        <w:r w:rsidRPr="04D1B6FB" w:rsidR="29AEC733">
          <w:rPr>
            <w:rStyle w:val="Hyperlink"/>
            <w:b w:val="0"/>
            <w:bCs w:val="0"/>
            <w:i w:val="0"/>
            <w:iCs w:val="0"/>
            <w:caps w:val="0"/>
            <w:smallCaps w:val="0"/>
            <w:strike w:val="0"/>
            <w:dstrike w:val="0"/>
            <w:noProof w:val="0"/>
            <w:lang w:val="en-GB"/>
          </w:rPr>
          <w:t>induction</w:t>
        </w:r>
      </w:hyperlink>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 training and DBS guidance be provided?</w:t>
      </w:r>
    </w:p>
    <w:p xmlns:wp14="http://schemas.microsoft.com/office/word/2010/wordml" w:rsidP="04D1B6FB" wp14:paraId="017804CC" wp14:textId="4415296B">
      <w:pPr>
        <w:pStyle w:val="ListParagraph"/>
        <w:numPr>
          <w:ilvl w:val="0"/>
          <w:numId w:val="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Are guaranteed hours and a written contract available?</w:t>
      </w:r>
    </w:p>
    <w:p xmlns:wp14="http://schemas.microsoft.com/office/word/2010/wordml" w:rsidP="04D1B6FB" wp14:paraId="0D7D6535" wp14:textId="63AF3616">
      <w:pPr>
        <w:pStyle w:val="ListParagraph"/>
        <w:numPr>
          <w:ilvl w:val="0"/>
          <w:numId w:val="2"/>
        </w:numPr>
        <w:spacing w:after="0" w:line="36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 xml:space="preserve">What </w:t>
      </w:r>
      <w:hyperlink r:id="R0c8762eaaf184b8e">
        <w:r w:rsidRPr="04D1B6FB" w:rsidR="29AEC733">
          <w:rPr>
            <w:rStyle w:val="Hyperlink"/>
            <w:b w:val="0"/>
            <w:bCs w:val="0"/>
            <w:i w:val="0"/>
            <w:iCs w:val="0"/>
            <w:caps w:val="0"/>
            <w:smallCaps w:val="0"/>
            <w:strike w:val="0"/>
            <w:dstrike w:val="0"/>
            <w:noProof w:val="0"/>
            <w:lang w:val="en-GB"/>
          </w:rPr>
          <w:t>training</w:t>
        </w:r>
      </w:hyperlink>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and career progression opportunities are offered</w:t>
      </w:r>
      <w:r w:rsidRPr="04D1B6FB" w:rsidR="29AEC733">
        <w:rPr>
          <w:rFonts w:ascii="Segoe UI" w:hAnsi="Segoe UI" w:eastAsia="Segoe UI" w:cs="Segoe UI"/>
          <w:b w:val="0"/>
          <w:bCs w:val="0"/>
          <w:i w:val="0"/>
          <w:iCs w:val="0"/>
          <w:caps w:val="0"/>
          <w:smallCaps w:val="0"/>
          <w:noProof w:val="0"/>
          <w:color w:val="000000" w:themeColor="text1" w:themeTint="FF" w:themeShade="FF"/>
          <w:sz w:val="21"/>
          <w:szCs w:val="21"/>
          <w:lang w:val="en-US"/>
        </w:rPr>
        <w:t>?</w:t>
      </w:r>
    </w:p>
    <w:p xmlns:wp14="http://schemas.microsoft.com/office/word/2010/wordml" w:rsidP="04D1B6FB" wp14:paraId="5ABD9EAF" wp14:textId="08255DD5">
      <w:pPr>
        <w:pStyle w:val="Heading2"/>
        <w:keepNext w:val="1"/>
        <w:keepLines w:val="1"/>
        <w:spacing w:before="261" w:after="261" w:line="30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US"/>
        </w:rPr>
        <w:t>Conclusion</w:t>
      </w:r>
    </w:p>
    <w:p xmlns:wp14="http://schemas.microsoft.com/office/word/2010/wordml" w:rsidP="04D1B6FB" wp14:paraId="548C3A91" wp14:textId="3D307162">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US"/>
        </w:rPr>
        <w:t>Improving recruitment requires more than advertising job openings, fair pay, stable employment and opportunities for advancement all influence whether people join and remain in adult social care (Skills for Care, 2025; 2026). For jobseekers, understanding these factors can support better career choices</w:t>
      </w:r>
    </w:p>
    <w:p xmlns:wp14="http://schemas.microsoft.com/office/word/2010/wordml" w:rsidP="04D1B6FB" wp14:paraId="31E9ADB1" wp14:textId="4642C02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44"/>
          <w:szCs w:val="44"/>
          <w:lang w:val="en-GB"/>
        </w:rPr>
      </w:pPr>
    </w:p>
    <w:p xmlns:wp14="http://schemas.microsoft.com/office/word/2010/wordml" w:rsidP="04D1B6FB" wp14:paraId="1956C56C" wp14:textId="38D32E4C">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230C1BAD" wp14:textId="52E6AB6D">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61884AE8" wp14:textId="1F63F0F3">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4B1CEF8D" wp14:textId="56B35F49">
      <w:pPr>
        <w:jc w:val="both"/>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9AEC733">
        <w:rPr>
          <w:rFonts w:ascii="Arial" w:hAnsi="Arial" w:eastAsia="Arial" w:cs="Arial"/>
          <w:b w:val="1"/>
          <w:bCs w:val="1"/>
          <w:i w:val="0"/>
          <w:iCs w:val="0"/>
          <w:caps w:val="0"/>
          <w:smallCaps w:val="0"/>
          <w:noProof w:val="0"/>
          <w:color w:val="000000" w:themeColor="text1" w:themeTint="FF" w:themeShade="FF"/>
          <w:sz w:val="48"/>
          <w:szCs w:val="48"/>
          <w:lang w:val="en-GB"/>
        </w:rPr>
        <w:t xml:space="preserve">Task 4: </w:t>
      </w:r>
    </w:p>
    <w:p xmlns:wp14="http://schemas.microsoft.com/office/word/2010/wordml" w:rsidP="04D1B6FB" wp14:paraId="017B583E" wp14:textId="06E5CAF5">
      <w:pPr>
        <w:jc w:val="both"/>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9AEC733">
        <w:rPr>
          <w:rFonts w:ascii="Arial" w:hAnsi="Arial" w:eastAsia="Arial" w:cs="Arial"/>
          <w:b w:val="1"/>
          <w:bCs w:val="1"/>
          <w:i w:val="0"/>
          <w:iCs w:val="0"/>
          <w:caps w:val="0"/>
          <w:smallCaps w:val="0"/>
          <w:noProof w:val="0"/>
          <w:color w:val="000000" w:themeColor="text1" w:themeTint="FF" w:themeShade="FF"/>
          <w:sz w:val="48"/>
          <w:szCs w:val="48"/>
          <w:lang w:val="en-GB"/>
        </w:rPr>
        <w:t>Equality, Diversity and Inclusion Quiz</w:t>
      </w:r>
    </w:p>
    <w:p xmlns:wp14="http://schemas.microsoft.com/office/word/2010/wordml" w:rsidP="04D1B6FB" wp14:paraId="541C7E97" wp14:textId="14BA2F21">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1. What is the primary goal of the NHS Equality, Diversity and Inclusion Improvement Plan?</w:t>
      </w:r>
    </w:p>
    <w:p xmlns:wp14="http://schemas.microsoft.com/office/word/2010/wordml" w:rsidP="04D1B6FB" wp14:paraId="648DAFE0" wp14:textId="3A067F1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 xml:space="preserve">The central aim of equality, diversity and inclusion work is to reduce unfair treatment and barriers that prevent staff from participating fully in the workplace. Research shows that discrimination and unequal opportunities can affect staff experiences, career progression and wellbeing, making fair employment practices important in healthcare (Clayton </w:t>
      </w:r>
      <w:r w:rsidRPr="04D1B6FB" w:rsidR="29AEC733">
        <w:rPr>
          <w:rFonts w:ascii="Arial" w:hAnsi="Arial" w:eastAsia="Arial" w:cs="Arial"/>
          <w:b w:val="0"/>
          <w:bCs w:val="0"/>
          <w:i w:val="1"/>
          <w:iCs w:val="1"/>
          <w:caps w:val="0"/>
          <w:smallCaps w:val="0"/>
          <w:noProof w:val="0"/>
          <w:color w:val="000000" w:themeColor="text1" w:themeTint="FF" w:themeShade="FF"/>
          <w:sz w:val="22"/>
          <w:szCs w:val="22"/>
          <w:lang w:val="en-GB"/>
        </w:rPr>
        <w:t>et al.,</w:t>
      </w: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xmlns:wp14="http://schemas.microsoft.com/office/word/2010/wordml" w:rsidP="04D1B6FB" wp14:paraId="3319AD0B" wp14:textId="65C06F50">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2. How does the plan propose to tackle the gender pay gap?</w:t>
      </w:r>
    </w:p>
    <w:p xmlns:wp14="http://schemas.microsoft.com/office/word/2010/wordml" w:rsidP="04D1B6FB" wp14:paraId="08481F73" wp14:textId="40F3873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A research-based approach to reducing the gender pay gap includes examining pay and promotion patterns, identifying unequal opportunities and assessing whether recruitment and progression processes are fair. Gupta and Zoungrana (2025) found that gender-related pay inequalities in healthcare remain an important research concern, while evidence about how gender interacts with other characteristics is still limited.</w:t>
      </w:r>
    </w:p>
    <w:p xmlns:wp14="http://schemas.microsoft.com/office/word/2010/wordml" w:rsidP="04D1B6FB" wp14:paraId="0FBB82A6" wp14:textId="61649D49">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3. What is meant by intersectionality?</w:t>
      </w:r>
    </w:p>
    <w:p xmlns:wp14="http://schemas.microsoft.com/office/word/2010/wordml" w:rsidP="04D1B6FB" wp14:paraId="5AF3DB91" wp14:textId="0C39A63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Intersectionality means that different aspects of a person's identity can overlap and shape their experiences of discrimination or advantage. For example, gender, ethnicity and migration status may combine to influence how a worker is treated or the opportunities available to them. Crenshaw (1989) introduced intersectionality to explain why examining one aspect of identity in isolation may fail to recognise overlapping forms of disadvantage.</w:t>
      </w:r>
    </w:p>
    <w:p xmlns:wp14="http://schemas.microsoft.com/office/word/2010/wordml" w:rsidP="04D1B6FB" wp14:paraId="05840D55" wp14:textId="7E7BF8EB">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4. Why is it important to create a psychologically safe work environment?</w:t>
      </w:r>
    </w:p>
    <w:p xmlns:wp14="http://schemas.microsoft.com/office/word/2010/wordml" w:rsidP="04D1B6FB" wp14:paraId="7D7E996B" wp14:textId="6C0C648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Psychological safety helps staff feel able to ask questions, admit mistakes and raise concerns without fear of humiliation. Edmondson (1999) found that psychological safety supports learning behaviour within work teams. In healthcare, this is important because staff need to communicate concerns about risks and work together to improve practice.</w:t>
      </w:r>
    </w:p>
    <w:p xmlns:wp14="http://schemas.microsoft.com/office/word/2010/wordml" w:rsidP="04D1B6FB" wp14:paraId="4CF5EE60" wp14:textId="221434B7">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5. How can the experience of internationally recruited staff be improved?</w:t>
      </w:r>
    </w:p>
    <w:p xmlns:wp14="http://schemas.microsoft.com/office/word/2010/wordml" w:rsidP="04D1B6FB" wp14:paraId="66DFEC39" wp14:textId="6C9CE60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Internationally recruited employees can benefit from clear induction, access to training, fair opportunities for advancement, and respectful relationships with coworkers. Managers should respond to discrimination and ensure that employees are not denied development opportunities due to their background. Research on employment inequalities among minority ethnic health and social care workers in Britain has revealed concerns about workplace treatment, career advancement, bullying, and harassment (Hussein, 2022).</w:t>
      </w:r>
    </w:p>
    <w:p xmlns:wp14="http://schemas.microsoft.com/office/word/2010/wordml" w:rsidP="04D1B6FB" wp14:paraId="6274B2BC" wp14:textId="280EF001">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6. What role does leadership play in advancing equality, diversity and inclusion?</w:t>
      </w:r>
    </w:p>
    <w:p xmlns:wp14="http://schemas.microsoft.com/office/word/2010/wordml" w:rsidP="04D1B6FB" wp14:paraId="404F6604" wp14:textId="13D7973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Leaders influence workplace culture through their decisions, behaviour and responses to concerns. They should set clear expectations about respectful treatment, examine evidence of unequal outcomes and act when staff experience discrimination. Ryan (2023) argues that workplace gender inequality should be addressed through changes to organisational systems rather than placing the responsibility entirely on individuals who experience disadvantage.</w:t>
      </w:r>
    </w:p>
    <w:p xmlns:wp14="http://schemas.microsoft.com/office/word/2010/wordml" w:rsidP="04D1B6FB" wp14:paraId="1F46F8DD" wp14:textId="649EF3D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08A47748" wp14:textId="6C5BBF37">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7. Identify one way equality and inclusion work can reduce inequalities within the workforce.</w:t>
      </w:r>
    </w:p>
    <w:p xmlns:wp14="http://schemas.microsoft.com/office/word/2010/wordml" w:rsidP="04D1B6FB" wp14:paraId="161254BD" wp14:textId="45C3A00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 xml:space="preserve">One approach is to strengthen prevention and reporting of bullying, harassment and discrimination. Staff should have safe ways to raise concerns and receive fair responses. Research on health and care workers shows that adverse workplace experiences can be shaped by overlapping social inequalities and may affect staff wellbeing and career opportunities (Clayton </w:t>
      </w:r>
      <w:r w:rsidRPr="04D1B6FB" w:rsidR="29AEC733">
        <w:rPr>
          <w:rFonts w:ascii="Arial" w:hAnsi="Arial" w:eastAsia="Arial" w:cs="Arial"/>
          <w:b w:val="0"/>
          <w:bCs w:val="0"/>
          <w:i w:val="1"/>
          <w:iCs w:val="1"/>
          <w:caps w:val="0"/>
          <w:smallCaps w:val="0"/>
          <w:noProof w:val="0"/>
          <w:color w:val="000000" w:themeColor="text1" w:themeTint="FF" w:themeShade="FF"/>
          <w:sz w:val="22"/>
          <w:szCs w:val="22"/>
          <w:lang w:val="en-GB"/>
        </w:rPr>
        <w:t>et al.</w:t>
      </w: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 2025).</w:t>
      </w:r>
    </w:p>
    <w:p xmlns:wp14="http://schemas.microsoft.com/office/word/2010/wordml" w:rsidP="04D1B6FB" wp14:paraId="11167D4D" wp14:textId="6DA2B82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4D968F6B" wp14:textId="6DE31A3F">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8. Why is it important to collect and analyse data on protected characteristics?</w:t>
      </w:r>
    </w:p>
    <w:p xmlns:wp14="http://schemas.microsoft.com/office/word/2010/wordml" w:rsidP="04D1B6FB" wp14:paraId="7E00FE10" wp14:textId="5AFB223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Workforce data can help identify whether groups experience unequal pay, limited promotion or poorer workplace experiences. Analysis should consider how characteristics may overlap, while protecting confidentiality. Gupta and Zoungrana (2025) identify limitations in the available research on intersecting characteristics and pay differences, demonstrating why detailed and reliable data are important.</w:t>
      </w:r>
    </w:p>
    <w:p xmlns:wp14="http://schemas.microsoft.com/office/word/2010/wordml" w:rsidP="04D1B6FB" wp14:paraId="15A1B28E" wp14:textId="2CC5F24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703EE112" wp14:textId="58A547BD">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9. How can flexible working contribute to equality and inclusion?</w:t>
      </w:r>
    </w:p>
    <w:p xmlns:wp14="http://schemas.microsoft.com/office/word/2010/wordml" w:rsidP="04D1B6FB" wp14:paraId="5EF95B6C" wp14:textId="37B1162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Flexible working can help staff balance employment with caring responsibilities, disability-related needs and other personal circumstances. Fair access to flexibility can reduce barriers to remaining in employment. However, flexibility must be managed consistently so that some staff are not disadvantaged when seeking suitable shifts or career opportunities. Research on gender inequality shows that workplace practices and work-related expectations can contribute to unequal employment outcomes (Ryan, 2023).</w:t>
      </w:r>
    </w:p>
    <w:p xmlns:wp14="http://schemas.microsoft.com/office/word/2010/wordml" w:rsidP="04D1B6FB" wp14:paraId="22EF3394" wp14:textId="4BE12B0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3EE96E42" wp14:textId="3D3C34A2">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D1B6FB" w:rsidR="29AEC733">
        <w:rPr>
          <w:rFonts w:ascii="Arial" w:hAnsi="Arial" w:eastAsia="Arial" w:cs="Arial"/>
          <w:b w:val="1"/>
          <w:bCs w:val="1"/>
          <w:i w:val="0"/>
          <w:iCs w:val="0"/>
          <w:caps w:val="0"/>
          <w:smallCaps w:val="0"/>
          <w:noProof w:val="0"/>
          <w:color w:val="000000" w:themeColor="text1" w:themeTint="FF" w:themeShade="FF"/>
          <w:sz w:val="28"/>
          <w:szCs w:val="28"/>
          <w:lang w:val="en-GB"/>
        </w:rPr>
        <w:t>10. What is one strategy to combat bullying and harassment in the workplace?</w:t>
      </w:r>
    </w:p>
    <w:p xmlns:wp14="http://schemas.microsoft.com/office/word/2010/wordml" w:rsidP="04D1B6FB" wp14:paraId="69FD67ED" wp14:textId="6025B13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D1B6FB" w:rsidR="29AEC733">
        <w:rPr>
          <w:rFonts w:ascii="Arial" w:hAnsi="Arial" w:eastAsia="Arial" w:cs="Arial"/>
          <w:b w:val="0"/>
          <w:bCs w:val="0"/>
          <w:i w:val="0"/>
          <w:iCs w:val="0"/>
          <w:caps w:val="0"/>
          <w:smallCaps w:val="0"/>
          <w:noProof w:val="0"/>
          <w:color w:val="000000" w:themeColor="text1" w:themeTint="FF" w:themeShade="FF"/>
          <w:sz w:val="22"/>
          <w:szCs w:val="22"/>
          <w:lang w:val="en-GB"/>
        </w:rPr>
        <w:t>A useful strategy is to establish clear reporting routes, investigate concerns fairly and provide support to affected staff. Managers should challenge inappropriate behaviour rather than treating it as a normal part of workplace culture. Psychological safety is also important because staff are more likely to raise concerns when they believe they will be treated respectfully (Edmondson, 1999).</w:t>
      </w:r>
    </w:p>
    <w:p xmlns:wp14="http://schemas.microsoft.com/office/word/2010/wordml" w:rsidP="04D1B6FB" wp14:paraId="19626871" wp14:textId="7B403DE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56804110" wp14:textId="6A2BEA8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32F3D56A" wp14:textId="23D0CA0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446502D2" wp14:textId="66F7E2D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50D5F571" wp14:textId="3859B0A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6E0E6A71" wp14:textId="009CCC0A">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04D1B6FB" wp14:paraId="3D0F1B21" wp14:textId="0DE8DA1E">
      <w:pP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9AEC733">
        <w:rPr>
          <w:rFonts w:ascii="Arial" w:hAnsi="Arial" w:eastAsia="Arial" w:cs="Arial"/>
          <w:b w:val="1"/>
          <w:bCs w:val="1"/>
          <w:i w:val="0"/>
          <w:iCs w:val="0"/>
          <w:caps w:val="0"/>
          <w:smallCaps w:val="0"/>
          <w:noProof w:val="0"/>
          <w:color w:val="000000" w:themeColor="text1" w:themeTint="FF" w:themeShade="FF"/>
          <w:sz w:val="48"/>
          <w:szCs w:val="48"/>
          <w:lang w:val="en-GB"/>
        </w:rPr>
        <w:t>Task 5</w:t>
      </w:r>
    </w:p>
    <w:p xmlns:wp14="http://schemas.microsoft.com/office/word/2010/wordml" w:rsidP="04D1B6FB" wp14:paraId="75F7AA8F" wp14:textId="75AF6AD0">
      <w:pPr>
        <w:rPr>
          <w:rFonts w:ascii="Arial" w:hAnsi="Arial" w:eastAsia="Arial" w:cs="Arial"/>
          <w:b w:val="0"/>
          <w:bCs w:val="0"/>
          <w:i w:val="0"/>
          <w:iCs w:val="0"/>
          <w:caps w:val="0"/>
          <w:smallCaps w:val="0"/>
          <w:noProof w:val="0"/>
          <w:color w:val="000000" w:themeColor="text1" w:themeTint="FF" w:themeShade="FF"/>
          <w:sz w:val="48"/>
          <w:szCs w:val="48"/>
          <w:lang w:val="en-GB"/>
        </w:rPr>
      </w:pPr>
      <w:r w:rsidRPr="04D1B6FB" w:rsidR="29AEC733">
        <w:rPr>
          <w:rFonts w:ascii="Arial" w:hAnsi="Arial" w:eastAsia="Arial" w:cs="Arial"/>
          <w:b w:val="1"/>
          <w:bCs w:val="1"/>
          <w:i w:val="0"/>
          <w:iCs w:val="0"/>
          <w:caps w:val="0"/>
          <w:smallCaps w:val="0"/>
          <w:noProof w:val="0"/>
          <w:color w:val="000000" w:themeColor="text1" w:themeTint="FF" w:themeShade="FF"/>
          <w:sz w:val="48"/>
          <w:szCs w:val="48"/>
          <w:lang w:val="en-GB"/>
        </w:rPr>
        <w:t xml:space="preserve">A Letter to Yourself </w:t>
      </w:r>
      <w:r w:rsidRPr="04D1B6FB" w:rsidR="29AEC733">
        <w:rPr>
          <w:rFonts w:ascii="Arial" w:hAnsi="Arial" w:eastAsia="Arial" w:cs="Arial"/>
          <w:b w:val="0"/>
          <w:bCs w:val="0"/>
          <w:i w:val="0"/>
          <w:iCs w:val="0"/>
          <w:caps w:val="0"/>
          <w:smallCaps w:val="0"/>
          <w:noProof w:val="0"/>
          <w:color w:val="000000" w:themeColor="text1" w:themeTint="FF" w:themeShade="FF"/>
          <w:sz w:val="48"/>
          <w:szCs w:val="48"/>
          <w:lang w:val="en-GB"/>
        </w:rPr>
        <w:t xml:space="preserve"> </w:t>
      </w:r>
    </w:p>
    <w:p xmlns:wp14="http://schemas.microsoft.com/office/word/2010/wordml" w:rsidP="04D1B6FB" wp14:paraId="0415E9A5" wp14:textId="30894402">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1"/>
          <w:bCs w:val="1"/>
          <w:i w:val="0"/>
          <w:iCs w:val="0"/>
          <w:caps w:val="0"/>
          <w:smallCaps w:val="0"/>
          <w:noProof w:val="0"/>
          <w:color w:val="000000" w:themeColor="text1" w:themeTint="FF" w:themeShade="FF"/>
          <w:sz w:val="21"/>
          <w:szCs w:val="21"/>
          <w:lang w:val="en-GB"/>
        </w:rPr>
        <w:t>Dear Younger Kate,</w:t>
      </w:r>
    </w:p>
    <w:p xmlns:wp14="http://schemas.microsoft.com/office/word/2010/wordml" w:rsidP="04D1B6FB" wp14:paraId="6F40C05F" wp14:textId="46EEF2FE">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0"/>
          <w:bCs w:val="0"/>
          <w:i w:val="0"/>
          <w:iCs w:val="0"/>
          <w:caps w:val="0"/>
          <w:smallCaps w:val="0"/>
          <w:noProof w:val="0"/>
          <w:color w:val="000000" w:themeColor="text1" w:themeTint="FF" w:themeShade="FF"/>
          <w:sz w:val="21"/>
          <w:szCs w:val="21"/>
          <w:lang w:val="en-GB"/>
        </w:rPr>
        <w:t>I am writing from a point where the difficulty you are facing now has softened into something I can reflect upon with greater understanding. You are struggling, not with a single catastrophe, but with the gradual accumulation of pressure, uncertainty, and self-doubt. What I want you to know is that the way forward is not to suppress what you feel but to understand it, learn from it, and respond constructively.</w:t>
      </w:r>
    </w:p>
    <w:p xmlns:wp14="http://schemas.microsoft.com/office/word/2010/wordml" w:rsidP="04D1B6FB" wp14:paraId="4C3FBDB5" wp14:textId="5CA8B469">
      <w:pPr>
        <w:spacing w:before="210" w:after="21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Serrat (2017) argues that emotional intelligence begins with self-awareness and self-management and that these are learnable skills rather than fixed traits. At the time, you interpreted your anxiety as a personal weakness. Had you recognised it as information rather than failure, you may have responded more effectively. By pausing, reflecting, and regulating your emotions, you could have reduced stress and made clearer decisions. Hughes and Terrell (2011) emphasise that emotional competencies develop through practice, reflection, and feedback rather than insight alone. Even a small daily habit of identifying and naming your emotions would have strengthened your emotional awareness and confidence.</w:t>
      </w:r>
    </w:p>
    <w:p xmlns:wp14="http://schemas.microsoft.com/office/word/2010/wordml" w:rsidP="04D1B6FB" wp14:paraId="5D5A2EF1" wp14:textId="23EB285D">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0"/>
          <w:bCs w:val="0"/>
          <w:i w:val="0"/>
          <w:iCs w:val="0"/>
          <w:caps w:val="0"/>
          <w:smallCaps w:val="0"/>
          <w:noProof w:val="0"/>
          <w:color w:val="000000" w:themeColor="text1" w:themeTint="FF" w:themeShade="FF"/>
          <w:sz w:val="21"/>
          <w:szCs w:val="21"/>
          <w:lang w:val="en-GB"/>
        </w:rPr>
        <w:t>Resilience, as Herrman et al. (2011) define it, is positive adaptation in the face of adversity. It does not mean avoiding distress or coping alone but maintaining wellbeing despite challenges. You believed resilience meant enduring difficulties silently. In reality, resilience involves seeking support, using available resources, and allowing yourself time to recover. Serrat (2017) explains that emotional intelligence can be developed through deliberate practice and motivation. You already possessed the motivation; you simply lacked the knowledge and framework.</w:t>
      </w:r>
    </w:p>
    <w:p xmlns:wp14="http://schemas.microsoft.com/office/word/2010/wordml" w:rsidP="04D1B6FB" wp14:paraId="23250872" wp14:textId="06108EA4">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0"/>
          <w:bCs w:val="0"/>
          <w:i w:val="0"/>
          <w:iCs w:val="0"/>
          <w:caps w:val="0"/>
          <w:smallCaps w:val="0"/>
          <w:noProof w:val="0"/>
          <w:color w:val="000000" w:themeColor="text1" w:themeTint="FF" w:themeShade="FF"/>
          <w:sz w:val="21"/>
          <w:szCs w:val="21"/>
          <w:lang w:val="en-GB"/>
        </w:rPr>
        <w:t>If I could offer one piece of advice, it would be this, treat your emotions as data, not verdicts. Learning to observe emotions rather than be overwhelmed by them is the foundation of both emotional intelligence and resilience.</w:t>
      </w:r>
    </w:p>
    <w:p xmlns:wp14="http://schemas.microsoft.com/office/word/2010/wordml" w:rsidP="04D1B6FB" wp14:paraId="1887CED2" wp14:textId="07563C19">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1"/>
          <w:bCs w:val="1"/>
          <w:i w:val="0"/>
          <w:iCs w:val="0"/>
          <w:caps w:val="0"/>
          <w:smallCaps w:val="0"/>
          <w:noProof w:val="0"/>
          <w:color w:val="000000" w:themeColor="text1" w:themeTint="FF" w:themeShade="FF"/>
          <w:sz w:val="21"/>
          <w:szCs w:val="21"/>
          <w:lang w:val="en-GB"/>
        </w:rPr>
        <w:t>With understanding,</w:t>
      </w:r>
    </w:p>
    <w:p xmlns:wp14="http://schemas.microsoft.com/office/word/2010/wordml" w:rsidP="04D1B6FB" wp14:paraId="7B799FBA" wp14:textId="6A9E9F33">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D1B6FB" w:rsidR="29AEC733">
        <w:rPr>
          <w:rFonts w:ascii="Segoe UI" w:hAnsi="Segoe UI" w:eastAsia="Segoe UI" w:cs="Segoe UI"/>
          <w:b w:val="1"/>
          <w:bCs w:val="1"/>
          <w:i w:val="0"/>
          <w:iCs w:val="0"/>
          <w:caps w:val="0"/>
          <w:smallCaps w:val="0"/>
          <w:noProof w:val="0"/>
          <w:color w:val="000000" w:themeColor="text1" w:themeTint="FF" w:themeShade="FF"/>
          <w:sz w:val="21"/>
          <w:szCs w:val="21"/>
          <w:lang w:val="en-GB"/>
        </w:rPr>
        <w:t>Your Older Kate</w:t>
      </w:r>
    </w:p>
    <w:p xmlns:wp14="http://schemas.microsoft.com/office/word/2010/wordml" w:rsidP="04D1B6FB" wp14:paraId="0C28362A" wp14:textId="5E8B961F">
      <w:pPr>
        <w:spacing w:before="210" w:after="210"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p>
    <w:p xmlns:wp14="http://schemas.microsoft.com/office/word/2010/wordml" w:rsidP="04D1B6FB" wp14:paraId="3CCC264F" wp14:textId="55F7C77D">
      <w:pPr>
        <w:spacing w:after="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726D64C7" wp14:textId="3D895550">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71723700" wp14:textId="76021116">
      <w:pPr>
        <w:rPr>
          <w:rFonts w:ascii="Arial" w:hAnsi="Arial" w:eastAsia="Arial" w:cs="Arial"/>
          <w:b w:val="0"/>
          <w:bCs w:val="0"/>
          <w:i w:val="0"/>
          <w:iCs w:val="0"/>
          <w:caps w:val="0"/>
          <w:smallCaps w:val="0"/>
          <w:noProof w:val="0"/>
          <w:color w:val="000000" w:themeColor="text1" w:themeTint="FF" w:themeShade="FF"/>
          <w:sz w:val="24"/>
          <w:szCs w:val="24"/>
          <w:lang w:val="en-GB"/>
        </w:rPr>
      </w:pP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4D1B6FB" wp14:paraId="47A809E7" wp14:textId="36CF45A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BAD4401" wp14:paraId="7E8AF2C3" wp14:textId="3B8A3F22">
      <w:pPr>
        <w:spacing w:after="0" w:line="300"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2BAD4401" w:rsidR="161ABCDC">
        <w:rPr>
          <w:rFonts w:ascii="Arial" w:hAnsi="Arial" w:eastAsia="Arial" w:cs="Arial"/>
          <w:b w:val="1"/>
          <w:bCs w:val="1"/>
          <w:i w:val="0"/>
          <w:iCs w:val="0"/>
          <w:caps w:val="0"/>
          <w:smallCaps w:val="0"/>
          <w:noProof w:val="0"/>
          <w:color w:val="000000" w:themeColor="text1" w:themeTint="FF" w:themeShade="FF"/>
          <w:sz w:val="48"/>
          <w:szCs w:val="48"/>
          <w:lang w:val="en-GB"/>
        </w:rPr>
        <w:t>Task 6: Gantt Chart and Career Development Plan</w:t>
      </w:r>
    </w:p>
    <w:p xmlns:wp14="http://schemas.microsoft.com/office/word/2010/wordml" w:rsidP="2BAD4401" wp14:paraId="44169829" wp14:textId="73A1A4A1">
      <w:pPr>
        <w:spacing w:after="0" w:line="300" w:lineRule="auto"/>
        <w:jc w:val="center"/>
        <w:rPr>
          <w:rFonts w:ascii="Cambria" w:hAnsi="Cambria" w:eastAsia="Cambria" w:cs="Cambria"/>
          <w:b w:val="0"/>
          <w:bCs w:val="0"/>
          <w:i w:val="0"/>
          <w:iCs w:val="0"/>
          <w:caps w:val="0"/>
          <w:smallCaps w:val="0"/>
          <w:noProof w:val="0"/>
          <w:color w:val="000000" w:themeColor="text1" w:themeTint="FF" w:themeShade="FF"/>
          <w:sz w:val="32"/>
          <w:szCs w:val="32"/>
          <w:lang w:val="en-GB"/>
        </w:rPr>
      </w:pPr>
      <w:r w:rsidRPr="2BAD4401" w:rsidR="161ABCDC">
        <w:rPr>
          <w:rFonts w:ascii="Cambria" w:hAnsi="Cambria" w:eastAsia="Cambria" w:cs="Cambria"/>
          <w:b w:val="1"/>
          <w:bCs w:val="1"/>
          <w:i w:val="0"/>
          <w:iCs w:val="0"/>
          <w:caps w:val="0"/>
          <w:smallCaps w:val="0"/>
          <w:noProof w:val="0"/>
          <w:color w:val="000000" w:themeColor="text1" w:themeTint="FF" w:themeShade="FF"/>
          <w:sz w:val="32"/>
          <w:szCs w:val="32"/>
          <w:lang w:val="en-US"/>
        </w:rPr>
        <w:t>Figure 1. Six-Month Professional Development Gantt Chart</w:t>
      </w:r>
    </w:p>
    <w:p xmlns:wp14="http://schemas.microsoft.com/office/word/2010/wordml" w:rsidP="2BAD4401" wp14:paraId="7A7A9C58" wp14:textId="32350C14">
      <w:pPr>
        <w:spacing w:after="0" w:line="300" w:lineRule="auto"/>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r w:rsidRPr="2BAD4401" w:rsidR="161ABCDC">
        <w:rPr>
          <w:rFonts w:ascii="Cambria" w:hAnsi="Cambria" w:eastAsia="Cambria" w:cs="Cambria"/>
          <w:b w:val="0"/>
          <w:bCs w:val="0"/>
          <w:i w:val="0"/>
          <w:iCs w:val="0"/>
          <w:caps w:val="0"/>
          <w:smallCaps w:val="0"/>
          <w:noProof w:val="0"/>
          <w:color w:val="000000" w:themeColor="text1" w:themeTint="FF" w:themeShade="FF"/>
          <w:sz w:val="22"/>
          <w:szCs w:val="22"/>
          <w:lang w:val="en-US"/>
        </w:rPr>
        <w:t>Period Covered: November 2026 – April 2027</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718"/>
        <w:gridCol w:w="1049"/>
        <w:gridCol w:w="1049"/>
        <w:gridCol w:w="1049"/>
        <w:gridCol w:w="1049"/>
        <w:gridCol w:w="1049"/>
        <w:gridCol w:w="1049"/>
      </w:tblGrid>
      <w:tr w:rsidR="2BAD4401" w:rsidTr="2BAD4401" w14:paraId="6E159406">
        <w:trPr>
          <w:trHeight w:val="285"/>
        </w:trPr>
        <w:tc>
          <w:tcPr>
            <w:tcW w:w="2718" w:type="dxa"/>
            <w:tcBorders>
              <w:top w:val="single" w:sz="6"/>
              <w:left w:val="single" w:sz="6"/>
            </w:tcBorders>
            <w:shd w:val="clear" w:color="auto" w:fill="1F4E78"/>
            <w:tcMar>
              <w:top w:w="15" w:type="dxa"/>
              <w:left w:w="60" w:type="dxa"/>
              <w:bottom w:w="15" w:type="dxa"/>
              <w:right w:w="60" w:type="dxa"/>
            </w:tcMar>
            <w:vAlign w:val="top"/>
          </w:tcPr>
          <w:p w:rsidR="2BAD4401" w:rsidP="2BAD4401" w:rsidRDefault="2BAD4401" w14:paraId="4609AD26" w14:textId="3454659A">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Professional Development Activity</w:t>
            </w:r>
          </w:p>
        </w:tc>
        <w:tc>
          <w:tcPr>
            <w:tcW w:w="1049" w:type="dxa"/>
            <w:tcBorders>
              <w:top w:val="single" w:sz="6"/>
            </w:tcBorders>
            <w:shd w:val="clear" w:color="auto" w:fill="1F4E78"/>
            <w:tcMar>
              <w:top w:w="15" w:type="dxa"/>
              <w:left w:w="60" w:type="dxa"/>
              <w:bottom w:w="15" w:type="dxa"/>
              <w:right w:w="60" w:type="dxa"/>
            </w:tcMar>
            <w:vAlign w:val="top"/>
          </w:tcPr>
          <w:p w:rsidR="2BAD4401" w:rsidP="2BAD4401" w:rsidRDefault="2BAD4401" w14:paraId="5910D128" w14:textId="524307F3">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Nov 2026</w:t>
            </w:r>
          </w:p>
        </w:tc>
        <w:tc>
          <w:tcPr>
            <w:tcW w:w="1049" w:type="dxa"/>
            <w:tcBorders>
              <w:top w:val="single" w:sz="6"/>
            </w:tcBorders>
            <w:shd w:val="clear" w:color="auto" w:fill="1F4E78"/>
            <w:tcMar>
              <w:top w:w="15" w:type="dxa"/>
              <w:left w:w="60" w:type="dxa"/>
              <w:bottom w:w="15" w:type="dxa"/>
              <w:right w:w="60" w:type="dxa"/>
            </w:tcMar>
            <w:vAlign w:val="top"/>
          </w:tcPr>
          <w:p w:rsidR="2BAD4401" w:rsidP="2BAD4401" w:rsidRDefault="2BAD4401" w14:paraId="5C03F420" w14:textId="5082D92F">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Dec 2026</w:t>
            </w:r>
          </w:p>
        </w:tc>
        <w:tc>
          <w:tcPr>
            <w:tcW w:w="1049" w:type="dxa"/>
            <w:tcBorders>
              <w:top w:val="single" w:sz="6"/>
            </w:tcBorders>
            <w:shd w:val="clear" w:color="auto" w:fill="1F4E78"/>
            <w:tcMar>
              <w:top w:w="15" w:type="dxa"/>
              <w:left w:w="60" w:type="dxa"/>
              <w:bottom w:w="15" w:type="dxa"/>
              <w:right w:w="60" w:type="dxa"/>
            </w:tcMar>
            <w:vAlign w:val="top"/>
          </w:tcPr>
          <w:p w:rsidR="2BAD4401" w:rsidP="2BAD4401" w:rsidRDefault="2BAD4401" w14:paraId="297A3E97" w14:textId="1FF8A71A">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Jan 2027</w:t>
            </w:r>
          </w:p>
        </w:tc>
        <w:tc>
          <w:tcPr>
            <w:tcW w:w="1049" w:type="dxa"/>
            <w:tcBorders>
              <w:top w:val="single" w:sz="6"/>
            </w:tcBorders>
            <w:shd w:val="clear" w:color="auto" w:fill="1F4E78"/>
            <w:tcMar>
              <w:top w:w="15" w:type="dxa"/>
              <w:left w:w="60" w:type="dxa"/>
              <w:bottom w:w="15" w:type="dxa"/>
              <w:right w:w="60" w:type="dxa"/>
            </w:tcMar>
            <w:vAlign w:val="top"/>
          </w:tcPr>
          <w:p w:rsidR="2BAD4401" w:rsidP="2BAD4401" w:rsidRDefault="2BAD4401" w14:paraId="7B57C460" w14:textId="043F4EA4">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Feb 2027</w:t>
            </w:r>
          </w:p>
        </w:tc>
        <w:tc>
          <w:tcPr>
            <w:tcW w:w="1049" w:type="dxa"/>
            <w:tcBorders>
              <w:top w:val="single" w:sz="6"/>
            </w:tcBorders>
            <w:shd w:val="clear" w:color="auto" w:fill="1F4E78"/>
            <w:tcMar>
              <w:top w:w="15" w:type="dxa"/>
              <w:left w:w="60" w:type="dxa"/>
              <w:bottom w:w="15" w:type="dxa"/>
              <w:right w:w="60" w:type="dxa"/>
            </w:tcMar>
            <w:vAlign w:val="top"/>
          </w:tcPr>
          <w:p w:rsidR="2BAD4401" w:rsidP="2BAD4401" w:rsidRDefault="2BAD4401" w14:paraId="0ADDE71B" w14:textId="740FB440">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Mar 2027</w:t>
            </w:r>
          </w:p>
        </w:tc>
        <w:tc>
          <w:tcPr>
            <w:tcW w:w="1049" w:type="dxa"/>
            <w:tcBorders>
              <w:top w:val="single" w:sz="6"/>
              <w:right w:val="single" w:sz="6"/>
            </w:tcBorders>
            <w:shd w:val="clear" w:color="auto" w:fill="1F4E78"/>
            <w:tcMar>
              <w:top w:w="15" w:type="dxa"/>
              <w:left w:w="60" w:type="dxa"/>
              <w:bottom w:w="15" w:type="dxa"/>
              <w:right w:w="60" w:type="dxa"/>
            </w:tcMar>
            <w:vAlign w:val="top"/>
          </w:tcPr>
          <w:p w:rsidR="2BAD4401" w:rsidP="2BAD4401" w:rsidRDefault="2BAD4401" w14:paraId="02D3B3FE" w14:textId="374B5395">
            <w:pPr>
              <w:spacing w:line="216" w:lineRule="auto"/>
              <w:jc w:val="center"/>
              <w:rPr>
                <w:rFonts w:ascii="Cambria" w:hAnsi="Cambria" w:eastAsia="Cambria" w:cs="Cambria"/>
                <w:b w:val="0"/>
                <w:bCs w:val="0"/>
                <w:i w:val="0"/>
                <w:iCs w:val="0"/>
                <w:color w:val="FFFFFF" w:themeColor="background1" w:themeTint="FF" w:themeShade="FF"/>
                <w:sz w:val="16"/>
                <w:szCs w:val="16"/>
              </w:rPr>
            </w:pPr>
            <w:r w:rsidRPr="2BAD4401" w:rsidR="2BAD4401">
              <w:rPr>
                <w:rFonts w:ascii="Cambria" w:hAnsi="Cambria" w:eastAsia="Cambria" w:cs="Cambria"/>
                <w:b w:val="1"/>
                <w:bCs w:val="1"/>
                <w:i w:val="0"/>
                <w:iCs w:val="0"/>
                <w:color w:val="FFFFFF" w:themeColor="background1" w:themeTint="FF" w:themeShade="FF"/>
                <w:sz w:val="16"/>
                <w:szCs w:val="16"/>
                <w:lang w:val="en-US"/>
              </w:rPr>
              <w:t>Apr 2027</w:t>
            </w:r>
          </w:p>
        </w:tc>
      </w:tr>
      <w:tr w:rsidR="2BAD4401" w:rsidTr="2BAD4401" w14:paraId="771C066B">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77B79DD3" w14:textId="1C9EA32E">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Complete Level 5 Health and Social Care Degree Modules</w:t>
            </w:r>
          </w:p>
        </w:tc>
        <w:tc>
          <w:tcPr>
            <w:tcW w:w="1049" w:type="dxa"/>
            <w:shd w:val="clear" w:color="auto" w:fill="4472C4"/>
            <w:tcMar>
              <w:top w:w="15" w:type="dxa"/>
              <w:left w:w="60" w:type="dxa"/>
              <w:bottom w:w="15" w:type="dxa"/>
              <w:right w:w="60" w:type="dxa"/>
            </w:tcMar>
            <w:vAlign w:val="top"/>
          </w:tcPr>
          <w:p w:rsidR="2BAD4401" w:rsidP="2BAD4401" w:rsidRDefault="2BAD4401" w14:paraId="623BB1E9" w14:textId="6B89041D">
            <w:pPr>
              <w:spacing w:line="216" w:lineRule="auto"/>
              <w:rPr>
                <w:rFonts w:ascii="Cambria" w:hAnsi="Cambria" w:eastAsia="Cambria" w:cs="Cambria"/>
                <w:b w:val="0"/>
                <w:bCs w:val="0"/>
                <w:i w:val="0"/>
                <w:iCs w:val="0"/>
                <w:color w:val="F5F5F5"/>
                <w:sz w:val="22"/>
                <w:szCs w:val="22"/>
              </w:rPr>
            </w:pPr>
          </w:p>
        </w:tc>
        <w:tc>
          <w:tcPr>
            <w:tcW w:w="1049" w:type="dxa"/>
            <w:shd w:val="clear" w:color="auto" w:fill="4472C4"/>
            <w:tcMar>
              <w:top w:w="15" w:type="dxa"/>
              <w:left w:w="60" w:type="dxa"/>
              <w:bottom w:w="15" w:type="dxa"/>
              <w:right w:w="60" w:type="dxa"/>
            </w:tcMar>
            <w:vAlign w:val="top"/>
          </w:tcPr>
          <w:p w:rsidR="2BAD4401" w:rsidP="2BAD4401" w:rsidRDefault="2BAD4401" w14:paraId="5691B33E" w14:textId="46224C11">
            <w:pPr>
              <w:spacing w:line="216" w:lineRule="auto"/>
              <w:rPr>
                <w:rFonts w:ascii="Cambria" w:hAnsi="Cambria" w:eastAsia="Cambria" w:cs="Cambria"/>
                <w:b w:val="0"/>
                <w:bCs w:val="0"/>
                <w:i w:val="0"/>
                <w:iCs w:val="0"/>
                <w:color w:val="F5F5F5"/>
                <w:sz w:val="22"/>
                <w:szCs w:val="22"/>
              </w:rPr>
            </w:pPr>
          </w:p>
        </w:tc>
        <w:tc>
          <w:tcPr>
            <w:tcW w:w="1049" w:type="dxa"/>
            <w:shd w:val="clear" w:color="auto" w:fill="4472C4"/>
            <w:tcMar>
              <w:top w:w="15" w:type="dxa"/>
              <w:left w:w="60" w:type="dxa"/>
              <w:bottom w:w="15" w:type="dxa"/>
              <w:right w:w="60" w:type="dxa"/>
            </w:tcMar>
            <w:vAlign w:val="top"/>
          </w:tcPr>
          <w:p w:rsidR="2BAD4401" w:rsidP="2BAD4401" w:rsidRDefault="2BAD4401" w14:paraId="3EE4719D" w14:textId="1BED0812">
            <w:pPr>
              <w:spacing w:line="216" w:lineRule="auto"/>
              <w:rPr>
                <w:rFonts w:ascii="Cambria" w:hAnsi="Cambria" w:eastAsia="Cambria" w:cs="Cambria"/>
                <w:b w:val="0"/>
                <w:bCs w:val="0"/>
                <w:i w:val="0"/>
                <w:iCs w:val="0"/>
                <w:color w:val="F5F5F5"/>
                <w:sz w:val="22"/>
                <w:szCs w:val="22"/>
              </w:rPr>
            </w:pPr>
          </w:p>
        </w:tc>
        <w:tc>
          <w:tcPr>
            <w:tcW w:w="1049" w:type="dxa"/>
            <w:shd w:val="clear" w:color="auto" w:fill="4472C4"/>
            <w:tcMar>
              <w:top w:w="15" w:type="dxa"/>
              <w:left w:w="60" w:type="dxa"/>
              <w:bottom w:w="15" w:type="dxa"/>
              <w:right w:w="60" w:type="dxa"/>
            </w:tcMar>
            <w:vAlign w:val="top"/>
          </w:tcPr>
          <w:p w:rsidR="2BAD4401" w:rsidP="2BAD4401" w:rsidRDefault="2BAD4401" w14:paraId="507B16D0" w14:textId="2109F69E">
            <w:pPr>
              <w:spacing w:line="216" w:lineRule="auto"/>
              <w:rPr>
                <w:rFonts w:ascii="Cambria" w:hAnsi="Cambria" w:eastAsia="Cambria" w:cs="Cambria"/>
                <w:b w:val="0"/>
                <w:bCs w:val="0"/>
                <w:i w:val="0"/>
                <w:iCs w:val="0"/>
                <w:color w:val="F5F5F5"/>
                <w:sz w:val="22"/>
                <w:szCs w:val="22"/>
              </w:rPr>
            </w:pPr>
          </w:p>
        </w:tc>
        <w:tc>
          <w:tcPr>
            <w:tcW w:w="1049" w:type="dxa"/>
            <w:shd w:val="clear" w:color="auto" w:fill="4472C4"/>
            <w:tcMar>
              <w:top w:w="15" w:type="dxa"/>
              <w:left w:w="60" w:type="dxa"/>
              <w:bottom w:w="15" w:type="dxa"/>
              <w:right w:w="60" w:type="dxa"/>
            </w:tcMar>
            <w:vAlign w:val="top"/>
          </w:tcPr>
          <w:p w:rsidR="2BAD4401" w:rsidP="2BAD4401" w:rsidRDefault="2BAD4401" w14:paraId="393FEFF9" w14:textId="2BB6D0AD">
            <w:pPr>
              <w:spacing w:line="216" w:lineRule="auto"/>
              <w:rPr>
                <w:rFonts w:ascii="Cambria" w:hAnsi="Cambria" w:eastAsia="Cambria" w:cs="Cambria"/>
                <w:b w:val="0"/>
                <w:bCs w:val="0"/>
                <w:i w:val="0"/>
                <w:iCs w:val="0"/>
                <w:color w:val="F5F5F5"/>
                <w:sz w:val="22"/>
                <w:szCs w:val="22"/>
              </w:rPr>
            </w:pPr>
          </w:p>
        </w:tc>
        <w:tc>
          <w:tcPr>
            <w:tcW w:w="1049" w:type="dxa"/>
            <w:tcBorders>
              <w:right w:val="single" w:sz="6"/>
            </w:tcBorders>
            <w:shd w:val="clear" w:color="auto" w:fill="4472C4"/>
            <w:tcMar>
              <w:top w:w="15" w:type="dxa"/>
              <w:left w:w="60" w:type="dxa"/>
              <w:bottom w:w="15" w:type="dxa"/>
              <w:right w:w="60" w:type="dxa"/>
            </w:tcMar>
            <w:vAlign w:val="top"/>
          </w:tcPr>
          <w:p w:rsidR="2BAD4401" w:rsidP="2BAD4401" w:rsidRDefault="2BAD4401" w14:paraId="47B08871" w14:textId="503D6D2A">
            <w:pPr>
              <w:spacing w:line="216" w:lineRule="auto"/>
              <w:rPr>
                <w:rFonts w:ascii="Cambria" w:hAnsi="Cambria" w:eastAsia="Cambria" w:cs="Cambria"/>
                <w:b w:val="0"/>
                <w:bCs w:val="0"/>
                <w:i w:val="0"/>
                <w:iCs w:val="0"/>
                <w:color w:val="F5F5F5"/>
                <w:sz w:val="22"/>
                <w:szCs w:val="22"/>
              </w:rPr>
            </w:pPr>
          </w:p>
        </w:tc>
      </w:tr>
      <w:tr w:rsidR="2BAD4401" w:rsidTr="2BAD4401" w14:paraId="13BB685B">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6FFCAFFF" w14:textId="4B7B86A7">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Assess Leadership Strengths and Development Needs</w:t>
            </w:r>
          </w:p>
        </w:tc>
        <w:tc>
          <w:tcPr>
            <w:tcW w:w="1049" w:type="dxa"/>
            <w:shd w:val="clear" w:color="auto" w:fill="70AD47"/>
            <w:tcMar>
              <w:top w:w="15" w:type="dxa"/>
              <w:left w:w="60" w:type="dxa"/>
              <w:bottom w:w="15" w:type="dxa"/>
              <w:right w:w="60" w:type="dxa"/>
            </w:tcMar>
            <w:vAlign w:val="top"/>
          </w:tcPr>
          <w:p w:rsidR="2BAD4401" w:rsidP="2BAD4401" w:rsidRDefault="2BAD4401" w14:paraId="1B018F0F" w14:textId="0CA6E9F6">
            <w:pPr>
              <w:spacing w:line="216" w:lineRule="auto"/>
              <w:rPr>
                <w:rFonts w:ascii="Cambria" w:hAnsi="Cambria" w:eastAsia="Cambria" w:cs="Cambria"/>
                <w:b w:val="0"/>
                <w:bCs w:val="0"/>
                <w:i w:val="0"/>
                <w:iCs w:val="0"/>
                <w:sz w:val="22"/>
                <w:szCs w:val="22"/>
              </w:rPr>
            </w:pPr>
          </w:p>
        </w:tc>
        <w:tc>
          <w:tcPr>
            <w:tcW w:w="1049" w:type="dxa"/>
            <w:shd w:val="clear" w:color="auto" w:fill="70AD47"/>
            <w:tcMar>
              <w:top w:w="15" w:type="dxa"/>
              <w:left w:w="60" w:type="dxa"/>
              <w:bottom w:w="15" w:type="dxa"/>
              <w:right w:w="60" w:type="dxa"/>
            </w:tcMar>
            <w:vAlign w:val="top"/>
          </w:tcPr>
          <w:p w:rsidR="2BAD4401" w:rsidP="2BAD4401" w:rsidRDefault="2BAD4401" w14:paraId="67F8D8C6" w14:textId="1403ADF9">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6D8257A7" w14:textId="7D274817">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197D64DC" w14:textId="0F76B41A">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15F0DE3F" w14:textId="3638FE7B">
            <w:pPr>
              <w:spacing w:line="216" w:lineRule="auto"/>
              <w:rPr>
                <w:rFonts w:ascii="Cambria" w:hAnsi="Cambria" w:eastAsia="Cambria" w:cs="Cambria"/>
                <w:b w:val="0"/>
                <w:bCs w:val="0"/>
                <w:i w:val="0"/>
                <w:iCs w:val="0"/>
                <w:sz w:val="22"/>
                <w:szCs w:val="22"/>
              </w:rPr>
            </w:pPr>
          </w:p>
        </w:tc>
        <w:tc>
          <w:tcPr>
            <w:tcW w:w="1049" w:type="dxa"/>
            <w:tcBorders>
              <w:right w:val="single" w:sz="6"/>
            </w:tcBorders>
            <w:tcMar>
              <w:top w:w="15" w:type="dxa"/>
              <w:left w:w="60" w:type="dxa"/>
              <w:bottom w:w="15" w:type="dxa"/>
              <w:right w:w="60" w:type="dxa"/>
            </w:tcMar>
            <w:vAlign w:val="top"/>
          </w:tcPr>
          <w:p w:rsidR="2BAD4401" w:rsidP="2BAD4401" w:rsidRDefault="2BAD4401" w14:paraId="1C6196BE" w14:textId="1D29542F">
            <w:pPr>
              <w:spacing w:line="216" w:lineRule="auto"/>
              <w:rPr>
                <w:rFonts w:ascii="Cambria" w:hAnsi="Cambria" w:eastAsia="Cambria" w:cs="Cambria"/>
                <w:b w:val="0"/>
                <w:bCs w:val="0"/>
                <w:i w:val="0"/>
                <w:iCs w:val="0"/>
                <w:sz w:val="22"/>
                <w:szCs w:val="22"/>
              </w:rPr>
            </w:pPr>
          </w:p>
        </w:tc>
      </w:tr>
      <w:tr w:rsidR="2BAD4401" w:rsidTr="2BAD4401" w14:paraId="5F1EDEF8">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2BA3F22C" w14:textId="51788902">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Research Managerial Responsibilities and Regulatory Requirements</w:t>
            </w:r>
          </w:p>
        </w:tc>
        <w:tc>
          <w:tcPr>
            <w:tcW w:w="1049" w:type="dxa"/>
            <w:shd w:val="clear" w:color="auto" w:fill="FFC000"/>
            <w:tcMar>
              <w:top w:w="15" w:type="dxa"/>
              <w:left w:w="60" w:type="dxa"/>
              <w:bottom w:w="15" w:type="dxa"/>
              <w:right w:w="60" w:type="dxa"/>
            </w:tcMar>
            <w:vAlign w:val="top"/>
          </w:tcPr>
          <w:p w:rsidR="2BAD4401" w:rsidP="2BAD4401" w:rsidRDefault="2BAD4401" w14:paraId="2E557DB7" w14:textId="1097C86A">
            <w:pPr>
              <w:spacing w:line="216" w:lineRule="auto"/>
              <w:rPr>
                <w:rFonts w:ascii="Cambria" w:hAnsi="Cambria" w:eastAsia="Cambria" w:cs="Cambria"/>
                <w:b w:val="0"/>
                <w:bCs w:val="0"/>
                <w:i w:val="0"/>
                <w:iCs w:val="0"/>
                <w:sz w:val="22"/>
                <w:szCs w:val="22"/>
              </w:rPr>
            </w:pPr>
          </w:p>
        </w:tc>
        <w:tc>
          <w:tcPr>
            <w:tcW w:w="1049" w:type="dxa"/>
            <w:shd w:val="clear" w:color="auto" w:fill="FFC000"/>
            <w:tcMar>
              <w:top w:w="15" w:type="dxa"/>
              <w:left w:w="60" w:type="dxa"/>
              <w:bottom w:w="15" w:type="dxa"/>
              <w:right w:w="60" w:type="dxa"/>
            </w:tcMar>
            <w:vAlign w:val="top"/>
          </w:tcPr>
          <w:p w:rsidR="2BAD4401" w:rsidP="2BAD4401" w:rsidRDefault="2BAD4401" w14:paraId="2D5D275C" w14:textId="7F193AF2">
            <w:pPr>
              <w:spacing w:line="216" w:lineRule="auto"/>
              <w:rPr>
                <w:rFonts w:ascii="Cambria" w:hAnsi="Cambria" w:eastAsia="Cambria" w:cs="Cambria"/>
                <w:b w:val="0"/>
                <w:bCs w:val="0"/>
                <w:i w:val="0"/>
                <w:iCs w:val="0"/>
                <w:sz w:val="22"/>
                <w:szCs w:val="22"/>
              </w:rPr>
            </w:pPr>
          </w:p>
        </w:tc>
        <w:tc>
          <w:tcPr>
            <w:tcW w:w="1049" w:type="dxa"/>
            <w:shd w:val="clear" w:color="auto" w:fill="FFC000"/>
            <w:tcMar>
              <w:top w:w="15" w:type="dxa"/>
              <w:left w:w="60" w:type="dxa"/>
              <w:bottom w:w="15" w:type="dxa"/>
              <w:right w:w="60" w:type="dxa"/>
            </w:tcMar>
            <w:vAlign w:val="top"/>
          </w:tcPr>
          <w:p w:rsidR="2BAD4401" w:rsidP="2BAD4401" w:rsidRDefault="2BAD4401" w14:paraId="1FB7FA5C" w14:textId="5A7ABEB0">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43301F1C" w14:textId="65021587">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21A5CD03" w14:textId="3A47ADDC">
            <w:pPr>
              <w:spacing w:line="216" w:lineRule="auto"/>
              <w:rPr>
                <w:rFonts w:ascii="Cambria" w:hAnsi="Cambria" w:eastAsia="Cambria" w:cs="Cambria"/>
                <w:b w:val="0"/>
                <w:bCs w:val="0"/>
                <w:i w:val="0"/>
                <w:iCs w:val="0"/>
                <w:sz w:val="22"/>
                <w:szCs w:val="22"/>
              </w:rPr>
            </w:pPr>
          </w:p>
        </w:tc>
        <w:tc>
          <w:tcPr>
            <w:tcW w:w="1049" w:type="dxa"/>
            <w:tcBorders>
              <w:right w:val="single" w:sz="6"/>
            </w:tcBorders>
            <w:tcMar>
              <w:top w:w="15" w:type="dxa"/>
              <w:left w:w="60" w:type="dxa"/>
              <w:bottom w:w="15" w:type="dxa"/>
              <w:right w:w="60" w:type="dxa"/>
            </w:tcMar>
            <w:vAlign w:val="top"/>
          </w:tcPr>
          <w:p w:rsidR="2BAD4401" w:rsidP="2BAD4401" w:rsidRDefault="2BAD4401" w14:paraId="59139298" w14:textId="589825C7">
            <w:pPr>
              <w:spacing w:line="216" w:lineRule="auto"/>
              <w:rPr>
                <w:rFonts w:ascii="Cambria" w:hAnsi="Cambria" w:eastAsia="Cambria" w:cs="Cambria"/>
                <w:b w:val="0"/>
                <w:bCs w:val="0"/>
                <w:i w:val="0"/>
                <w:iCs w:val="0"/>
                <w:sz w:val="22"/>
                <w:szCs w:val="22"/>
              </w:rPr>
            </w:pPr>
          </w:p>
        </w:tc>
      </w:tr>
      <w:tr w:rsidR="2BAD4401" w:rsidTr="2BAD4401" w14:paraId="1CDDA4EB">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256CDCE4" w14:textId="611AE5BC">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Seek Feedback on Leadership and Communication Skills</w:t>
            </w:r>
          </w:p>
        </w:tc>
        <w:tc>
          <w:tcPr>
            <w:tcW w:w="1049" w:type="dxa"/>
            <w:tcMar>
              <w:top w:w="15" w:type="dxa"/>
              <w:left w:w="60" w:type="dxa"/>
              <w:bottom w:w="15" w:type="dxa"/>
              <w:right w:w="60" w:type="dxa"/>
            </w:tcMar>
            <w:vAlign w:val="top"/>
          </w:tcPr>
          <w:p w:rsidR="2BAD4401" w:rsidP="2BAD4401" w:rsidRDefault="2BAD4401" w14:paraId="168EB6B4" w14:textId="02BDA34E">
            <w:pPr>
              <w:spacing w:line="216" w:lineRule="auto"/>
              <w:rPr>
                <w:rFonts w:ascii="Cambria" w:hAnsi="Cambria" w:eastAsia="Cambria" w:cs="Cambria"/>
                <w:b w:val="0"/>
                <w:bCs w:val="0"/>
                <w:i w:val="0"/>
                <w:iCs w:val="0"/>
                <w:sz w:val="22"/>
                <w:szCs w:val="22"/>
              </w:rPr>
            </w:pPr>
          </w:p>
        </w:tc>
        <w:tc>
          <w:tcPr>
            <w:tcW w:w="1049" w:type="dxa"/>
            <w:shd w:val="clear" w:color="auto" w:fill="ED7D31"/>
            <w:tcMar>
              <w:top w:w="15" w:type="dxa"/>
              <w:left w:w="60" w:type="dxa"/>
              <w:bottom w:w="15" w:type="dxa"/>
              <w:right w:w="60" w:type="dxa"/>
            </w:tcMar>
            <w:vAlign w:val="top"/>
          </w:tcPr>
          <w:p w:rsidR="2BAD4401" w:rsidP="2BAD4401" w:rsidRDefault="2BAD4401" w14:paraId="3C7900BF" w14:textId="6DCC8A57">
            <w:pPr>
              <w:spacing w:line="216" w:lineRule="auto"/>
              <w:rPr>
                <w:rFonts w:ascii="Cambria" w:hAnsi="Cambria" w:eastAsia="Cambria" w:cs="Cambria"/>
                <w:b w:val="0"/>
                <w:bCs w:val="0"/>
                <w:i w:val="0"/>
                <w:iCs w:val="0"/>
                <w:sz w:val="22"/>
                <w:szCs w:val="22"/>
              </w:rPr>
            </w:pPr>
          </w:p>
        </w:tc>
        <w:tc>
          <w:tcPr>
            <w:tcW w:w="1049" w:type="dxa"/>
            <w:shd w:val="clear" w:color="auto" w:fill="ED7D31"/>
            <w:tcMar>
              <w:top w:w="15" w:type="dxa"/>
              <w:left w:w="60" w:type="dxa"/>
              <w:bottom w:w="15" w:type="dxa"/>
              <w:right w:w="60" w:type="dxa"/>
            </w:tcMar>
            <w:vAlign w:val="top"/>
          </w:tcPr>
          <w:p w:rsidR="2BAD4401" w:rsidP="2BAD4401" w:rsidRDefault="2BAD4401" w14:paraId="32D2C1F6" w14:textId="193A8B44">
            <w:pPr>
              <w:spacing w:line="216" w:lineRule="auto"/>
              <w:rPr>
                <w:rFonts w:ascii="Cambria" w:hAnsi="Cambria" w:eastAsia="Cambria" w:cs="Cambria"/>
                <w:b w:val="0"/>
                <w:bCs w:val="0"/>
                <w:i w:val="0"/>
                <w:iCs w:val="0"/>
                <w:sz w:val="22"/>
                <w:szCs w:val="22"/>
              </w:rPr>
            </w:pPr>
          </w:p>
        </w:tc>
        <w:tc>
          <w:tcPr>
            <w:tcW w:w="1049" w:type="dxa"/>
            <w:shd w:val="clear" w:color="auto" w:fill="ED7D31"/>
            <w:tcMar>
              <w:top w:w="15" w:type="dxa"/>
              <w:left w:w="60" w:type="dxa"/>
              <w:bottom w:w="15" w:type="dxa"/>
              <w:right w:w="60" w:type="dxa"/>
            </w:tcMar>
            <w:vAlign w:val="top"/>
          </w:tcPr>
          <w:p w:rsidR="2BAD4401" w:rsidP="2BAD4401" w:rsidRDefault="2BAD4401" w14:paraId="7A0AED10" w14:textId="53D4B7BE">
            <w:pPr>
              <w:spacing w:line="216" w:lineRule="auto"/>
              <w:rPr>
                <w:rFonts w:ascii="Cambria" w:hAnsi="Cambria" w:eastAsia="Cambria" w:cs="Cambria"/>
                <w:b w:val="0"/>
                <w:bCs w:val="0"/>
                <w:i w:val="0"/>
                <w:iCs w:val="0"/>
                <w:sz w:val="22"/>
                <w:szCs w:val="22"/>
              </w:rPr>
            </w:pPr>
          </w:p>
        </w:tc>
        <w:tc>
          <w:tcPr>
            <w:tcW w:w="1049" w:type="dxa"/>
            <w:shd w:val="clear" w:color="auto" w:fill="ED7D31"/>
            <w:tcMar>
              <w:top w:w="15" w:type="dxa"/>
              <w:left w:w="60" w:type="dxa"/>
              <w:bottom w:w="15" w:type="dxa"/>
              <w:right w:w="60" w:type="dxa"/>
            </w:tcMar>
            <w:vAlign w:val="top"/>
          </w:tcPr>
          <w:p w:rsidR="2BAD4401" w:rsidP="2BAD4401" w:rsidRDefault="2BAD4401" w14:paraId="6A0CF22F" w14:textId="511D8789">
            <w:pPr>
              <w:spacing w:line="216" w:lineRule="auto"/>
              <w:rPr>
                <w:rFonts w:ascii="Cambria" w:hAnsi="Cambria" w:eastAsia="Cambria" w:cs="Cambria"/>
                <w:b w:val="0"/>
                <w:bCs w:val="0"/>
                <w:i w:val="0"/>
                <w:iCs w:val="0"/>
                <w:sz w:val="22"/>
                <w:szCs w:val="22"/>
              </w:rPr>
            </w:pPr>
          </w:p>
        </w:tc>
        <w:tc>
          <w:tcPr>
            <w:tcW w:w="1049" w:type="dxa"/>
            <w:tcBorders>
              <w:right w:val="single" w:sz="6"/>
            </w:tcBorders>
            <w:shd w:val="clear" w:color="auto" w:fill="ED7D31"/>
            <w:tcMar>
              <w:top w:w="15" w:type="dxa"/>
              <w:left w:w="60" w:type="dxa"/>
              <w:bottom w:w="15" w:type="dxa"/>
              <w:right w:w="60" w:type="dxa"/>
            </w:tcMar>
            <w:vAlign w:val="top"/>
          </w:tcPr>
          <w:p w:rsidR="2BAD4401" w:rsidP="2BAD4401" w:rsidRDefault="2BAD4401" w14:paraId="0A3B28C6" w14:textId="49C3FE5B">
            <w:pPr>
              <w:spacing w:line="216" w:lineRule="auto"/>
              <w:rPr>
                <w:rFonts w:ascii="Cambria" w:hAnsi="Cambria" w:eastAsia="Cambria" w:cs="Cambria"/>
                <w:b w:val="0"/>
                <w:bCs w:val="0"/>
                <w:i w:val="0"/>
                <w:iCs w:val="0"/>
                <w:sz w:val="22"/>
                <w:szCs w:val="22"/>
              </w:rPr>
            </w:pPr>
          </w:p>
        </w:tc>
      </w:tr>
      <w:tr w:rsidR="2BAD4401" w:rsidTr="2BAD4401" w14:paraId="419AA2C7">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283DA2A7" w14:textId="32CBA36A">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Develop Workforce Planning and Conflict Resolution Skills</w:t>
            </w:r>
          </w:p>
        </w:tc>
        <w:tc>
          <w:tcPr>
            <w:tcW w:w="1049" w:type="dxa"/>
            <w:tcMar>
              <w:top w:w="15" w:type="dxa"/>
              <w:left w:w="60" w:type="dxa"/>
              <w:bottom w:w="15" w:type="dxa"/>
              <w:right w:w="60" w:type="dxa"/>
            </w:tcMar>
            <w:vAlign w:val="top"/>
          </w:tcPr>
          <w:p w:rsidR="2BAD4401" w:rsidP="2BAD4401" w:rsidRDefault="2BAD4401" w14:paraId="23ED0C92" w14:textId="6CA7FFAD">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7609EF17" w14:textId="1C523FFC">
            <w:pPr>
              <w:spacing w:line="216" w:lineRule="auto"/>
              <w:rPr>
                <w:rFonts w:ascii="Cambria" w:hAnsi="Cambria" w:eastAsia="Cambria" w:cs="Cambria"/>
                <w:b w:val="0"/>
                <w:bCs w:val="0"/>
                <w:i w:val="0"/>
                <w:iCs w:val="0"/>
                <w:sz w:val="22"/>
                <w:szCs w:val="22"/>
              </w:rPr>
            </w:pPr>
          </w:p>
        </w:tc>
        <w:tc>
          <w:tcPr>
            <w:tcW w:w="1049" w:type="dxa"/>
            <w:shd w:val="clear" w:color="auto" w:fill="7030A0"/>
            <w:tcMar>
              <w:top w:w="15" w:type="dxa"/>
              <w:left w:w="60" w:type="dxa"/>
              <w:bottom w:w="15" w:type="dxa"/>
              <w:right w:w="60" w:type="dxa"/>
            </w:tcMar>
            <w:vAlign w:val="top"/>
          </w:tcPr>
          <w:p w:rsidR="2BAD4401" w:rsidP="2BAD4401" w:rsidRDefault="2BAD4401" w14:paraId="3AE100A9" w14:textId="2CCC09F3">
            <w:pPr>
              <w:spacing w:line="216" w:lineRule="auto"/>
              <w:rPr>
                <w:rFonts w:ascii="Cambria" w:hAnsi="Cambria" w:eastAsia="Cambria" w:cs="Cambria"/>
                <w:b w:val="0"/>
                <w:bCs w:val="0"/>
                <w:i w:val="0"/>
                <w:iCs w:val="0"/>
                <w:color w:val="F5F5F5"/>
                <w:sz w:val="22"/>
                <w:szCs w:val="22"/>
              </w:rPr>
            </w:pPr>
          </w:p>
        </w:tc>
        <w:tc>
          <w:tcPr>
            <w:tcW w:w="1049" w:type="dxa"/>
            <w:shd w:val="clear" w:color="auto" w:fill="7030A0"/>
            <w:tcMar>
              <w:top w:w="15" w:type="dxa"/>
              <w:left w:w="60" w:type="dxa"/>
              <w:bottom w:w="15" w:type="dxa"/>
              <w:right w:w="60" w:type="dxa"/>
            </w:tcMar>
            <w:vAlign w:val="top"/>
          </w:tcPr>
          <w:p w:rsidR="2BAD4401" w:rsidP="2BAD4401" w:rsidRDefault="2BAD4401" w14:paraId="19F59680" w14:textId="06D64547">
            <w:pPr>
              <w:spacing w:line="216" w:lineRule="auto"/>
              <w:rPr>
                <w:rFonts w:ascii="Cambria" w:hAnsi="Cambria" w:eastAsia="Cambria" w:cs="Cambria"/>
                <w:b w:val="0"/>
                <w:bCs w:val="0"/>
                <w:i w:val="0"/>
                <w:iCs w:val="0"/>
                <w:color w:val="F5F5F5"/>
                <w:sz w:val="22"/>
                <w:szCs w:val="22"/>
              </w:rPr>
            </w:pPr>
          </w:p>
        </w:tc>
        <w:tc>
          <w:tcPr>
            <w:tcW w:w="1049" w:type="dxa"/>
            <w:shd w:val="clear" w:color="auto" w:fill="7030A0"/>
            <w:tcMar>
              <w:top w:w="15" w:type="dxa"/>
              <w:left w:w="60" w:type="dxa"/>
              <w:bottom w:w="15" w:type="dxa"/>
              <w:right w:w="60" w:type="dxa"/>
            </w:tcMar>
            <w:vAlign w:val="top"/>
          </w:tcPr>
          <w:p w:rsidR="2BAD4401" w:rsidP="2BAD4401" w:rsidRDefault="2BAD4401" w14:paraId="35549C7F" w14:textId="661535FA">
            <w:pPr>
              <w:spacing w:line="216" w:lineRule="auto"/>
              <w:rPr>
                <w:rFonts w:ascii="Cambria" w:hAnsi="Cambria" w:eastAsia="Cambria" w:cs="Cambria"/>
                <w:b w:val="0"/>
                <w:bCs w:val="0"/>
                <w:i w:val="0"/>
                <w:iCs w:val="0"/>
                <w:color w:val="F5F5F5"/>
                <w:sz w:val="22"/>
                <w:szCs w:val="22"/>
              </w:rPr>
            </w:pPr>
          </w:p>
        </w:tc>
        <w:tc>
          <w:tcPr>
            <w:tcW w:w="1049" w:type="dxa"/>
            <w:tcBorders>
              <w:right w:val="single" w:sz="6"/>
            </w:tcBorders>
            <w:tcMar>
              <w:top w:w="15" w:type="dxa"/>
              <w:left w:w="60" w:type="dxa"/>
              <w:bottom w:w="15" w:type="dxa"/>
              <w:right w:w="60" w:type="dxa"/>
            </w:tcMar>
            <w:vAlign w:val="top"/>
          </w:tcPr>
          <w:p w:rsidR="2BAD4401" w:rsidP="2BAD4401" w:rsidRDefault="2BAD4401" w14:paraId="4AC6D256" w14:textId="6A658065">
            <w:pPr>
              <w:spacing w:line="216" w:lineRule="auto"/>
              <w:rPr>
                <w:rFonts w:ascii="Cambria" w:hAnsi="Cambria" w:eastAsia="Cambria" w:cs="Cambria"/>
                <w:b w:val="0"/>
                <w:bCs w:val="0"/>
                <w:i w:val="0"/>
                <w:iCs w:val="0"/>
                <w:sz w:val="22"/>
                <w:szCs w:val="22"/>
              </w:rPr>
            </w:pPr>
          </w:p>
        </w:tc>
      </w:tr>
      <w:tr w:rsidR="2BAD4401" w:rsidTr="2BAD4401" w14:paraId="28448DF7">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2FCF63E4" w14:textId="303F4216">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Improve Budgeting and Financial Management Knowledge</w:t>
            </w:r>
          </w:p>
        </w:tc>
        <w:tc>
          <w:tcPr>
            <w:tcW w:w="1049" w:type="dxa"/>
            <w:tcMar>
              <w:top w:w="15" w:type="dxa"/>
              <w:left w:w="60" w:type="dxa"/>
              <w:bottom w:w="15" w:type="dxa"/>
              <w:right w:w="60" w:type="dxa"/>
            </w:tcMar>
            <w:vAlign w:val="top"/>
          </w:tcPr>
          <w:p w:rsidR="2BAD4401" w:rsidP="2BAD4401" w:rsidRDefault="2BAD4401" w14:paraId="1CFE6DF4" w14:textId="176FF5C1">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52B19A37" w14:textId="239CF654">
            <w:pPr>
              <w:spacing w:line="216" w:lineRule="auto"/>
              <w:rPr>
                <w:rFonts w:ascii="Cambria" w:hAnsi="Cambria" w:eastAsia="Cambria" w:cs="Cambria"/>
                <w:b w:val="0"/>
                <w:bCs w:val="0"/>
                <w:i w:val="0"/>
                <w:iCs w:val="0"/>
                <w:sz w:val="22"/>
                <w:szCs w:val="22"/>
              </w:rPr>
            </w:pPr>
          </w:p>
        </w:tc>
        <w:tc>
          <w:tcPr>
            <w:tcW w:w="1049" w:type="dxa"/>
            <w:shd w:val="clear" w:color="auto" w:fill="C00000"/>
            <w:tcMar>
              <w:top w:w="15" w:type="dxa"/>
              <w:left w:w="60" w:type="dxa"/>
              <w:bottom w:w="15" w:type="dxa"/>
              <w:right w:w="60" w:type="dxa"/>
            </w:tcMar>
            <w:vAlign w:val="top"/>
          </w:tcPr>
          <w:p w:rsidR="2BAD4401" w:rsidP="2BAD4401" w:rsidRDefault="2BAD4401" w14:paraId="07796C12" w14:textId="3387B898">
            <w:pPr>
              <w:spacing w:line="216" w:lineRule="auto"/>
              <w:rPr>
                <w:rFonts w:ascii="Cambria" w:hAnsi="Cambria" w:eastAsia="Cambria" w:cs="Cambria"/>
                <w:b w:val="0"/>
                <w:bCs w:val="0"/>
                <w:i w:val="0"/>
                <w:iCs w:val="0"/>
                <w:color w:val="F5F5F5"/>
                <w:sz w:val="22"/>
                <w:szCs w:val="22"/>
              </w:rPr>
            </w:pPr>
          </w:p>
        </w:tc>
        <w:tc>
          <w:tcPr>
            <w:tcW w:w="1049" w:type="dxa"/>
            <w:shd w:val="clear" w:color="auto" w:fill="C00000"/>
            <w:tcMar>
              <w:top w:w="15" w:type="dxa"/>
              <w:left w:w="60" w:type="dxa"/>
              <w:bottom w:w="15" w:type="dxa"/>
              <w:right w:w="60" w:type="dxa"/>
            </w:tcMar>
            <w:vAlign w:val="top"/>
          </w:tcPr>
          <w:p w:rsidR="2BAD4401" w:rsidP="2BAD4401" w:rsidRDefault="2BAD4401" w14:paraId="798CACB8" w14:textId="7B2107AB">
            <w:pPr>
              <w:spacing w:line="216" w:lineRule="auto"/>
              <w:rPr>
                <w:rFonts w:ascii="Cambria" w:hAnsi="Cambria" w:eastAsia="Cambria" w:cs="Cambria"/>
                <w:b w:val="0"/>
                <w:bCs w:val="0"/>
                <w:i w:val="0"/>
                <w:iCs w:val="0"/>
                <w:color w:val="F5F5F5"/>
                <w:sz w:val="22"/>
                <w:szCs w:val="22"/>
              </w:rPr>
            </w:pPr>
          </w:p>
        </w:tc>
        <w:tc>
          <w:tcPr>
            <w:tcW w:w="1049" w:type="dxa"/>
            <w:shd w:val="clear" w:color="auto" w:fill="C00000"/>
            <w:tcMar>
              <w:top w:w="15" w:type="dxa"/>
              <w:left w:w="60" w:type="dxa"/>
              <w:bottom w:w="15" w:type="dxa"/>
              <w:right w:w="60" w:type="dxa"/>
            </w:tcMar>
            <w:vAlign w:val="top"/>
          </w:tcPr>
          <w:p w:rsidR="2BAD4401" w:rsidP="2BAD4401" w:rsidRDefault="2BAD4401" w14:paraId="00157908" w14:textId="74510D91">
            <w:pPr>
              <w:spacing w:line="216" w:lineRule="auto"/>
              <w:rPr>
                <w:rFonts w:ascii="Cambria" w:hAnsi="Cambria" w:eastAsia="Cambria" w:cs="Cambria"/>
                <w:b w:val="0"/>
                <w:bCs w:val="0"/>
                <w:i w:val="0"/>
                <w:iCs w:val="0"/>
                <w:color w:val="F5F5F5"/>
                <w:sz w:val="22"/>
                <w:szCs w:val="22"/>
              </w:rPr>
            </w:pPr>
          </w:p>
        </w:tc>
        <w:tc>
          <w:tcPr>
            <w:tcW w:w="1049" w:type="dxa"/>
            <w:tcBorders>
              <w:right w:val="single" w:sz="6"/>
            </w:tcBorders>
            <w:shd w:val="clear" w:color="auto" w:fill="C00000"/>
            <w:tcMar>
              <w:top w:w="15" w:type="dxa"/>
              <w:left w:w="60" w:type="dxa"/>
              <w:bottom w:w="15" w:type="dxa"/>
              <w:right w:w="60" w:type="dxa"/>
            </w:tcMar>
            <w:vAlign w:val="top"/>
          </w:tcPr>
          <w:p w:rsidR="2BAD4401" w:rsidP="2BAD4401" w:rsidRDefault="2BAD4401" w14:paraId="655EDE8C" w14:textId="0FCFE342">
            <w:pPr>
              <w:spacing w:line="216" w:lineRule="auto"/>
              <w:rPr>
                <w:rFonts w:ascii="Cambria" w:hAnsi="Cambria" w:eastAsia="Cambria" w:cs="Cambria"/>
                <w:b w:val="0"/>
                <w:bCs w:val="0"/>
                <w:i w:val="0"/>
                <w:iCs w:val="0"/>
                <w:color w:val="F5F5F5"/>
                <w:sz w:val="22"/>
                <w:szCs w:val="22"/>
              </w:rPr>
            </w:pPr>
          </w:p>
        </w:tc>
      </w:tr>
      <w:tr w:rsidR="2BAD4401" w:rsidTr="2BAD4401" w14:paraId="4342A94F">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191A50D5" w14:textId="756783FF">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Seek Management Experience or Shadow a Manager</w:t>
            </w:r>
          </w:p>
        </w:tc>
        <w:tc>
          <w:tcPr>
            <w:tcW w:w="1049" w:type="dxa"/>
            <w:tcMar>
              <w:top w:w="15" w:type="dxa"/>
              <w:left w:w="60" w:type="dxa"/>
              <w:bottom w:w="15" w:type="dxa"/>
              <w:right w:w="60" w:type="dxa"/>
            </w:tcMar>
            <w:vAlign w:val="top"/>
          </w:tcPr>
          <w:p w:rsidR="2BAD4401" w:rsidP="2BAD4401" w:rsidRDefault="2BAD4401" w14:paraId="2163D553" w14:textId="621AFA8F">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0666EFAC" w14:textId="2D127266">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24FCE3EE" w14:textId="36DE3CCB">
            <w:pPr>
              <w:spacing w:line="216" w:lineRule="auto"/>
              <w:rPr>
                <w:rFonts w:ascii="Cambria" w:hAnsi="Cambria" w:eastAsia="Cambria" w:cs="Cambria"/>
                <w:b w:val="0"/>
                <w:bCs w:val="0"/>
                <w:i w:val="0"/>
                <w:iCs w:val="0"/>
                <w:sz w:val="22"/>
                <w:szCs w:val="22"/>
              </w:rPr>
            </w:pPr>
          </w:p>
        </w:tc>
        <w:tc>
          <w:tcPr>
            <w:tcW w:w="1049" w:type="dxa"/>
            <w:shd w:val="clear" w:color="auto" w:fill="8B5A2B"/>
            <w:tcMar>
              <w:top w:w="15" w:type="dxa"/>
              <w:left w:w="60" w:type="dxa"/>
              <w:bottom w:w="15" w:type="dxa"/>
              <w:right w:w="60" w:type="dxa"/>
            </w:tcMar>
            <w:vAlign w:val="top"/>
          </w:tcPr>
          <w:p w:rsidR="2BAD4401" w:rsidP="2BAD4401" w:rsidRDefault="2BAD4401" w14:paraId="510D536B" w14:textId="3CA73855">
            <w:pPr>
              <w:spacing w:line="216" w:lineRule="auto"/>
              <w:rPr>
                <w:rFonts w:ascii="Cambria" w:hAnsi="Cambria" w:eastAsia="Cambria" w:cs="Cambria"/>
                <w:b w:val="0"/>
                <w:bCs w:val="0"/>
                <w:i w:val="0"/>
                <w:iCs w:val="0"/>
                <w:color w:val="F5F5F5"/>
                <w:sz w:val="22"/>
                <w:szCs w:val="22"/>
              </w:rPr>
            </w:pPr>
          </w:p>
        </w:tc>
        <w:tc>
          <w:tcPr>
            <w:tcW w:w="1049" w:type="dxa"/>
            <w:shd w:val="clear" w:color="auto" w:fill="8B5A2B"/>
            <w:tcMar>
              <w:top w:w="15" w:type="dxa"/>
              <w:left w:w="60" w:type="dxa"/>
              <w:bottom w:w="15" w:type="dxa"/>
              <w:right w:w="60" w:type="dxa"/>
            </w:tcMar>
            <w:vAlign w:val="top"/>
          </w:tcPr>
          <w:p w:rsidR="2BAD4401" w:rsidP="2BAD4401" w:rsidRDefault="2BAD4401" w14:paraId="6D73FB08" w14:textId="70A09A95">
            <w:pPr>
              <w:spacing w:line="216" w:lineRule="auto"/>
              <w:rPr>
                <w:rFonts w:ascii="Cambria" w:hAnsi="Cambria" w:eastAsia="Cambria" w:cs="Cambria"/>
                <w:b w:val="0"/>
                <w:bCs w:val="0"/>
                <w:i w:val="0"/>
                <w:iCs w:val="0"/>
                <w:color w:val="F5F5F5"/>
                <w:sz w:val="22"/>
                <w:szCs w:val="22"/>
              </w:rPr>
            </w:pPr>
          </w:p>
        </w:tc>
        <w:tc>
          <w:tcPr>
            <w:tcW w:w="1049" w:type="dxa"/>
            <w:tcBorders>
              <w:right w:val="single" w:sz="6"/>
            </w:tcBorders>
            <w:shd w:val="clear" w:color="auto" w:fill="8B5A2B"/>
            <w:tcMar>
              <w:top w:w="15" w:type="dxa"/>
              <w:left w:w="60" w:type="dxa"/>
              <w:bottom w:w="15" w:type="dxa"/>
              <w:right w:w="60" w:type="dxa"/>
            </w:tcMar>
            <w:vAlign w:val="top"/>
          </w:tcPr>
          <w:p w:rsidR="2BAD4401" w:rsidP="2BAD4401" w:rsidRDefault="2BAD4401" w14:paraId="082D5CE6" w14:textId="12109BAA">
            <w:pPr>
              <w:spacing w:line="216" w:lineRule="auto"/>
              <w:rPr>
                <w:rFonts w:ascii="Cambria" w:hAnsi="Cambria" w:eastAsia="Cambria" w:cs="Cambria"/>
                <w:b w:val="0"/>
                <w:bCs w:val="0"/>
                <w:i w:val="0"/>
                <w:iCs w:val="0"/>
                <w:color w:val="F5F5F5"/>
                <w:sz w:val="22"/>
                <w:szCs w:val="22"/>
              </w:rPr>
            </w:pPr>
          </w:p>
        </w:tc>
      </w:tr>
      <w:tr w:rsidR="2BAD4401" w:rsidTr="2BAD4401" w14:paraId="318BF4A3">
        <w:trPr>
          <w:trHeight w:val="285"/>
        </w:trPr>
        <w:tc>
          <w:tcPr>
            <w:tcW w:w="2718" w:type="dxa"/>
            <w:tcBorders>
              <w:left w:val="single" w:sz="6"/>
            </w:tcBorders>
            <w:tcMar>
              <w:top w:w="15" w:type="dxa"/>
              <w:left w:w="60" w:type="dxa"/>
              <w:bottom w:w="15" w:type="dxa"/>
              <w:right w:w="60" w:type="dxa"/>
            </w:tcMar>
            <w:vAlign w:val="top"/>
          </w:tcPr>
          <w:p w:rsidR="2BAD4401" w:rsidP="2BAD4401" w:rsidRDefault="2BAD4401" w14:paraId="1064F941" w14:textId="1E83DA8D">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Update CV and Professional Profile</w:t>
            </w:r>
          </w:p>
        </w:tc>
        <w:tc>
          <w:tcPr>
            <w:tcW w:w="1049" w:type="dxa"/>
            <w:tcMar>
              <w:top w:w="15" w:type="dxa"/>
              <w:left w:w="60" w:type="dxa"/>
              <w:bottom w:w="15" w:type="dxa"/>
              <w:right w:w="60" w:type="dxa"/>
            </w:tcMar>
            <w:vAlign w:val="top"/>
          </w:tcPr>
          <w:p w:rsidR="2BAD4401" w:rsidP="2BAD4401" w:rsidRDefault="2BAD4401" w14:paraId="6A6E44FC" w14:textId="0556DAAD">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2B9EB979" w14:textId="0779AB93">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73246C2D" w14:textId="78F750B3">
            <w:pPr>
              <w:spacing w:line="216" w:lineRule="auto"/>
              <w:rPr>
                <w:rFonts w:ascii="Cambria" w:hAnsi="Cambria" w:eastAsia="Cambria" w:cs="Cambria"/>
                <w:b w:val="0"/>
                <w:bCs w:val="0"/>
                <w:i w:val="0"/>
                <w:iCs w:val="0"/>
                <w:sz w:val="22"/>
                <w:szCs w:val="22"/>
              </w:rPr>
            </w:pPr>
          </w:p>
        </w:tc>
        <w:tc>
          <w:tcPr>
            <w:tcW w:w="1049" w:type="dxa"/>
            <w:tcMar>
              <w:top w:w="15" w:type="dxa"/>
              <w:left w:w="60" w:type="dxa"/>
              <w:bottom w:w="15" w:type="dxa"/>
              <w:right w:w="60" w:type="dxa"/>
            </w:tcMar>
            <w:vAlign w:val="top"/>
          </w:tcPr>
          <w:p w:rsidR="2BAD4401" w:rsidP="2BAD4401" w:rsidRDefault="2BAD4401" w14:paraId="5D441DEB" w14:textId="14F0492B">
            <w:pPr>
              <w:spacing w:line="216" w:lineRule="auto"/>
              <w:rPr>
                <w:rFonts w:ascii="Cambria" w:hAnsi="Cambria" w:eastAsia="Cambria" w:cs="Cambria"/>
                <w:b w:val="0"/>
                <w:bCs w:val="0"/>
                <w:i w:val="0"/>
                <w:iCs w:val="0"/>
                <w:sz w:val="22"/>
                <w:szCs w:val="22"/>
              </w:rPr>
            </w:pPr>
          </w:p>
        </w:tc>
        <w:tc>
          <w:tcPr>
            <w:tcW w:w="1049" w:type="dxa"/>
            <w:shd w:val="clear" w:color="auto" w:fill="4472C4"/>
            <w:tcMar>
              <w:top w:w="15" w:type="dxa"/>
              <w:left w:w="60" w:type="dxa"/>
              <w:bottom w:w="15" w:type="dxa"/>
              <w:right w:w="60" w:type="dxa"/>
            </w:tcMar>
            <w:vAlign w:val="top"/>
          </w:tcPr>
          <w:p w:rsidR="2BAD4401" w:rsidP="2BAD4401" w:rsidRDefault="2BAD4401" w14:paraId="0A647111" w14:textId="7CDC7D85">
            <w:pPr>
              <w:spacing w:line="216" w:lineRule="auto"/>
              <w:rPr>
                <w:rFonts w:ascii="Cambria" w:hAnsi="Cambria" w:eastAsia="Cambria" w:cs="Cambria"/>
                <w:b w:val="0"/>
                <w:bCs w:val="0"/>
                <w:i w:val="0"/>
                <w:iCs w:val="0"/>
                <w:color w:val="F5F5F5"/>
                <w:sz w:val="22"/>
                <w:szCs w:val="22"/>
              </w:rPr>
            </w:pPr>
          </w:p>
        </w:tc>
        <w:tc>
          <w:tcPr>
            <w:tcW w:w="1049" w:type="dxa"/>
            <w:tcBorders>
              <w:right w:val="single" w:sz="6"/>
            </w:tcBorders>
            <w:shd w:val="clear" w:color="auto" w:fill="4472C4"/>
            <w:tcMar>
              <w:top w:w="15" w:type="dxa"/>
              <w:left w:w="60" w:type="dxa"/>
              <w:bottom w:w="15" w:type="dxa"/>
              <w:right w:w="60" w:type="dxa"/>
            </w:tcMar>
            <w:vAlign w:val="top"/>
          </w:tcPr>
          <w:p w:rsidR="2BAD4401" w:rsidP="2BAD4401" w:rsidRDefault="2BAD4401" w14:paraId="380AF32E" w14:textId="5FB2D93A">
            <w:pPr>
              <w:spacing w:line="216" w:lineRule="auto"/>
              <w:rPr>
                <w:rFonts w:ascii="Cambria" w:hAnsi="Cambria" w:eastAsia="Cambria" w:cs="Cambria"/>
                <w:b w:val="0"/>
                <w:bCs w:val="0"/>
                <w:i w:val="0"/>
                <w:iCs w:val="0"/>
                <w:color w:val="F5F5F5"/>
                <w:sz w:val="22"/>
                <w:szCs w:val="22"/>
              </w:rPr>
            </w:pPr>
          </w:p>
        </w:tc>
      </w:tr>
      <w:tr w:rsidR="2BAD4401" w:rsidTr="2BAD4401" w14:paraId="53CC7732">
        <w:trPr>
          <w:trHeight w:val="285"/>
        </w:trPr>
        <w:tc>
          <w:tcPr>
            <w:tcW w:w="2718" w:type="dxa"/>
            <w:tcBorders>
              <w:left w:val="single" w:sz="6"/>
              <w:bottom w:val="single" w:sz="6"/>
            </w:tcBorders>
            <w:tcMar>
              <w:top w:w="15" w:type="dxa"/>
              <w:left w:w="60" w:type="dxa"/>
              <w:bottom w:w="15" w:type="dxa"/>
              <w:right w:w="60" w:type="dxa"/>
            </w:tcMar>
            <w:vAlign w:val="top"/>
          </w:tcPr>
          <w:p w:rsidR="2BAD4401" w:rsidP="2BAD4401" w:rsidRDefault="2BAD4401" w14:paraId="1F4D0652" w14:textId="6D814CAB">
            <w:pPr>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Evaluate Progress and Plan Further Development</w:t>
            </w:r>
          </w:p>
        </w:tc>
        <w:tc>
          <w:tcPr>
            <w:tcW w:w="1049" w:type="dxa"/>
            <w:tcBorders>
              <w:bottom w:val="single" w:sz="6"/>
            </w:tcBorders>
            <w:tcMar>
              <w:top w:w="15" w:type="dxa"/>
              <w:left w:w="60" w:type="dxa"/>
              <w:bottom w:w="15" w:type="dxa"/>
              <w:right w:w="60" w:type="dxa"/>
            </w:tcMar>
            <w:vAlign w:val="top"/>
          </w:tcPr>
          <w:p w:rsidR="2BAD4401" w:rsidP="2BAD4401" w:rsidRDefault="2BAD4401" w14:paraId="6579C412" w14:textId="7C9459A9">
            <w:pPr>
              <w:spacing w:line="216" w:lineRule="auto"/>
              <w:rPr>
                <w:rFonts w:ascii="Cambria" w:hAnsi="Cambria" w:eastAsia="Cambria" w:cs="Cambria"/>
                <w:b w:val="0"/>
                <w:bCs w:val="0"/>
                <w:i w:val="0"/>
                <w:iCs w:val="0"/>
                <w:sz w:val="22"/>
                <w:szCs w:val="22"/>
              </w:rPr>
            </w:pPr>
          </w:p>
        </w:tc>
        <w:tc>
          <w:tcPr>
            <w:tcW w:w="1049" w:type="dxa"/>
            <w:tcBorders>
              <w:bottom w:val="single" w:sz="6"/>
            </w:tcBorders>
            <w:tcMar>
              <w:top w:w="15" w:type="dxa"/>
              <w:left w:w="60" w:type="dxa"/>
              <w:bottom w:w="15" w:type="dxa"/>
              <w:right w:w="60" w:type="dxa"/>
            </w:tcMar>
            <w:vAlign w:val="top"/>
          </w:tcPr>
          <w:p w:rsidR="2BAD4401" w:rsidP="2BAD4401" w:rsidRDefault="2BAD4401" w14:paraId="28A62BE7" w14:textId="065AFFB5">
            <w:pPr>
              <w:spacing w:line="216" w:lineRule="auto"/>
              <w:rPr>
                <w:rFonts w:ascii="Cambria" w:hAnsi="Cambria" w:eastAsia="Cambria" w:cs="Cambria"/>
                <w:b w:val="0"/>
                <w:bCs w:val="0"/>
                <w:i w:val="0"/>
                <w:iCs w:val="0"/>
                <w:sz w:val="22"/>
                <w:szCs w:val="22"/>
              </w:rPr>
            </w:pPr>
          </w:p>
        </w:tc>
        <w:tc>
          <w:tcPr>
            <w:tcW w:w="1049" w:type="dxa"/>
            <w:tcBorders>
              <w:bottom w:val="single" w:sz="6"/>
            </w:tcBorders>
            <w:tcMar>
              <w:top w:w="15" w:type="dxa"/>
              <w:left w:w="60" w:type="dxa"/>
              <w:bottom w:w="15" w:type="dxa"/>
              <w:right w:w="60" w:type="dxa"/>
            </w:tcMar>
            <w:vAlign w:val="top"/>
          </w:tcPr>
          <w:p w:rsidR="2BAD4401" w:rsidP="2BAD4401" w:rsidRDefault="2BAD4401" w14:paraId="5BE0A028" w14:textId="5256ED30">
            <w:pPr>
              <w:spacing w:line="216" w:lineRule="auto"/>
              <w:rPr>
                <w:rFonts w:ascii="Cambria" w:hAnsi="Cambria" w:eastAsia="Cambria" w:cs="Cambria"/>
                <w:b w:val="0"/>
                <w:bCs w:val="0"/>
                <w:i w:val="0"/>
                <w:iCs w:val="0"/>
                <w:sz w:val="22"/>
                <w:szCs w:val="22"/>
              </w:rPr>
            </w:pPr>
          </w:p>
        </w:tc>
        <w:tc>
          <w:tcPr>
            <w:tcW w:w="1049" w:type="dxa"/>
            <w:tcBorders>
              <w:bottom w:val="single" w:sz="6"/>
            </w:tcBorders>
            <w:tcMar>
              <w:top w:w="15" w:type="dxa"/>
              <w:left w:w="60" w:type="dxa"/>
              <w:bottom w:w="15" w:type="dxa"/>
              <w:right w:w="60" w:type="dxa"/>
            </w:tcMar>
            <w:vAlign w:val="top"/>
          </w:tcPr>
          <w:p w:rsidR="2BAD4401" w:rsidP="2BAD4401" w:rsidRDefault="2BAD4401" w14:paraId="4EE14356" w14:textId="1D0595E3">
            <w:pPr>
              <w:spacing w:line="216" w:lineRule="auto"/>
              <w:rPr>
                <w:rFonts w:ascii="Cambria" w:hAnsi="Cambria" w:eastAsia="Cambria" w:cs="Cambria"/>
                <w:b w:val="0"/>
                <w:bCs w:val="0"/>
                <w:i w:val="0"/>
                <w:iCs w:val="0"/>
                <w:sz w:val="22"/>
                <w:szCs w:val="22"/>
              </w:rPr>
            </w:pPr>
          </w:p>
        </w:tc>
        <w:tc>
          <w:tcPr>
            <w:tcW w:w="1049" w:type="dxa"/>
            <w:tcBorders>
              <w:bottom w:val="single" w:sz="6"/>
            </w:tcBorders>
            <w:tcMar>
              <w:top w:w="15" w:type="dxa"/>
              <w:left w:w="60" w:type="dxa"/>
              <w:bottom w:w="15" w:type="dxa"/>
              <w:right w:w="60" w:type="dxa"/>
            </w:tcMar>
            <w:vAlign w:val="top"/>
          </w:tcPr>
          <w:p w:rsidR="2BAD4401" w:rsidP="2BAD4401" w:rsidRDefault="2BAD4401" w14:paraId="5DBD7956" w14:textId="1AAE5829">
            <w:pPr>
              <w:spacing w:line="216" w:lineRule="auto"/>
              <w:rPr>
                <w:rFonts w:ascii="Cambria" w:hAnsi="Cambria" w:eastAsia="Cambria" w:cs="Cambria"/>
                <w:b w:val="0"/>
                <w:bCs w:val="0"/>
                <w:i w:val="0"/>
                <w:iCs w:val="0"/>
                <w:sz w:val="22"/>
                <w:szCs w:val="22"/>
              </w:rPr>
            </w:pPr>
          </w:p>
        </w:tc>
        <w:tc>
          <w:tcPr>
            <w:tcW w:w="1049" w:type="dxa"/>
            <w:tcBorders>
              <w:bottom w:val="single" w:sz="6"/>
              <w:right w:val="single" w:sz="6"/>
            </w:tcBorders>
            <w:shd w:val="clear" w:color="auto" w:fill="70AD47"/>
            <w:tcMar>
              <w:top w:w="15" w:type="dxa"/>
              <w:left w:w="60" w:type="dxa"/>
              <w:bottom w:w="15" w:type="dxa"/>
              <w:right w:w="60" w:type="dxa"/>
            </w:tcMar>
            <w:vAlign w:val="top"/>
          </w:tcPr>
          <w:p w:rsidR="2BAD4401" w:rsidP="2BAD4401" w:rsidRDefault="2BAD4401" w14:paraId="640A384E" w14:textId="2AF258EA">
            <w:pPr>
              <w:spacing w:line="216" w:lineRule="auto"/>
              <w:rPr>
                <w:rFonts w:ascii="Cambria" w:hAnsi="Cambria" w:eastAsia="Cambria" w:cs="Cambria"/>
                <w:b w:val="0"/>
                <w:bCs w:val="0"/>
                <w:i w:val="0"/>
                <w:iCs w:val="0"/>
                <w:sz w:val="22"/>
                <w:szCs w:val="22"/>
              </w:rPr>
            </w:pPr>
          </w:p>
        </w:tc>
      </w:tr>
    </w:tbl>
    <w:p xmlns:wp14="http://schemas.microsoft.com/office/word/2010/wordml" w:rsidP="2BAD4401" wp14:paraId="5720D447" wp14:textId="7360A53A">
      <w:pPr>
        <w:bidi w:val="0"/>
        <w:spacing w:after="0" w:line="30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br/>
      </w:r>
      <w:r w:rsidRPr="2BAD4401" w:rsidR="161ABCDC">
        <w:rPr>
          <w:rFonts w:ascii="Cambria" w:hAnsi="Cambria" w:eastAsia="Cambria" w:cs="Cambria"/>
          <w:b w:val="1"/>
          <w:bCs w:val="1"/>
          <w:i w:val="0"/>
          <w:iCs w:val="0"/>
          <w:caps w:val="0"/>
          <w:smallCaps w:val="0"/>
          <w:noProof w:val="0"/>
          <w:color w:val="000000" w:themeColor="text1" w:themeTint="FF" w:themeShade="FF"/>
          <w:sz w:val="22"/>
          <w:szCs w:val="22"/>
          <w:lang w:val="en-US"/>
        </w:rPr>
        <w:t>Professional Legend</w:t>
      </w:r>
      <w:r>
        <w:br/>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538"/>
        <w:gridCol w:w="7477"/>
      </w:tblGrid>
      <w:tr w:rsidR="2BAD4401" w:rsidTr="2BAD4401" w14:paraId="7A3B8497">
        <w:trPr>
          <w:trHeight w:val="285"/>
        </w:trPr>
        <w:tc>
          <w:tcPr>
            <w:tcW w:w="1538" w:type="dxa"/>
            <w:tcBorders>
              <w:top w:val="single" w:sz="6"/>
              <w:left w:val="single" w:sz="6"/>
            </w:tcBorders>
            <w:tcMar>
              <w:left w:w="90" w:type="dxa"/>
              <w:right w:w="90" w:type="dxa"/>
            </w:tcMar>
            <w:vAlign w:val="top"/>
          </w:tcPr>
          <w:p w:rsidR="2BAD4401" w:rsidP="2BAD4401" w:rsidRDefault="2BAD4401" w14:paraId="7EA5AA0E" w14:textId="712DB8D8">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Colour</w:t>
            </w:r>
          </w:p>
        </w:tc>
        <w:tc>
          <w:tcPr>
            <w:tcW w:w="7477" w:type="dxa"/>
            <w:tcBorders>
              <w:top w:val="single" w:sz="6"/>
              <w:right w:val="single" w:sz="6"/>
            </w:tcBorders>
            <w:tcMar>
              <w:left w:w="90" w:type="dxa"/>
              <w:right w:w="90" w:type="dxa"/>
            </w:tcMar>
            <w:vAlign w:val="top"/>
          </w:tcPr>
          <w:p w:rsidR="2BAD4401" w:rsidP="2BAD4401" w:rsidRDefault="2BAD4401" w14:paraId="00B551F0" w14:textId="1936AEB9">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Development Area</w:t>
            </w:r>
          </w:p>
        </w:tc>
      </w:tr>
      <w:tr w:rsidR="2BAD4401" w:rsidTr="2BAD4401" w14:paraId="2653931B">
        <w:trPr>
          <w:trHeight w:val="285"/>
        </w:trPr>
        <w:tc>
          <w:tcPr>
            <w:tcW w:w="1538" w:type="dxa"/>
            <w:tcBorders>
              <w:left w:val="single" w:sz="6"/>
            </w:tcBorders>
            <w:tcMar>
              <w:left w:w="90" w:type="dxa"/>
              <w:right w:w="90" w:type="dxa"/>
            </w:tcMar>
            <w:vAlign w:val="top"/>
          </w:tcPr>
          <w:p w:rsidR="2BAD4401" w:rsidP="2BAD4401" w:rsidRDefault="2BAD4401" w14:paraId="1EEEF04C" w14:textId="4B6548AF">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Blue</w:t>
            </w:r>
          </w:p>
        </w:tc>
        <w:tc>
          <w:tcPr>
            <w:tcW w:w="7477" w:type="dxa"/>
            <w:tcBorders>
              <w:right w:val="single" w:sz="6"/>
            </w:tcBorders>
            <w:tcMar>
              <w:left w:w="90" w:type="dxa"/>
              <w:right w:w="90" w:type="dxa"/>
            </w:tcMar>
            <w:vAlign w:val="top"/>
          </w:tcPr>
          <w:p w:rsidR="2BAD4401" w:rsidP="2BAD4401" w:rsidRDefault="2BAD4401" w14:paraId="08D83229" w14:textId="26C5F065">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Academic Qualification and Professional Profile Development</w:t>
            </w:r>
          </w:p>
        </w:tc>
      </w:tr>
      <w:tr w:rsidR="2BAD4401" w:rsidTr="2BAD4401" w14:paraId="2024BF14">
        <w:trPr>
          <w:trHeight w:val="285"/>
        </w:trPr>
        <w:tc>
          <w:tcPr>
            <w:tcW w:w="1538" w:type="dxa"/>
            <w:tcBorders>
              <w:left w:val="single" w:sz="6"/>
            </w:tcBorders>
            <w:tcMar>
              <w:left w:w="90" w:type="dxa"/>
              <w:right w:w="90" w:type="dxa"/>
            </w:tcMar>
            <w:vAlign w:val="top"/>
          </w:tcPr>
          <w:p w:rsidR="2BAD4401" w:rsidP="2BAD4401" w:rsidRDefault="2BAD4401" w14:paraId="4BAAA726" w14:textId="6CA94905">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Green</w:t>
            </w:r>
          </w:p>
        </w:tc>
        <w:tc>
          <w:tcPr>
            <w:tcW w:w="7477" w:type="dxa"/>
            <w:tcBorders>
              <w:right w:val="single" w:sz="6"/>
            </w:tcBorders>
            <w:tcMar>
              <w:left w:w="90" w:type="dxa"/>
              <w:right w:w="90" w:type="dxa"/>
            </w:tcMar>
            <w:vAlign w:val="top"/>
          </w:tcPr>
          <w:p w:rsidR="2BAD4401" w:rsidP="2BAD4401" w:rsidRDefault="2BAD4401" w14:paraId="211BFAD9" w14:textId="064C471F">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Self-Assessment, Reflection and Evaluation</w:t>
            </w:r>
          </w:p>
        </w:tc>
      </w:tr>
      <w:tr w:rsidR="2BAD4401" w:rsidTr="2BAD4401" w14:paraId="2C61C1B2">
        <w:trPr>
          <w:trHeight w:val="285"/>
        </w:trPr>
        <w:tc>
          <w:tcPr>
            <w:tcW w:w="1538" w:type="dxa"/>
            <w:tcBorders>
              <w:left w:val="single" w:sz="6"/>
            </w:tcBorders>
            <w:tcMar>
              <w:left w:w="90" w:type="dxa"/>
              <w:right w:w="90" w:type="dxa"/>
            </w:tcMar>
            <w:vAlign w:val="top"/>
          </w:tcPr>
          <w:p w:rsidR="2BAD4401" w:rsidP="2BAD4401" w:rsidRDefault="2BAD4401" w14:paraId="050D095A" w14:textId="4C8C8D2C">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Gold</w:t>
            </w:r>
          </w:p>
        </w:tc>
        <w:tc>
          <w:tcPr>
            <w:tcW w:w="7477" w:type="dxa"/>
            <w:tcBorders>
              <w:right w:val="single" w:sz="6"/>
            </w:tcBorders>
            <w:tcMar>
              <w:left w:w="90" w:type="dxa"/>
              <w:right w:w="90" w:type="dxa"/>
            </w:tcMar>
            <w:vAlign w:val="top"/>
          </w:tcPr>
          <w:p w:rsidR="2BAD4401" w:rsidP="2BAD4401" w:rsidRDefault="2BAD4401" w14:paraId="0BBF5011" w14:textId="4453ADAC">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Management Research and Regulatory Knowledge</w:t>
            </w:r>
          </w:p>
        </w:tc>
      </w:tr>
      <w:tr w:rsidR="2BAD4401" w:rsidTr="2BAD4401" w14:paraId="15FC5FE8">
        <w:trPr>
          <w:trHeight w:val="285"/>
        </w:trPr>
        <w:tc>
          <w:tcPr>
            <w:tcW w:w="1538" w:type="dxa"/>
            <w:tcBorders>
              <w:left w:val="single" w:sz="6"/>
            </w:tcBorders>
            <w:tcMar>
              <w:left w:w="90" w:type="dxa"/>
              <w:right w:w="90" w:type="dxa"/>
            </w:tcMar>
            <w:vAlign w:val="top"/>
          </w:tcPr>
          <w:p w:rsidR="2BAD4401" w:rsidP="2BAD4401" w:rsidRDefault="2BAD4401" w14:paraId="4C760BA3" w14:textId="772EF11C">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Orange</w:t>
            </w:r>
          </w:p>
        </w:tc>
        <w:tc>
          <w:tcPr>
            <w:tcW w:w="7477" w:type="dxa"/>
            <w:tcBorders>
              <w:right w:val="single" w:sz="6"/>
            </w:tcBorders>
            <w:tcMar>
              <w:left w:w="90" w:type="dxa"/>
              <w:right w:w="90" w:type="dxa"/>
            </w:tcMar>
            <w:vAlign w:val="top"/>
          </w:tcPr>
          <w:p w:rsidR="2BAD4401" w:rsidP="2BAD4401" w:rsidRDefault="2BAD4401" w14:paraId="5FEC0458" w14:textId="6531E087">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Leadership Communication and Feedback Development</w:t>
            </w:r>
          </w:p>
        </w:tc>
      </w:tr>
      <w:tr w:rsidR="2BAD4401" w:rsidTr="2BAD4401" w14:paraId="30B27DA6">
        <w:trPr>
          <w:trHeight w:val="285"/>
        </w:trPr>
        <w:tc>
          <w:tcPr>
            <w:tcW w:w="1538" w:type="dxa"/>
            <w:tcBorders>
              <w:left w:val="single" w:sz="6"/>
            </w:tcBorders>
            <w:tcMar>
              <w:left w:w="90" w:type="dxa"/>
              <w:right w:w="90" w:type="dxa"/>
            </w:tcMar>
            <w:vAlign w:val="top"/>
          </w:tcPr>
          <w:p w:rsidR="2BAD4401" w:rsidP="2BAD4401" w:rsidRDefault="2BAD4401" w14:paraId="56C4AE55" w14:textId="34212591">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Purple</w:t>
            </w:r>
          </w:p>
        </w:tc>
        <w:tc>
          <w:tcPr>
            <w:tcW w:w="7477" w:type="dxa"/>
            <w:tcBorders>
              <w:right w:val="single" w:sz="6"/>
            </w:tcBorders>
            <w:tcMar>
              <w:left w:w="90" w:type="dxa"/>
              <w:right w:w="90" w:type="dxa"/>
            </w:tcMar>
            <w:vAlign w:val="top"/>
          </w:tcPr>
          <w:p w:rsidR="2BAD4401" w:rsidP="2BAD4401" w:rsidRDefault="2BAD4401" w14:paraId="3FC5C8E2" w14:textId="7E692CCF">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Workforce Planning and Conflict Resolution Skills</w:t>
            </w:r>
          </w:p>
        </w:tc>
      </w:tr>
      <w:tr w:rsidR="2BAD4401" w:rsidTr="2BAD4401" w14:paraId="06732F36">
        <w:trPr>
          <w:trHeight w:val="285"/>
        </w:trPr>
        <w:tc>
          <w:tcPr>
            <w:tcW w:w="1538" w:type="dxa"/>
            <w:tcBorders>
              <w:left w:val="single" w:sz="6"/>
            </w:tcBorders>
            <w:tcMar>
              <w:left w:w="90" w:type="dxa"/>
              <w:right w:w="90" w:type="dxa"/>
            </w:tcMar>
            <w:vAlign w:val="top"/>
          </w:tcPr>
          <w:p w:rsidR="2BAD4401" w:rsidP="2BAD4401" w:rsidRDefault="2BAD4401" w14:paraId="3C927A04" w14:textId="397AEF2D">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Red</w:t>
            </w:r>
          </w:p>
        </w:tc>
        <w:tc>
          <w:tcPr>
            <w:tcW w:w="7477" w:type="dxa"/>
            <w:tcBorders>
              <w:right w:val="single" w:sz="6"/>
            </w:tcBorders>
            <w:tcMar>
              <w:left w:w="90" w:type="dxa"/>
              <w:right w:w="90" w:type="dxa"/>
            </w:tcMar>
            <w:vAlign w:val="top"/>
          </w:tcPr>
          <w:p w:rsidR="2BAD4401" w:rsidP="2BAD4401" w:rsidRDefault="2BAD4401" w14:paraId="1B9FEB01" w14:textId="6FBAA70D">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Budgeting and Financial Management Skills</w:t>
            </w:r>
          </w:p>
        </w:tc>
      </w:tr>
      <w:tr w:rsidR="2BAD4401" w:rsidTr="2BAD4401" w14:paraId="329C4796">
        <w:trPr>
          <w:trHeight w:val="285"/>
        </w:trPr>
        <w:tc>
          <w:tcPr>
            <w:tcW w:w="1538" w:type="dxa"/>
            <w:tcBorders>
              <w:left w:val="single" w:sz="6"/>
              <w:bottom w:val="single" w:sz="6"/>
            </w:tcBorders>
            <w:tcMar>
              <w:left w:w="90" w:type="dxa"/>
              <w:right w:w="90" w:type="dxa"/>
            </w:tcMar>
            <w:vAlign w:val="top"/>
          </w:tcPr>
          <w:p w:rsidR="2BAD4401" w:rsidP="2BAD4401" w:rsidRDefault="2BAD4401" w14:paraId="2CD05F24" w14:textId="774D8072">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Brown</w:t>
            </w:r>
          </w:p>
        </w:tc>
        <w:tc>
          <w:tcPr>
            <w:tcW w:w="7477" w:type="dxa"/>
            <w:tcBorders>
              <w:bottom w:val="single" w:sz="6"/>
              <w:right w:val="single" w:sz="6"/>
            </w:tcBorders>
            <w:tcMar>
              <w:left w:w="90" w:type="dxa"/>
              <w:right w:w="90" w:type="dxa"/>
            </w:tcMar>
            <w:vAlign w:val="top"/>
          </w:tcPr>
          <w:p w:rsidR="2BAD4401" w:rsidP="2BAD4401" w:rsidRDefault="2BAD4401" w14:paraId="0FC0496A" w14:textId="404F3AB4">
            <w:pPr>
              <w:bidi w:val="0"/>
              <w:spacing w:line="216" w:lineRule="auto"/>
              <w:rPr>
                <w:rFonts w:ascii="Cambria" w:hAnsi="Cambria" w:eastAsia="Cambria" w:cs="Cambria"/>
                <w:b w:val="0"/>
                <w:bCs w:val="0"/>
                <w:i w:val="0"/>
                <w:iCs w:val="0"/>
                <w:sz w:val="16"/>
                <w:szCs w:val="16"/>
              </w:rPr>
            </w:pPr>
            <w:r w:rsidRPr="2BAD4401" w:rsidR="2BAD4401">
              <w:rPr>
                <w:rFonts w:ascii="Cambria" w:hAnsi="Cambria" w:eastAsia="Cambria" w:cs="Cambria"/>
                <w:b w:val="0"/>
                <w:bCs w:val="0"/>
                <w:i w:val="0"/>
                <w:iCs w:val="0"/>
                <w:sz w:val="16"/>
                <w:szCs w:val="16"/>
                <w:lang w:val="en-US"/>
              </w:rPr>
              <w:t>Practical Management Experience and Shadowing</w:t>
            </w:r>
          </w:p>
        </w:tc>
      </w:tr>
    </w:tbl>
    <w:p xmlns:wp14="http://schemas.microsoft.com/office/word/2010/wordml" w:rsidP="2BAD4401" wp14:paraId="15A967B2" wp14:textId="35577C15">
      <w:pPr>
        <w:bidi w:val="0"/>
        <w:spacing w:after="0" w:line="228"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br/>
      </w:r>
      <w:r w:rsidRPr="2BAD4401" w:rsidR="161ABCDC">
        <w:rPr>
          <w:rFonts w:ascii="Cambria" w:hAnsi="Cambria" w:eastAsia="Cambria" w:cs="Cambria"/>
          <w:b w:val="0"/>
          <w:bCs w:val="0"/>
          <w:i w:val="0"/>
          <w:iCs w:val="0"/>
          <w:caps w:val="0"/>
          <w:smallCaps w:val="0"/>
          <w:noProof w:val="0"/>
          <w:color w:val="000000" w:themeColor="text1" w:themeTint="FF" w:themeShade="FF"/>
          <w:sz w:val="22"/>
          <w:szCs w:val="22"/>
          <w:lang w:val="en-US"/>
        </w:rPr>
        <w:t>Figure 1: Six-month professional development Gantt chart showing planned activities to support progression from Registered General Nurse to Registered Nursing Home Manager between November 2026 and April 2027.</w:t>
      </w:r>
    </w:p>
    <w:p xmlns:wp14="http://schemas.microsoft.com/office/word/2010/wordml" w:rsidP="2BAD4401" wp14:paraId="218F0D4A" wp14:textId="70CFF6ED">
      <w:pPr>
        <w:bidi w:val="0"/>
        <w:spacing w:after="0" w:line="228"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2BAD4401" w:rsidR="161ABCDC">
        <w:rPr>
          <w:rFonts w:ascii="Cambria" w:hAnsi="Cambria" w:eastAsia="Cambria" w:cs="Cambria"/>
          <w:b w:val="0"/>
          <w:bCs w:val="0"/>
          <w:i w:val="0"/>
          <w:iCs w:val="0"/>
          <w:caps w:val="0"/>
          <w:smallCaps w:val="0"/>
          <w:noProof w:val="0"/>
          <w:color w:val="000000" w:themeColor="text1" w:themeTint="FF" w:themeShade="FF"/>
          <w:sz w:val="22"/>
          <w:szCs w:val="22"/>
          <w:lang w:val="en-US"/>
        </w:rPr>
        <w:t>Source: Author's own work (2026).</w:t>
      </w:r>
    </w:p>
    <w:p xmlns:wp14="http://schemas.microsoft.com/office/word/2010/wordml" w:rsidP="2BAD4401" wp14:paraId="5F75EAD1" wp14:textId="6EFC8447">
      <w:pPr>
        <w:spacing w:after="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15E6D151" wp14:textId="51B365D4">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2B796ED2" wp14:textId="240A9DD5">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6310373F" wp14:textId="39FE3388">
      <w:pPr/>
      <w:r w:rsidRPr="7045F772" w:rsidR="177525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045F772" wp14:paraId="68945220" wp14:textId="0B4B1724">
      <w:pPr>
        <w:spacing w:before="210" w:after="210" w:line="300" w:lineRule="auto"/>
        <w:jc w:val="both"/>
        <w:rPr>
          <w:rFonts w:ascii="Segoe UI" w:hAnsi="Segoe UI" w:eastAsia="Segoe UI" w:cs="Segoe UI"/>
          <w:b w:val="0"/>
          <w:bCs w:val="0"/>
          <w:i w:val="0"/>
          <w:iCs w:val="0"/>
          <w:caps w:val="0"/>
          <w:smallCaps w:val="0"/>
          <w:noProof w:val="0"/>
          <w:color w:val="000000" w:themeColor="text1" w:themeTint="FF" w:themeShade="FF"/>
          <w:sz w:val="32"/>
          <w:szCs w:val="32"/>
          <w:lang w:val="en-GB"/>
        </w:rPr>
      </w:pPr>
      <w:r w:rsidRPr="7045F772" w:rsidR="4381D3A0">
        <w:rPr>
          <w:rFonts w:ascii="Segoe UI" w:hAnsi="Segoe UI" w:eastAsia="Segoe UI" w:cs="Segoe UI"/>
          <w:b w:val="1"/>
          <w:bCs w:val="1"/>
          <w:i w:val="0"/>
          <w:iCs w:val="0"/>
          <w:caps w:val="0"/>
          <w:smallCaps w:val="0"/>
          <w:noProof w:val="0"/>
          <w:color w:val="000000" w:themeColor="text1" w:themeTint="FF" w:themeShade="FF"/>
          <w:sz w:val="32"/>
          <w:szCs w:val="32"/>
          <w:lang w:val="en-GB"/>
        </w:rPr>
        <w:t>Explanation of the Gantt Chart</w:t>
      </w:r>
    </w:p>
    <w:p xmlns:wp14="http://schemas.microsoft.com/office/word/2010/wordml" w:rsidP="7045F772" wp14:paraId="5AC6D6DE" wp14:textId="0214BDE4">
      <w:pPr>
        <w:spacing w:before="210" w:after="210"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7045F772" w:rsidR="4381D3A0">
        <w:rPr>
          <w:rFonts w:ascii="Segoe UI" w:hAnsi="Segoe UI" w:eastAsia="Segoe UI" w:cs="Segoe UI"/>
          <w:b w:val="0"/>
          <w:bCs w:val="0"/>
          <w:i w:val="0"/>
          <w:iCs w:val="0"/>
          <w:caps w:val="0"/>
          <w:smallCaps w:val="0"/>
          <w:noProof w:val="0"/>
          <w:color w:val="000000" w:themeColor="text1" w:themeTint="FF" w:themeShade="FF"/>
          <w:sz w:val="22"/>
          <w:szCs w:val="22"/>
          <w:lang w:val="en-GB"/>
        </w:rPr>
        <w:t>The Gantt chart presents a structured six-month professional development plan designed to support my long-term goal of becoming a registered nursing home manager. Throughout the six-month period, I will continue studying for my Level 5 Health and Social Care degree, ensuring that academic learning supports my professional development. During the first two months, I will assess my leadership strengths and identify areas requiring improvement. At the same time, I will research the managerial responsibilities, regulatory requirements and leadership expectations associated with nursing home management.</w:t>
      </w:r>
    </w:p>
    <w:p xmlns:wp14="http://schemas.microsoft.com/office/word/2010/wordml" w:rsidP="7045F772" wp14:paraId="732FC606" wp14:textId="0C0442AD">
      <w:pPr>
        <w:spacing w:before="210" w:after="210"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7045F772" w:rsidR="4381D3A0">
        <w:rPr>
          <w:rFonts w:ascii="Segoe UI" w:hAnsi="Segoe UI" w:eastAsia="Segoe UI" w:cs="Segoe UI"/>
          <w:b w:val="0"/>
          <w:bCs w:val="0"/>
          <w:i w:val="0"/>
          <w:iCs w:val="0"/>
          <w:caps w:val="0"/>
          <w:smallCaps w:val="0"/>
          <w:noProof w:val="0"/>
          <w:color w:val="000000" w:themeColor="text1" w:themeTint="FF" w:themeShade="FF"/>
          <w:sz w:val="22"/>
          <w:szCs w:val="22"/>
          <w:lang w:val="en-GB"/>
        </w:rPr>
        <w:t>From December onwards, I will seek regular feedback from colleagues, supervisors and mentors to strengthen my communication and leadership skills. During January to March, I will focus on developing knowledge of workforce planning, staff supervision and conflict resolution, which are essential aspects of effective management. I will also increase my understanding of budgeting and financial management to improve my ability to contribute to organisational decision-making and resource management.</w:t>
      </w:r>
    </w:p>
    <w:p xmlns:wp14="http://schemas.microsoft.com/office/word/2010/wordml" w:rsidP="7045F772" wp14:paraId="7A934806" wp14:textId="067F4C4C">
      <w:pPr>
        <w:spacing w:before="210" w:after="210"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7045F772" w:rsidR="4381D3A0">
        <w:rPr>
          <w:rFonts w:ascii="Segoe UI" w:hAnsi="Segoe UI" w:eastAsia="Segoe UI" w:cs="Segoe UI"/>
          <w:b w:val="0"/>
          <w:bCs w:val="0"/>
          <w:i w:val="0"/>
          <w:iCs w:val="0"/>
          <w:caps w:val="0"/>
          <w:smallCaps w:val="0"/>
          <w:noProof w:val="0"/>
          <w:color w:val="000000" w:themeColor="text1" w:themeTint="FF" w:themeShade="FF"/>
          <w:sz w:val="22"/>
          <w:szCs w:val="22"/>
          <w:lang w:val="en-GB"/>
        </w:rPr>
        <w:t>From February onwards, I will seek opportunities to shadow experienced managers and gain practical leadership experience. During the final two months, I will update my CV and professional profile to reflect newly acquired skills and achievements. Success will be measured through feedback received, academic progress, reflective accounts, completed training and evidence of increased management responsibilities and leadership confidence.</w:t>
      </w:r>
    </w:p>
    <w:p xmlns:wp14="http://schemas.microsoft.com/office/word/2010/wordml" w:rsidP="7045F772" wp14:paraId="323C76C4" wp14:textId="24BA9FF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067223C4" wp14:textId="0EF1929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3FBCBA2A" wp14:textId="1CBF92E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0BB9F0D6" wp14:textId="4A8DF68A">
      <w:pPr>
        <w:jc w:val="both"/>
        <w:rPr>
          <w:rFonts w:ascii="Arial" w:hAnsi="Arial" w:eastAsia="Arial" w:cs="Arial"/>
          <w:b w:val="0"/>
          <w:bCs w:val="0"/>
          <w:i w:val="0"/>
          <w:iCs w:val="0"/>
          <w:caps w:val="0"/>
          <w:smallCaps w:val="0"/>
          <w:noProof w:val="0"/>
          <w:color w:val="000000" w:themeColor="text1" w:themeTint="FF" w:themeShade="FF"/>
          <w:sz w:val="48"/>
          <w:szCs w:val="48"/>
          <w:lang w:val="en-GB"/>
        </w:rPr>
      </w:pPr>
      <w:r w:rsidRPr="7045F772" w:rsidR="4381D3A0">
        <w:rPr>
          <w:rFonts w:ascii="Arial" w:hAnsi="Arial" w:eastAsia="Arial" w:cs="Arial"/>
          <w:b w:val="0"/>
          <w:bCs w:val="0"/>
          <w:i w:val="0"/>
          <w:iCs w:val="0"/>
          <w:caps w:val="0"/>
          <w:smallCaps w:val="0"/>
          <w:noProof w:val="0"/>
          <w:color w:val="000000" w:themeColor="text1" w:themeTint="FF" w:themeShade="FF"/>
          <w:sz w:val="48"/>
          <w:szCs w:val="48"/>
          <w:lang w:val="en-GB"/>
        </w:rPr>
        <w:t>Task 7</w:t>
      </w:r>
    </w:p>
    <w:p xmlns:wp14="http://schemas.microsoft.com/office/word/2010/wordml" w:rsidP="7045F772" wp14:paraId="6CC79AEE" wp14:textId="07D4A70D">
      <w:pPr>
        <w:jc w:val="both"/>
        <w:rPr>
          <w:rFonts w:ascii="Arial" w:hAnsi="Arial" w:eastAsia="Arial" w:cs="Arial"/>
          <w:b w:val="0"/>
          <w:bCs w:val="0"/>
          <w:i w:val="0"/>
          <w:iCs w:val="0"/>
          <w:caps w:val="0"/>
          <w:smallCaps w:val="0"/>
          <w:noProof w:val="0"/>
          <w:color w:val="000000" w:themeColor="text1" w:themeTint="FF" w:themeShade="FF"/>
          <w:sz w:val="48"/>
          <w:szCs w:val="48"/>
          <w:lang w:val="en-GB"/>
        </w:rPr>
      </w:pPr>
      <w:r w:rsidRPr="7045F772" w:rsidR="4381D3A0">
        <w:rPr>
          <w:rFonts w:ascii="Arial" w:hAnsi="Arial" w:eastAsia="Arial" w:cs="Arial"/>
          <w:b w:val="0"/>
          <w:bCs w:val="0"/>
          <w:i w:val="0"/>
          <w:iCs w:val="0"/>
          <w:caps w:val="0"/>
          <w:smallCaps w:val="0"/>
          <w:noProof w:val="0"/>
          <w:color w:val="000000" w:themeColor="text1" w:themeTint="FF" w:themeShade="FF"/>
          <w:sz w:val="48"/>
          <w:szCs w:val="48"/>
          <w:lang w:val="en-GB"/>
        </w:rPr>
        <w:t>Improving the Mealtime Experience for Residents Living with Dementia: A Change Management Plan</w:t>
      </w:r>
    </w:p>
    <w:p xmlns:wp14="http://schemas.microsoft.com/office/word/2010/wordml" w:rsidP="7045F772" wp14:paraId="25837210" wp14:textId="13DD304B">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045F772" w:rsidR="4381D3A0">
        <w:rPr>
          <w:rFonts w:ascii="Arial" w:hAnsi="Arial" w:eastAsia="Arial" w:cs="Arial"/>
          <w:b w:val="1"/>
          <w:bCs w:val="1"/>
          <w:i w:val="0"/>
          <w:iCs w:val="0"/>
          <w:caps w:val="0"/>
          <w:smallCaps w:val="0"/>
          <w:noProof w:val="0"/>
          <w:color w:val="000000" w:themeColor="text1" w:themeTint="FF" w:themeShade="FF"/>
          <w:sz w:val="28"/>
          <w:szCs w:val="28"/>
          <w:lang w:val="en-GB"/>
        </w:rPr>
        <w:t>1. Introduction</w:t>
      </w:r>
    </w:p>
    <w:p xmlns:wp14="http://schemas.microsoft.com/office/word/2010/wordml" w:rsidP="7045F772" wp14:paraId="37B48D94" wp14:textId="26303AC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b w:val="0"/>
          <w:bCs w:val="0"/>
          <w:i w:val="0"/>
          <w:iCs w:val="0"/>
          <w:caps w:val="0"/>
          <w:smallCaps w:val="0"/>
          <w:noProof w:val="0"/>
          <w:color w:val="000000" w:themeColor="text1" w:themeTint="FF" w:themeShade="FF"/>
          <w:sz w:val="22"/>
          <w:szCs w:val="22"/>
          <w:lang w:val="en-GB"/>
        </w:rPr>
        <w:t>Residents living with dementia frequently encounter difficulties during mealtimes as their cognitive and physical abilities deteriorate. These changes can affect their ability to eat independently and increase the risk of inadequate food intake, unintentional weight loss, malnutrition and dehydration, which may negatively impact their health and overall quality of life (Passos et al., 2024; Volkert et al., 2024). Without appropriate assistance, these challenges may further compromise residents’ nutritional status and wellbeing. This report therefore recommends enhancing the dining environment and social aspects of mealtimes to minimise sensory overstimulation, preserve residents’ dignity and support compliance with Care Quality Commission (CQC) expectations.</w:t>
      </w:r>
    </w:p>
    <w:p xmlns:wp14="http://schemas.microsoft.com/office/word/2010/wordml" w:rsidP="7045F772" wp14:paraId="3FC877E4" wp14:textId="7E28DD9D">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45F772" wp14:paraId="27F956AC" wp14:textId="142E8999">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045F772" w:rsidR="4381D3A0">
        <w:rPr>
          <w:rFonts w:ascii="Arial" w:hAnsi="Arial" w:eastAsia="Arial" w:cs="Arial"/>
          <w:b w:val="1"/>
          <w:bCs w:val="1"/>
          <w:i w:val="0"/>
          <w:iCs w:val="0"/>
          <w:caps w:val="0"/>
          <w:smallCaps w:val="0"/>
          <w:noProof w:val="0"/>
          <w:color w:val="000000" w:themeColor="text1" w:themeTint="FF" w:themeShade="FF"/>
          <w:sz w:val="28"/>
          <w:szCs w:val="28"/>
          <w:lang w:val="en-GB"/>
        </w:rPr>
        <w:t>2. Planning the Change</w:t>
      </w:r>
    </w:p>
    <w:p xmlns:wp14="http://schemas.microsoft.com/office/word/2010/wordml" w:rsidP="7045F772" wp14:paraId="4C3A7438" wp14:textId="427BB74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b w:val="0"/>
          <w:bCs w:val="0"/>
          <w:i w:val="0"/>
          <w:iCs w:val="0"/>
          <w:caps w:val="0"/>
          <w:smallCaps w:val="0"/>
          <w:noProof w:val="0"/>
          <w:color w:val="000000" w:themeColor="text1" w:themeTint="FF" w:themeShade="FF"/>
          <w:sz w:val="22"/>
          <w:szCs w:val="22"/>
          <w:lang w:val="en-GB"/>
        </w:rPr>
        <w:t>The plan is structured around Kotter's 8-Step Model, drawing on a residential care study that applied this framework to mealtime improvement (Cartwright et al., 2026). Step 1 establishes urgency using audit data and CQC findings, including chaotic dining rooms, residents unable to serve themselves, and unappealing texture-modified meals (Care Quality Commission, 2024; 2025). A guiding team comprising the manager, senior carer, chef and activities coordinator will communicate a simple vision: “do with, not for”. Staff will be empowered through on-the-floor role modelling rather than classroom-based training. Short-term wins will be generated by piloting a single quieter, home-like dining area and sharing positive resident responses at handover. Changes will be anchored through revised mealtime procedures and induction training.</w:t>
      </w:r>
    </w:p>
    <w:p xmlns:wp14="http://schemas.microsoft.com/office/word/2010/wordml" w:rsidP="7045F772" wp14:paraId="3D0CC339" wp14:textId="2D9048B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24B4B808" wp14:textId="3FD6582F">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045F772" w:rsidR="4381D3A0">
        <w:rPr>
          <w:rFonts w:ascii="Arial" w:hAnsi="Arial" w:eastAsia="Arial" w:cs="Arial"/>
          <w:b w:val="1"/>
          <w:bCs w:val="1"/>
          <w:i w:val="0"/>
          <w:iCs w:val="0"/>
          <w:caps w:val="0"/>
          <w:smallCaps w:val="0"/>
          <w:noProof w:val="0"/>
          <w:color w:val="000000" w:themeColor="text1" w:themeTint="FF" w:themeShade="FF"/>
          <w:sz w:val="28"/>
          <w:szCs w:val="28"/>
          <w:lang w:val="en-GB"/>
        </w:rPr>
        <w:t>3. Skills Required</w:t>
      </w:r>
    </w:p>
    <w:p xmlns:wp14="http://schemas.microsoft.com/office/word/2010/wordml" w:rsidP="7045F772" wp14:paraId="7C56B9F7" wp14:textId="2CF16AB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b w:val="0"/>
          <w:bCs w:val="0"/>
          <w:i w:val="0"/>
          <w:iCs w:val="0"/>
          <w:caps w:val="0"/>
          <w:smallCaps w:val="0"/>
          <w:noProof w:val="0"/>
          <w:color w:val="000000" w:themeColor="text1" w:themeTint="FF" w:themeShade="FF"/>
          <w:sz w:val="22"/>
          <w:szCs w:val="22"/>
          <w:lang w:val="en-GB"/>
        </w:rPr>
        <w:t>As manager, I must demonstrate visible leadership, since care home staff notice whether managers personally endorse a change or merely announce it. Clear communication is needed to explain the rationale without implying that staff have been failing. Conflict resolution is essential, as some staff may perceive choice-based dining as additional work or a safety risk. These interpersonal capabilities align with the emotional intelligence competencies described by Serrat (2017), who emphasises self-awareness, empathy and relationship management as foundations for effective leadership, and with the practical coaching activities outlined by Hughes and Terrell (2011).</w:t>
      </w:r>
    </w:p>
    <w:p xmlns:wp14="http://schemas.microsoft.com/office/word/2010/wordml" w:rsidP="7045F772" wp14:paraId="0B616E18" wp14:textId="480857C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FDDEF38" wp14:textId="6458D9CF">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045F772" w:rsidR="4381D3A0">
        <w:rPr>
          <w:rFonts w:ascii="Arial" w:hAnsi="Arial" w:eastAsia="Arial" w:cs="Arial"/>
          <w:b w:val="1"/>
          <w:bCs w:val="1"/>
          <w:i w:val="0"/>
          <w:iCs w:val="0"/>
          <w:caps w:val="0"/>
          <w:smallCaps w:val="0"/>
          <w:noProof w:val="0"/>
          <w:color w:val="000000" w:themeColor="text1" w:themeTint="FF" w:themeShade="FF"/>
          <w:sz w:val="28"/>
          <w:szCs w:val="28"/>
          <w:lang w:val="en-GB"/>
        </w:rPr>
        <w:t>4. Barriers and Solutions</w:t>
      </w:r>
    </w:p>
    <w:p xmlns:wp14="http://schemas.microsoft.com/office/word/2010/wordml" w:rsidP="7045F772" wp14:paraId="2ACA7DC3" wp14:textId="3005A0A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b w:val="0"/>
          <w:bCs w:val="0"/>
          <w:i w:val="0"/>
          <w:iCs w:val="0"/>
          <w:caps w:val="0"/>
          <w:smallCaps w:val="0"/>
          <w:noProof w:val="0"/>
          <w:color w:val="000000" w:themeColor="text1" w:themeTint="FF" w:themeShade="FF"/>
          <w:sz w:val="22"/>
          <w:szCs w:val="22"/>
          <w:lang w:val="en-GB"/>
        </w:rPr>
        <w:t>A key barrier is staff apprehension about changing routines, particularly buffet-style dining, due to food safety and workload concerns. In the Australian study, staff initially resisted the buffet but later endorsed it as promoting independence (Cartwright et al., 2026). The solution is to involve staff in designing practical arrangements from the outset and to begin with one meal per day in one area.</w:t>
      </w:r>
    </w:p>
    <w:p xmlns:wp14="http://schemas.microsoft.com/office/word/2010/wordml" w:rsidP="7045F772" wp14:paraId="0C850312" wp14:textId="4A75979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b w:val="0"/>
          <w:bCs w:val="0"/>
          <w:i w:val="0"/>
          <w:iCs w:val="0"/>
          <w:caps w:val="0"/>
          <w:smallCaps w:val="0"/>
          <w:noProof w:val="0"/>
          <w:color w:val="000000" w:themeColor="text1" w:themeTint="FF" w:themeShade="FF"/>
          <w:sz w:val="22"/>
          <w:szCs w:val="22"/>
          <w:lang w:val="en-GB"/>
        </w:rPr>
        <w:t>A second barrier is the dining environment itself. CQC reports identify poor mealtime support, cold food and the absence of visual menus for people with dementia (Care Quality Commission, 2024; 2025). A simple environmental audit addressing noise, seating, clutter and lighting, followed by low-cost changes such as pictorial menu cards, will create immediate visible momentum.</w:t>
      </w:r>
    </w:p>
    <w:p xmlns:wp14="http://schemas.microsoft.com/office/word/2010/wordml" w:rsidP="7045F772" wp14:paraId="17AD1F29" wp14:textId="6FEAF91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7E9873E" wp14:textId="2EB5D216">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045F772" w:rsidR="4381D3A0">
        <w:rPr>
          <w:rFonts w:ascii="Arial" w:hAnsi="Arial" w:eastAsia="Arial" w:cs="Arial"/>
          <w:b w:val="1"/>
          <w:bCs w:val="1"/>
          <w:i w:val="0"/>
          <w:iCs w:val="0"/>
          <w:caps w:val="0"/>
          <w:smallCaps w:val="0"/>
          <w:noProof w:val="0"/>
          <w:color w:val="000000" w:themeColor="text1" w:themeTint="FF" w:themeShade="FF"/>
          <w:sz w:val="28"/>
          <w:szCs w:val="28"/>
          <w:lang w:val="en-GB"/>
        </w:rPr>
        <w:t>5. Conclusion</w:t>
      </w:r>
    </w:p>
    <w:p xmlns:wp14="http://schemas.microsoft.com/office/word/2010/wordml" w:rsidP="7045F772" wp14:paraId="1E004EFC" wp14:textId="714EDD46">
      <w:pPr>
        <w:spacing w:line="360" w:lineRule="auto"/>
        <w:jc w:val="both"/>
      </w:pPr>
      <w:r w:rsidRPr="7045F772" w:rsidR="4381D3A0">
        <w:rPr>
          <w:rFonts w:ascii="Arial" w:hAnsi="Arial" w:eastAsia="Arial" w:cs="Arial"/>
          <w:b w:val="0"/>
          <w:bCs w:val="0"/>
          <w:i w:val="0"/>
          <w:iCs w:val="0"/>
          <w:caps w:val="0"/>
          <w:smallCaps w:val="0"/>
          <w:noProof w:val="0"/>
          <w:color w:val="000000" w:themeColor="text1" w:themeTint="FF" w:themeShade="FF"/>
          <w:sz w:val="22"/>
          <w:szCs w:val="22"/>
          <w:lang w:val="en-GB"/>
        </w:rPr>
        <w:t>This change addresses a core aspect of dignity and person-centred care. By applying Kotter's model, involving staff in problem-solving, and starting with visible improvements, the care home can create sustainable change benefiting both residents and staff morale.</w:t>
      </w:r>
    </w:p>
    <w:p xmlns:wp14="http://schemas.microsoft.com/office/word/2010/wordml" w:rsidP="7045F772" wp14:paraId="69B68F07" wp14:textId="6F86B76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227DCF94" wp14:textId="12D266A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5431E4B2" wp14:textId="557807E8">
      <w:pPr>
        <w:pStyle w:val="Heading1"/>
        <w:keepNext w:val="1"/>
        <w:keepLines w:val="1"/>
        <w:spacing w:before="281" w:after="281" w:line="30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7045F772" w:rsidR="4381D3A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References</w:t>
      </w:r>
    </w:p>
    <w:p xmlns:wp14="http://schemas.microsoft.com/office/word/2010/wordml" w:rsidP="7045F772" wp14:paraId="091130B0" wp14:textId="1DC045B2">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Birmingham City Council (2026)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Adult social care</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70013fbd19924279">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https://www.birmingham.gov.uk/info/50241/adult_social_care</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4BD967C3" wp14:textId="1E4992C0">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Quality Commission (2024)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state of health care and adult social care in England 2023/24</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Newcastle upon Tyne: Care Quality Commission. Available at: </w:t>
      </w:r>
      <w:hyperlink r:id="R4828022bca344352">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https://www.cqc.org.uk/publications/major-report/state-care/2023-2024</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55441244" wp14:textId="5400D397">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Quality Commission (2025)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inspection report: adult social care services</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14f80bb2ac014b5e">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https://www.cqc.org.uk/guidance-providers/adult-social-care/inspection-report-adult-social-care-services</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75C67EF5" wp14:textId="18020879">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Cartwright, J., Oliver, E., Whitworth, A., Goldberg, L.R., Roberts, C., Beer, M., Smith, J., Etherton-Beer, C., Murray, S., O’Brien, N., Falconer, E., Roberts, K. and Visentin, D. (2026) ‘Maggie Beer’s big mission: Implementation and service-system outcomes of a multi-component and multidisciplinary mealtime model in residential aged care’,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BMC Geriatrics</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26(1). Available at: </w:t>
      </w:r>
      <w:hyperlink r:id="Rd31e980a2698470e">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https://doi.org/10.1186/s12877-026-07690-6</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37B1F584" wp14:textId="63579401">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Clayton, J.A. et al. (2025) ‘Intersectionality and diversity, equity, and inclusion in the healthcare and scientific workforces’,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Lancet Regional Health – Americas</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41, 100973. Available at: </w:t>
      </w:r>
      <w:hyperlink r:id="Rdaefae0734224cf2">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https://doi.org/10.1016/j.lana.2024.100973</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75D0E4B0" wp14:textId="6EB56332">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Coleman, J.S. (1990)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Foundations of Social Theory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Cambridge, MA: Harvard University Press.</w:t>
      </w:r>
    </w:p>
    <w:p xmlns:wp14="http://schemas.microsoft.com/office/word/2010/wordml" w:rsidP="7045F772" wp14:paraId="7824C897" wp14:textId="1CB773F4">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Crenshaw, K. (1989) ‘Demarginalizing the intersection of race and sex: a Black feminist critique of antidiscrimination doctrine, feminist theory and antiracist politics’,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University of Chicago Legal Forum</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1989(1), pp. 139–167.</w:t>
      </w:r>
    </w:p>
    <w:p xmlns:wp14="http://schemas.microsoft.com/office/word/2010/wordml" w:rsidP="7045F772" wp14:paraId="442336DC" wp14:textId="3E6BE475">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Cummings, G.G. et al. (2018) ‘Leadership styles and outcome patterns for the nursing workforce and work environment: a systematic review’,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International Journal of Nursing Studies</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85, pp. 19–60. Available at: </w:t>
      </w:r>
      <w:hyperlink r:id="R10523ea40d594c40">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https://doi.org/10.1016/j.ijnurstu.2018.04.016</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7194BBE5" wp14:textId="107A566E">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Edmondson, A. (1999) ‘Psychological safety and learning behaviour in work teams’,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Administrative Science Quarterly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44(2), pp. 350–383. Available at: </w:t>
      </w:r>
      <w:hyperlink r:id="Rc9c37aa5c9c847b2">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https://doi.org/10.2307/2666999</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5D970312" wp14:textId="668A30DF">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Fitzgerald, A. (2020) ‘Professional identity: a concept analysis’,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Nursing Forum</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55(3), pp. 447–472. Available at: </w:t>
      </w:r>
      <w:hyperlink r:id="R259f96e531ab4d36">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https://doi.org/10.1111/nuf.12450</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1BE2731E" wp14:textId="4ADF6CB5">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Granovetter, M.S. (1973) ‘The strength of weak ties’,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American Journal of Sociology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78(6), pp. 1360–1380.</w:t>
      </w:r>
    </w:p>
    <w:p xmlns:wp14="http://schemas.microsoft.com/office/word/2010/wordml" w:rsidP="7045F772" wp14:paraId="4CCEC9E3" wp14:textId="0CFAC9C5">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Gupta, N. and Zoungrana, J. (2025) ‘Intersectionality of the gender wage gap among healthcare professionals: a scoping review’,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Healthcare</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13(3), p. 273. Available at: </w:t>
      </w:r>
      <w:hyperlink r:id="Rbe5a71d03d454880">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https://doi.org/10.3390/healthcare13030273</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53D2B897" wp14:textId="08F33744">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Herrman, H., Stewart, D.E., Diaz-Granados, N., Berger, E.L., Jackson, B. and Yuen, T. (2011) ‘What is resilience?’,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Canadian Journal of Psychiatry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56(5), pp. 258–265. Available at: </w:t>
      </w:r>
      <w:hyperlink r:id="Re98a7c75edba4e1f">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https://doi.org/10.1177/070674371105600504</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47FE8BE7" wp14:textId="7B70D004">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Hughes, M. and Terrell, J.B. (2011)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The Emotionally Intelligent Team: Understanding and Developing the </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Behaviours</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of Success</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San Francisco: Jossey-Bass.</w:t>
      </w:r>
    </w:p>
    <w:p xmlns:wp14="http://schemas.microsoft.com/office/word/2010/wordml" w:rsidP="7045F772" wp14:paraId="10B5CE6F" wp14:textId="6D7A1AF4">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Hussein, S. (2022) ‘Employment inequalities among British minority ethnic workers in health and social care at the time of Covid-19: a rapid review of the literature’,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Social Policy and Society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21(2), pp. 316–330. Available at: </w:t>
      </w:r>
      <w:hyperlink r:id="R2496ab4c3f2c465d">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https://doi.org/10.1017/S1474746421000841</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2A0EC060" wp14:textId="2373A369">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Minor-Cooley, D. and Parks-Yancy, R. (2020) ‘The power of the brand: personal branding and its effect on job seeking attributes’,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Internet Commerce</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19(3), pp. 241–261. Available at: </w:t>
      </w:r>
      <w:hyperlink r:id="R1e09ee56bfef4562">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https://doi.org/10.1080/15332861.2020.1777028</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4CCFE936" wp14:textId="7824A97C">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National Institute for Health and Care Excellence (2021)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Safeguarding adults in care homes</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NICE Guideline NG189. Available at: </w:t>
      </w:r>
      <w:hyperlink r:id="R3da53ec9bc154a0c">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https://www.nice.org.uk/guidance/ng189</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2EF00E82" wp14:textId="0B4F3B06">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Passos, L., Tavares, J., Batchelor, M. and Figueiredo, D. (2024) ‘Interventions to address mealtime support needs in dementia: a scoping review’,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PLOS ONE</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19(3), e0300987. Available at: </w:t>
      </w:r>
      <w:hyperlink r:id="R33257cf4f7514e02">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https://doi.org/10.1371/journal.pone.0300987</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795B437D" wp14:textId="7498F65A">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Putnam, R.D., Leonardi, R. and Nanetti, R.Y. (1993)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Making Democracy Work: Civic Traditions in Modern Italy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Princeton, NJ: Princeton University Press.</w:t>
      </w:r>
    </w:p>
    <w:p xmlns:wp14="http://schemas.microsoft.com/office/word/2010/wordml" w:rsidP="7045F772" wp14:paraId="307D85C8" wp14:textId="0F2DD5FF">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Real Living Wage Foundation (2026)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What is the Real Living Wage?</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75681ba4b58544c0">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https://www.livingwage.org.uk/what-real-living-wage</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5AE58154" wp14:textId="389E7E4E">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Ryan, M.K. (2023) ‘Addressing workplace gender inequality: using the evidence to avoid common pitfalls’,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British Journal of Social Psychology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62(1), pp. 1–11. Available at: </w:t>
      </w:r>
      <w:hyperlink r:id="Rfc2509da170146b0">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https://doi.org/10.1111/bjso.12606</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7943E9FB" wp14:textId="5E7B0C45">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Serrat, O. (2017)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Understanding and Developing Emotional Intelligence</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Singapore: Springer.</w:t>
      </w:r>
    </w:p>
    <w:p xmlns:wp14="http://schemas.microsoft.com/office/word/2010/wordml" w:rsidP="7045F772" wp14:paraId="4951DA78" wp14:textId="1812F1F3">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Skills for Care (2025)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state of the adult social care sector and workforce in England, 2025</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d2fce3cac731406f">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https://www.skillsforcare.org.uk/stateof</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1A5E08B4" wp14:textId="6951407B">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Skills for Care (2026)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Pay in the adult social care sector in England, as at December 2025</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d1b4bb6486c94978">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https://www.skillsforcare.org.uk/Adult-Social-Care-Workforce-Data/workforceintelligence/resources/Reports/Topics/Pay-in-the-adult-social-care-sector-in-England-as-at-December-2025.pdf</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 October 2026).</w:t>
      </w:r>
    </w:p>
    <w:p xmlns:wp14="http://schemas.microsoft.com/office/word/2010/wordml" w:rsidP="7045F772" wp14:paraId="38B37B6B" wp14:textId="2941756D">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Szreter, S. and Woolcock, M. (2004) ‘Health by association? Social capital, social theory, and the political economy of public health’,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International Journal of Epidemiology</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33(4), pp. 650–667. Available at: </w:t>
      </w:r>
      <w:hyperlink r:id="Rd111c5a515184873">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https://doi.org/10.1093/ije/dyh013</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6BA6DAE2" wp14:textId="36746BFA">
      <w:pPr>
        <w:pStyle w:val="ListParagraph"/>
        <w:numPr>
          <w:ilvl w:val="0"/>
          <w:numId w:val="3"/>
        </w:numPr>
        <w:spacing w:before="210" w:after="21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Volkert, D., Beck, A.M., Faxén-Irving, G., Frühwald, T., Hooper, L., Keller, H., Porter, J., Rothenberg, E., Suominen, M., Wirth, R. and Chourdakis, M. (2024) ‘ESPEN guideline on nutrition and hydration in dementia – update 2024’, </w:t>
      </w:r>
      <w:r w:rsidRPr="7045F772" w:rsidR="4381D3A0">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Clinical Nutrition</w:t>
      </w:r>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43, pp. 1599–1626. Available at: </w:t>
      </w:r>
      <w:hyperlink r:id="R81a0e5ee97fa44cd">
        <w:r w:rsidRPr="7045F772" w:rsidR="4381D3A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https://doi.org/10.1016/j.clnu.2024.04.031</w:t>
        </w:r>
      </w:hyperlink>
      <w:r w:rsidRPr="7045F772" w:rsidR="4381D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045F772" wp14:paraId="387E7DE3" wp14:textId="008CA070">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B8B3CE8" wp14:textId="43268520">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5360F2B5" wp14:textId="53957582">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1E666EDC" wp14:textId="5B7783B1">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7594796F" wp14:textId="7923430A">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321F1F4B" wp14:textId="50A92A35">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1B7B4B2C" wp14:textId="73138F31">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16F69CF9" wp14:textId="36F53623">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76ACB322" wp14:textId="0DEF338D">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7266A650" wp14:textId="3716D243">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550FDBA9" wp14:textId="79B79046">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1A24A6DC" wp14:textId="6436FCDD">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21CE8273" wp14:textId="4753467A">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A56FAC1" wp14:textId="73B2E4DD">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1B5D243E" wp14:textId="38D1464D">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0CC505A5" wp14:textId="0BEC9D75">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79641C1" wp14:textId="6541C53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D550C98" wp14:textId="2323554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153A261C" wp14:textId="4C46D97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22064D47" wp14:textId="6D79CAD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78918449" wp14:textId="7EF0019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71E41517" wp14:textId="34390AF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571D3C99" wp14:textId="2BEA9FC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2196226D" wp14:textId="13BE5EC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601FE7B3" wp14:textId="3CB9459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045F772" wp14:paraId="592214FE" wp14:textId="2E61898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417C0508" wp14:textId="06BDE5E7">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3C302827" wp14:textId="6E8B2CE3">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49BF32F3" wp14:textId="715026A5">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D1B6FB" wp14:paraId="3262A6AD" wp14:textId="670875B6">
      <w:pPr>
        <w:rPr>
          <w:rFonts w:ascii="Arial" w:hAnsi="Arial" w:eastAsia="Arial" w:cs="Arial"/>
          <w:b w:val="0"/>
          <w:bCs w:val="0"/>
          <w:i w:val="0"/>
          <w:iCs w:val="0"/>
          <w:caps w:val="0"/>
          <w:smallCaps w:val="0"/>
          <w:noProof w:val="0"/>
          <w:color w:val="000000" w:themeColor="text1" w:themeTint="FF" w:themeShade="FF"/>
          <w:sz w:val="24"/>
          <w:szCs w:val="24"/>
          <w:lang w:val="en-GB"/>
        </w:rPr>
      </w:pPr>
      <w:r w:rsidRPr="04D1B6FB" w:rsidR="29AEC7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4D1B6FB" wp14:paraId="5E778332" wp14:textId="2F68319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35D1CF3F" wp14:textId="0516615A"/>
    <w:p xmlns:wp14="http://schemas.microsoft.com/office/word/2010/wordml" w:rsidP="04D1B6FB" wp14:paraId="07A8C5F9" wp14:textId="2F334798">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D1B6FB" wp14:paraId="2D6BC410" wp14:textId="23D5E679">
      <w:pPr>
        <w:spacing w:before="210" w:after="21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0516615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1750ecd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1e8d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efb9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28490E"/>
    <w:rsid w:val="04D1B6FB"/>
    <w:rsid w:val="052C23AE"/>
    <w:rsid w:val="0A301F48"/>
    <w:rsid w:val="0FCC6FED"/>
    <w:rsid w:val="161ABCDC"/>
    <w:rsid w:val="1775252F"/>
    <w:rsid w:val="26ACB237"/>
    <w:rsid w:val="29AEC733"/>
    <w:rsid w:val="2A59BD91"/>
    <w:rsid w:val="2BAD4401"/>
    <w:rsid w:val="2E88A699"/>
    <w:rsid w:val="3091CBD8"/>
    <w:rsid w:val="3598B28B"/>
    <w:rsid w:val="3CCA5BB1"/>
    <w:rsid w:val="4381D3A0"/>
    <w:rsid w:val="4C66D42E"/>
    <w:rsid w:val="62F2E922"/>
    <w:rsid w:val="6A28490E"/>
    <w:rsid w:val="7045F772"/>
    <w:rsid w:val="7D9BC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2BF0F"/>
  <w15:chartTrackingRefBased/>
  <w15:docId w15:val="{35E3A00E-D1FC-4E2B-BB32-4F4E489ED9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4D1B6F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4D1B6F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4D1B6F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4D1B6FB"/>
    <w:pPr>
      <w:spacing/>
      <w:ind w:left="720"/>
      <w:contextualSpacing/>
    </w:pPr>
  </w:style>
  <w:style w:type="character" w:styleId="Hyperlink">
    <w:uiPriority w:val="99"/>
    <w:name w:val="Hyperlink"/>
    <w:basedOn w:val="DefaultParagraphFont"/>
    <w:unhideWhenUsed/>
    <w:rsid w:val="04D1B6F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34760718" /><Relationship Type="http://schemas.openxmlformats.org/officeDocument/2006/relationships/image" Target="/media/image2.png" Id="rId2109079903" /><Relationship Type="http://schemas.openxmlformats.org/officeDocument/2006/relationships/hyperlink" Target="https://www.google.co.uk/books/edition/Recruiting_Employees/buRyAwAAQBAJ?hl=en&amp;gbpv=1&amp;dq=recruiting&amp;pg=PP1&amp;printsec=frontcover" TargetMode="External" Id="Ra29cdc5b21204512" /><Relationship Type="http://schemas.openxmlformats.org/officeDocument/2006/relationships/hyperlink" Target="https://www.elgaronline.com/edcollchap/book/9781802205718/book-part-9781802205718-25.xml" TargetMode="External" Id="R7103977b569b4ee9" /><Relationship Type="http://schemas.openxmlformats.org/officeDocument/2006/relationships/hyperlink" Target="https://www.google.co.uk/books/edition/Low_Wage_Work_in_the_Wealthy_World/L87LUO5U5fEC?hl=en&amp;gbpv=1&amp;dq=low+pay&amp;pg=PA35&amp;printsec=frontcover" TargetMode="External" Id="Rdc9b33409624413f" /><Relationship Type="http://schemas.openxmlformats.org/officeDocument/2006/relationships/hyperlink" Target="https://www.proquest.com/openview/d28baf1dc3520603774d3496f35eb782/1?pq-origsite=gscholar&amp;cbl=54484" TargetMode="External" Id="R2f17f8e9fb3c4252" /><Relationship Type="http://schemas.openxmlformats.org/officeDocument/2006/relationships/hyperlink" Target="https://www.emerald.com/pr/article-abstract/55/3/909/1330008/Moving-beyond-the-business-case-the-real-living?redirectedFrom=fulltext" TargetMode="External" Id="R8b0f5dbaf8d748cf" /><Relationship Type="http://schemas.openxmlformats.org/officeDocument/2006/relationships/hyperlink" Target="https://hdl.handle.net/10419/273003" TargetMode="External" Id="R7dbeeb42467b4bd2" /><Relationship Type="http://schemas.openxmlformats.org/officeDocument/2006/relationships/hyperlink" Target="https://www.tandfonline.com/doi/abs/10.1080/19338244.2014.891967" TargetMode="External" Id="R54fa3bcd5bf94c42" /><Relationship Type="http://schemas.openxmlformats.org/officeDocument/2006/relationships/hyperlink" Target="https://d1wqtxts1xzle7.cloudfront.net/84457208/BLESSINGK_2018-libre.pdf?1650366533=&amp;response-content-disposition=inline%3B+filename%3DThe_importance_of_employee_training_and.pdf&amp;Expires=" TargetMode="External" Id="R0c8762eaaf184b8e" /><Relationship Type="http://schemas.openxmlformats.org/officeDocument/2006/relationships/numbering" Target="/word/numbering.xml" Id="Ra7b9ac0d603d40bf" /><Relationship Type="http://schemas.openxmlformats.org/officeDocument/2006/relationships/hyperlink" Target="https://www.birmingham.gov.uk/info/50241/adult_social_care" TargetMode="External" Id="R70013fbd19924279" /><Relationship Type="http://schemas.openxmlformats.org/officeDocument/2006/relationships/hyperlink" Target="https://www.cqc.org.uk/publications/major-report/state-care/2023-2024" TargetMode="External" Id="R4828022bca344352" /><Relationship Type="http://schemas.openxmlformats.org/officeDocument/2006/relationships/hyperlink" Target="https://www.cqc.org.uk/guidance-providers/adult-social-care/inspection-report-adult-social-care-services" TargetMode="External" Id="R14f80bb2ac014b5e" /><Relationship Type="http://schemas.openxmlformats.org/officeDocument/2006/relationships/hyperlink" Target="https://doi.org/10.1186/s12877-026-07690-6" TargetMode="External" Id="Rd31e980a2698470e" /><Relationship Type="http://schemas.openxmlformats.org/officeDocument/2006/relationships/hyperlink" Target="https://doi.org/10.1016/j.lana.2024.100973" TargetMode="External" Id="Rdaefae0734224cf2" /><Relationship Type="http://schemas.openxmlformats.org/officeDocument/2006/relationships/hyperlink" Target="https://doi.org/10.1016/j.ijnurstu.2018.04.016" TargetMode="External" Id="R10523ea40d594c40" /><Relationship Type="http://schemas.openxmlformats.org/officeDocument/2006/relationships/hyperlink" Target="https://doi.org/10.2307/2666999" TargetMode="External" Id="Rc9c37aa5c9c847b2" /><Relationship Type="http://schemas.openxmlformats.org/officeDocument/2006/relationships/hyperlink" Target="https://doi.org/10.1111/nuf.12450" TargetMode="External" Id="R259f96e531ab4d36" /><Relationship Type="http://schemas.openxmlformats.org/officeDocument/2006/relationships/hyperlink" Target="https://doi.org/10.3390/healthcare13030273" TargetMode="External" Id="Rbe5a71d03d454880" /><Relationship Type="http://schemas.openxmlformats.org/officeDocument/2006/relationships/hyperlink" Target="https://doi.org/10.1177/070674371105600504" TargetMode="External" Id="Re98a7c75edba4e1f" /><Relationship Type="http://schemas.openxmlformats.org/officeDocument/2006/relationships/hyperlink" Target="https://doi.org/10.1017/S1474746421000841" TargetMode="External" Id="R2496ab4c3f2c465d" /><Relationship Type="http://schemas.openxmlformats.org/officeDocument/2006/relationships/hyperlink" Target="https://doi.org/10.1080/15332861.2020.1777028" TargetMode="External" Id="R1e09ee56bfef4562" /><Relationship Type="http://schemas.openxmlformats.org/officeDocument/2006/relationships/hyperlink" Target="https://www.nice.org.uk/guidance/ng189" TargetMode="External" Id="R3da53ec9bc154a0c" /><Relationship Type="http://schemas.openxmlformats.org/officeDocument/2006/relationships/hyperlink" Target="https://doi.org/10.1371/journal.pone.0300987" TargetMode="External" Id="R33257cf4f7514e02" /><Relationship Type="http://schemas.openxmlformats.org/officeDocument/2006/relationships/hyperlink" Target="https://www.livingwage.org.uk/what-real-living-wage" TargetMode="External" Id="R75681ba4b58544c0" /><Relationship Type="http://schemas.openxmlformats.org/officeDocument/2006/relationships/hyperlink" Target="https://doi.org/10.1111/bjso.12606" TargetMode="External" Id="Rfc2509da170146b0" /><Relationship Type="http://schemas.openxmlformats.org/officeDocument/2006/relationships/hyperlink" Target="https://www.skillsforcare.org.uk/stateof" TargetMode="External" Id="Rd2fce3cac731406f" /><Relationship Type="http://schemas.openxmlformats.org/officeDocument/2006/relationships/hyperlink" Target="https://www.skillsforcare.org.uk/Adult-Social-Care-Workforce-Data/workforceintelligence/resources/Reports/Topics/Pay-in-the-adult-social-care-sector-in-England-as-at-December-2025.pdf" TargetMode="External" Id="Rd1b4bb6486c94978" /><Relationship Type="http://schemas.openxmlformats.org/officeDocument/2006/relationships/hyperlink" Target="https://doi.org/10.1093/ije/dyh013" TargetMode="External" Id="Rd111c5a515184873" /><Relationship Type="http://schemas.openxmlformats.org/officeDocument/2006/relationships/hyperlink" Target="https://doi.org/10.1016/j.clnu.2024.04.031" TargetMode="External" Id="R81a0e5ee97fa44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4</revision>
  <dcterms:created xsi:type="dcterms:W3CDTF">2026-10-25T22:51:26.6184697Z</dcterms:created>
  <dcterms:modified xsi:type="dcterms:W3CDTF">2026-10-25T23:14:53.8106280Z</dcterms:modified>
</coreProperties>
</file>