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786B0" w14:textId="5D13DDAE" w:rsidR="00E9723F" w:rsidRPr="00B7140C" w:rsidRDefault="005C63F0" w:rsidP="00615ED6">
      <w:pPr>
        <w:spacing w:after="0"/>
        <w:jc w:val="center"/>
        <w:rPr>
          <w:rFonts w:ascii="Times New Roman" w:hAnsi="Times New Roman" w:cs="Times New Roman"/>
        </w:rPr>
      </w:pPr>
      <w:r w:rsidRPr="00DB4937">
        <w:rPr>
          <w:noProof/>
          <w:sz w:val="28"/>
          <w:szCs w:val="28"/>
          <w:lang w:val="en-GB"/>
        </w:rPr>
        <w:drawing>
          <wp:anchor distT="0" distB="0" distL="114300" distR="114300" simplePos="0" relativeHeight="251659264" behindDoc="1" locked="0" layoutInCell="1" allowOverlap="1" wp14:anchorId="5E2C48B5" wp14:editId="43F5943A">
            <wp:simplePos x="0" y="0"/>
            <wp:positionH relativeFrom="column">
              <wp:posOffset>1562100</wp:posOffset>
            </wp:positionH>
            <wp:positionV relativeFrom="paragraph">
              <wp:posOffset>-443793</wp:posOffset>
            </wp:positionV>
            <wp:extent cx="2610485" cy="1039495"/>
            <wp:effectExtent l="0" t="0" r="0" b="0"/>
            <wp:wrapNone/>
            <wp:docPr id="1301857008"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0485"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6EEF9" w14:textId="77777777" w:rsidR="00E9723F" w:rsidRPr="00B7140C" w:rsidRDefault="00E9723F" w:rsidP="00615ED6">
      <w:pPr>
        <w:spacing w:after="0"/>
        <w:jc w:val="center"/>
        <w:rPr>
          <w:rFonts w:ascii="Times New Roman" w:hAnsi="Times New Roman" w:cs="Times New Roman"/>
        </w:rPr>
      </w:pPr>
    </w:p>
    <w:p w14:paraId="7E028A5F" w14:textId="77777777" w:rsidR="006E3434" w:rsidRDefault="006E3434" w:rsidP="00615ED6">
      <w:pPr>
        <w:spacing w:after="0"/>
        <w:jc w:val="center"/>
        <w:rPr>
          <w:rFonts w:ascii="Times New Roman" w:hAnsi="Times New Roman" w:cs="Times New Roman"/>
          <w:b/>
          <w:sz w:val="28"/>
        </w:rPr>
      </w:pPr>
    </w:p>
    <w:p w14:paraId="579A828C" w14:textId="5971CE41"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b/>
          <w:sz w:val="28"/>
        </w:rPr>
        <w:t>UNIVERSITY OF WALES TRINITY SAINT DAVID</w:t>
      </w:r>
    </w:p>
    <w:p w14:paraId="5D8F289F" w14:textId="77777777" w:rsidR="00E9723F" w:rsidRPr="00B7140C" w:rsidRDefault="000A7AAC" w:rsidP="00615ED6">
      <w:pPr>
        <w:spacing w:after="480"/>
        <w:jc w:val="center"/>
        <w:rPr>
          <w:rFonts w:ascii="Times New Roman" w:hAnsi="Times New Roman" w:cs="Times New Roman"/>
        </w:rPr>
      </w:pPr>
      <w:r w:rsidRPr="00B7140C">
        <w:rPr>
          <w:rFonts w:ascii="Times New Roman" w:hAnsi="Times New Roman" w:cs="Times New Roman"/>
        </w:rPr>
        <w:t>Institute of Inner-City Learning — London Campus</w:t>
      </w:r>
    </w:p>
    <w:p w14:paraId="58164DF4" w14:textId="77777777"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b/>
          <w:sz w:val="26"/>
        </w:rPr>
        <w:t>Master of Business Administration</w:t>
      </w:r>
    </w:p>
    <w:p w14:paraId="6AB95C95" w14:textId="77777777" w:rsidR="00E9723F" w:rsidRPr="00B7140C" w:rsidRDefault="000A7AAC" w:rsidP="00615ED6">
      <w:pPr>
        <w:spacing w:after="720"/>
        <w:jc w:val="center"/>
        <w:rPr>
          <w:rFonts w:ascii="Times New Roman" w:hAnsi="Times New Roman" w:cs="Times New Roman"/>
        </w:rPr>
      </w:pPr>
      <w:r w:rsidRPr="00B7140C">
        <w:rPr>
          <w:rFonts w:ascii="Times New Roman" w:hAnsi="Times New Roman" w:cs="Times New Roman"/>
          <w:b/>
          <w:sz w:val="26"/>
        </w:rPr>
        <w:t>LCMB7035 — Dissertation</w:t>
      </w:r>
    </w:p>
    <w:p w14:paraId="6421C340" w14:textId="77777777" w:rsidR="00E9723F" w:rsidRPr="00B7140C" w:rsidRDefault="000A7AAC" w:rsidP="00615ED6">
      <w:pPr>
        <w:spacing w:after="960"/>
        <w:jc w:val="center"/>
        <w:rPr>
          <w:rFonts w:ascii="Times New Roman" w:hAnsi="Times New Roman" w:cs="Times New Roman"/>
        </w:rPr>
      </w:pPr>
      <w:r w:rsidRPr="00B7140C">
        <w:rPr>
          <w:rFonts w:ascii="Times New Roman" w:hAnsi="Times New Roman" w:cs="Times New Roman"/>
          <w:b/>
          <w:i/>
          <w:sz w:val="28"/>
        </w:rPr>
        <w:t>The Effect of Micro-Influencer Credibility on Purchase Intention: A Study of UK Gen-Z Consumers in the Skincare Industry</w:t>
      </w:r>
    </w:p>
    <w:tbl>
      <w:tblPr>
        <w:tblW w:w="0" w:type="auto"/>
        <w:tblBorders>
          <w:top w:val="nil"/>
          <w:left w:val="nil"/>
          <w:bottom w:val="nil"/>
          <w:right w:val="nil"/>
          <w:insideH w:val="nil"/>
          <w:insideV w:val="nil"/>
        </w:tblBorders>
        <w:tblLayout w:type="fixed"/>
        <w:tblLook w:val="04A0" w:firstRow="1" w:lastRow="0" w:firstColumn="1" w:lastColumn="0" w:noHBand="0" w:noVBand="1"/>
      </w:tblPr>
      <w:tblGrid>
        <w:gridCol w:w="3118"/>
        <w:gridCol w:w="5953"/>
      </w:tblGrid>
      <w:tr w:rsidR="00871C99" w:rsidRPr="00B7140C" w14:paraId="2BC79D2B" w14:textId="77777777">
        <w:tc>
          <w:tcPr>
            <w:tcW w:w="3118" w:type="dxa"/>
          </w:tcPr>
          <w:p w14:paraId="7E4C6981"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Student Name:</w:t>
            </w:r>
          </w:p>
        </w:tc>
        <w:tc>
          <w:tcPr>
            <w:tcW w:w="5953" w:type="dxa"/>
          </w:tcPr>
          <w:p w14:paraId="54787259" w14:textId="27B9EAD9" w:rsidR="00E9723F" w:rsidRPr="00B7140C" w:rsidRDefault="00A67A72" w:rsidP="00615ED6">
            <w:pPr>
              <w:spacing w:after="0"/>
              <w:jc w:val="center"/>
              <w:rPr>
                <w:rFonts w:ascii="Times New Roman" w:hAnsi="Times New Roman" w:cs="Times New Roman"/>
              </w:rPr>
            </w:pPr>
            <w:r>
              <w:rPr>
                <w:rFonts w:ascii="Times New Roman" w:hAnsi="Times New Roman" w:cs="Times New Roman"/>
              </w:rPr>
              <w:t>AHRAM</w:t>
            </w:r>
          </w:p>
        </w:tc>
      </w:tr>
      <w:tr w:rsidR="00871C99" w:rsidRPr="00B7140C" w14:paraId="47B62692" w14:textId="77777777">
        <w:tc>
          <w:tcPr>
            <w:tcW w:w="3118" w:type="dxa"/>
          </w:tcPr>
          <w:p w14:paraId="23E5567C"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Student ID:</w:t>
            </w:r>
          </w:p>
        </w:tc>
        <w:tc>
          <w:tcPr>
            <w:tcW w:w="5953" w:type="dxa"/>
          </w:tcPr>
          <w:p w14:paraId="3033A10C" w14:textId="77777777"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rPr>
              <w:t>2503194</w:t>
            </w:r>
          </w:p>
        </w:tc>
      </w:tr>
      <w:tr w:rsidR="00871C99" w:rsidRPr="00B7140C" w14:paraId="03AEDCBA" w14:textId="77777777">
        <w:tc>
          <w:tcPr>
            <w:tcW w:w="3118" w:type="dxa"/>
          </w:tcPr>
          <w:p w14:paraId="31F28761" w14:textId="77777777" w:rsidR="00E9723F" w:rsidRPr="00B7140C" w:rsidRDefault="000A7AAC" w:rsidP="00615ED6">
            <w:pPr>
              <w:jc w:val="center"/>
              <w:rPr>
                <w:rFonts w:ascii="Times New Roman" w:hAnsi="Times New Roman" w:cs="Times New Roman"/>
              </w:rPr>
            </w:pPr>
            <w:proofErr w:type="spellStart"/>
            <w:r w:rsidRPr="00B7140C">
              <w:rPr>
                <w:rFonts w:ascii="Times New Roman" w:hAnsi="Times New Roman" w:cs="Times New Roman"/>
                <w:b/>
                <w:sz w:val="22"/>
              </w:rPr>
              <w:t>Programme</w:t>
            </w:r>
            <w:proofErr w:type="spellEnd"/>
            <w:r w:rsidRPr="00B7140C">
              <w:rPr>
                <w:rFonts w:ascii="Times New Roman" w:hAnsi="Times New Roman" w:cs="Times New Roman"/>
                <w:b/>
                <w:sz w:val="22"/>
              </w:rPr>
              <w:t>:</w:t>
            </w:r>
          </w:p>
        </w:tc>
        <w:tc>
          <w:tcPr>
            <w:tcW w:w="5953" w:type="dxa"/>
          </w:tcPr>
          <w:p w14:paraId="404073FF"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sz w:val="22"/>
              </w:rPr>
              <w:t>Master of Business Administration</w:t>
            </w:r>
          </w:p>
        </w:tc>
      </w:tr>
      <w:tr w:rsidR="00871C99" w:rsidRPr="00B7140C" w14:paraId="395AAF2D" w14:textId="77777777">
        <w:tc>
          <w:tcPr>
            <w:tcW w:w="3118" w:type="dxa"/>
          </w:tcPr>
          <w:p w14:paraId="66566BF0"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Module Code &amp; Title:</w:t>
            </w:r>
          </w:p>
        </w:tc>
        <w:tc>
          <w:tcPr>
            <w:tcW w:w="5953" w:type="dxa"/>
          </w:tcPr>
          <w:p w14:paraId="1C77C203"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sz w:val="22"/>
              </w:rPr>
              <w:t>LCMB7035 — Dissertation</w:t>
            </w:r>
          </w:p>
        </w:tc>
      </w:tr>
      <w:tr w:rsidR="00871C99" w:rsidRPr="00B7140C" w14:paraId="6907BDF8" w14:textId="77777777">
        <w:tc>
          <w:tcPr>
            <w:tcW w:w="3118" w:type="dxa"/>
          </w:tcPr>
          <w:p w14:paraId="66FF3321"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Supervisor:</w:t>
            </w:r>
          </w:p>
        </w:tc>
        <w:tc>
          <w:tcPr>
            <w:tcW w:w="5953" w:type="dxa"/>
          </w:tcPr>
          <w:p w14:paraId="67595466" w14:textId="77777777"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rPr>
              <w:t xml:space="preserve">Amir </w:t>
            </w:r>
            <w:proofErr w:type="spellStart"/>
            <w:r w:rsidRPr="00B7140C">
              <w:rPr>
                <w:rFonts w:ascii="Times New Roman" w:hAnsi="Times New Roman" w:cs="Times New Roman"/>
              </w:rPr>
              <w:t>Homayounfard</w:t>
            </w:r>
            <w:proofErr w:type="spellEnd"/>
          </w:p>
        </w:tc>
      </w:tr>
      <w:tr w:rsidR="00871C99" w:rsidRPr="00B7140C" w14:paraId="2045E487" w14:textId="77777777">
        <w:tc>
          <w:tcPr>
            <w:tcW w:w="3118" w:type="dxa"/>
          </w:tcPr>
          <w:p w14:paraId="690FC907"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Word Count:</w:t>
            </w:r>
          </w:p>
        </w:tc>
        <w:tc>
          <w:tcPr>
            <w:tcW w:w="5953" w:type="dxa"/>
          </w:tcPr>
          <w:p w14:paraId="1DA00E00" w14:textId="77777777" w:rsidR="00E9723F" w:rsidRPr="00B7140C" w:rsidRDefault="00E9723F" w:rsidP="00615ED6">
            <w:pPr>
              <w:spacing w:after="0" w:line="240" w:lineRule="auto"/>
              <w:jc w:val="center"/>
              <w:rPr>
                <w:rFonts w:ascii="Times New Roman" w:hAnsi="Times New Roman" w:cs="Times New Roman"/>
              </w:rPr>
            </w:pPr>
            <w:r w:rsidRPr="00B7140C">
              <w:rPr>
                <w:rFonts w:ascii="Times New Roman" w:hAnsi="Times New Roman" w:cs="Times New Roman"/>
                <w:sz w:val="21"/>
              </w:rPr>
              <w:t>Approx. 15,500 words (excluding references and appendices)</w:t>
            </w:r>
          </w:p>
        </w:tc>
      </w:tr>
      <w:tr w:rsidR="00E9723F" w:rsidRPr="00B7140C" w14:paraId="6B1C942E" w14:textId="77777777">
        <w:tc>
          <w:tcPr>
            <w:tcW w:w="3118" w:type="dxa"/>
          </w:tcPr>
          <w:p w14:paraId="345CD04E" w14:textId="77777777" w:rsidR="00E9723F" w:rsidRPr="00B7140C" w:rsidRDefault="000A7AAC" w:rsidP="00615ED6">
            <w:pPr>
              <w:jc w:val="center"/>
              <w:rPr>
                <w:rFonts w:ascii="Times New Roman" w:hAnsi="Times New Roman" w:cs="Times New Roman"/>
              </w:rPr>
            </w:pPr>
            <w:r w:rsidRPr="00B7140C">
              <w:rPr>
                <w:rFonts w:ascii="Times New Roman" w:hAnsi="Times New Roman" w:cs="Times New Roman"/>
                <w:b/>
                <w:sz w:val="22"/>
              </w:rPr>
              <w:t>Submission Date:</w:t>
            </w:r>
          </w:p>
        </w:tc>
        <w:tc>
          <w:tcPr>
            <w:tcW w:w="5953" w:type="dxa"/>
          </w:tcPr>
          <w:p w14:paraId="67B02231" w14:textId="77777777"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rPr>
              <w:t>September 2026</w:t>
            </w:r>
          </w:p>
        </w:tc>
      </w:tr>
    </w:tbl>
    <w:p w14:paraId="426D9582" w14:textId="77777777" w:rsidR="00E9723F" w:rsidRPr="00B7140C" w:rsidRDefault="00E9723F" w:rsidP="00615ED6">
      <w:pPr>
        <w:spacing w:after="0"/>
        <w:jc w:val="center"/>
        <w:rPr>
          <w:rFonts w:ascii="Times New Roman" w:hAnsi="Times New Roman" w:cs="Times New Roman"/>
        </w:rPr>
      </w:pPr>
    </w:p>
    <w:p w14:paraId="010D6C2E" w14:textId="77777777" w:rsidR="00E9723F" w:rsidRPr="00B7140C" w:rsidRDefault="000A7AAC" w:rsidP="00615ED6">
      <w:pPr>
        <w:spacing w:after="0"/>
        <w:jc w:val="center"/>
        <w:rPr>
          <w:rFonts w:ascii="Times New Roman" w:hAnsi="Times New Roman" w:cs="Times New Roman"/>
        </w:rPr>
      </w:pPr>
      <w:r w:rsidRPr="00B7140C">
        <w:rPr>
          <w:rFonts w:ascii="Times New Roman" w:hAnsi="Times New Roman" w:cs="Times New Roman"/>
          <w:i/>
          <w:sz w:val="22"/>
        </w:rPr>
        <w:t>Submitted in partial fulfilment of the requirements for the degree of</w:t>
      </w:r>
    </w:p>
    <w:p w14:paraId="7AFBCCEA" w14:textId="77777777" w:rsidR="00E9723F" w:rsidRPr="00B7140C" w:rsidRDefault="000A7AAC" w:rsidP="00615ED6">
      <w:pPr>
        <w:jc w:val="center"/>
        <w:rPr>
          <w:rFonts w:ascii="Times New Roman" w:hAnsi="Times New Roman" w:cs="Times New Roman"/>
          <w:i/>
          <w:sz w:val="22"/>
        </w:rPr>
      </w:pPr>
      <w:r w:rsidRPr="00B7140C">
        <w:rPr>
          <w:rFonts w:ascii="Times New Roman" w:hAnsi="Times New Roman" w:cs="Times New Roman"/>
          <w:i/>
          <w:sz w:val="22"/>
        </w:rPr>
        <w:t>Master of Business Administration</w:t>
      </w:r>
    </w:p>
    <w:p w14:paraId="28F133A8" w14:textId="77777777" w:rsidR="00DB45DE" w:rsidRPr="00B7140C" w:rsidRDefault="00DB45DE" w:rsidP="00615ED6">
      <w:pPr>
        <w:jc w:val="center"/>
        <w:rPr>
          <w:rFonts w:ascii="Times New Roman" w:hAnsi="Times New Roman" w:cs="Times New Roman"/>
          <w:i/>
          <w:sz w:val="22"/>
        </w:rPr>
      </w:pPr>
    </w:p>
    <w:p w14:paraId="485782C8" w14:textId="77777777" w:rsidR="00E6175A" w:rsidRPr="00B7140C" w:rsidRDefault="00E6175A" w:rsidP="006E3434">
      <w:pPr>
        <w:rPr>
          <w:rFonts w:ascii="Times New Roman" w:hAnsi="Times New Roman" w:cs="Times New Roman"/>
          <w:i/>
          <w:sz w:val="22"/>
        </w:rPr>
      </w:pPr>
    </w:p>
    <w:p w14:paraId="738A354A" w14:textId="77777777" w:rsidR="00F26240" w:rsidRPr="00B7140C" w:rsidRDefault="00F26240" w:rsidP="00615ED6">
      <w:pPr>
        <w:jc w:val="center"/>
        <w:rPr>
          <w:rFonts w:ascii="Times New Roman" w:hAnsi="Times New Roman" w:cs="Times New Roman"/>
          <w:i/>
          <w:sz w:val="22"/>
        </w:rPr>
      </w:pPr>
    </w:p>
    <w:p w14:paraId="126AC0A9" w14:textId="77777777" w:rsidR="00F26240" w:rsidRPr="00B7140C" w:rsidRDefault="00F26240" w:rsidP="00615ED6">
      <w:pPr>
        <w:jc w:val="center"/>
        <w:rPr>
          <w:rFonts w:ascii="Times New Roman" w:hAnsi="Times New Roman" w:cs="Times New Roman"/>
          <w:i/>
          <w:sz w:val="22"/>
        </w:rPr>
      </w:pPr>
    </w:p>
    <w:p w14:paraId="22E62583" w14:textId="77777777" w:rsidR="00F26240" w:rsidRPr="00B7140C" w:rsidRDefault="00F26240" w:rsidP="00615ED6">
      <w:pPr>
        <w:jc w:val="center"/>
        <w:rPr>
          <w:rFonts w:ascii="Times New Roman" w:hAnsi="Times New Roman" w:cs="Times New Roman"/>
          <w:i/>
          <w:sz w:val="22"/>
        </w:rPr>
      </w:pPr>
    </w:p>
    <w:p w14:paraId="64DEB6A7" w14:textId="77777777" w:rsidR="001267C5" w:rsidRPr="00B7140C" w:rsidRDefault="00F26240" w:rsidP="006800E4">
      <w:pPr>
        <w:pStyle w:val="Heading1"/>
        <w:rPr>
          <w:rFonts w:ascii="Times New Roman" w:hAnsi="Times New Roman" w:cs="Times New Roman"/>
          <w:color w:val="auto"/>
        </w:rPr>
      </w:pPr>
      <w:bookmarkStart w:id="0" w:name="_Toc240238831"/>
      <w:r w:rsidRPr="00B7140C">
        <w:rPr>
          <w:rStyle w:val="Heading1Char"/>
          <w:rFonts w:ascii="Times New Roman" w:hAnsi="Times New Roman" w:cs="Times New Roman"/>
          <w:b/>
          <w:bCs/>
          <w:color w:val="auto"/>
        </w:rPr>
        <w:lastRenderedPageBreak/>
        <w:t>AI Acknowledgement</w:t>
      </w:r>
      <w:bookmarkEnd w:id="0"/>
    </w:p>
    <w:p w14:paraId="0924282A" w14:textId="5AC8CFF4" w:rsidR="00F26240" w:rsidRPr="00F26240" w:rsidRDefault="00F26240" w:rsidP="00B439A7">
      <w:pPr>
        <w:jc w:val="both"/>
        <w:rPr>
          <w:rFonts w:ascii="Times New Roman" w:hAnsi="Times New Roman" w:cs="Times New Roman"/>
        </w:rPr>
      </w:pPr>
      <w:r w:rsidRPr="00F26240">
        <w:rPr>
          <w:rFonts w:ascii="Times New Roman" w:hAnsi="Times New Roman" w:cs="Times New Roman"/>
        </w:rPr>
        <w:t xml:space="preserve">No artificial intelligence tools were used in the preparation, research, analysis, or writing of this dissertation. All work was completed independently by </w:t>
      </w:r>
      <w:r w:rsidR="004F1676" w:rsidRPr="00B7140C">
        <w:rPr>
          <w:rFonts w:ascii="Times New Roman" w:hAnsi="Times New Roman" w:cs="Times New Roman"/>
        </w:rPr>
        <w:t>me</w:t>
      </w:r>
      <w:r w:rsidRPr="00F26240">
        <w:rPr>
          <w:rFonts w:ascii="Times New Roman" w:hAnsi="Times New Roman" w:cs="Times New Roman"/>
        </w:rPr>
        <w:t>.</w:t>
      </w:r>
    </w:p>
    <w:p w14:paraId="3169DE11" w14:textId="77777777" w:rsidR="00F26240" w:rsidRPr="00B7140C" w:rsidRDefault="00F26240" w:rsidP="00615ED6">
      <w:pPr>
        <w:jc w:val="center"/>
        <w:rPr>
          <w:rFonts w:ascii="Times New Roman" w:hAnsi="Times New Roman" w:cs="Times New Roman"/>
          <w:i/>
          <w:sz w:val="22"/>
        </w:rPr>
      </w:pPr>
    </w:p>
    <w:p w14:paraId="2167DAF3" w14:textId="77777777" w:rsidR="00E6175A" w:rsidRPr="00B7140C" w:rsidRDefault="00E6175A" w:rsidP="00615ED6">
      <w:pPr>
        <w:jc w:val="center"/>
        <w:rPr>
          <w:rFonts w:ascii="Times New Roman" w:hAnsi="Times New Roman" w:cs="Times New Roman"/>
          <w:i/>
          <w:sz w:val="22"/>
        </w:rPr>
      </w:pPr>
    </w:p>
    <w:p w14:paraId="28475826" w14:textId="77777777" w:rsidR="00DB45DE" w:rsidRPr="00B7140C" w:rsidRDefault="00DB45DE" w:rsidP="005738C3">
      <w:pPr>
        <w:jc w:val="both"/>
        <w:rPr>
          <w:rFonts w:ascii="Times New Roman" w:hAnsi="Times New Roman" w:cs="Times New Roman"/>
          <w:i/>
          <w:sz w:val="22"/>
        </w:rPr>
      </w:pPr>
    </w:p>
    <w:p w14:paraId="59D5F25A" w14:textId="77777777" w:rsidR="00101A3F" w:rsidRPr="00B7140C" w:rsidRDefault="00101A3F" w:rsidP="005738C3">
      <w:pPr>
        <w:jc w:val="both"/>
        <w:rPr>
          <w:rFonts w:ascii="Times New Roman" w:hAnsi="Times New Roman" w:cs="Times New Roman"/>
          <w:i/>
          <w:sz w:val="22"/>
        </w:rPr>
      </w:pPr>
    </w:p>
    <w:p w14:paraId="68CAC60A" w14:textId="77777777" w:rsidR="00101A3F" w:rsidRPr="00B7140C" w:rsidRDefault="00101A3F" w:rsidP="005738C3">
      <w:pPr>
        <w:jc w:val="both"/>
        <w:rPr>
          <w:rFonts w:ascii="Times New Roman" w:hAnsi="Times New Roman" w:cs="Times New Roman"/>
          <w:i/>
          <w:sz w:val="22"/>
        </w:rPr>
      </w:pPr>
    </w:p>
    <w:p w14:paraId="4AF684B1" w14:textId="77777777" w:rsidR="00101A3F" w:rsidRPr="00B7140C" w:rsidRDefault="00101A3F" w:rsidP="005738C3">
      <w:pPr>
        <w:jc w:val="both"/>
        <w:rPr>
          <w:rFonts w:ascii="Times New Roman" w:hAnsi="Times New Roman" w:cs="Times New Roman"/>
          <w:i/>
          <w:sz w:val="22"/>
        </w:rPr>
      </w:pPr>
    </w:p>
    <w:p w14:paraId="26D883CE" w14:textId="77777777" w:rsidR="00101A3F" w:rsidRPr="00B7140C" w:rsidRDefault="00101A3F" w:rsidP="005738C3">
      <w:pPr>
        <w:jc w:val="both"/>
        <w:rPr>
          <w:rFonts w:ascii="Times New Roman" w:hAnsi="Times New Roman" w:cs="Times New Roman"/>
          <w:i/>
          <w:sz w:val="22"/>
        </w:rPr>
      </w:pPr>
    </w:p>
    <w:p w14:paraId="0A3A121D" w14:textId="77777777" w:rsidR="00101A3F" w:rsidRPr="00B7140C" w:rsidRDefault="00101A3F" w:rsidP="005738C3">
      <w:pPr>
        <w:jc w:val="both"/>
        <w:rPr>
          <w:rFonts w:ascii="Times New Roman" w:hAnsi="Times New Roman" w:cs="Times New Roman"/>
          <w:i/>
          <w:sz w:val="22"/>
        </w:rPr>
      </w:pPr>
    </w:p>
    <w:p w14:paraId="4D3EFEE2" w14:textId="77777777" w:rsidR="00101A3F" w:rsidRPr="00B7140C" w:rsidRDefault="00101A3F" w:rsidP="005738C3">
      <w:pPr>
        <w:jc w:val="both"/>
        <w:rPr>
          <w:rFonts w:ascii="Times New Roman" w:hAnsi="Times New Roman" w:cs="Times New Roman"/>
          <w:i/>
          <w:sz w:val="22"/>
        </w:rPr>
      </w:pPr>
    </w:p>
    <w:p w14:paraId="12F5E7BF" w14:textId="77777777" w:rsidR="00101A3F" w:rsidRPr="00B7140C" w:rsidRDefault="00101A3F" w:rsidP="005738C3">
      <w:pPr>
        <w:jc w:val="both"/>
        <w:rPr>
          <w:rFonts w:ascii="Times New Roman" w:hAnsi="Times New Roman" w:cs="Times New Roman"/>
          <w:i/>
          <w:sz w:val="22"/>
        </w:rPr>
      </w:pPr>
    </w:p>
    <w:p w14:paraId="6247E0F9" w14:textId="77777777" w:rsidR="00101A3F" w:rsidRPr="00B7140C" w:rsidRDefault="00101A3F" w:rsidP="005738C3">
      <w:pPr>
        <w:jc w:val="both"/>
        <w:rPr>
          <w:rFonts w:ascii="Times New Roman" w:hAnsi="Times New Roman" w:cs="Times New Roman"/>
          <w:i/>
          <w:sz w:val="22"/>
        </w:rPr>
      </w:pPr>
    </w:p>
    <w:p w14:paraId="4D16AC58" w14:textId="77777777" w:rsidR="00101A3F" w:rsidRPr="00B7140C" w:rsidRDefault="00101A3F" w:rsidP="005738C3">
      <w:pPr>
        <w:jc w:val="both"/>
        <w:rPr>
          <w:rFonts w:ascii="Times New Roman" w:hAnsi="Times New Roman" w:cs="Times New Roman"/>
          <w:i/>
          <w:sz w:val="22"/>
        </w:rPr>
      </w:pPr>
    </w:p>
    <w:p w14:paraId="6AA31224" w14:textId="77777777" w:rsidR="00101A3F" w:rsidRPr="00B7140C" w:rsidRDefault="00101A3F" w:rsidP="005738C3">
      <w:pPr>
        <w:jc w:val="both"/>
        <w:rPr>
          <w:rFonts w:ascii="Times New Roman" w:hAnsi="Times New Roman" w:cs="Times New Roman"/>
          <w:i/>
          <w:sz w:val="22"/>
        </w:rPr>
      </w:pPr>
    </w:p>
    <w:p w14:paraId="37C6F273" w14:textId="77777777" w:rsidR="00101A3F" w:rsidRPr="00B7140C" w:rsidRDefault="00101A3F" w:rsidP="005738C3">
      <w:pPr>
        <w:jc w:val="both"/>
        <w:rPr>
          <w:rFonts w:ascii="Times New Roman" w:hAnsi="Times New Roman" w:cs="Times New Roman"/>
          <w:i/>
          <w:sz w:val="22"/>
        </w:rPr>
      </w:pPr>
    </w:p>
    <w:p w14:paraId="26086255" w14:textId="77777777" w:rsidR="00101A3F" w:rsidRPr="00B7140C" w:rsidRDefault="00101A3F" w:rsidP="005738C3">
      <w:pPr>
        <w:jc w:val="both"/>
        <w:rPr>
          <w:rFonts w:ascii="Times New Roman" w:hAnsi="Times New Roman" w:cs="Times New Roman"/>
          <w:i/>
          <w:sz w:val="22"/>
        </w:rPr>
      </w:pPr>
    </w:p>
    <w:p w14:paraId="66120947" w14:textId="77777777" w:rsidR="00101A3F" w:rsidRPr="00B7140C" w:rsidRDefault="00101A3F" w:rsidP="005738C3">
      <w:pPr>
        <w:jc w:val="both"/>
        <w:rPr>
          <w:rFonts w:ascii="Times New Roman" w:hAnsi="Times New Roman" w:cs="Times New Roman"/>
          <w:i/>
          <w:sz w:val="22"/>
        </w:rPr>
      </w:pPr>
    </w:p>
    <w:p w14:paraId="1FBB1C78" w14:textId="77777777" w:rsidR="00101A3F" w:rsidRPr="00B7140C" w:rsidRDefault="00101A3F" w:rsidP="005738C3">
      <w:pPr>
        <w:jc w:val="both"/>
        <w:rPr>
          <w:rFonts w:ascii="Times New Roman" w:hAnsi="Times New Roman" w:cs="Times New Roman"/>
          <w:i/>
          <w:sz w:val="22"/>
        </w:rPr>
      </w:pPr>
    </w:p>
    <w:p w14:paraId="75428D85" w14:textId="77777777" w:rsidR="00101A3F" w:rsidRPr="00B7140C" w:rsidRDefault="00101A3F" w:rsidP="005738C3">
      <w:pPr>
        <w:jc w:val="both"/>
        <w:rPr>
          <w:rFonts w:ascii="Times New Roman" w:hAnsi="Times New Roman" w:cs="Times New Roman"/>
          <w:i/>
          <w:sz w:val="22"/>
        </w:rPr>
      </w:pPr>
    </w:p>
    <w:p w14:paraId="3B865BF3" w14:textId="77777777" w:rsidR="00101A3F" w:rsidRPr="00B7140C" w:rsidRDefault="00101A3F" w:rsidP="005738C3">
      <w:pPr>
        <w:jc w:val="both"/>
        <w:rPr>
          <w:rFonts w:ascii="Times New Roman" w:hAnsi="Times New Roman" w:cs="Times New Roman"/>
          <w:i/>
          <w:sz w:val="22"/>
        </w:rPr>
      </w:pPr>
    </w:p>
    <w:p w14:paraId="1D70E672" w14:textId="77777777" w:rsidR="00101A3F" w:rsidRPr="00B7140C" w:rsidRDefault="00101A3F" w:rsidP="005738C3">
      <w:pPr>
        <w:jc w:val="both"/>
        <w:rPr>
          <w:rFonts w:ascii="Times New Roman" w:hAnsi="Times New Roman" w:cs="Times New Roman"/>
          <w:i/>
          <w:sz w:val="22"/>
        </w:rPr>
      </w:pPr>
    </w:p>
    <w:p w14:paraId="741A43DD" w14:textId="77777777" w:rsidR="00101A3F" w:rsidRPr="00B7140C" w:rsidRDefault="00101A3F" w:rsidP="005738C3">
      <w:pPr>
        <w:jc w:val="both"/>
        <w:rPr>
          <w:rFonts w:ascii="Times New Roman" w:hAnsi="Times New Roman" w:cs="Times New Roman"/>
          <w:i/>
          <w:sz w:val="22"/>
        </w:rPr>
      </w:pPr>
    </w:p>
    <w:p w14:paraId="5D80E189" w14:textId="77777777" w:rsidR="00101A3F" w:rsidRPr="00B7140C" w:rsidRDefault="00101A3F" w:rsidP="005738C3">
      <w:pPr>
        <w:jc w:val="both"/>
        <w:rPr>
          <w:rFonts w:ascii="Times New Roman" w:hAnsi="Times New Roman" w:cs="Times New Roman"/>
          <w:i/>
          <w:sz w:val="22"/>
        </w:rPr>
      </w:pPr>
    </w:p>
    <w:p w14:paraId="5D3C92B5" w14:textId="77777777" w:rsidR="00101A3F" w:rsidRPr="00B7140C" w:rsidRDefault="00101A3F" w:rsidP="005738C3">
      <w:pPr>
        <w:jc w:val="both"/>
        <w:rPr>
          <w:rFonts w:ascii="Times New Roman" w:hAnsi="Times New Roman" w:cs="Times New Roman"/>
          <w:i/>
          <w:sz w:val="22"/>
        </w:rPr>
      </w:pPr>
    </w:p>
    <w:p w14:paraId="4627DFA7" w14:textId="77777777" w:rsidR="00101A3F" w:rsidRPr="00B7140C" w:rsidRDefault="00101A3F" w:rsidP="005738C3">
      <w:pPr>
        <w:jc w:val="both"/>
        <w:rPr>
          <w:rFonts w:ascii="Times New Roman" w:hAnsi="Times New Roman" w:cs="Times New Roman"/>
          <w:i/>
          <w:sz w:val="22"/>
        </w:rPr>
      </w:pPr>
    </w:p>
    <w:p w14:paraId="7CA0C911" w14:textId="77777777" w:rsidR="00101A3F" w:rsidRPr="00B7140C" w:rsidRDefault="00101A3F" w:rsidP="005738C3">
      <w:pPr>
        <w:jc w:val="both"/>
        <w:rPr>
          <w:rFonts w:ascii="Times New Roman" w:hAnsi="Times New Roman" w:cs="Times New Roman"/>
          <w:i/>
          <w:sz w:val="22"/>
        </w:rPr>
      </w:pPr>
    </w:p>
    <w:p w14:paraId="4FD32B5E" w14:textId="77777777" w:rsidR="00101A3F" w:rsidRPr="00B7140C" w:rsidRDefault="00101A3F" w:rsidP="00101A3F">
      <w:pPr>
        <w:pStyle w:val="Heading1"/>
        <w:rPr>
          <w:rFonts w:ascii="Times New Roman" w:hAnsi="Times New Roman" w:cs="Times New Roman"/>
          <w:color w:val="000000" w:themeColor="text1"/>
        </w:rPr>
      </w:pPr>
      <w:bookmarkStart w:id="1" w:name="_Toc240238832"/>
      <w:r w:rsidRPr="00B7140C">
        <w:rPr>
          <w:rFonts w:ascii="Times New Roman" w:hAnsi="Times New Roman" w:cs="Times New Roman"/>
          <w:color w:val="000000" w:themeColor="text1"/>
        </w:rPr>
        <w:lastRenderedPageBreak/>
        <w:t>Acknowledgements</w:t>
      </w:r>
      <w:bookmarkEnd w:id="1"/>
    </w:p>
    <w:p w14:paraId="73339488" w14:textId="77777777" w:rsidR="00101A3F" w:rsidRPr="00B7140C" w:rsidRDefault="00101A3F" w:rsidP="00101A3F">
      <w:pPr>
        <w:spacing w:after="200"/>
        <w:jc w:val="both"/>
        <w:rPr>
          <w:rFonts w:ascii="Times New Roman" w:hAnsi="Times New Roman" w:cs="Times New Roman"/>
          <w:color w:val="000000" w:themeColor="text1"/>
        </w:rPr>
      </w:pPr>
      <w:r w:rsidRPr="00B7140C">
        <w:rPr>
          <w:rFonts w:ascii="Times New Roman" w:hAnsi="Times New Roman" w:cs="Times New Roman"/>
          <w:color w:val="000000" w:themeColor="text1"/>
        </w:rPr>
        <w:t>I would like to express my sincere gratitude to my supervisor, Amir Homayounfard, for his guidance and feedback throughout this dissertation. I also thank the academic staff of the Institute of Inner-City Learning, London Campus, for their support. Finally, I am grateful to my family and friends for their encouragement during the completion of this work.</w:t>
      </w:r>
    </w:p>
    <w:p w14:paraId="45CFCC08" w14:textId="77777777" w:rsidR="00101A3F" w:rsidRPr="00B7140C" w:rsidRDefault="00101A3F" w:rsidP="005738C3">
      <w:pPr>
        <w:jc w:val="both"/>
        <w:rPr>
          <w:rFonts w:ascii="Times New Roman" w:hAnsi="Times New Roman" w:cs="Times New Roman"/>
          <w:i/>
          <w:sz w:val="22"/>
        </w:rPr>
      </w:pPr>
    </w:p>
    <w:p w14:paraId="5F9A3E89" w14:textId="77777777" w:rsidR="00B7140C" w:rsidRPr="00B7140C" w:rsidRDefault="00B7140C" w:rsidP="005738C3">
      <w:pPr>
        <w:jc w:val="both"/>
        <w:rPr>
          <w:rFonts w:ascii="Times New Roman" w:hAnsi="Times New Roman" w:cs="Times New Roman"/>
          <w:i/>
          <w:sz w:val="22"/>
        </w:rPr>
      </w:pPr>
    </w:p>
    <w:p w14:paraId="1E5FA844" w14:textId="77777777" w:rsidR="00B7140C" w:rsidRPr="00B7140C" w:rsidRDefault="00B7140C" w:rsidP="005738C3">
      <w:pPr>
        <w:jc w:val="both"/>
        <w:rPr>
          <w:rFonts w:ascii="Times New Roman" w:hAnsi="Times New Roman" w:cs="Times New Roman"/>
          <w:i/>
          <w:sz w:val="22"/>
        </w:rPr>
      </w:pPr>
    </w:p>
    <w:p w14:paraId="2B1FB2B3" w14:textId="77777777" w:rsidR="00B7140C" w:rsidRPr="00B7140C" w:rsidRDefault="00B7140C" w:rsidP="005738C3">
      <w:pPr>
        <w:jc w:val="both"/>
        <w:rPr>
          <w:rFonts w:ascii="Times New Roman" w:hAnsi="Times New Roman" w:cs="Times New Roman"/>
          <w:i/>
          <w:sz w:val="22"/>
        </w:rPr>
      </w:pPr>
    </w:p>
    <w:p w14:paraId="6A868A2D" w14:textId="77777777" w:rsidR="00B7140C" w:rsidRPr="00B7140C" w:rsidRDefault="00B7140C" w:rsidP="005738C3">
      <w:pPr>
        <w:jc w:val="both"/>
        <w:rPr>
          <w:rFonts w:ascii="Times New Roman" w:hAnsi="Times New Roman" w:cs="Times New Roman"/>
          <w:i/>
          <w:sz w:val="22"/>
        </w:rPr>
      </w:pPr>
    </w:p>
    <w:p w14:paraId="481B4B8A" w14:textId="77777777" w:rsidR="00B7140C" w:rsidRPr="00B7140C" w:rsidRDefault="00B7140C" w:rsidP="005738C3">
      <w:pPr>
        <w:jc w:val="both"/>
        <w:rPr>
          <w:rFonts w:ascii="Times New Roman" w:hAnsi="Times New Roman" w:cs="Times New Roman"/>
          <w:i/>
          <w:sz w:val="22"/>
        </w:rPr>
      </w:pPr>
    </w:p>
    <w:p w14:paraId="29708D8B" w14:textId="77777777" w:rsidR="00B7140C" w:rsidRPr="00B7140C" w:rsidRDefault="00B7140C" w:rsidP="005738C3">
      <w:pPr>
        <w:jc w:val="both"/>
        <w:rPr>
          <w:rFonts w:ascii="Times New Roman" w:hAnsi="Times New Roman" w:cs="Times New Roman"/>
          <w:i/>
          <w:sz w:val="22"/>
        </w:rPr>
      </w:pPr>
    </w:p>
    <w:p w14:paraId="49B5EA85" w14:textId="77777777" w:rsidR="00B7140C" w:rsidRPr="00B7140C" w:rsidRDefault="00B7140C" w:rsidP="005738C3">
      <w:pPr>
        <w:jc w:val="both"/>
        <w:rPr>
          <w:rFonts w:ascii="Times New Roman" w:hAnsi="Times New Roman" w:cs="Times New Roman"/>
          <w:i/>
          <w:sz w:val="22"/>
        </w:rPr>
      </w:pPr>
    </w:p>
    <w:p w14:paraId="16173FA8" w14:textId="77777777" w:rsidR="00B7140C" w:rsidRPr="00B7140C" w:rsidRDefault="00B7140C" w:rsidP="005738C3">
      <w:pPr>
        <w:jc w:val="both"/>
        <w:rPr>
          <w:rFonts w:ascii="Times New Roman" w:hAnsi="Times New Roman" w:cs="Times New Roman"/>
          <w:i/>
          <w:sz w:val="22"/>
        </w:rPr>
      </w:pPr>
    </w:p>
    <w:p w14:paraId="1AD1D94C" w14:textId="77777777" w:rsidR="00B7140C" w:rsidRPr="00B7140C" w:rsidRDefault="00B7140C" w:rsidP="005738C3">
      <w:pPr>
        <w:jc w:val="both"/>
        <w:rPr>
          <w:rFonts w:ascii="Times New Roman" w:hAnsi="Times New Roman" w:cs="Times New Roman"/>
          <w:i/>
          <w:sz w:val="22"/>
        </w:rPr>
      </w:pPr>
    </w:p>
    <w:p w14:paraId="6A3B4DC4" w14:textId="77777777" w:rsidR="00B7140C" w:rsidRPr="00B7140C" w:rsidRDefault="00B7140C" w:rsidP="005738C3">
      <w:pPr>
        <w:jc w:val="both"/>
        <w:rPr>
          <w:rFonts w:ascii="Times New Roman" w:hAnsi="Times New Roman" w:cs="Times New Roman"/>
          <w:i/>
          <w:sz w:val="22"/>
        </w:rPr>
      </w:pPr>
    </w:p>
    <w:p w14:paraId="61E49A6D" w14:textId="77777777" w:rsidR="00B7140C" w:rsidRPr="00B7140C" w:rsidRDefault="00B7140C" w:rsidP="005738C3">
      <w:pPr>
        <w:jc w:val="both"/>
        <w:rPr>
          <w:rFonts w:ascii="Times New Roman" w:hAnsi="Times New Roman" w:cs="Times New Roman"/>
          <w:i/>
          <w:sz w:val="22"/>
        </w:rPr>
      </w:pPr>
    </w:p>
    <w:p w14:paraId="51B8678E" w14:textId="77777777" w:rsidR="00B7140C" w:rsidRPr="00B7140C" w:rsidRDefault="00B7140C" w:rsidP="005738C3">
      <w:pPr>
        <w:jc w:val="both"/>
        <w:rPr>
          <w:rFonts w:ascii="Times New Roman" w:hAnsi="Times New Roman" w:cs="Times New Roman"/>
          <w:i/>
          <w:sz w:val="22"/>
        </w:rPr>
      </w:pPr>
    </w:p>
    <w:p w14:paraId="30596AF5" w14:textId="77777777" w:rsidR="00B7140C" w:rsidRPr="00B7140C" w:rsidRDefault="00B7140C" w:rsidP="005738C3">
      <w:pPr>
        <w:jc w:val="both"/>
        <w:rPr>
          <w:rFonts w:ascii="Times New Roman" w:hAnsi="Times New Roman" w:cs="Times New Roman"/>
          <w:i/>
          <w:sz w:val="22"/>
        </w:rPr>
      </w:pPr>
    </w:p>
    <w:p w14:paraId="65D407D9" w14:textId="77777777" w:rsidR="00B7140C" w:rsidRPr="00B7140C" w:rsidRDefault="00B7140C" w:rsidP="005738C3">
      <w:pPr>
        <w:jc w:val="both"/>
        <w:rPr>
          <w:rFonts w:ascii="Times New Roman" w:hAnsi="Times New Roman" w:cs="Times New Roman"/>
          <w:i/>
          <w:sz w:val="22"/>
        </w:rPr>
      </w:pPr>
    </w:p>
    <w:p w14:paraId="6E622453" w14:textId="77777777" w:rsidR="00B7140C" w:rsidRPr="00B7140C" w:rsidRDefault="00B7140C" w:rsidP="005738C3">
      <w:pPr>
        <w:jc w:val="both"/>
        <w:rPr>
          <w:rFonts w:ascii="Times New Roman" w:hAnsi="Times New Roman" w:cs="Times New Roman"/>
          <w:i/>
          <w:sz w:val="22"/>
        </w:rPr>
      </w:pPr>
    </w:p>
    <w:p w14:paraId="31F152F7" w14:textId="77777777" w:rsidR="00B7140C" w:rsidRPr="00B7140C" w:rsidRDefault="00B7140C" w:rsidP="005738C3">
      <w:pPr>
        <w:jc w:val="both"/>
        <w:rPr>
          <w:rFonts w:ascii="Times New Roman" w:hAnsi="Times New Roman" w:cs="Times New Roman"/>
          <w:i/>
          <w:sz w:val="22"/>
        </w:rPr>
      </w:pPr>
    </w:p>
    <w:p w14:paraId="7228312A" w14:textId="77777777" w:rsidR="00B7140C" w:rsidRPr="00B7140C" w:rsidRDefault="00B7140C" w:rsidP="005738C3">
      <w:pPr>
        <w:jc w:val="both"/>
        <w:rPr>
          <w:rFonts w:ascii="Times New Roman" w:hAnsi="Times New Roman" w:cs="Times New Roman"/>
          <w:i/>
          <w:sz w:val="22"/>
        </w:rPr>
      </w:pPr>
    </w:p>
    <w:p w14:paraId="2882F546" w14:textId="77777777" w:rsidR="00B7140C" w:rsidRPr="00B7140C" w:rsidRDefault="00B7140C" w:rsidP="005738C3">
      <w:pPr>
        <w:jc w:val="both"/>
        <w:rPr>
          <w:rFonts w:ascii="Times New Roman" w:hAnsi="Times New Roman" w:cs="Times New Roman"/>
          <w:i/>
          <w:sz w:val="22"/>
        </w:rPr>
      </w:pPr>
    </w:p>
    <w:p w14:paraId="2CF67CE0" w14:textId="77777777" w:rsidR="00B7140C" w:rsidRPr="00B7140C" w:rsidRDefault="00B7140C" w:rsidP="005738C3">
      <w:pPr>
        <w:jc w:val="both"/>
        <w:rPr>
          <w:rFonts w:ascii="Times New Roman" w:hAnsi="Times New Roman" w:cs="Times New Roman"/>
          <w:i/>
          <w:sz w:val="22"/>
        </w:rPr>
      </w:pPr>
    </w:p>
    <w:p w14:paraId="540D624D" w14:textId="77777777" w:rsidR="00DB45DE" w:rsidRPr="00B7140C" w:rsidRDefault="00DB45DE" w:rsidP="005738C3">
      <w:pPr>
        <w:jc w:val="both"/>
        <w:rPr>
          <w:rFonts w:ascii="Times New Roman" w:hAnsi="Times New Roman" w:cs="Times New Roman"/>
        </w:rPr>
      </w:pPr>
    </w:p>
    <w:p w14:paraId="2080FC2A" w14:textId="77777777" w:rsidR="00C62FA8" w:rsidRPr="00B7140C" w:rsidRDefault="00682E2E" w:rsidP="00935020">
      <w:pPr>
        <w:pStyle w:val="Heading1"/>
        <w:rPr>
          <w:rFonts w:ascii="Times New Roman" w:hAnsi="Times New Roman" w:cs="Times New Roman"/>
          <w:color w:val="000000" w:themeColor="text1"/>
        </w:rPr>
      </w:pPr>
      <w:bookmarkStart w:id="2" w:name="_Toc240238833"/>
      <w:r w:rsidRPr="00B7140C">
        <w:rPr>
          <w:rFonts w:ascii="Times New Roman" w:hAnsi="Times New Roman" w:cs="Times New Roman"/>
          <w:color w:val="000000" w:themeColor="text1"/>
        </w:rPr>
        <w:lastRenderedPageBreak/>
        <w:t>Declaration</w:t>
      </w:r>
      <w:bookmarkEnd w:id="2"/>
    </w:p>
    <w:p w14:paraId="0F56A915" w14:textId="77777777" w:rsidR="00C62FA8" w:rsidRPr="00B7140C" w:rsidRDefault="00682E2E" w:rsidP="00AE7B77">
      <w:pPr>
        <w:spacing w:after="200"/>
        <w:jc w:val="both"/>
        <w:rPr>
          <w:rFonts w:ascii="Times New Roman" w:hAnsi="Times New Roman" w:cs="Times New Roman"/>
        </w:rPr>
      </w:pPr>
      <w:r w:rsidRPr="00B7140C">
        <w:rPr>
          <w:rFonts w:ascii="Times New Roman" w:hAnsi="Times New Roman" w:cs="Times New Roman"/>
        </w:rPr>
        <w:t>I declare that this dissertation is my own work and that all sources used have been acknowledged in accordance with the University of Wales Trinity Saint David referencing requirements. This dissertation has not been submitted, in whole or in part, for any other award.</w:t>
      </w:r>
    </w:p>
    <w:p w14:paraId="0AA14B98" w14:textId="77777777" w:rsidR="000C75D6" w:rsidRPr="00B7140C" w:rsidRDefault="005D0C9F" w:rsidP="00F26240">
      <w:pPr>
        <w:spacing w:after="200"/>
        <w:jc w:val="both"/>
        <w:rPr>
          <w:rFonts w:ascii="Times New Roman" w:hAnsi="Times New Roman" w:cs="Times New Roman"/>
        </w:rPr>
      </w:pPr>
      <w:r w:rsidRPr="00B7140C">
        <w:rPr>
          <w:rFonts w:ascii="Times New Roman" w:hAnsi="Times New Roman" w:cs="Times New Roman"/>
        </w:rPr>
        <w:t>Dedicated to my family for their constant support and encouragement.</w:t>
      </w:r>
    </w:p>
    <w:p w14:paraId="68DDCC33" w14:textId="77777777" w:rsidR="00C62FA8" w:rsidRPr="00B7140C" w:rsidRDefault="00682E2E" w:rsidP="00AE7B77">
      <w:pPr>
        <w:spacing w:after="200"/>
        <w:jc w:val="both"/>
        <w:rPr>
          <w:rFonts w:ascii="Times New Roman" w:hAnsi="Times New Roman" w:cs="Times New Roman"/>
        </w:rPr>
      </w:pPr>
      <w:r w:rsidRPr="00B7140C">
        <w:rPr>
          <w:rFonts w:ascii="Times New Roman" w:hAnsi="Times New Roman" w:cs="Times New Roman"/>
        </w:rPr>
        <w:t>I confirm that this study used only secondary data. No participants were recruited, no interviews, surveys or experiments were undertaken, and no personal data or social-media comments were collected or scraped.</w:t>
      </w:r>
    </w:p>
    <w:p w14:paraId="1FEFB365" w14:textId="77777777" w:rsidR="00D2354B" w:rsidRPr="00B7140C" w:rsidRDefault="00D2354B" w:rsidP="00AE7B77">
      <w:pPr>
        <w:spacing w:after="200"/>
        <w:jc w:val="both"/>
        <w:rPr>
          <w:rFonts w:ascii="Times New Roman" w:hAnsi="Times New Roman" w:cs="Times New Roman"/>
        </w:rPr>
      </w:pPr>
    </w:p>
    <w:p w14:paraId="49C1EEA0" w14:textId="158A2996" w:rsidR="00C62FA8" w:rsidRPr="00B7140C" w:rsidRDefault="00682E2E" w:rsidP="00BD48CB">
      <w:pPr>
        <w:spacing w:after="200"/>
        <w:rPr>
          <w:rFonts w:ascii="Times New Roman" w:hAnsi="Times New Roman" w:cs="Times New Roman"/>
        </w:rPr>
      </w:pPr>
      <w:r w:rsidRPr="00B7140C">
        <w:rPr>
          <w:rFonts w:ascii="Times New Roman" w:hAnsi="Times New Roman" w:cs="Times New Roman"/>
        </w:rPr>
        <w:t xml:space="preserve">Student: </w:t>
      </w:r>
      <w:r w:rsidR="00F0713B">
        <w:rPr>
          <w:rFonts w:ascii="Times New Roman" w:hAnsi="Times New Roman" w:cs="Times New Roman"/>
        </w:rPr>
        <w:t>AHRAM</w:t>
      </w:r>
      <w:r w:rsidRPr="00B7140C">
        <w:rPr>
          <w:rFonts w:ascii="Times New Roman" w:hAnsi="Times New Roman" w:cs="Times New Roman"/>
        </w:rPr>
        <w:br/>
        <w:t>Student number: 2503194</w:t>
      </w:r>
      <w:r w:rsidRPr="00B7140C">
        <w:rPr>
          <w:rFonts w:ascii="Times New Roman" w:hAnsi="Times New Roman" w:cs="Times New Roman"/>
        </w:rPr>
        <w:br/>
        <w:t>Module: LCMB7035 Dissertation</w:t>
      </w:r>
      <w:r w:rsidRPr="00B7140C">
        <w:rPr>
          <w:rFonts w:ascii="Times New Roman" w:hAnsi="Times New Roman" w:cs="Times New Roman"/>
        </w:rPr>
        <w:br/>
        <w:t>Date: September 2026</w:t>
      </w:r>
    </w:p>
    <w:p w14:paraId="2FEC4E29" w14:textId="77777777" w:rsidR="00935020" w:rsidRPr="00B7140C" w:rsidRDefault="00935020" w:rsidP="00BD48CB">
      <w:pPr>
        <w:spacing w:after="200"/>
        <w:rPr>
          <w:rFonts w:ascii="Times New Roman" w:hAnsi="Times New Roman" w:cs="Times New Roman"/>
        </w:rPr>
      </w:pPr>
    </w:p>
    <w:p w14:paraId="177F532A" w14:textId="77777777" w:rsidR="00935020" w:rsidRPr="00B7140C" w:rsidRDefault="00935020" w:rsidP="00BD48CB">
      <w:pPr>
        <w:spacing w:after="200"/>
        <w:rPr>
          <w:rFonts w:ascii="Times New Roman" w:hAnsi="Times New Roman" w:cs="Times New Roman"/>
        </w:rPr>
      </w:pPr>
    </w:p>
    <w:p w14:paraId="0AA624B0" w14:textId="77777777" w:rsidR="00935020" w:rsidRPr="00B7140C" w:rsidRDefault="00935020" w:rsidP="00BD48CB">
      <w:pPr>
        <w:spacing w:after="200"/>
        <w:rPr>
          <w:rFonts w:ascii="Times New Roman" w:hAnsi="Times New Roman" w:cs="Times New Roman"/>
        </w:rPr>
      </w:pPr>
    </w:p>
    <w:p w14:paraId="22DA30C8" w14:textId="77777777" w:rsidR="00935020" w:rsidRPr="00B7140C" w:rsidRDefault="00935020" w:rsidP="00BD48CB">
      <w:pPr>
        <w:spacing w:after="200"/>
        <w:rPr>
          <w:rFonts w:ascii="Times New Roman" w:hAnsi="Times New Roman" w:cs="Times New Roman"/>
        </w:rPr>
      </w:pPr>
    </w:p>
    <w:p w14:paraId="278E2F04" w14:textId="77777777" w:rsidR="00935020" w:rsidRPr="00B7140C" w:rsidRDefault="00935020" w:rsidP="00BD48CB">
      <w:pPr>
        <w:spacing w:after="200"/>
        <w:rPr>
          <w:rFonts w:ascii="Times New Roman" w:hAnsi="Times New Roman" w:cs="Times New Roman"/>
        </w:rPr>
      </w:pPr>
    </w:p>
    <w:p w14:paraId="14AE7570" w14:textId="77777777" w:rsidR="00935020" w:rsidRPr="00B7140C" w:rsidRDefault="00935020" w:rsidP="00BD48CB">
      <w:pPr>
        <w:spacing w:after="200"/>
        <w:rPr>
          <w:rFonts w:ascii="Times New Roman" w:hAnsi="Times New Roman" w:cs="Times New Roman"/>
        </w:rPr>
      </w:pPr>
    </w:p>
    <w:p w14:paraId="03DBFA05" w14:textId="77777777" w:rsidR="00935020" w:rsidRPr="00B7140C" w:rsidRDefault="00935020" w:rsidP="00BD48CB">
      <w:pPr>
        <w:spacing w:after="200"/>
        <w:rPr>
          <w:rFonts w:ascii="Times New Roman" w:hAnsi="Times New Roman" w:cs="Times New Roman"/>
        </w:rPr>
      </w:pPr>
    </w:p>
    <w:p w14:paraId="29134B5D" w14:textId="77777777" w:rsidR="00935020" w:rsidRPr="00B7140C" w:rsidRDefault="00935020" w:rsidP="00BD48CB">
      <w:pPr>
        <w:spacing w:after="200"/>
        <w:rPr>
          <w:rFonts w:ascii="Times New Roman" w:hAnsi="Times New Roman" w:cs="Times New Roman"/>
        </w:rPr>
      </w:pPr>
    </w:p>
    <w:p w14:paraId="643EF571" w14:textId="77777777" w:rsidR="00935020" w:rsidRPr="00B7140C" w:rsidRDefault="00935020" w:rsidP="00BD48CB">
      <w:pPr>
        <w:spacing w:after="200"/>
        <w:rPr>
          <w:rFonts w:ascii="Times New Roman" w:hAnsi="Times New Roman" w:cs="Times New Roman"/>
        </w:rPr>
      </w:pPr>
    </w:p>
    <w:p w14:paraId="5E5AD4E7" w14:textId="77777777" w:rsidR="00935020" w:rsidRPr="00B7140C" w:rsidRDefault="00935020" w:rsidP="00BD48CB">
      <w:pPr>
        <w:spacing w:after="200"/>
        <w:rPr>
          <w:rFonts w:ascii="Times New Roman" w:hAnsi="Times New Roman" w:cs="Times New Roman"/>
        </w:rPr>
      </w:pPr>
    </w:p>
    <w:p w14:paraId="5DA68E7D" w14:textId="77777777" w:rsidR="00935020" w:rsidRPr="00B7140C" w:rsidRDefault="00935020" w:rsidP="00BD48CB">
      <w:pPr>
        <w:spacing w:after="200"/>
        <w:rPr>
          <w:rFonts w:ascii="Times New Roman" w:hAnsi="Times New Roman" w:cs="Times New Roman"/>
        </w:rPr>
      </w:pPr>
    </w:p>
    <w:p w14:paraId="59B532D1" w14:textId="77777777" w:rsidR="00935020" w:rsidRPr="00B7140C" w:rsidRDefault="00935020" w:rsidP="00BD48CB">
      <w:pPr>
        <w:spacing w:after="200"/>
        <w:rPr>
          <w:rFonts w:ascii="Times New Roman" w:hAnsi="Times New Roman" w:cs="Times New Roman"/>
        </w:rPr>
      </w:pPr>
    </w:p>
    <w:p w14:paraId="095E6134" w14:textId="77777777" w:rsidR="00C62FA8" w:rsidRPr="00B7140C" w:rsidRDefault="00682E2E" w:rsidP="00935020">
      <w:pPr>
        <w:pStyle w:val="Heading1"/>
        <w:rPr>
          <w:rFonts w:ascii="Times New Roman" w:hAnsi="Times New Roman" w:cs="Times New Roman"/>
          <w:color w:val="000000" w:themeColor="text1"/>
        </w:rPr>
      </w:pPr>
      <w:bookmarkStart w:id="3" w:name="_Toc240238834"/>
      <w:r w:rsidRPr="00B7140C">
        <w:rPr>
          <w:rFonts w:ascii="Times New Roman" w:hAnsi="Times New Roman" w:cs="Times New Roman"/>
          <w:color w:val="000000" w:themeColor="text1"/>
        </w:rPr>
        <w:lastRenderedPageBreak/>
        <w:t>Abstract</w:t>
      </w:r>
      <w:bookmarkEnd w:id="3"/>
    </w:p>
    <w:p w14:paraId="04C3C4D0" w14:textId="77777777" w:rsidR="00C62FA8" w:rsidRPr="00B7140C" w:rsidRDefault="00682E2E" w:rsidP="00D2354B">
      <w:pPr>
        <w:spacing w:after="200"/>
        <w:jc w:val="both"/>
        <w:rPr>
          <w:rFonts w:ascii="Times New Roman" w:hAnsi="Times New Roman" w:cs="Times New Roman"/>
          <w:color w:val="000000" w:themeColor="text1"/>
        </w:rPr>
      </w:pPr>
      <w:r w:rsidRPr="00B7140C">
        <w:rPr>
          <w:rFonts w:ascii="Times New Roman" w:hAnsi="Times New Roman" w:cs="Times New Roman"/>
          <w:color w:val="000000" w:themeColor="text1"/>
        </w:rPr>
        <w:t xml:space="preserve">This dissertation examined how micro-influencer credibility may shape purchase intention among UK Generation Z consumers in the skincare industry. The study focused on trustworthiness, expertise, attractiveness, authenticity and homophily, while also considering parasocial attachment, platform context and sponsorship disclosure. A structured secondary-data design was used. Academic literature, regulatory publications, public company material and reputable business sources were </w:t>
      </w:r>
      <w:proofErr w:type="spellStart"/>
      <w:r w:rsidRPr="00B7140C">
        <w:rPr>
          <w:rFonts w:ascii="Times New Roman" w:hAnsi="Times New Roman" w:cs="Times New Roman"/>
          <w:color w:val="000000" w:themeColor="text1"/>
        </w:rPr>
        <w:t>synthesised</w:t>
      </w:r>
      <w:proofErr w:type="spellEnd"/>
      <w:r w:rsidRPr="00B7140C">
        <w:rPr>
          <w:rFonts w:ascii="Times New Roman" w:hAnsi="Times New Roman" w:cs="Times New Roman"/>
          <w:color w:val="000000" w:themeColor="text1"/>
        </w:rPr>
        <w:t xml:space="preserve"> through directed thematic analysis and narrative comparison. No participants were recruited and no primary data, social-media comments or personal data were collected.</w:t>
      </w:r>
    </w:p>
    <w:p w14:paraId="65620686" w14:textId="77777777" w:rsidR="00C62FA8" w:rsidRPr="00B7140C" w:rsidRDefault="00682E2E" w:rsidP="00D2354B">
      <w:pPr>
        <w:spacing w:after="200"/>
        <w:jc w:val="both"/>
        <w:rPr>
          <w:rFonts w:ascii="Times New Roman" w:hAnsi="Times New Roman" w:cs="Times New Roman"/>
          <w:color w:val="000000" w:themeColor="text1"/>
        </w:rPr>
      </w:pPr>
      <w:r w:rsidRPr="00B7140C">
        <w:rPr>
          <w:rFonts w:ascii="Times New Roman" w:hAnsi="Times New Roman" w:cs="Times New Roman"/>
          <w:color w:val="000000" w:themeColor="text1"/>
        </w:rPr>
        <w:t xml:space="preserve">Five UK skincare </w:t>
      </w:r>
      <w:proofErr w:type="spellStart"/>
      <w:r w:rsidRPr="00B7140C">
        <w:rPr>
          <w:rFonts w:ascii="Times New Roman" w:hAnsi="Times New Roman" w:cs="Times New Roman"/>
          <w:color w:val="000000" w:themeColor="text1"/>
        </w:rPr>
        <w:t>organisations</w:t>
      </w:r>
      <w:proofErr w:type="spellEnd"/>
      <w:r w:rsidRPr="00B7140C">
        <w:rPr>
          <w:rFonts w:ascii="Times New Roman" w:hAnsi="Times New Roman" w:cs="Times New Roman"/>
          <w:color w:val="000000" w:themeColor="text1"/>
        </w:rPr>
        <w:t xml:space="preserve">—The INKEY List, Pai Skincare, Revolution Skincare, No7 and Skin + Me—were introduced as </w:t>
      </w:r>
      <w:proofErr w:type="spellStart"/>
      <w:r w:rsidRPr="00B7140C">
        <w:rPr>
          <w:rFonts w:ascii="Times New Roman" w:hAnsi="Times New Roman" w:cs="Times New Roman"/>
          <w:color w:val="000000" w:themeColor="text1"/>
        </w:rPr>
        <w:t>organisation</w:t>
      </w:r>
      <w:proofErr w:type="spellEnd"/>
      <w:r w:rsidRPr="00B7140C">
        <w:rPr>
          <w:rFonts w:ascii="Times New Roman" w:hAnsi="Times New Roman" w:cs="Times New Roman"/>
          <w:color w:val="000000" w:themeColor="text1"/>
        </w:rPr>
        <w:t xml:space="preserve"> cases to ground the evidence in contrasting market contexts. The analysis indicated that trustworthiness and expertise are the strongest foundations for credible skincare communication, while authenticity, homophily and parasocial closeness are contingent on product–creator fit and commercial transparency. Public case material supported contextual interpretation but did not establish that influencer activity caused sales or purchase intention. The dissertation therefore concludes that micro-influencer activity should be assessed through auditable campaign-level measures rather than reach or corporate performance alone.</w:t>
      </w:r>
    </w:p>
    <w:p w14:paraId="7CA12DE6" w14:textId="77777777" w:rsidR="00C62FA8" w:rsidRPr="00B7140C" w:rsidRDefault="00682E2E" w:rsidP="00D2354B">
      <w:pPr>
        <w:spacing w:after="200"/>
        <w:jc w:val="both"/>
        <w:rPr>
          <w:rFonts w:ascii="Times New Roman" w:hAnsi="Times New Roman" w:cs="Times New Roman"/>
          <w:color w:val="000000" w:themeColor="text1"/>
        </w:rPr>
      </w:pPr>
      <w:r w:rsidRPr="00B7140C">
        <w:rPr>
          <w:rFonts w:ascii="Times New Roman" w:hAnsi="Times New Roman" w:cs="Times New Roman"/>
          <w:color w:val="000000" w:themeColor="text1"/>
        </w:rPr>
        <w:t>Keywords: micro-influencers; credibility; purchase intention; Gen Z; UK skincare; secondary data; sponsorship disclosure.</w:t>
      </w:r>
    </w:p>
    <w:p w14:paraId="4683AF29" w14:textId="77777777" w:rsidR="00B7140C" w:rsidRPr="00B7140C" w:rsidRDefault="00B7140C" w:rsidP="00D2354B">
      <w:pPr>
        <w:spacing w:after="200"/>
        <w:jc w:val="both"/>
        <w:rPr>
          <w:rFonts w:ascii="Times New Roman" w:hAnsi="Times New Roman" w:cs="Times New Roman"/>
          <w:color w:val="000000" w:themeColor="text1"/>
        </w:rPr>
      </w:pPr>
    </w:p>
    <w:p w14:paraId="6B0417D4" w14:textId="77777777" w:rsidR="00B7140C" w:rsidRPr="00B7140C" w:rsidRDefault="00B7140C" w:rsidP="00D2354B">
      <w:pPr>
        <w:spacing w:after="200"/>
        <w:jc w:val="both"/>
        <w:rPr>
          <w:rFonts w:ascii="Times New Roman" w:hAnsi="Times New Roman" w:cs="Times New Roman"/>
          <w:color w:val="000000" w:themeColor="text1"/>
        </w:rPr>
      </w:pPr>
    </w:p>
    <w:p w14:paraId="4E8C525B" w14:textId="77777777" w:rsidR="00B7140C" w:rsidRPr="00B7140C" w:rsidRDefault="00B7140C" w:rsidP="00D2354B">
      <w:pPr>
        <w:spacing w:after="200"/>
        <w:jc w:val="both"/>
        <w:rPr>
          <w:rFonts w:ascii="Times New Roman" w:hAnsi="Times New Roman" w:cs="Times New Roman"/>
          <w:color w:val="000000" w:themeColor="text1"/>
        </w:rPr>
      </w:pPr>
    </w:p>
    <w:p w14:paraId="563D0818" w14:textId="77777777" w:rsidR="00B7140C" w:rsidRPr="00B7140C" w:rsidRDefault="00B7140C" w:rsidP="00D2354B">
      <w:pPr>
        <w:spacing w:after="200"/>
        <w:jc w:val="both"/>
        <w:rPr>
          <w:rFonts w:ascii="Times New Roman" w:hAnsi="Times New Roman" w:cs="Times New Roman"/>
          <w:color w:val="000000" w:themeColor="text1"/>
        </w:rPr>
      </w:pPr>
    </w:p>
    <w:p w14:paraId="2047D5B0" w14:textId="77777777" w:rsidR="00B7140C" w:rsidRPr="00B7140C" w:rsidRDefault="00B7140C" w:rsidP="00D2354B">
      <w:pPr>
        <w:spacing w:after="200"/>
        <w:jc w:val="both"/>
        <w:rPr>
          <w:rFonts w:ascii="Times New Roman" w:hAnsi="Times New Roman" w:cs="Times New Roman"/>
          <w:color w:val="000000" w:themeColor="text1"/>
        </w:rPr>
      </w:pPr>
    </w:p>
    <w:p w14:paraId="155123EF" w14:textId="77777777" w:rsidR="00B7140C" w:rsidRPr="00B7140C" w:rsidRDefault="00B7140C" w:rsidP="00D2354B">
      <w:pPr>
        <w:spacing w:after="200"/>
        <w:jc w:val="both"/>
        <w:rPr>
          <w:rFonts w:ascii="Times New Roman" w:hAnsi="Times New Roman" w:cs="Times New Roman"/>
          <w:color w:val="000000" w:themeColor="text1"/>
        </w:rPr>
      </w:pPr>
    </w:p>
    <w:p w14:paraId="7345A354" w14:textId="77777777" w:rsidR="00B7140C" w:rsidRPr="00B7140C" w:rsidRDefault="00B7140C" w:rsidP="00D2354B">
      <w:pPr>
        <w:spacing w:after="200"/>
        <w:jc w:val="both"/>
        <w:rPr>
          <w:rFonts w:ascii="Times New Roman" w:hAnsi="Times New Roman" w:cs="Times New Roman"/>
          <w:color w:val="000000" w:themeColor="text1"/>
        </w:rPr>
      </w:pPr>
    </w:p>
    <w:p w14:paraId="43E4C9D2" w14:textId="77777777" w:rsidR="00B7140C" w:rsidRPr="00B7140C" w:rsidRDefault="00B7140C" w:rsidP="00D2354B">
      <w:pPr>
        <w:spacing w:after="200"/>
        <w:jc w:val="both"/>
        <w:rPr>
          <w:rFonts w:ascii="Times New Roman" w:hAnsi="Times New Roman" w:cs="Times New Roman"/>
          <w:color w:val="000000" w:themeColor="text1"/>
        </w:rPr>
      </w:pPr>
    </w:p>
    <w:p w14:paraId="3BD744BD" w14:textId="77777777" w:rsidR="00B7140C" w:rsidRPr="00B7140C" w:rsidRDefault="00B7140C" w:rsidP="00D2354B">
      <w:pPr>
        <w:spacing w:after="200"/>
        <w:jc w:val="both"/>
        <w:rPr>
          <w:rFonts w:ascii="Times New Roman" w:hAnsi="Times New Roman" w:cs="Times New Roman"/>
          <w:color w:val="000000" w:themeColor="text1"/>
        </w:rPr>
      </w:pPr>
    </w:p>
    <w:p w14:paraId="4EA0EF72" w14:textId="77777777" w:rsidR="00B7140C" w:rsidRPr="00B7140C" w:rsidRDefault="00B7140C" w:rsidP="00A12B69">
      <w:pPr>
        <w:pStyle w:val="TOCHeading"/>
        <w:jc w:val="center"/>
        <w:rPr>
          <w:rFonts w:ascii="Times New Roman" w:eastAsiaTheme="minorEastAsia" w:hAnsi="Times New Roman" w:cs="Times New Roman"/>
          <w:b w:val="0"/>
          <w:bCs w:val="0"/>
          <w:color w:val="000000" w:themeColor="text1"/>
          <w:sz w:val="24"/>
          <w:szCs w:val="22"/>
        </w:rPr>
      </w:pPr>
    </w:p>
    <w:sdt>
      <w:sdtPr>
        <w:rPr>
          <w:rFonts w:ascii="Times New Roman" w:eastAsiaTheme="minorEastAsia" w:hAnsi="Times New Roman" w:cs="Times New Roman"/>
          <w:b w:val="0"/>
          <w:bCs w:val="0"/>
          <w:color w:val="000000" w:themeColor="text1"/>
          <w:sz w:val="24"/>
          <w:szCs w:val="22"/>
        </w:rPr>
        <w:id w:val="791249216"/>
        <w:docPartObj>
          <w:docPartGallery w:val="Table of Contents"/>
          <w:docPartUnique/>
        </w:docPartObj>
      </w:sdtPr>
      <w:sdtEndPr>
        <w:rPr>
          <w:noProof/>
        </w:rPr>
      </w:sdtEndPr>
      <w:sdtContent>
        <w:p w14:paraId="726D1915" w14:textId="298E2EAA" w:rsidR="00A12B69" w:rsidRPr="00B7140C" w:rsidRDefault="00A12B69" w:rsidP="00A12B69">
          <w:pPr>
            <w:pStyle w:val="TOCHeading"/>
            <w:jc w:val="center"/>
            <w:rPr>
              <w:rFonts w:ascii="Times New Roman" w:hAnsi="Times New Roman" w:cs="Times New Roman"/>
              <w:color w:val="000000" w:themeColor="text1"/>
            </w:rPr>
          </w:pPr>
          <w:r w:rsidRPr="00B7140C">
            <w:rPr>
              <w:rFonts w:ascii="Times New Roman" w:hAnsi="Times New Roman" w:cs="Times New Roman"/>
              <w:color w:val="000000" w:themeColor="text1"/>
            </w:rPr>
            <w:t>Table of Contents</w:t>
          </w:r>
        </w:p>
        <w:p w14:paraId="2C88346E" w14:textId="5BCCB418" w:rsidR="00B7140C" w:rsidRPr="00B7140C" w:rsidRDefault="00A12B69">
          <w:pPr>
            <w:pStyle w:val="TOC1"/>
            <w:tabs>
              <w:tab w:val="right" w:leader="dot" w:pos="9016"/>
            </w:tabs>
            <w:rPr>
              <w:rFonts w:ascii="Times New Roman" w:hAnsi="Times New Roman" w:cs="Times New Roman"/>
              <w:noProof/>
              <w:kern w:val="2"/>
              <w:szCs w:val="24"/>
              <w14:ligatures w14:val="standardContextual"/>
            </w:rPr>
          </w:pPr>
          <w:r w:rsidRPr="00B7140C">
            <w:rPr>
              <w:rFonts w:ascii="Times New Roman" w:hAnsi="Times New Roman" w:cs="Times New Roman"/>
              <w:color w:val="000000" w:themeColor="text1"/>
            </w:rPr>
            <w:fldChar w:fldCharType="begin"/>
          </w:r>
          <w:r w:rsidRPr="00B7140C">
            <w:rPr>
              <w:rFonts w:ascii="Times New Roman" w:hAnsi="Times New Roman" w:cs="Times New Roman"/>
              <w:color w:val="000000" w:themeColor="text1"/>
            </w:rPr>
            <w:instrText xml:space="preserve"> TOC \o "1-3" \h \z \u </w:instrText>
          </w:r>
          <w:r w:rsidRPr="00B7140C">
            <w:rPr>
              <w:rFonts w:ascii="Times New Roman" w:hAnsi="Times New Roman" w:cs="Times New Roman"/>
              <w:color w:val="000000" w:themeColor="text1"/>
            </w:rPr>
            <w:fldChar w:fldCharType="separate"/>
          </w:r>
          <w:hyperlink w:anchor="_Toc240238831" w:history="1">
            <w:r w:rsidR="00B7140C" w:rsidRPr="00B7140C">
              <w:rPr>
                <w:rStyle w:val="Hyperlink"/>
                <w:rFonts w:ascii="Times New Roman" w:hAnsi="Times New Roman" w:cs="Times New Roman"/>
                <w:noProof/>
              </w:rPr>
              <w:t>AI Acknowledgement</w:t>
            </w:r>
            <w:r w:rsidR="00B7140C" w:rsidRPr="00B7140C">
              <w:rPr>
                <w:rFonts w:ascii="Times New Roman" w:hAnsi="Times New Roman" w:cs="Times New Roman"/>
                <w:noProof/>
                <w:webHidden/>
              </w:rPr>
              <w:tab/>
            </w:r>
            <w:r w:rsidR="00B7140C" w:rsidRPr="00B7140C">
              <w:rPr>
                <w:rFonts w:ascii="Times New Roman" w:hAnsi="Times New Roman" w:cs="Times New Roman"/>
                <w:noProof/>
                <w:webHidden/>
              </w:rPr>
              <w:fldChar w:fldCharType="begin"/>
            </w:r>
            <w:r w:rsidR="00B7140C" w:rsidRPr="00B7140C">
              <w:rPr>
                <w:rFonts w:ascii="Times New Roman" w:hAnsi="Times New Roman" w:cs="Times New Roman"/>
                <w:noProof/>
                <w:webHidden/>
              </w:rPr>
              <w:instrText xml:space="preserve"> PAGEREF _Toc240238831 \h </w:instrText>
            </w:r>
            <w:r w:rsidR="00B7140C" w:rsidRPr="00B7140C">
              <w:rPr>
                <w:rFonts w:ascii="Times New Roman" w:hAnsi="Times New Roman" w:cs="Times New Roman"/>
                <w:noProof/>
                <w:webHidden/>
              </w:rPr>
            </w:r>
            <w:r w:rsidR="00B7140C" w:rsidRPr="00B7140C">
              <w:rPr>
                <w:rFonts w:ascii="Times New Roman" w:hAnsi="Times New Roman" w:cs="Times New Roman"/>
                <w:noProof/>
                <w:webHidden/>
              </w:rPr>
              <w:fldChar w:fldCharType="separate"/>
            </w:r>
            <w:r w:rsidR="00B7140C" w:rsidRPr="00B7140C">
              <w:rPr>
                <w:rFonts w:ascii="Times New Roman" w:hAnsi="Times New Roman" w:cs="Times New Roman"/>
                <w:noProof/>
                <w:webHidden/>
              </w:rPr>
              <w:t>ii</w:t>
            </w:r>
            <w:r w:rsidR="00B7140C" w:rsidRPr="00B7140C">
              <w:rPr>
                <w:rFonts w:ascii="Times New Roman" w:hAnsi="Times New Roman" w:cs="Times New Roman"/>
                <w:noProof/>
                <w:webHidden/>
              </w:rPr>
              <w:fldChar w:fldCharType="end"/>
            </w:r>
          </w:hyperlink>
        </w:p>
        <w:p w14:paraId="00502A38" w14:textId="55E75BE2"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2" w:history="1">
            <w:r w:rsidRPr="00B7140C">
              <w:rPr>
                <w:rStyle w:val="Hyperlink"/>
                <w:rFonts w:ascii="Times New Roman" w:hAnsi="Times New Roman" w:cs="Times New Roman"/>
                <w:noProof/>
              </w:rPr>
              <w:t>Acknowledgements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iii</w:t>
            </w:r>
            <w:r w:rsidRPr="00B7140C">
              <w:rPr>
                <w:rFonts w:ascii="Times New Roman" w:hAnsi="Times New Roman" w:cs="Times New Roman"/>
                <w:noProof/>
                <w:webHidden/>
              </w:rPr>
              <w:fldChar w:fldCharType="end"/>
            </w:r>
          </w:hyperlink>
        </w:p>
        <w:p w14:paraId="1E705A0C" w14:textId="74F614A5"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3" w:history="1">
            <w:r w:rsidRPr="00B7140C">
              <w:rPr>
                <w:rStyle w:val="Hyperlink"/>
                <w:rFonts w:ascii="Times New Roman" w:hAnsi="Times New Roman" w:cs="Times New Roman"/>
                <w:noProof/>
              </w:rPr>
              <w:t>Declaration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iv</w:t>
            </w:r>
            <w:r w:rsidRPr="00B7140C">
              <w:rPr>
                <w:rFonts w:ascii="Times New Roman" w:hAnsi="Times New Roman" w:cs="Times New Roman"/>
                <w:noProof/>
                <w:webHidden/>
              </w:rPr>
              <w:fldChar w:fldCharType="end"/>
            </w:r>
          </w:hyperlink>
        </w:p>
        <w:p w14:paraId="573B3E93" w14:textId="619B6978"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4" w:history="1">
            <w:r w:rsidRPr="00B7140C">
              <w:rPr>
                <w:rStyle w:val="Hyperlink"/>
                <w:rFonts w:ascii="Times New Roman" w:hAnsi="Times New Roman" w:cs="Times New Roman"/>
                <w:noProof/>
              </w:rPr>
              <w:t>Abstract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v</w:t>
            </w:r>
            <w:r w:rsidRPr="00B7140C">
              <w:rPr>
                <w:rFonts w:ascii="Times New Roman" w:hAnsi="Times New Roman" w:cs="Times New Roman"/>
                <w:noProof/>
                <w:webHidden/>
              </w:rPr>
              <w:fldChar w:fldCharType="end"/>
            </w:r>
          </w:hyperlink>
        </w:p>
        <w:p w14:paraId="16DC68D1" w14:textId="0CFEDB37"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5" w:history="1">
            <w:r w:rsidRPr="00B7140C">
              <w:rPr>
                <w:rStyle w:val="Hyperlink"/>
                <w:rFonts w:ascii="Times New Roman" w:hAnsi="Times New Roman" w:cs="Times New Roman"/>
                <w:noProof/>
              </w:rPr>
              <w:t>List of Tables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x</w:t>
            </w:r>
            <w:r w:rsidRPr="00B7140C">
              <w:rPr>
                <w:rFonts w:ascii="Times New Roman" w:hAnsi="Times New Roman" w:cs="Times New Roman"/>
                <w:noProof/>
                <w:webHidden/>
              </w:rPr>
              <w:fldChar w:fldCharType="end"/>
            </w:r>
          </w:hyperlink>
        </w:p>
        <w:p w14:paraId="20ADE47B" w14:textId="109717A4"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6" w:history="1">
            <w:r w:rsidRPr="00B7140C">
              <w:rPr>
                <w:rStyle w:val="Hyperlink"/>
                <w:rFonts w:ascii="Times New Roman" w:hAnsi="Times New Roman" w:cs="Times New Roman"/>
                <w:noProof/>
              </w:rPr>
              <w:t>List of Figures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xi</w:t>
            </w:r>
            <w:r w:rsidRPr="00B7140C">
              <w:rPr>
                <w:rFonts w:ascii="Times New Roman" w:hAnsi="Times New Roman" w:cs="Times New Roman"/>
                <w:noProof/>
                <w:webHidden/>
              </w:rPr>
              <w:fldChar w:fldCharType="end"/>
            </w:r>
          </w:hyperlink>
        </w:p>
        <w:p w14:paraId="4A231242" w14:textId="7013F846"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7" w:history="1">
            <w:r w:rsidRPr="00B7140C">
              <w:rPr>
                <w:rStyle w:val="Hyperlink"/>
                <w:rFonts w:ascii="Times New Roman" w:hAnsi="Times New Roman" w:cs="Times New Roman"/>
                <w:noProof/>
              </w:rPr>
              <w:t>List of Abbreviations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xii</w:t>
            </w:r>
            <w:r w:rsidRPr="00B7140C">
              <w:rPr>
                <w:rFonts w:ascii="Times New Roman" w:hAnsi="Times New Roman" w:cs="Times New Roman"/>
                <w:noProof/>
                <w:webHidden/>
              </w:rPr>
              <w:fldChar w:fldCharType="end"/>
            </w:r>
          </w:hyperlink>
        </w:p>
        <w:p w14:paraId="3E804412" w14:textId="075FB7CB"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38" w:history="1">
            <w:r w:rsidRPr="00B7140C">
              <w:rPr>
                <w:rStyle w:val="Hyperlink"/>
                <w:rFonts w:ascii="Times New Roman" w:hAnsi="Times New Roman" w:cs="Times New Roman"/>
                <w:noProof/>
              </w:rPr>
              <w:t>Chapter 1: Introduction and Rationale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w:t>
            </w:r>
            <w:r w:rsidRPr="00B7140C">
              <w:rPr>
                <w:rFonts w:ascii="Times New Roman" w:hAnsi="Times New Roman" w:cs="Times New Roman"/>
                <w:noProof/>
                <w:webHidden/>
              </w:rPr>
              <w:fldChar w:fldCharType="end"/>
            </w:r>
          </w:hyperlink>
        </w:p>
        <w:p w14:paraId="59C03510" w14:textId="0A75548A"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39" w:history="1">
            <w:r w:rsidRPr="00B7140C">
              <w:rPr>
                <w:rStyle w:val="Hyperlink"/>
                <w:rFonts w:ascii="Times New Roman" w:hAnsi="Times New Roman" w:cs="Times New Roman"/>
                <w:noProof/>
              </w:rPr>
              <w:t>1.1 Research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_Toc240238839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w:t>
            </w:r>
            <w:r w:rsidRPr="00B7140C">
              <w:rPr>
                <w:rFonts w:ascii="Times New Roman" w:hAnsi="Times New Roman" w:cs="Times New Roman"/>
                <w:noProof/>
                <w:webHidden/>
              </w:rPr>
              <w:fldChar w:fldCharType="end"/>
            </w:r>
          </w:hyperlink>
        </w:p>
        <w:p w14:paraId="3DC08E70" w14:textId="5E8BEED9"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0" w:history="1">
            <w:r w:rsidRPr="00B7140C">
              <w:rPr>
                <w:rStyle w:val="Hyperlink"/>
                <w:rFonts w:ascii="Times New Roman" w:hAnsi="Times New Roman" w:cs="Times New Roman"/>
                <w:noProof/>
              </w:rPr>
              <w:t>1.2 Research Rationale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w:t>
            </w:r>
            <w:r w:rsidRPr="00B7140C">
              <w:rPr>
                <w:rFonts w:ascii="Times New Roman" w:hAnsi="Times New Roman" w:cs="Times New Roman"/>
                <w:noProof/>
                <w:webHidden/>
              </w:rPr>
              <w:fldChar w:fldCharType="end"/>
            </w:r>
          </w:hyperlink>
        </w:p>
        <w:p w14:paraId="1F25408C" w14:textId="3E914750"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41" w:history="1">
            <w:r w:rsidRPr="00B7140C">
              <w:rPr>
                <w:rStyle w:val="Hyperlink"/>
                <w:rFonts w:ascii="Times New Roman" w:hAnsi="Times New Roman" w:cs="Times New Roman"/>
                <w:noProof/>
              </w:rPr>
              <w:t>1.2.1 Theoretical Justification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w:t>
            </w:r>
            <w:r w:rsidRPr="00B7140C">
              <w:rPr>
                <w:rFonts w:ascii="Times New Roman" w:hAnsi="Times New Roman" w:cs="Times New Roman"/>
                <w:noProof/>
                <w:webHidden/>
              </w:rPr>
              <w:fldChar w:fldCharType="end"/>
            </w:r>
          </w:hyperlink>
        </w:p>
        <w:p w14:paraId="7329F6E0" w14:textId="52CFCA11"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42" w:history="1">
            <w:r w:rsidRPr="00B7140C">
              <w:rPr>
                <w:rStyle w:val="Hyperlink"/>
                <w:rFonts w:ascii="Times New Roman" w:hAnsi="Times New Roman" w:cs="Times New Roman"/>
                <w:noProof/>
              </w:rPr>
              <w:t>1.2.2 Practical Justification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w:t>
            </w:r>
            <w:r w:rsidRPr="00B7140C">
              <w:rPr>
                <w:rFonts w:ascii="Times New Roman" w:hAnsi="Times New Roman" w:cs="Times New Roman"/>
                <w:noProof/>
                <w:webHidden/>
              </w:rPr>
              <w:fldChar w:fldCharType="end"/>
            </w:r>
          </w:hyperlink>
        </w:p>
        <w:p w14:paraId="2BF0DC2C" w14:textId="357EB5E4"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3" w:history="1">
            <w:r w:rsidRPr="00B7140C">
              <w:rPr>
                <w:rStyle w:val="Hyperlink"/>
                <w:rFonts w:ascii="Times New Roman" w:hAnsi="Times New Roman" w:cs="Times New Roman"/>
                <w:noProof/>
              </w:rPr>
              <w:t>1.3 Research Contribution and Motivation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w:t>
            </w:r>
            <w:r w:rsidRPr="00B7140C">
              <w:rPr>
                <w:rFonts w:ascii="Times New Roman" w:hAnsi="Times New Roman" w:cs="Times New Roman"/>
                <w:noProof/>
                <w:webHidden/>
              </w:rPr>
              <w:fldChar w:fldCharType="end"/>
            </w:r>
          </w:hyperlink>
        </w:p>
        <w:p w14:paraId="523B53EF" w14:textId="4709B378"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4" w:history="1">
            <w:r w:rsidRPr="00B7140C">
              <w:rPr>
                <w:rStyle w:val="Hyperlink"/>
                <w:rFonts w:ascii="Times New Roman" w:hAnsi="Times New Roman" w:cs="Times New Roman"/>
                <w:noProof/>
              </w:rPr>
              <w:t>1.4 Research Aim, Objectives and Question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6</w:t>
            </w:r>
            <w:r w:rsidRPr="00B7140C">
              <w:rPr>
                <w:rFonts w:ascii="Times New Roman" w:hAnsi="Times New Roman" w:cs="Times New Roman"/>
                <w:noProof/>
                <w:webHidden/>
              </w:rPr>
              <w:fldChar w:fldCharType="end"/>
            </w:r>
          </w:hyperlink>
        </w:p>
        <w:p w14:paraId="490FCA65" w14:textId="35E9339F"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5" w:history="1">
            <w:r w:rsidRPr="00B7140C">
              <w:rPr>
                <w:rStyle w:val="Hyperlink"/>
                <w:rFonts w:ascii="Times New Roman" w:hAnsi="Times New Roman" w:cs="Times New Roman"/>
                <w:noProof/>
              </w:rPr>
              <w:t>1.5 Dissertation Structure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8</w:t>
            </w:r>
            <w:r w:rsidRPr="00B7140C">
              <w:rPr>
                <w:rFonts w:ascii="Times New Roman" w:hAnsi="Times New Roman" w:cs="Times New Roman"/>
                <w:noProof/>
                <w:webHidden/>
              </w:rPr>
              <w:fldChar w:fldCharType="end"/>
            </w:r>
          </w:hyperlink>
        </w:p>
        <w:p w14:paraId="7DD464F9" w14:textId="4DB291B2"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46" w:history="1">
            <w:r w:rsidRPr="00B7140C">
              <w:rPr>
                <w:rStyle w:val="Hyperlink"/>
                <w:rFonts w:ascii="Times New Roman" w:hAnsi="Times New Roman" w:cs="Times New Roman"/>
                <w:noProof/>
              </w:rPr>
              <w:t>Chapter 2: Literature Review</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9</w:t>
            </w:r>
            <w:r w:rsidRPr="00B7140C">
              <w:rPr>
                <w:rFonts w:ascii="Times New Roman" w:hAnsi="Times New Roman" w:cs="Times New Roman"/>
                <w:noProof/>
                <w:webHidden/>
              </w:rPr>
              <w:fldChar w:fldCharType="end"/>
            </w:r>
          </w:hyperlink>
        </w:p>
        <w:p w14:paraId="58328DF4" w14:textId="08E25ABA"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7" w:history="1">
            <w:r w:rsidRPr="00B7140C">
              <w:rPr>
                <w:rStyle w:val="Hyperlink"/>
                <w:rFonts w:ascii="Times New Roman" w:hAnsi="Times New Roman" w:cs="Times New Roman"/>
                <w:noProof/>
              </w:rPr>
              <w:t>2.1 Introduction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9</w:t>
            </w:r>
            <w:r w:rsidRPr="00B7140C">
              <w:rPr>
                <w:rFonts w:ascii="Times New Roman" w:hAnsi="Times New Roman" w:cs="Times New Roman"/>
                <w:noProof/>
                <w:webHidden/>
              </w:rPr>
              <w:fldChar w:fldCharType="end"/>
            </w:r>
          </w:hyperlink>
        </w:p>
        <w:p w14:paraId="267CC041" w14:textId="70D22524"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48" w:history="1">
            <w:r w:rsidRPr="00B7140C">
              <w:rPr>
                <w:rStyle w:val="Hyperlink"/>
                <w:rFonts w:ascii="Times New Roman" w:hAnsi="Times New Roman" w:cs="Times New Roman"/>
                <w:noProof/>
              </w:rPr>
              <w:t>2.2 Thematic Overview of the Literature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9</w:t>
            </w:r>
            <w:r w:rsidRPr="00B7140C">
              <w:rPr>
                <w:rFonts w:ascii="Times New Roman" w:hAnsi="Times New Roman" w:cs="Times New Roman"/>
                <w:noProof/>
                <w:webHidden/>
              </w:rPr>
              <w:fldChar w:fldCharType="end"/>
            </w:r>
          </w:hyperlink>
        </w:p>
        <w:p w14:paraId="1AE845B2" w14:textId="2A841AC0"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49" w:history="1">
            <w:r w:rsidRPr="00B7140C">
              <w:rPr>
                <w:rStyle w:val="Hyperlink"/>
                <w:rFonts w:ascii="Times New Roman" w:hAnsi="Times New Roman" w:cs="Times New Roman"/>
                <w:noProof/>
              </w:rPr>
              <w:t>2.2.1 Deconstructing the Tri-Dimensional Source Credibility Model</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_Toc240238849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9</w:t>
            </w:r>
            <w:r w:rsidRPr="00B7140C">
              <w:rPr>
                <w:rFonts w:ascii="Times New Roman" w:hAnsi="Times New Roman" w:cs="Times New Roman"/>
                <w:noProof/>
                <w:webHidden/>
              </w:rPr>
              <w:fldChar w:fldCharType="end"/>
            </w:r>
          </w:hyperlink>
        </w:p>
        <w:p w14:paraId="5BC68D76" w14:textId="6BC8A43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50" w:history="1">
            <w:r w:rsidRPr="00B7140C">
              <w:rPr>
                <w:rStyle w:val="Hyperlink"/>
                <w:rFonts w:ascii="Times New Roman" w:hAnsi="Times New Roman" w:cs="Times New Roman"/>
                <w:noProof/>
              </w:rPr>
              <w:t>2.2.2 Authenticity as the Contested Fourth Dimension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10</w:t>
            </w:r>
            <w:r w:rsidRPr="00B7140C">
              <w:rPr>
                <w:rFonts w:ascii="Times New Roman" w:hAnsi="Times New Roman" w:cs="Times New Roman"/>
                <w:noProof/>
                <w:webHidden/>
              </w:rPr>
              <w:fldChar w:fldCharType="end"/>
            </w:r>
          </w:hyperlink>
        </w:p>
        <w:p w14:paraId="6B2DD2DD" w14:textId="5E75EBAD"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51" w:history="1">
            <w:r w:rsidRPr="00B7140C">
              <w:rPr>
                <w:rStyle w:val="Hyperlink"/>
                <w:rFonts w:ascii="Times New Roman" w:hAnsi="Times New Roman" w:cs="Times New Roman"/>
                <w:noProof/>
              </w:rPr>
              <w:t>2.2.3 Parasocial Attachment as the Contested Mediating Mechanism</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11</w:t>
            </w:r>
            <w:r w:rsidRPr="00B7140C">
              <w:rPr>
                <w:rFonts w:ascii="Times New Roman" w:hAnsi="Times New Roman" w:cs="Times New Roman"/>
                <w:noProof/>
                <w:webHidden/>
              </w:rPr>
              <w:fldChar w:fldCharType="end"/>
            </w:r>
          </w:hyperlink>
        </w:p>
        <w:p w14:paraId="57FF50CF" w14:textId="555ED7B6"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52" w:history="1">
            <w:r w:rsidRPr="00B7140C">
              <w:rPr>
                <w:rStyle w:val="Hyperlink"/>
                <w:rFonts w:ascii="Times New Roman" w:hAnsi="Times New Roman" w:cs="Times New Roman"/>
                <w:noProof/>
              </w:rPr>
              <w:t>2.2.4 Boundary Conditions: Platform Affordances and Disclosure Salience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12</w:t>
            </w:r>
            <w:r w:rsidRPr="00B7140C">
              <w:rPr>
                <w:rFonts w:ascii="Times New Roman" w:hAnsi="Times New Roman" w:cs="Times New Roman"/>
                <w:noProof/>
                <w:webHidden/>
              </w:rPr>
              <w:fldChar w:fldCharType="end"/>
            </w:r>
          </w:hyperlink>
        </w:p>
        <w:p w14:paraId="78CBFE05" w14:textId="4F0F5C57"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3" w:history="1">
            <w:r w:rsidRPr="00B7140C">
              <w:rPr>
                <w:rStyle w:val="Hyperlink"/>
                <w:rFonts w:ascii="Times New Roman" w:hAnsi="Times New Roman" w:cs="Times New Roman"/>
                <w:noProof/>
              </w:rPr>
              <w:t>2.3 Theoretical Foundation and Contribution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13</w:t>
            </w:r>
            <w:r w:rsidRPr="00B7140C">
              <w:rPr>
                <w:rFonts w:ascii="Times New Roman" w:hAnsi="Times New Roman" w:cs="Times New Roman"/>
                <w:noProof/>
                <w:webHidden/>
              </w:rPr>
              <w:fldChar w:fldCharType="end"/>
            </w:r>
          </w:hyperlink>
        </w:p>
        <w:p w14:paraId="44DD0A71" w14:textId="02EABEE5"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4" w:history="1">
            <w:r w:rsidRPr="00B7140C">
              <w:rPr>
                <w:rStyle w:val="Hyperlink"/>
                <w:rFonts w:ascii="Times New Roman" w:hAnsi="Times New Roman" w:cs="Times New Roman"/>
                <w:noProof/>
              </w:rPr>
              <w:t>2.4 Conceptual Framework</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14</w:t>
            </w:r>
            <w:r w:rsidRPr="00B7140C">
              <w:rPr>
                <w:rFonts w:ascii="Times New Roman" w:hAnsi="Times New Roman" w:cs="Times New Roman"/>
                <w:noProof/>
                <w:webHidden/>
              </w:rPr>
              <w:fldChar w:fldCharType="end"/>
            </w:r>
          </w:hyperlink>
        </w:p>
        <w:p w14:paraId="6EE65801" w14:textId="5991DB95"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5" w:history="1">
            <w:r w:rsidRPr="00B7140C">
              <w:rPr>
                <w:rStyle w:val="Hyperlink"/>
                <w:rFonts w:ascii="Times New Roman" w:hAnsi="Times New Roman" w:cs="Times New Roman"/>
                <w:noProof/>
              </w:rPr>
              <w:t>2.5 Summary Table of Key Literature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16</w:t>
            </w:r>
            <w:r w:rsidRPr="00B7140C">
              <w:rPr>
                <w:rFonts w:ascii="Times New Roman" w:hAnsi="Times New Roman" w:cs="Times New Roman"/>
                <w:noProof/>
                <w:webHidden/>
              </w:rPr>
              <w:fldChar w:fldCharType="end"/>
            </w:r>
          </w:hyperlink>
        </w:p>
        <w:p w14:paraId="15CB1F18" w14:textId="27E83338"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6" w:history="1">
            <w:r w:rsidRPr="00B7140C">
              <w:rPr>
                <w:rStyle w:val="Hyperlink"/>
                <w:rFonts w:ascii="Times New Roman" w:hAnsi="Times New Roman" w:cs="Times New Roman"/>
                <w:noProof/>
              </w:rPr>
              <w:t>2.6 Conclusion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17</w:t>
            </w:r>
            <w:r w:rsidRPr="00B7140C">
              <w:rPr>
                <w:rFonts w:ascii="Times New Roman" w:hAnsi="Times New Roman" w:cs="Times New Roman"/>
                <w:noProof/>
                <w:webHidden/>
              </w:rPr>
              <w:fldChar w:fldCharType="end"/>
            </w:r>
          </w:hyperlink>
        </w:p>
        <w:p w14:paraId="2C749198" w14:textId="55A3C2C2"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57" w:history="1">
            <w:r w:rsidRPr="00B7140C">
              <w:rPr>
                <w:rStyle w:val="Hyperlink"/>
                <w:rFonts w:ascii="Times New Roman" w:hAnsi="Times New Roman" w:cs="Times New Roman"/>
                <w:noProof/>
              </w:rPr>
              <w:t>Chapter 3: Methodology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18</w:t>
            </w:r>
            <w:r w:rsidRPr="00B7140C">
              <w:rPr>
                <w:rFonts w:ascii="Times New Roman" w:hAnsi="Times New Roman" w:cs="Times New Roman"/>
                <w:noProof/>
                <w:webHidden/>
              </w:rPr>
              <w:fldChar w:fldCharType="end"/>
            </w:r>
          </w:hyperlink>
        </w:p>
        <w:p w14:paraId="0F023EB3" w14:textId="17CAEF6F"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8" w:history="1">
            <w:r w:rsidRPr="00B7140C">
              <w:rPr>
                <w:rStyle w:val="Hyperlink"/>
                <w:rFonts w:ascii="Times New Roman" w:hAnsi="Times New Roman" w:cs="Times New Roman"/>
                <w:noProof/>
              </w:rPr>
              <w:t>3.1 Introduction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18</w:t>
            </w:r>
            <w:r w:rsidRPr="00B7140C">
              <w:rPr>
                <w:rFonts w:ascii="Times New Roman" w:hAnsi="Times New Roman" w:cs="Times New Roman"/>
                <w:noProof/>
                <w:webHidden/>
              </w:rPr>
              <w:fldChar w:fldCharType="end"/>
            </w:r>
          </w:hyperlink>
        </w:p>
        <w:p w14:paraId="642C21A2" w14:textId="5B4C498E"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59" w:history="1">
            <w:r w:rsidRPr="00B7140C">
              <w:rPr>
                <w:rStyle w:val="Hyperlink"/>
                <w:rFonts w:ascii="Times New Roman" w:hAnsi="Times New Roman" w:cs="Times New Roman"/>
                <w:noProof/>
              </w:rPr>
              <w:t>3.2 Research Philosophy, Approach and Design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_Toc240238859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18</w:t>
            </w:r>
            <w:r w:rsidRPr="00B7140C">
              <w:rPr>
                <w:rFonts w:ascii="Times New Roman" w:hAnsi="Times New Roman" w:cs="Times New Roman"/>
                <w:noProof/>
                <w:webHidden/>
              </w:rPr>
              <w:fldChar w:fldCharType="end"/>
            </w:r>
          </w:hyperlink>
        </w:p>
        <w:p w14:paraId="0C131E12" w14:textId="6FFB9201"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0" w:history="1">
            <w:r w:rsidRPr="00B7140C">
              <w:rPr>
                <w:rStyle w:val="Hyperlink"/>
                <w:rFonts w:ascii="Times New Roman" w:hAnsi="Times New Roman" w:cs="Times New Roman"/>
                <w:noProof/>
              </w:rPr>
              <w:t>3.2.1 Research philosophy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18</w:t>
            </w:r>
            <w:r w:rsidRPr="00B7140C">
              <w:rPr>
                <w:rFonts w:ascii="Times New Roman" w:hAnsi="Times New Roman" w:cs="Times New Roman"/>
                <w:noProof/>
                <w:webHidden/>
              </w:rPr>
              <w:fldChar w:fldCharType="end"/>
            </w:r>
          </w:hyperlink>
        </w:p>
        <w:p w14:paraId="54754053" w14:textId="0F39C55D"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1" w:history="1">
            <w:r w:rsidRPr="00B7140C">
              <w:rPr>
                <w:rStyle w:val="Hyperlink"/>
                <w:rFonts w:ascii="Times New Roman" w:hAnsi="Times New Roman" w:cs="Times New Roman"/>
                <w:noProof/>
              </w:rPr>
              <w:t>3.2.2 Research approach and strategy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18</w:t>
            </w:r>
            <w:r w:rsidRPr="00B7140C">
              <w:rPr>
                <w:rFonts w:ascii="Times New Roman" w:hAnsi="Times New Roman" w:cs="Times New Roman"/>
                <w:noProof/>
                <w:webHidden/>
              </w:rPr>
              <w:fldChar w:fldCharType="end"/>
            </w:r>
          </w:hyperlink>
        </w:p>
        <w:p w14:paraId="31319B4D" w14:textId="1737364E"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62" w:history="1">
            <w:r w:rsidRPr="00B7140C">
              <w:rPr>
                <w:rStyle w:val="Hyperlink"/>
                <w:rFonts w:ascii="Times New Roman" w:hAnsi="Times New Roman" w:cs="Times New Roman"/>
                <w:noProof/>
              </w:rPr>
              <w:t>3.3 Justification of the Secondary-Data Case Study Methodology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19</w:t>
            </w:r>
            <w:r w:rsidRPr="00B7140C">
              <w:rPr>
                <w:rFonts w:ascii="Times New Roman" w:hAnsi="Times New Roman" w:cs="Times New Roman"/>
                <w:noProof/>
                <w:webHidden/>
              </w:rPr>
              <w:fldChar w:fldCharType="end"/>
            </w:r>
          </w:hyperlink>
        </w:p>
        <w:p w14:paraId="571FA912" w14:textId="5521E965"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63" w:history="1">
            <w:r w:rsidRPr="00B7140C">
              <w:rPr>
                <w:rStyle w:val="Hyperlink"/>
                <w:rFonts w:ascii="Times New Roman" w:hAnsi="Times New Roman" w:cs="Times New Roman"/>
                <w:noProof/>
              </w:rPr>
              <w:t>3.4 Case Selection and Sampling Strategy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20</w:t>
            </w:r>
            <w:r w:rsidRPr="00B7140C">
              <w:rPr>
                <w:rFonts w:ascii="Times New Roman" w:hAnsi="Times New Roman" w:cs="Times New Roman"/>
                <w:noProof/>
                <w:webHidden/>
              </w:rPr>
              <w:fldChar w:fldCharType="end"/>
            </w:r>
          </w:hyperlink>
        </w:p>
        <w:p w14:paraId="74A5F80B" w14:textId="45433601"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4" w:history="1">
            <w:r w:rsidRPr="00B7140C">
              <w:rPr>
                <w:rStyle w:val="Hyperlink"/>
                <w:rFonts w:ascii="Times New Roman" w:hAnsi="Times New Roman" w:cs="Times New Roman"/>
                <w:noProof/>
              </w:rPr>
              <w:t>3.4.1 Focal UK skincare organisations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21</w:t>
            </w:r>
            <w:r w:rsidRPr="00B7140C">
              <w:rPr>
                <w:rFonts w:ascii="Times New Roman" w:hAnsi="Times New Roman" w:cs="Times New Roman"/>
                <w:noProof/>
                <w:webHidden/>
              </w:rPr>
              <w:fldChar w:fldCharType="end"/>
            </w:r>
          </w:hyperlink>
        </w:p>
        <w:p w14:paraId="1E29BC67" w14:textId="004F6561"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65" w:history="1">
            <w:r w:rsidRPr="00B7140C">
              <w:rPr>
                <w:rStyle w:val="Hyperlink"/>
                <w:rFonts w:ascii="Times New Roman" w:hAnsi="Times New Roman" w:cs="Times New Roman"/>
                <w:noProof/>
              </w:rPr>
              <w:t>3.5 Data Sources and Data Collection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22</w:t>
            </w:r>
            <w:r w:rsidRPr="00B7140C">
              <w:rPr>
                <w:rFonts w:ascii="Times New Roman" w:hAnsi="Times New Roman" w:cs="Times New Roman"/>
                <w:noProof/>
                <w:webHidden/>
              </w:rPr>
              <w:fldChar w:fldCharType="end"/>
            </w:r>
          </w:hyperlink>
        </w:p>
        <w:p w14:paraId="422D7F61" w14:textId="1286723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6" w:history="1">
            <w:r w:rsidRPr="00B7140C">
              <w:rPr>
                <w:rStyle w:val="Hyperlink"/>
                <w:rFonts w:ascii="Times New Roman" w:hAnsi="Times New Roman" w:cs="Times New Roman"/>
                <w:noProof/>
              </w:rPr>
              <w:t>3.5.1 Types of Secondary Data Sources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22</w:t>
            </w:r>
            <w:r w:rsidRPr="00B7140C">
              <w:rPr>
                <w:rFonts w:ascii="Times New Roman" w:hAnsi="Times New Roman" w:cs="Times New Roman"/>
                <w:noProof/>
                <w:webHidden/>
              </w:rPr>
              <w:fldChar w:fldCharType="end"/>
            </w:r>
          </w:hyperlink>
        </w:p>
        <w:p w14:paraId="667C7C69" w14:textId="7561C402"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7" w:history="1">
            <w:r w:rsidRPr="00B7140C">
              <w:rPr>
                <w:rStyle w:val="Hyperlink"/>
                <w:rFonts w:ascii="Times New Roman" w:hAnsi="Times New Roman" w:cs="Times New Roman"/>
                <w:noProof/>
              </w:rPr>
              <w:t>3.5.2 Data Collection Process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23</w:t>
            </w:r>
            <w:r w:rsidRPr="00B7140C">
              <w:rPr>
                <w:rFonts w:ascii="Times New Roman" w:hAnsi="Times New Roman" w:cs="Times New Roman"/>
                <w:noProof/>
                <w:webHidden/>
              </w:rPr>
              <w:fldChar w:fldCharType="end"/>
            </w:r>
          </w:hyperlink>
        </w:p>
        <w:p w14:paraId="50BDAF9F" w14:textId="363DD446"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68" w:history="1">
            <w:r w:rsidRPr="00B7140C">
              <w:rPr>
                <w:rStyle w:val="Hyperlink"/>
                <w:rFonts w:ascii="Times New Roman" w:hAnsi="Times New Roman" w:cs="Times New Roman"/>
                <w:noProof/>
              </w:rPr>
              <w:t>3.6 Data Analysis Approach</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24</w:t>
            </w:r>
            <w:r w:rsidRPr="00B7140C">
              <w:rPr>
                <w:rFonts w:ascii="Times New Roman" w:hAnsi="Times New Roman" w:cs="Times New Roman"/>
                <w:noProof/>
                <w:webHidden/>
              </w:rPr>
              <w:fldChar w:fldCharType="end"/>
            </w:r>
          </w:hyperlink>
        </w:p>
        <w:p w14:paraId="18073AAF" w14:textId="2617D372"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69" w:history="1">
            <w:r w:rsidRPr="00B7140C">
              <w:rPr>
                <w:rStyle w:val="Hyperlink"/>
                <w:rFonts w:ascii="Times New Roman" w:hAnsi="Times New Roman" w:cs="Times New Roman"/>
                <w:noProof/>
              </w:rPr>
              <w:t>3.6.1 Extraction and quality appraisal</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_Toc240238869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24</w:t>
            </w:r>
            <w:r w:rsidRPr="00B7140C">
              <w:rPr>
                <w:rFonts w:ascii="Times New Roman" w:hAnsi="Times New Roman" w:cs="Times New Roman"/>
                <w:noProof/>
                <w:webHidden/>
              </w:rPr>
              <w:fldChar w:fldCharType="end"/>
            </w:r>
          </w:hyperlink>
        </w:p>
        <w:p w14:paraId="68630FD5" w14:textId="72197AD7"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70" w:history="1">
            <w:r w:rsidRPr="00B7140C">
              <w:rPr>
                <w:rStyle w:val="Hyperlink"/>
                <w:rFonts w:ascii="Times New Roman" w:hAnsi="Times New Roman" w:cs="Times New Roman"/>
                <w:noProof/>
              </w:rPr>
              <w:t>3.6.2 Directed thematic analysis and narrative synthesis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24</w:t>
            </w:r>
            <w:r w:rsidRPr="00B7140C">
              <w:rPr>
                <w:rFonts w:ascii="Times New Roman" w:hAnsi="Times New Roman" w:cs="Times New Roman"/>
                <w:noProof/>
                <w:webHidden/>
              </w:rPr>
              <w:fldChar w:fldCharType="end"/>
            </w:r>
          </w:hyperlink>
        </w:p>
        <w:p w14:paraId="3B634A6D" w14:textId="7A39A9F8"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71" w:history="1">
            <w:r w:rsidRPr="00B7140C">
              <w:rPr>
                <w:rStyle w:val="Hyperlink"/>
                <w:rFonts w:ascii="Times New Roman" w:hAnsi="Times New Roman" w:cs="Times New Roman"/>
                <w:noProof/>
              </w:rPr>
              <w:t>3.7 Research Quality and Rigour</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25</w:t>
            </w:r>
            <w:r w:rsidRPr="00B7140C">
              <w:rPr>
                <w:rFonts w:ascii="Times New Roman" w:hAnsi="Times New Roman" w:cs="Times New Roman"/>
                <w:noProof/>
                <w:webHidden/>
              </w:rPr>
              <w:fldChar w:fldCharType="end"/>
            </w:r>
          </w:hyperlink>
        </w:p>
        <w:p w14:paraId="6B2B0E96" w14:textId="372C78C4"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72" w:history="1">
            <w:r w:rsidRPr="00B7140C">
              <w:rPr>
                <w:rStyle w:val="Hyperlink"/>
                <w:rFonts w:ascii="Times New Roman" w:hAnsi="Times New Roman" w:cs="Times New Roman"/>
                <w:noProof/>
              </w:rPr>
              <w:t>3.8 Ethical Considerations and Data Management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26</w:t>
            </w:r>
            <w:r w:rsidRPr="00B7140C">
              <w:rPr>
                <w:rFonts w:ascii="Times New Roman" w:hAnsi="Times New Roman" w:cs="Times New Roman"/>
                <w:noProof/>
                <w:webHidden/>
              </w:rPr>
              <w:fldChar w:fldCharType="end"/>
            </w:r>
          </w:hyperlink>
        </w:p>
        <w:p w14:paraId="6DDB8C45" w14:textId="6F9E4B32"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73" w:history="1">
            <w:r w:rsidRPr="00B7140C">
              <w:rPr>
                <w:rStyle w:val="Hyperlink"/>
                <w:rFonts w:ascii="Times New Roman" w:hAnsi="Times New Roman" w:cs="Times New Roman"/>
                <w:noProof/>
              </w:rPr>
              <w:t>3.9 Chapter Summary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26</w:t>
            </w:r>
            <w:r w:rsidRPr="00B7140C">
              <w:rPr>
                <w:rFonts w:ascii="Times New Roman" w:hAnsi="Times New Roman" w:cs="Times New Roman"/>
                <w:noProof/>
                <w:webHidden/>
              </w:rPr>
              <w:fldChar w:fldCharType="end"/>
            </w:r>
          </w:hyperlink>
        </w:p>
        <w:p w14:paraId="1AA135F8" w14:textId="2C2C42D1"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874" w:history="1">
            <w:r w:rsidRPr="00B7140C">
              <w:rPr>
                <w:rStyle w:val="Hyperlink"/>
                <w:rFonts w:ascii="Times New Roman" w:hAnsi="Times New Roman" w:cs="Times New Roman"/>
                <w:noProof/>
              </w:rPr>
              <w:t>Chapter 4: Findings and Cross-Case Analysis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28</w:t>
            </w:r>
            <w:r w:rsidRPr="00B7140C">
              <w:rPr>
                <w:rFonts w:ascii="Times New Roman" w:hAnsi="Times New Roman" w:cs="Times New Roman"/>
                <w:noProof/>
                <w:webHidden/>
              </w:rPr>
              <w:fldChar w:fldCharType="end"/>
            </w:r>
          </w:hyperlink>
        </w:p>
        <w:p w14:paraId="35A02B29" w14:textId="29ABF122"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75" w:history="1">
            <w:r w:rsidRPr="00B7140C">
              <w:rPr>
                <w:rStyle w:val="Hyperlink"/>
                <w:rFonts w:ascii="Times New Roman" w:hAnsi="Times New Roman" w:cs="Times New Roman"/>
                <w:noProof/>
              </w:rPr>
              <w:t>4.1 Introduction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28</w:t>
            </w:r>
            <w:r w:rsidRPr="00B7140C">
              <w:rPr>
                <w:rFonts w:ascii="Times New Roman" w:hAnsi="Times New Roman" w:cs="Times New Roman"/>
                <w:noProof/>
                <w:webHidden/>
              </w:rPr>
              <w:fldChar w:fldCharType="end"/>
            </w:r>
          </w:hyperlink>
        </w:p>
        <w:p w14:paraId="5CA482FC" w14:textId="6BE23929"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76" w:history="1">
            <w:r w:rsidRPr="00B7140C">
              <w:rPr>
                <w:rStyle w:val="Hyperlink"/>
                <w:rFonts w:ascii="Times New Roman" w:hAnsi="Times New Roman" w:cs="Times New Roman"/>
                <w:noProof/>
              </w:rPr>
              <w:t>4.2 Case Study 1: The INKEY List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28</w:t>
            </w:r>
            <w:r w:rsidRPr="00B7140C">
              <w:rPr>
                <w:rFonts w:ascii="Times New Roman" w:hAnsi="Times New Roman" w:cs="Times New Roman"/>
                <w:noProof/>
                <w:webHidden/>
              </w:rPr>
              <w:fldChar w:fldCharType="end"/>
            </w:r>
          </w:hyperlink>
        </w:p>
        <w:p w14:paraId="2E41D524" w14:textId="57828377"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77" w:history="1">
            <w:r w:rsidRPr="00B7140C">
              <w:rPr>
                <w:rStyle w:val="Hyperlink"/>
                <w:rFonts w:ascii="Times New Roman" w:hAnsi="Times New Roman" w:cs="Times New Roman"/>
                <w:noProof/>
              </w:rPr>
              <w:t>4.2.1 The INKEY List: Introduction and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28</w:t>
            </w:r>
            <w:r w:rsidRPr="00B7140C">
              <w:rPr>
                <w:rFonts w:ascii="Times New Roman" w:hAnsi="Times New Roman" w:cs="Times New Roman"/>
                <w:noProof/>
                <w:webHidden/>
              </w:rPr>
              <w:fldChar w:fldCharType="end"/>
            </w:r>
          </w:hyperlink>
        </w:p>
        <w:p w14:paraId="2E9A8685" w14:textId="1ACABA72"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78" w:history="1">
            <w:r w:rsidRPr="00B7140C">
              <w:rPr>
                <w:rStyle w:val="Hyperlink"/>
                <w:rFonts w:ascii="Times New Roman" w:hAnsi="Times New Roman" w:cs="Times New Roman"/>
                <w:noProof/>
              </w:rPr>
              <w:t>4.2.2 The INKEY List: The Challenge or Opportunity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28</w:t>
            </w:r>
            <w:r w:rsidRPr="00B7140C">
              <w:rPr>
                <w:rFonts w:ascii="Times New Roman" w:hAnsi="Times New Roman" w:cs="Times New Roman"/>
                <w:noProof/>
                <w:webHidden/>
              </w:rPr>
              <w:fldChar w:fldCharType="end"/>
            </w:r>
          </w:hyperlink>
        </w:p>
        <w:p w14:paraId="792757E2" w14:textId="7B96461A"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79" w:history="1">
            <w:r w:rsidRPr="00B7140C">
              <w:rPr>
                <w:rStyle w:val="Hyperlink"/>
                <w:rFonts w:ascii="Times New Roman" w:hAnsi="Times New Roman" w:cs="Times New Roman"/>
                <w:noProof/>
              </w:rPr>
              <w:t>4.2.3 The INKEY List: The Approach and Implementation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_Toc240238879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29</w:t>
            </w:r>
            <w:r w:rsidRPr="00B7140C">
              <w:rPr>
                <w:rFonts w:ascii="Times New Roman" w:hAnsi="Times New Roman" w:cs="Times New Roman"/>
                <w:noProof/>
                <w:webHidden/>
              </w:rPr>
              <w:fldChar w:fldCharType="end"/>
            </w:r>
          </w:hyperlink>
        </w:p>
        <w:p w14:paraId="75636273" w14:textId="0F770B71"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0" w:history="1">
            <w:r w:rsidRPr="00B7140C">
              <w:rPr>
                <w:rStyle w:val="Hyperlink"/>
                <w:rFonts w:ascii="Times New Roman" w:hAnsi="Times New Roman" w:cs="Times New Roman"/>
                <w:noProof/>
              </w:rPr>
              <w:t>4.2.4 The INKEY List: Outcomes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29</w:t>
            </w:r>
            <w:r w:rsidRPr="00B7140C">
              <w:rPr>
                <w:rFonts w:ascii="Times New Roman" w:hAnsi="Times New Roman" w:cs="Times New Roman"/>
                <w:noProof/>
                <w:webHidden/>
              </w:rPr>
              <w:fldChar w:fldCharType="end"/>
            </w:r>
          </w:hyperlink>
        </w:p>
        <w:p w14:paraId="00C4BE9B" w14:textId="2878FF46"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81" w:history="1">
            <w:r w:rsidRPr="00B7140C">
              <w:rPr>
                <w:rStyle w:val="Hyperlink"/>
                <w:rFonts w:ascii="Times New Roman" w:hAnsi="Times New Roman" w:cs="Times New Roman"/>
                <w:noProof/>
              </w:rPr>
              <w:t>4.3 Case Study 2: Pai Skincare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30</w:t>
            </w:r>
            <w:r w:rsidRPr="00B7140C">
              <w:rPr>
                <w:rFonts w:ascii="Times New Roman" w:hAnsi="Times New Roman" w:cs="Times New Roman"/>
                <w:noProof/>
                <w:webHidden/>
              </w:rPr>
              <w:fldChar w:fldCharType="end"/>
            </w:r>
          </w:hyperlink>
        </w:p>
        <w:p w14:paraId="16D0F848" w14:textId="008D6F06"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2" w:history="1">
            <w:r w:rsidRPr="00B7140C">
              <w:rPr>
                <w:rStyle w:val="Hyperlink"/>
                <w:rFonts w:ascii="Times New Roman" w:hAnsi="Times New Roman" w:cs="Times New Roman"/>
                <w:noProof/>
              </w:rPr>
              <w:t>4.3.1 Pai Skincare: Introduction and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30</w:t>
            </w:r>
            <w:r w:rsidRPr="00B7140C">
              <w:rPr>
                <w:rFonts w:ascii="Times New Roman" w:hAnsi="Times New Roman" w:cs="Times New Roman"/>
                <w:noProof/>
                <w:webHidden/>
              </w:rPr>
              <w:fldChar w:fldCharType="end"/>
            </w:r>
          </w:hyperlink>
        </w:p>
        <w:p w14:paraId="69D1AFEE" w14:textId="04F8A81F"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3" w:history="1">
            <w:r w:rsidRPr="00B7140C">
              <w:rPr>
                <w:rStyle w:val="Hyperlink"/>
                <w:rFonts w:ascii="Times New Roman" w:hAnsi="Times New Roman" w:cs="Times New Roman"/>
                <w:noProof/>
              </w:rPr>
              <w:t>4.3.2 Pai Skincare: The Challenge or Opportunity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30</w:t>
            </w:r>
            <w:r w:rsidRPr="00B7140C">
              <w:rPr>
                <w:rFonts w:ascii="Times New Roman" w:hAnsi="Times New Roman" w:cs="Times New Roman"/>
                <w:noProof/>
                <w:webHidden/>
              </w:rPr>
              <w:fldChar w:fldCharType="end"/>
            </w:r>
          </w:hyperlink>
        </w:p>
        <w:p w14:paraId="2C5737A2" w14:textId="3CD38A4C"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4" w:history="1">
            <w:r w:rsidRPr="00B7140C">
              <w:rPr>
                <w:rStyle w:val="Hyperlink"/>
                <w:rFonts w:ascii="Times New Roman" w:hAnsi="Times New Roman" w:cs="Times New Roman"/>
                <w:noProof/>
              </w:rPr>
              <w:t>4.3.3 Pai Skincare: The Approach and Implementation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31</w:t>
            </w:r>
            <w:r w:rsidRPr="00B7140C">
              <w:rPr>
                <w:rFonts w:ascii="Times New Roman" w:hAnsi="Times New Roman" w:cs="Times New Roman"/>
                <w:noProof/>
                <w:webHidden/>
              </w:rPr>
              <w:fldChar w:fldCharType="end"/>
            </w:r>
          </w:hyperlink>
        </w:p>
        <w:p w14:paraId="28FE0EE1" w14:textId="27E39045"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5" w:history="1">
            <w:r w:rsidRPr="00B7140C">
              <w:rPr>
                <w:rStyle w:val="Hyperlink"/>
                <w:rFonts w:ascii="Times New Roman" w:hAnsi="Times New Roman" w:cs="Times New Roman"/>
                <w:noProof/>
              </w:rPr>
              <w:t>4.3.4 Pai Skincare: Outcomes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31</w:t>
            </w:r>
            <w:r w:rsidRPr="00B7140C">
              <w:rPr>
                <w:rFonts w:ascii="Times New Roman" w:hAnsi="Times New Roman" w:cs="Times New Roman"/>
                <w:noProof/>
                <w:webHidden/>
              </w:rPr>
              <w:fldChar w:fldCharType="end"/>
            </w:r>
          </w:hyperlink>
        </w:p>
        <w:p w14:paraId="358D9D17" w14:textId="24C75587"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86" w:history="1">
            <w:r w:rsidRPr="00B7140C">
              <w:rPr>
                <w:rStyle w:val="Hyperlink"/>
                <w:rFonts w:ascii="Times New Roman" w:hAnsi="Times New Roman" w:cs="Times New Roman"/>
                <w:noProof/>
              </w:rPr>
              <w:t>4.4 Case Study 3: Revolution Skincare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32</w:t>
            </w:r>
            <w:r w:rsidRPr="00B7140C">
              <w:rPr>
                <w:rFonts w:ascii="Times New Roman" w:hAnsi="Times New Roman" w:cs="Times New Roman"/>
                <w:noProof/>
                <w:webHidden/>
              </w:rPr>
              <w:fldChar w:fldCharType="end"/>
            </w:r>
          </w:hyperlink>
        </w:p>
        <w:p w14:paraId="14D03C8C" w14:textId="134E94C5"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7" w:history="1">
            <w:r w:rsidRPr="00B7140C">
              <w:rPr>
                <w:rStyle w:val="Hyperlink"/>
                <w:rFonts w:ascii="Times New Roman" w:hAnsi="Times New Roman" w:cs="Times New Roman"/>
                <w:noProof/>
              </w:rPr>
              <w:t>4.4.1 Revolution Skincare: Introduction and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32</w:t>
            </w:r>
            <w:r w:rsidRPr="00B7140C">
              <w:rPr>
                <w:rFonts w:ascii="Times New Roman" w:hAnsi="Times New Roman" w:cs="Times New Roman"/>
                <w:noProof/>
                <w:webHidden/>
              </w:rPr>
              <w:fldChar w:fldCharType="end"/>
            </w:r>
          </w:hyperlink>
        </w:p>
        <w:p w14:paraId="13AF7B63" w14:textId="465369BD"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8" w:history="1">
            <w:r w:rsidRPr="00B7140C">
              <w:rPr>
                <w:rStyle w:val="Hyperlink"/>
                <w:rFonts w:ascii="Times New Roman" w:hAnsi="Times New Roman" w:cs="Times New Roman"/>
                <w:noProof/>
              </w:rPr>
              <w:t>4.4.2 Revolution Skincare: The Challenge or Opportunity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32</w:t>
            </w:r>
            <w:r w:rsidRPr="00B7140C">
              <w:rPr>
                <w:rFonts w:ascii="Times New Roman" w:hAnsi="Times New Roman" w:cs="Times New Roman"/>
                <w:noProof/>
                <w:webHidden/>
              </w:rPr>
              <w:fldChar w:fldCharType="end"/>
            </w:r>
          </w:hyperlink>
        </w:p>
        <w:p w14:paraId="4E1D451A" w14:textId="0A33AE6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89" w:history="1">
            <w:r w:rsidRPr="00B7140C">
              <w:rPr>
                <w:rStyle w:val="Hyperlink"/>
                <w:rFonts w:ascii="Times New Roman" w:hAnsi="Times New Roman" w:cs="Times New Roman"/>
                <w:noProof/>
              </w:rPr>
              <w:t>4.4.3 Revolution Skincare: The Approach and Implementation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_Toc240238889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33</w:t>
            </w:r>
            <w:r w:rsidRPr="00B7140C">
              <w:rPr>
                <w:rFonts w:ascii="Times New Roman" w:hAnsi="Times New Roman" w:cs="Times New Roman"/>
                <w:noProof/>
                <w:webHidden/>
              </w:rPr>
              <w:fldChar w:fldCharType="end"/>
            </w:r>
          </w:hyperlink>
        </w:p>
        <w:p w14:paraId="53F0E2DE" w14:textId="6AF73123"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0" w:history="1">
            <w:r w:rsidRPr="00B7140C">
              <w:rPr>
                <w:rStyle w:val="Hyperlink"/>
                <w:rFonts w:ascii="Times New Roman" w:hAnsi="Times New Roman" w:cs="Times New Roman"/>
                <w:noProof/>
              </w:rPr>
              <w:t>4.4.4 Revolution Skincare: Outcomes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33</w:t>
            </w:r>
            <w:r w:rsidRPr="00B7140C">
              <w:rPr>
                <w:rFonts w:ascii="Times New Roman" w:hAnsi="Times New Roman" w:cs="Times New Roman"/>
                <w:noProof/>
                <w:webHidden/>
              </w:rPr>
              <w:fldChar w:fldCharType="end"/>
            </w:r>
          </w:hyperlink>
        </w:p>
        <w:p w14:paraId="5B3C321E" w14:textId="08B215AD"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91" w:history="1">
            <w:r w:rsidRPr="00B7140C">
              <w:rPr>
                <w:rStyle w:val="Hyperlink"/>
                <w:rFonts w:ascii="Times New Roman" w:hAnsi="Times New Roman" w:cs="Times New Roman"/>
                <w:noProof/>
              </w:rPr>
              <w:t>4.5 Case Study 4: No7</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34</w:t>
            </w:r>
            <w:r w:rsidRPr="00B7140C">
              <w:rPr>
                <w:rFonts w:ascii="Times New Roman" w:hAnsi="Times New Roman" w:cs="Times New Roman"/>
                <w:noProof/>
                <w:webHidden/>
              </w:rPr>
              <w:fldChar w:fldCharType="end"/>
            </w:r>
          </w:hyperlink>
        </w:p>
        <w:p w14:paraId="2F5B9013" w14:textId="2464F1C5"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2" w:history="1">
            <w:r w:rsidRPr="00B7140C">
              <w:rPr>
                <w:rStyle w:val="Hyperlink"/>
                <w:rFonts w:ascii="Times New Roman" w:hAnsi="Times New Roman" w:cs="Times New Roman"/>
                <w:noProof/>
              </w:rPr>
              <w:t>4.5.1 No7: Introduction and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34</w:t>
            </w:r>
            <w:r w:rsidRPr="00B7140C">
              <w:rPr>
                <w:rFonts w:ascii="Times New Roman" w:hAnsi="Times New Roman" w:cs="Times New Roman"/>
                <w:noProof/>
                <w:webHidden/>
              </w:rPr>
              <w:fldChar w:fldCharType="end"/>
            </w:r>
          </w:hyperlink>
        </w:p>
        <w:p w14:paraId="66B3074F" w14:textId="25676814"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3" w:history="1">
            <w:r w:rsidRPr="00B7140C">
              <w:rPr>
                <w:rStyle w:val="Hyperlink"/>
                <w:rFonts w:ascii="Times New Roman" w:hAnsi="Times New Roman" w:cs="Times New Roman"/>
                <w:noProof/>
              </w:rPr>
              <w:t>4.5.2 No7: The Challenge or Opportunity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34</w:t>
            </w:r>
            <w:r w:rsidRPr="00B7140C">
              <w:rPr>
                <w:rFonts w:ascii="Times New Roman" w:hAnsi="Times New Roman" w:cs="Times New Roman"/>
                <w:noProof/>
                <w:webHidden/>
              </w:rPr>
              <w:fldChar w:fldCharType="end"/>
            </w:r>
          </w:hyperlink>
        </w:p>
        <w:p w14:paraId="7D2C5CCE" w14:textId="257228B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4" w:history="1">
            <w:r w:rsidRPr="00B7140C">
              <w:rPr>
                <w:rStyle w:val="Hyperlink"/>
                <w:rFonts w:ascii="Times New Roman" w:hAnsi="Times New Roman" w:cs="Times New Roman"/>
                <w:noProof/>
              </w:rPr>
              <w:t>4.5.3 No7: The Approach and Implementation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35</w:t>
            </w:r>
            <w:r w:rsidRPr="00B7140C">
              <w:rPr>
                <w:rFonts w:ascii="Times New Roman" w:hAnsi="Times New Roman" w:cs="Times New Roman"/>
                <w:noProof/>
                <w:webHidden/>
              </w:rPr>
              <w:fldChar w:fldCharType="end"/>
            </w:r>
          </w:hyperlink>
        </w:p>
        <w:p w14:paraId="29F13563" w14:textId="45B041C8"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5" w:history="1">
            <w:r w:rsidRPr="00B7140C">
              <w:rPr>
                <w:rStyle w:val="Hyperlink"/>
                <w:rFonts w:ascii="Times New Roman" w:hAnsi="Times New Roman" w:cs="Times New Roman"/>
                <w:noProof/>
              </w:rPr>
              <w:t>4.5.4 No7: Outcomes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35</w:t>
            </w:r>
            <w:r w:rsidRPr="00B7140C">
              <w:rPr>
                <w:rFonts w:ascii="Times New Roman" w:hAnsi="Times New Roman" w:cs="Times New Roman"/>
                <w:noProof/>
                <w:webHidden/>
              </w:rPr>
              <w:fldChar w:fldCharType="end"/>
            </w:r>
          </w:hyperlink>
        </w:p>
        <w:p w14:paraId="2599D5D5" w14:textId="1D610B7E"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896" w:history="1">
            <w:r w:rsidRPr="00B7140C">
              <w:rPr>
                <w:rStyle w:val="Hyperlink"/>
                <w:rFonts w:ascii="Times New Roman" w:hAnsi="Times New Roman" w:cs="Times New Roman"/>
                <w:noProof/>
              </w:rPr>
              <w:t>4.6 Case Study 5: Skin + Me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35</w:t>
            </w:r>
            <w:r w:rsidRPr="00B7140C">
              <w:rPr>
                <w:rFonts w:ascii="Times New Roman" w:hAnsi="Times New Roman" w:cs="Times New Roman"/>
                <w:noProof/>
                <w:webHidden/>
              </w:rPr>
              <w:fldChar w:fldCharType="end"/>
            </w:r>
          </w:hyperlink>
        </w:p>
        <w:p w14:paraId="19AD0F11" w14:textId="30CB9A9F"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7" w:history="1">
            <w:r w:rsidRPr="00B7140C">
              <w:rPr>
                <w:rStyle w:val="Hyperlink"/>
                <w:rFonts w:ascii="Times New Roman" w:hAnsi="Times New Roman" w:cs="Times New Roman"/>
                <w:noProof/>
              </w:rPr>
              <w:t>4.6.1 Skin + Me: Introduction and Background</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35</w:t>
            </w:r>
            <w:r w:rsidRPr="00B7140C">
              <w:rPr>
                <w:rFonts w:ascii="Times New Roman" w:hAnsi="Times New Roman" w:cs="Times New Roman"/>
                <w:noProof/>
                <w:webHidden/>
              </w:rPr>
              <w:fldChar w:fldCharType="end"/>
            </w:r>
          </w:hyperlink>
        </w:p>
        <w:p w14:paraId="1F27CBFB" w14:textId="32911F27"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8" w:history="1">
            <w:r w:rsidRPr="00B7140C">
              <w:rPr>
                <w:rStyle w:val="Hyperlink"/>
                <w:rFonts w:ascii="Times New Roman" w:hAnsi="Times New Roman" w:cs="Times New Roman"/>
                <w:noProof/>
              </w:rPr>
              <w:t>4.6.2 Skin + Me: The Challenge or Opportunity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36</w:t>
            </w:r>
            <w:r w:rsidRPr="00B7140C">
              <w:rPr>
                <w:rFonts w:ascii="Times New Roman" w:hAnsi="Times New Roman" w:cs="Times New Roman"/>
                <w:noProof/>
                <w:webHidden/>
              </w:rPr>
              <w:fldChar w:fldCharType="end"/>
            </w:r>
          </w:hyperlink>
        </w:p>
        <w:p w14:paraId="54C916A0" w14:textId="7184DC28"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899" w:history="1">
            <w:r w:rsidRPr="00B7140C">
              <w:rPr>
                <w:rStyle w:val="Hyperlink"/>
                <w:rFonts w:ascii="Times New Roman" w:hAnsi="Times New Roman" w:cs="Times New Roman"/>
                <w:noProof/>
              </w:rPr>
              <w:t>4.6.3 Skin + Me: The Approach and Implementation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_Toc240238899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36</w:t>
            </w:r>
            <w:r w:rsidRPr="00B7140C">
              <w:rPr>
                <w:rFonts w:ascii="Times New Roman" w:hAnsi="Times New Roman" w:cs="Times New Roman"/>
                <w:noProof/>
                <w:webHidden/>
              </w:rPr>
              <w:fldChar w:fldCharType="end"/>
            </w:r>
          </w:hyperlink>
        </w:p>
        <w:p w14:paraId="4175EC0A" w14:textId="64FC62C4"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00" w:history="1">
            <w:r w:rsidRPr="00B7140C">
              <w:rPr>
                <w:rStyle w:val="Hyperlink"/>
                <w:rFonts w:ascii="Times New Roman" w:hAnsi="Times New Roman" w:cs="Times New Roman"/>
                <w:noProof/>
              </w:rPr>
              <w:t>4.6.4 Skin + Me: Outcomes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36</w:t>
            </w:r>
            <w:r w:rsidRPr="00B7140C">
              <w:rPr>
                <w:rFonts w:ascii="Times New Roman" w:hAnsi="Times New Roman" w:cs="Times New Roman"/>
                <w:noProof/>
                <w:webHidden/>
              </w:rPr>
              <w:fldChar w:fldCharType="end"/>
            </w:r>
          </w:hyperlink>
        </w:p>
        <w:p w14:paraId="63ED1565" w14:textId="05A6413D"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01" w:history="1">
            <w:r w:rsidRPr="00B7140C">
              <w:rPr>
                <w:rStyle w:val="Hyperlink"/>
                <w:rFonts w:ascii="Times New Roman" w:hAnsi="Times New Roman" w:cs="Times New Roman"/>
                <w:noProof/>
              </w:rPr>
              <w:t>4.7 Summary of Cross-Case Analysis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38</w:t>
            </w:r>
            <w:r w:rsidRPr="00B7140C">
              <w:rPr>
                <w:rFonts w:ascii="Times New Roman" w:hAnsi="Times New Roman" w:cs="Times New Roman"/>
                <w:noProof/>
                <w:webHidden/>
              </w:rPr>
              <w:fldChar w:fldCharType="end"/>
            </w:r>
          </w:hyperlink>
        </w:p>
        <w:p w14:paraId="195AB4C3" w14:textId="6FE96548"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02" w:history="1">
            <w:r w:rsidRPr="00B7140C">
              <w:rPr>
                <w:rStyle w:val="Hyperlink"/>
                <w:rFonts w:ascii="Times New Roman" w:hAnsi="Times New Roman" w:cs="Times New Roman"/>
                <w:noProof/>
              </w:rPr>
              <w:t>4.7.1 Recurring Triggers Across the Organisation Cases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38</w:t>
            </w:r>
            <w:r w:rsidRPr="00B7140C">
              <w:rPr>
                <w:rFonts w:ascii="Times New Roman" w:hAnsi="Times New Roman" w:cs="Times New Roman"/>
                <w:noProof/>
                <w:webHidden/>
              </w:rPr>
              <w:fldChar w:fldCharType="end"/>
            </w:r>
          </w:hyperlink>
        </w:p>
        <w:p w14:paraId="47D553FD" w14:textId="677B6A3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03" w:history="1">
            <w:r w:rsidRPr="00B7140C">
              <w:rPr>
                <w:rStyle w:val="Hyperlink"/>
                <w:rFonts w:ascii="Times New Roman" w:hAnsi="Times New Roman" w:cs="Times New Roman"/>
                <w:noProof/>
              </w:rPr>
              <w:t>4.7.2 Common Response Patterns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38</w:t>
            </w:r>
            <w:r w:rsidRPr="00B7140C">
              <w:rPr>
                <w:rFonts w:ascii="Times New Roman" w:hAnsi="Times New Roman" w:cs="Times New Roman"/>
                <w:noProof/>
                <w:webHidden/>
              </w:rPr>
              <w:fldChar w:fldCharType="end"/>
            </w:r>
          </w:hyperlink>
        </w:p>
        <w:p w14:paraId="5E03DEC2" w14:textId="797C2EDB"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04" w:history="1">
            <w:r w:rsidRPr="00B7140C">
              <w:rPr>
                <w:rStyle w:val="Hyperlink"/>
                <w:rFonts w:ascii="Times New Roman" w:hAnsi="Times New Roman" w:cs="Times New Roman"/>
                <w:noProof/>
              </w:rPr>
              <w:t>4.7.3 Major Differences Between the Organisation Cases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38</w:t>
            </w:r>
            <w:r w:rsidRPr="00B7140C">
              <w:rPr>
                <w:rFonts w:ascii="Times New Roman" w:hAnsi="Times New Roman" w:cs="Times New Roman"/>
                <w:noProof/>
                <w:webHidden/>
              </w:rPr>
              <w:fldChar w:fldCharType="end"/>
            </w:r>
          </w:hyperlink>
        </w:p>
        <w:p w14:paraId="5585AE1D" w14:textId="3B467BE1"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05" w:history="1">
            <w:r w:rsidRPr="00B7140C">
              <w:rPr>
                <w:rStyle w:val="Hyperlink"/>
                <w:rFonts w:ascii="Times New Roman" w:hAnsi="Times New Roman" w:cs="Times New Roman"/>
                <w:noProof/>
              </w:rPr>
              <w:t>4.7.4 Emerging Relationship Between Execution and Results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38</w:t>
            </w:r>
            <w:r w:rsidRPr="00B7140C">
              <w:rPr>
                <w:rFonts w:ascii="Times New Roman" w:hAnsi="Times New Roman" w:cs="Times New Roman"/>
                <w:noProof/>
                <w:webHidden/>
              </w:rPr>
              <w:fldChar w:fldCharType="end"/>
            </w:r>
          </w:hyperlink>
        </w:p>
        <w:p w14:paraId="04756F1F" w14:textId="558CF031"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06" w:history="1">
            <w:r w:rsidRPr="00B7140C">
              <w:rPr>
                <w:rStyle w:val="Hyperlink"/>
                <w:rFonts w:ascii="Times New Roman" w:hAnsi="Times New Roman" w:cs="Times New Roman"/>
                <w:noProof/>
              </w:rPr>
              <w:t>4.8 Chapter Summary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40</w:t>
            </w:r>
            <w:r w:rsidRPr="00B7140C">
              <w:rPr>
                <w:rFonts w:ascii="Times New Roman" w:hAnsi="Times New Roman" w:cs="Times New Roman"/>
                <w:noProof/>
                <w:webHidden/>
              </w:rPr>
              <w:fldChar w:fldCharType="end"/>
            </w:r>
          </w:hyperlink>
        </w:p>
        <w:p w14:paraId="2834B0E9" w14:textId="12BA9D3A"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907" w:history="1">
            <w:r w:rsidRPr="00B7140C">
              <w:rPr>
                <w:rStyle w:val="Hyperlink"/>
                <w:rFonts w:ascii="Times New Roman" w:hAnsi="Times New Roman" w:cs="Times New Roman"/>
                <w:noProof/>
              </w:rPr>
              <w:t>Chapter 5: Discussion and Analysis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41</w:t>
            </w:r>
            <w:r w:rsidRPr="00B7140C">
              <w:rPr>
                <w:rFonts w:ascii="Times New Roman" w:hAnsi="Times New Roman" w:cs="Times New Roman"/>
                <w:noProof/>
                <w:webHidden/>
              </w:rPr>
              <w:fldChar w:fldCharType="end"/>
            </w:r>
          </w:hyperlink>
        </w:p>
        <w:p w14:paraId="08739A6A" w14:textId="1310A3A5"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08" w:history="1">
            <w:r w:rsidRPr="00B7140C">
              <w:rPr>
                <w:rStyle w:val="Hyperlink"/>
                <w:rFonts w:ascii="Times New Roman" w:hAnsi="Times New Roman" w:cs="Times New Roman"/>
                <w:noProof/>
              </w:rPr>
              <w:t>5.1 Purpose and Positioning</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41</w:t>
            </w:r>
            <w:r w:rsidRPr="00B7140C">
              <w:rPr>
                <w:rFonts w:ascii="Times New Roman" w:hAnsi="Times New Roman" w:cs="Times New Roman"/>
                <w:noProof/>
                <w:webHidden/>
              </w:rPr>
              <w:fldChar w:fldCharType="end"/>
            </w:r>
          </w:hyperlink>
        </w:p>
        <w:p w14:paraId="55F777B9" w14:textId="4D201E0F"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09" w:history="1">
            <w:r w:rsidRPr="00B7140C">
              <w:rPr>
                <w:rStyle w:val="Hyperlink"/>
                <w:rFonts w:ascii="Times New Roman" w:hAnsi="Times New Roman" w:cs="Times New Roman"/>
                <w:noProof/>
              </w:rPr>
              <w:t>5.2 Analytical Framework and Logic</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_Toc240238909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41</w:t>
            </w:r>
            <w:r w:rsidRPr="00B7140C">
              <w:rPr>
                <w:rFonts w:ascii="Times New Roman" w:hAnsi="Times New Roman" w:cs="Times New Roman"/>
                <w:noProof/>
                <w:webHidden/>
              </w:rPr>
              <w:fldChar w:fldCharType="end"/>
            </w:r>
          </w:hyperlink>
        </w:p>
        <w:p w14:paraId="11B8DC49" w14:textId="2FF150CC"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10" w:history="1">
            <w:r w:rsidRPr="00B7140C">
              <w:rPr>
                <w:rStyle w:val="Hyperlink"/>
                <w:rFonts w:ascii="Times New Roman" w:hAnsi="Times New Roman" w:cs="Times New Roman"/>
                <w:noProof/>
              </w:rPr>
              <w:t>5.3 Cross-Case Synthesis: Compare and Contrast with Literature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42</w:t>
            </w:r>
            <w:r w:rsidRPr="00B7140C">
              <w:rPr>
                <w:rFonts w:ascii="Times New Roman" w:hAnsi="Times New Roman" w:cs="Times New Roman"/>
                <w:noProof/>
                <w:webHidden/>
              </w:rPr>
              <w:fldChar w:fldCharType="end"/>
            </w:r>
          </w:hyperlink>
        </w:p>
        <w:p w14:paraId="7BE79B75" w14:textId="26670CA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11" w:history="1">
            <w:r w:rsidRPr="00B7140C">
              <w:rPr>
                <w:rStyle w:val="Hyperlink"/>
                <w:rFonts w:ascii="Times New Roman" w:hAnsi="Times New Roman" w:cs="Times New Roman"/>
                <w:noProof/>
              </w:rPr>
              <w:t>5.3.1 Credibility Hierarchy and Product–Creator Fit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42</w:t>
            </w:r>
            <w:r w:rsidRPr="00B7140C">
              <w:rPr>
                <w:rFonts w:ascii="Times New Roman" w:hAnsi="Times New Roman" w:cs="Times New Roman"/>
                <w:noProof/>
                <w:webHidden/>
              </w:rPr>
              <w:fldChar w:fldCharType="end"/>
            </w:r>
          </w:hyperlink>
        </w:p>
        <w:p w14:paraId="7F43C785" w14:textId="22070F1B"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12" w:history="1">
            <w:r w:rsidRPr="00B7140C">
              <w:rPr>
                <w:rStyle w:val="Hyperlink"/>
                <w:rFonts w:ascii="Times New Roman" w:hAnsi="Times New Roman" w:cs="Times New Roman"/>
                <w:noProof/>
              </w:rPr>
              <w:t>5.3.2 Authenticity, Homophily and Parasocial Attachment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43</w:t>
            </w:r>
            <w:r w:rsidRPr="00B7140C">
              <w:rPr>
                <w:rFonts w:ascii="Times New Roman" w:hAnsi="Times New Roman" w:cs="Times New Roman"/>
                <w:noProof/>
                <w:webHidden/>
              </w:rPr>
              <w:fldChar w:fldCharType="end"/>
            </w:r>
          </w:hyperlink>
        </w:p>
        <w:p w14:paraId="664A286F" w14:textId="57555832"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13" w:history="1">
            <w:r w:rsidRPr="00B7140C">
              <w:rPr>
                <w:rStyle w:val="Hyperlink"/>
                <w:rFonts w:ascii="Times New Roman" w:hAnsi="Times New Roman" w:cs="Times New Roman"/>
                <w:noProof/>
              </w:rPr>
              <w:t>5.3.3 Platform and Service Context as Boundary Conditions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44</w:t>
            </w:r>
            <w:r w:rsidRPr="00B7140C">
              <w:rPr>
                <w:rFonts w:ascii="Times New Roman" w:hAnsi="Times New Roman" w:cs="Times New Roman"/>
                <w:noProof/>
                <w:webHidden/>
              </w:rPr>
              <w:fldChar w:fldCharType="end"/>
            </w:r>
          </w:hyperlink>
        </w:p>
        <w:p w14:paraId="45FE128D" w14:textId="6B874C9F"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14" w:history="1">
            <w:r w:rsidRPr="00B7140C">
              <w:rPr>
                <w:rStyle w:val="Hyperlink"/>
                <w:rFonts w:ascii="Times New Roman" w:hAnsi="Times New Roman" w:cs="Times New Roman"/>
                <w:noProof/>
              </w:rPr>
              <w:t>5.3.4 Disclosure, Transparency and the Strength of Evidence</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45</w:t>
            </w:r>
            <w:r w:rsidRPr="00B7140C">
              <w:rPr>
                <w:rFonts w:ascii="Times New Roman" w:hAnsi="Times New Roman" w:cs="Times New Roman"/>
                <w:noProof/>
                <w:webHidden/>
              </w:rPr>
              <w:fldChar w:fldCharType="end"/>
            </w:r>
          </w:hyperlink>
        </w:p>
        <w:p w14:paraId="3F1A7819" w14:textId="1A32A066"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15" w:history="1">
            <w:r w:rsidRPr="00B7140C">
              <w:rPr>
                <w:rStyle w:val="Hyperlink"/>
                <w:rFonts w:ascii="Times New Roman" w:hAnsi="Times New Roman" w:cs="Times New Roman"/>
                <w:noProof/>
              </w:rPr>
              <w:t>5.4 Integration to the Conceptual Model or Propositions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46</w:t>
            </w:r>
            <w:r w:rsidRPr="00B7140C">
              <w:rPr>
                <w:rFonts w:ascii="Times New Roman" w:hAnsi="Times New Roman" w:cs="Times New Roman"/>
                <w:noProof/>
                <w:webHidden/>
              </w:rPr>
              <w:fldChar w:fldCharType="end"/>
            </w:r>
          </w:hyperlink>
        </w:p>
        <w:p w14:paraId="757E3EDB" w14:textId="2601F539"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16" w:history="1">
            <w:r w:rsidRPr="00B7140C">
              <w:rPr>
                <w:rStyle w:val="Hyperlink"/>
                <w:rFonts w:ascii="Times New Roman" w:hAnsi="Times New Roman" w:cs="Times New Roman"/>
                <w:noProof/>
              </w:rPr>
              <w:t>5.5 Robustness Considerations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47</w:t>
            </w:r>
            <w:r w:rsidRPr="00B7140C">
              <w:rPr>
                <w:rFonts w:ascii="Times New Roman" w:hAnsi="Times New Roman" w:cs="Times New Roman"/>
                <w:noProof/>
                <w:webHidden/>
              </w:rPr>
              <w:fldChar w:fldCharType="end"/>
            </w:r>
          </w:hyperlink>
        </w:p>
        <w:p w14:paraId="073E475B" w14:textId="441B2874"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17" w:history="1">
            <w:r w:rsidRPr="00B7140C">
              <w:rPr>
                <w:rStyle w:val="Hyperlink"/>
                <w:rFonts w:ascii="Times New Roman" w:hAnsi="Times New Roman" w:cs="Times New Roman"/>
                <w:noProof/>
              </w:rPr>
              <w:t>5.6 Practical Synthesis: Bridge to Chapter 6</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47</w:t>
            </w:r>
            <w:r w:rsidRPr="00B7140C">
              <w:rPr>
                <w:rFonts w:ascii="Times New Roman" w:hAnsi="Times New Roman" w:cs="Times New Roman"/>
                <w:noProof/>
                <w:webHidden/>
              </w:rPr>
              <w:fldChar w:fldCharType="end"/>
            </w:r>
          </w:hyperlink>
        </w:p>
        <w:p w14:paraId="7B4421D5" w14:textId="6D04362C"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18" w:history="1">
            <w:r w:rsidRPr="00B7140C">
              <w:rPr>
                <w:rStyle w:val="Hyperlink"/>
                <w:rFonts w:ascii="Times New Roman" w:hAnsi="Times New Roman" w:cs="Times New Roman"/>
                <w:noProof/>
              </w:rPr>
              <w:t>5.7 Chapter Summary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48</w:t>
            </w:r>
            <w:r w:rsidRPr="00B7140C">
              <w:rPr>
                <w:rFonts w:ascii="Times New Roman" w:hAnsi="Times New Roman" w:cs="Times New Roman"/>
                <w:noProof/>
                <w:webHidden/>
              </w:rPr>
              <w:fldChar w:fldCharType="end"/>
            </w:r>
          </w:hyperlink>
        </w:p>
        <w:p w14:paraId="7FD2D5EC" w14:textId="59433E8E"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919" w:history="1">
            <w:r w:rsidRPr="00B7140C">
              <w:rPr>
                <w:rStyle w:val="Hyperlink"/>
                <w:rFonts w:ascii="Times New Roman" w:hAnsi="Times New Roman" w:cs="Times New Roman"/>
                <w:noProof/>
              </w:rPr>
              <w:t>Chapter 6: Conclusion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_Toc240238919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50</w:t>
            </w:r>
            <w:r w:rsidRPr="00B7140C">
              <w:rPr>
                <w:rFonts w:ascii="Times New Roman" w:hAnsi="Times New Roman" w:cs="Times New Roman"/>
                <w:noProof/>
                <w:webHidden/>
              </w:rPr>
              <w:fldChar w:fldCharType="end"/>
            </w:r>
          </w:hyperlink>
        </w:p>
        <w:p w14:paraId="5665AE27" w14:textId="426E940D"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20" w:history="1">
            <w:r w:rsidRPr="00B7140C">
              <w:rPr>
                <w:rStyle w:val="Hyperlink"/>
                <w:rFonts w:ascii="Times New Roman" w:hAnsi="Times New Roman" w:cs="Times New Roman"/>
                <w:noProof/>
              </w:rPr>
              <w:t>6.1 Introduction</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_Toc240238920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50</w:t>
            </w:r>
            <w:r w:rsidRPr="00B7140C">
              <w:rPr>
                <w:rFonts w:ascii="Times New Roman" w:hAnsi="Times New Roman" w:cs="Times New Roman"/>
                <w:noProof/>
                <w:webHidden/>
              </w:rPr>
              <w:fldChar w:fldCharType="end"/>
            </w:r>
          </w:hyperlink>
        </w:p>
        <w:p w14:paraId="15D6EBE8" w14:textId="3A51C0DB"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921" w:history="1">
            <w:r w:rsidRPr="00B7140C">
              <w:rPr>
                <w:rStyle w:val="Hyperlink"/>
                <w:rFonts w:ascii="Times New Roman" w:hAnsi="Times New Roman" w:cs="Times New Roman"/>
                <w:noProof/>
              </w:rPr>
              <w:t>6.2 Brief Summary of Key Findings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_Toc240238921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51</w:t>
            </w:r>
            <w:r w:rsidRPr="00B7140C">
              <w:rPr>
                <w:rFonts w:ascii="Times New Roman" w:hAnsi="Times New Roman" w:cs="Times New Roman"/>
                <w:noProof/>
                <w:webHidden/>
              </w:rPr>
              <w:fldChar w:fldCharType="end"/>
            </w:r>
          </w:hyperlink>
        </w:p>
        <w:p w14:paraId="7124DFAC" w14:textId="613BC7AD"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22" w:history="1">
            <w:r w:rsidRPr="00B7140C">
              <w:rPr>
                <w:rStyle w:val="Hyperlink"/>
                <w:rFonts w:ascii="Times New Roman" w:hAnsi="Times New Roman" w:cs="Times New Roman"/>
                <w:noProof/>
              </w:rPr>
              <w:t>6.3 Theoretical Implications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_Toc240238922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51</w:t>
            </w:r>
            <w:r w:rsidRPr="00B7140C">
              <w:rPr>
                <w:rFonts w:ascii="Times New Roman" w:hAnsi="Times New Roman" w:cs="Times New Roman"/>
                <w:noProof/>
                <w:webHidden/>
              </w:rPr>
              <w:fldChar w:fldCharType="end"/>
            </w:r>
          </w:hyperlink>
        </w:p>
        <w:p w14:paraId="2EA5B2C3" w14:textId="2F256A7E"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23" w:history="1">
            <w:r w:rsidRPr="00B7140C">
              <w:rPr>
                <w:rStyle w:val="Hyperlink"/>
                <w:rFonts w:ascii="Times New Roman" w:hAnsi="Times New Roman" w:cs="Times New Roman"/>
                <w:noProof/>
              </w:rPr>
              <w:t>6.3.1 Credibility as an Evidence-Calibrated Hierarchy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_Toc240238923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51</w:t>
            </w:r>
            <w:r w:rsidRPr="00B7140C">
              <w:rPr>
                <w:rFonts w:ascii="Times New Roman" w:hAnsi="Times New Roman" w:cs="Times New Roman"/>
                <w:noProof/>
                <w:webHidden/>
              </w:rPr>
              <w:fldChar w:fldCharType="end"/>
            </w:r>
          </w:hyperlink>
        </w:p>
        <w:p w14:paraId="25C79E43" w14:textId="48D25D32"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24" w:history="1">
            <w:r w:rsidRPr="00B7140C">
              <w:rPr>
                <w:rStyle w:val="Hyperlink"/>
                <w:rFonts w:ascii="Times New Roman" w:hAnsi="Times New Roman" w:cs="Times New Roman"/>
                <w:noProof/>
              </w:rPr>
              <w:t>6.3.2 Relational and Contextual Boundary Conditions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_Toc240238924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52</w:t>
            </w:r>
            <w:r w:rsidRPr="00B7140C">
              <w:rPr>
                <w:rFonts w:ascii="Times New Roman" w:hAnsi="Times New Roman" w:cs="Times New Roman"/>
                <w:noProof/>
                <w:webHidden/>
              </w:rPr>
              <w:fldChar w:fldCharType="end"/>
            </w:r>
          </w:hyperlink>
        </w:p>
        <w:p w14:paraId="760F2563" w14:textId="6A8F11EC" w:rsidR="00B7140C" w:rsidRPr="00B7140C" w:rsidRDefault="00B7140C">
          <w:pPr>
            <w:pStyle w:val="TOC3"/>
            <w:tabs>
              <w:tab w:val="right" w:leader="dot" w:pos="9016"/>
            </w:tabs>
            <w:rPr>
              <w:rFonts w:ascii="Times New Roman" w:hAnsi="Times New Roman" w:cs="Times New Roman"/>
              <w:noProof/>
              <w:kern w:val="2"/>
              <w:szCs w:val="24"/>
              <w14:ligatures w14:val="standardContextual"/>
            </w:rPr>
          </w:pPr>
          <w:hyperlink w:anchor="_Toc240238925" w:history="1">
            <w:r w:rsidRPr="00B7140C">
              <w:rPr>
                <w:rStyle w:val="Hyperlink"/>
                <w:rFonts w:ascii="Times New Roman" w:hAnsi="Times New Roman" w:cs="Times New Roman"/>
                <w:noProof/>
              </w:rPr>
              <w:t>6.3.3 Platform, Disclosure and the Refined Conceptual Pathway</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_Toc240238925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52</w:t>
            </w:r>
            <w:r w:rsidRPr="00B7140C">
              <w:rPr>
                <w:rFonts w:ascii="Times New Roman" w:hAnsi="Times New Roman" w:cs="Times New Roman"/>
                <w:noProof/>
                <w:webHidden/>
              </w:rPr>
              <w:fldChar w:fldCharType="end"/>
            </w:r>
          </w:hyperlink>
        </w:p>
        <w:p w14:paraId="3E1A37E2" w14:textId="43070D94"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26" w:history="1">
            <w:r w:rsidRPr="00B7140C">
              <w:rPr>
                <w:rStyle w:val="Hyperlink"/>
                <w:rFonts w:ascii="Times New Roman" w:hAnsi="Times New Roman" w:cs="Times New Roman"/>
                <w:noProof/>
              </w:rPr>
              <w:t>6.4 Managerial Implications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_Toc240238926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53</w:t>
            </w:r>
            <w:r w:rsidRPr="00B7140C">
              <w:rPr>
                <w:rFonts w:ascii="Times New Roman" w:hAnsi="Times New Roman" w:cs="Times New Roman"/>
                <w:noProof/>
                <w:webHidden/>
              </w:rPr>
              <w:fldChar w:fldCharType="end"/>
            </w:r>
          </w:hyperlink>
        </w:p>
        <w:p w14:paraId="0EDEA8C1" w14:textId="56385BF0"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27" w:history="1">
            <w:r w:rsidRPr="00B7140C">
              <w:rPr>
                <w:rStyle w:val="Hyperlink"/>
                <w:rFonts w:ascii="Times New Roman" w:hAnsi="Times New Roman" w:cs="Times New Roman"/>
                <w:noProof/>
              </w:rPr>
              <w:t>6.5 Limitations and Directions for Future Research</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_Toc240238927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54</w:t>
            </w:r>
            <w:r w:rsidRPr="00B7140C">
              <w:rPr>
                <w:rFonts w:ascii="Times New Roman" w:hAnsi="Times New Roman" w:cs="Times New Roman"/>
                <w:noProof/>
                <w:webHidden/>
              </w:rPr>
              <w:fldChar w:fldCharType="end"/>
            </w:r>
          </w:hyperlink>
        </w:p>
        <w:p w14:paraId="0EFCAAD0" w14:textId="54536646" w:rsidR="00B7140C" w:rsidRPr="00B7140C" w:rsidRDefault="00B7140C">
          <w:pPr>
            <w:pStyle w:val="TOC2"/>
            <w:tabs>
              <w:tab w:val="right" w:leader="dot" w:pos="9016"/>
            </w:tabs>
            <w:rPr>
              <w:rFonts w:ascii="Times New Roman" w:hAnsi="Times New Roman" w:cs="Times New Roman"/>
              <w:noProof/>
              <w:kern w:val="2"/>
              <w:szCs w:val="24"/>
              <w14:ligatures w14:val="standardContextual"/>
            </w:rPr>
          </w:pPr>
          <w:hyperlink w:anchor="_Toc240238928" w:history="1">
            <w:r w:rsidRPr="00B7140C">
              <w:rPr>
                <w:rStyle w:val="Hyperlink"/>
                <w:rFonts w:ascii="Times New Roman" w:hAnsi="Times New Roman" w:cs="Times New Roman"/>
                <w:noProof/>
              </w:rPr>
              <w:t>6.6 Closing Statement</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_Toc240238928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55</w:t>
            </w:r>
            <w:r w:rsidRPr="00B7140C">
              <w:rPr>
                <w:rFonts w:ascii="Times New Roman" w:hAnsi="Times New Roman" w:cs="Times New Roman"/>
                <w:noProof/>
                <w:webHidden/>
              </w:rPr>
              <w:fldChar w:fldCharType="end"/>
            </w:r>
          </w:hyperlink>
        </w:p>
        <w:p w14:paraId="0E31B7F8" w14:textId="2755FEB6" w:rsidR="00B7140C" w:rsidRPr="00B7140C" w:rsidRDefault="00B7140C">
          <w:pPr>
            <w:pStyle w:val="TOC1"/>
            <w:tabs>
              <w:tab w:val="right" w:leader="dot" w:pos="9016"/>
            </w:tabs>
            <w:rPr>
              <w:rFonts w:ascii="Times New Roman" w:hAnsi="Times New Roman" w:cs="Times New Roman"/>
              <w:noProof/>
              <w:kern w:val="2"/>
              <w:szCs w:val="24"/>
              <w14:ligatures w14:val="standardContextual"/>
            </w:rPr>
          </w:pPr>
          <w:hyperlink w:anchor="_Toc240238929" w:history="1">
            <w:r w:rsidRPr="00B7140C">
              <w:rPr>
                <w:rStyle w:val="Hyperlink"/>
                <w:rFonts w:ascii="Times New Roman" w:hAnsi="Times New Roman" w:cs="Times New Roman"/>
                <w:noProof/>
              </w:rPr>
              <w:t>References</w:t>
            </w:r>
            <w:r w:rsidRPr="00B7140C">
              <w:rPr>
                <w:rFonts w:ascii="Times New Roman" w:hAnsi="Times New Roman" w:cs="Times New Roman"/>
                <w:noProof/>
                <w:webHidden/>
              </w:rPr>
              <w:tab/>
            </w:r>
            <w:r w:rsidRPr="00B7140C">
              <w:rPr>
                <w:rFonts w:ascii="Times New Roman" w:hAnsi="Times New Roman" w:cs="Times New Roman"/>
                <w:noProof/>
                <w:webHidden/>
              </w:rPr>
              <w:fldChar w:fldCharType="begin"/>
            </w:r>
            <w:r w:rsidRPr="00B7140C">
              <w:rPr>
                <w:rFonts w:ascii="Times New Roman" w:hAnsi="Times New Roman" w:cs="Times New Roman"/>
                <w:noProof/>
                <w:webHidden/>
              </w:rPr>
              <w:instrText xml:space="preserve"> PAGEREF _Toc240238929 \h </w:instrText>
            </w:r>
            <w:r w:rsidRPr="00B7140C">
              <w:rPr>
                <w:rFonts w:ascii="Times New Roman" w:hAnsi="Times New Roman" w:cs="Times New Roman"/>
                <w:noProof/>
                <w:webHidden/>
              </w:rPr>
            </w:r>
            <w:r w:rsidRPr="00B7140C">
              <w:rPr>
                <w:rFonts w:ascii="Times New Roman" w:hAnsi="Times New Roman" w:cs="Times New Roman"/>
                <w:noProof/>
                <w:webHidden/>
              </w:rPr>
              <w:fldChar w:fldCharType="separate"/>
            </w:r>
            <w:r w:rsidRPr="00B7140C">
              <w:rPr>
                <w:rFonts w:ascii="Times New Roman" w:hAnsi="Times New Roman" w:cs="Times New Roman"/>
                <w:noProof/>
                <w:webHidden/>
              </w:rPr>
              <w:t>56</w:t>
            </w:r>
            <w:r w:rsidRPr="00B7140C">
              <w:rPr>
                <w:rFonts w:ascii="Times New Roman" w:hAnsi="Times New Roman" w:cs="Times New Roman"/>
                <w:noProof/>
                <w:webHidden/>
              </w:rPr>
              <w:fldChar w:fldCharType="end"/>
            </w:r>
          </w:hyperlink>
        </w:p>
        <w:p w14:paraId="4F08F5C4" w14:textId="246B66BC" w:rsidR="00A12B69" w:rsidRPr="00B7140C" w:rsidRDefault="00A12B69">
          <w:pPr>
            <w:rPr>
              <w:rFonts w:ascii="Times New Roman" w:hAnsi="Times New Roman" w:cs="Times New Roman"/>
              <w:color w:val="000000" w:themeColor="text1"/>
            </w:rPr>
          </w:pPr>
          <w:r w:rsidRPr="00B7140C">
            <w:rPr>
              <w:rFonts w:ascii="Times New Roman" w:hAnsi="Times New Roman" w:cs="Times New Roman"/>
              <w:b/>
              <w:bCs/>
              <w:noProof/>
              <w:color w:val="000000" w:themeColor="text1"/>
            </w:rPr>
            <w:fldChar w:fldCharType="end"/>
          </w:r>
        </w:p>
      </w:sdtContent>
    </w:sdt>
    <w:p w14:paraId="25C94A87" w14:textId="77777777" w:rsidR="00C62FA8" w:rsidRPr="00B7140C" w:rsidRDefault="00A12B69">
      <w:pPr>
        <w:tabs>
          <w:tab w:val="right" w:leader="dot" w:pos="9000"/>
        </w:tabs>
        <w:spacing w:after="40" w:line="240" w:lineRule="auto"/>
        <w:rPr>
          <w:rFonts w:ascii="Times New Roman" w:hAnsi="Times New Roman" w:cs="Times New Roman"/>
          <w:color w:val="000000" w:themeColor="text1"/>
          <w:sz w:val="21"/>
        </w:rPr>
      </w:pPr>
      <w:r w:rsidRPr="00B7140C">
        <w:rPr>
          <w:rFonts w:ascii="Times New Roman" w:hAnsi="Times New Roman" w:cs="Times New Roman"/>
          <w:color w:val="000000" w:themeColor="text1"/>
          <w:sz w:val="21"/>
        </w:rPr>
        <w:t xml:space="preserve"> </w:t>
      </w:r>
    </w:p>
    <w:p w14:paraId="363CED38"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5A653E75"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7919E26C"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711033DB"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15A244AF"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0D31A540" w14:textId="77777777" w:rsidR="00935020" w:rsidRPr="00B7140C" w:rsidRDefault="00935020">
      <w:pPr>
        <w:tabs>
          <w:tab w:val="right" w:leader="dot" w:pos="9000"/>
        </w:tabs>
        <w:spacing w:after="40" w:line="240" w:lineRule="auto"/>
        <w:rPr>
          <w:rFonts w:ascii="Times New Roman" w:hAnsi="Times New Roman" w:cs="Times New Roman"/>
          <w:color w:val="000000" w:themeColor="text1"/>
          <w:sz w:val="21"/>
        </w:rPr>
      </w:pPr>
    </w:p>
    <w:p w14:paraId="1590DCCB" w14:textId="77777777" w:rsidR="00C62FA8" w:rsidRPr="00B7140C" w:rsidRDefault="00682E2E" w:rsidP="00935020">
      <w:pPr>
        <w:pStyle w:val="Heading1"/>
        <w:rPr>
          <w:rFonts w:ascii="Times New Roman" w:hAnsi="Times New Roman" w:cs="Times New Roman"/>
          <w:color w:val="000000" w:themeColor="text1"/>
        </w:rPr>
      </w:pPr>
      <w:bookmarkStart w:id="4" w:name="_Toc240238835"/>
      <w:r w:rsidRPr="00B7140C">
        <w:rPr>
          <w:rFonts w:ascii="Times New Roman" w:hAnsi="Times New Roman" w:cs="Times New Roman"/>
          <w:color w:val="000000" w:themeColor="text1"/>
        </w:rPr>
        <w:lastRenderedPageBreak/>
        <w:t>List of Tables</w:t>
      </w:r>
      <w:bookmarkEnd w:id="4"/>
    </w:p>
    <w:p w14:paraId="71731D80"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2.1  Summary</w:t>
      </w:r>
      <w:proofErr w:type="gramEnd"/>
      <w:r w:rsidRPr="00B7140C">
        <w:rPr>
          <w:rFonts w:ascii="Times New Roman" w:hAnsi="Times New Roman" w:cs="Times New Roman"/>
          <w:color w:val="000000" w:themeColor="text1"/>
          <w:sz w:val="21"/>
        </w:rPr>
        <w:t xml:space="preserve"> table of key literature</w:t>
      </w:r>
      <w:r w:rsidRPr="00B7140C">
        <w:rPr>
          <w:rFonts w:ascii="Times New Roman" w:hAnsi="Times New Roman" w:cs="Times New Roman"/>
          <w:color w:val="000000" w:themeColor="text1"/>
          <w:sz w:val="21"/>
        </w:rPr>
        <w:tab/>
        <w:t>16</w:t>
      </w:r>
    </w:p>
    <w:p w14:paraId="683FBBD2"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3.1  Criterion</w:t>
      </w:r>
      <w:proofErr w:type="gramEnd"/>
      <w:r w:rsidRPr="00B7140C">
        <w:rPr>
          <w:rFonts w:ascii="Times New Roman" w:hAnsi="Times New Roman" w:cs="Times New Roman"/>
          <w:color w:val="000000" w:themeColor="text1"/>
          <w:sz w:val="21"/>
        </w:rPr>
        <w:t>-based evidence selection</w:t>
      </w:r>
      <w:r w:rsidRPr="00B7140C">
        <w:rPr>
          <w:rFonts w:ascii="Times New Roman" w:hAnsi="Times New Roman" w:cs="Times New Roman"/>
          <w:color w:val="000000" w:themeColor="text1"/>
          <w:sz w:val="21"/>
        </w:rPr>
        <w:tab/>
        <w:t>21</w:t>
      </w:r>
    </w:p>
    <w:p w14:paraId="70155F19"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3.2  Focal</w:t>
      </w:r>
      <w:proofErr w:type="gramEnd"/>
      <w:r w:rsidRPr="00B7140C">
        <w:rPr>
          <w:rFonts w:ascii="Times New Roman" w:hAnsi="Times New Roman" w:cs="Times New Roman"/>
          <w:color w:val="000000" w:themeColor="text1"/>
          <w:sz w:val="21"/>
        </w:rPr>
        <w:t xml:space="preserve"> UK skincare </w:t>
      </w:r>
      <w:proofErr w:type="spellStart"/>
      <w:r w:rsidRPr="00B7140C">
        <w:rPr>
          <w:rFonts w:ascii="Times New Roman" w:hAnsi="Times New Roman" w:cs="Times New Roman"/>
          <w:color w:val="000000" w:themeColor="text1"/>
          <w:sz w:val="21"/>
        </w:rPr>
        <w:t>organisational</w:t>
      </w:r>
      <w:proofErr w:type="spellEnd"/>
      <w:r w:rsidRPr="00B7140C">
        <w:rPr>
          <w:rFonts w:ascii="Times New Roman" w:hAnsi="Times New Roman" w:cs="Times New Roman"/>
          <w:color w:val="000000" w:themeColor="text1"/>
          <w:sz w:val="21"/>
        </w:rPr>
        <w:t xml:space="preserve"> contexts</w:t>
      </w:r>
      <w:r w:rsidRPr="00B7140C">
        <w:rPr>
          <w:rFonts w:ascii="Times New Roman" w:hAnsi="Times New Roman" w:cs="Times New Roman"/>
          <w:color w:val="000000" w:themeColor="text1"/>
          <w:sz w:val="21"/>
        </w:rPr>
        <w:tab/>
        <w:t>22</w:t>
      </w:r>
    </w:p>
    <w:p w14:paraId="7EEE2CED"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4.1  Profile</w:t>
      </w:r>
      <w:proofErr w:type="gramEnd"/>
      <w:r w:rsidRPr="00B7140C">
        <w:rPr>
          <w:rFonts w:ascii="Times New Roman" w:hAnsi="Times New Roman" w:cs="Times New Roman"/>
          <w:color w:val="000000" w:themeColor="text1"/>
          <w:sz w:val="21"/>
        </w:rPr>
        <w:t xml:space="preserve"> of the five UK skincare </w:t>
      </w:r>
      <w:proofErr w:type="spellStart"/>
      <w:r w:rsidRPr="00B7140C">
        <w:rPr>
          <w:rFonts w:ascii="Times New Roman" w:hAnsi="Times New Roman" w:cs="Times New Roman"/>
          <w:color w:val="000000" w:themeColor="text1"/>
          <w:sz w:val="21"/>
        </w:rPr>
        <w:t>organisation</w:t>
      </w:r>
      <w:proofErr w:type="spellEnd"/>
      <w:r w:rsidRPr="00B7140C">
        <w:rPr>
          <w:rFonts w:ascii="Times New Roman" w:hAnsi="Times New Roman" w:cs="Times New Roman"/>
          <w:color w:val="000000" w:themeColor="text1"/>
          <w:sz w:val="21"/>
        </w:rPr>
        <w:t xml:space="preserve"> cases</w:t>
      </w:r>
      <w:r w:rsidRPr="00B7140C">
        <w:rPr>
          <w:rFonts w:ascii="Times New Roman" w:hAnsi="Times New Roman" w:cs="Times New Roman"/>
          <w:color w:val="000000" w:themeColor="text1"/>
          <w:sz w:val="21"/>
        </w:rPr>
        <w:tab/>
        <w:t>36</w:t>
      </w:r>
    </w:p>
    <w:p w14:paraId="123E8134"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4.2  Cross</w:t>
      </w:r>
      <w:proofErr w:type="gramEnd"/>
      <w:r w:rsidRPr="00B7140C">
        <w:rPr>
          <w:rFonts w:ascii="Times New Roman" w:hAnsi="Times New Roman" w:cs="Times New Roman"/>
          <w:color w:val="000000" w:themeColor="text1"/>
          <w:sz w:val="21"/>
        </w:rPr>
        <w:t xml:space="preserve">-case comparison of the five </w:t>
      </w:r>
      <w:proofErr w:type="spellStart"/>
      <w:r w:rsidRPr="00B7140C">
        <w:rPr>
          <w:rFonts w:ascii="Times New Roman" w:hAnsi="Times New Roman" w:cs="Times New Roman"/>
          <w:color w:val="000000" w:themeColor="text1"/>
          <w:sz w:val="21"/>
        </w:rPr>
        <w:t>organisation</w:t>
      </w:r>
      <w:proofErr w:type="spellEnd"/>
      <w:r w:rsidRPr="00B7140C">
        <w:rPr>
          <w:rFonts w:ascii="Times New Roman" w:hAnsi="Times New Roman" w:cs="Times New Roman"/>
          <w:color w:val="000000" w:themeColor="text1"/>
          <w:sz w:val="21"/>
        </w:rPr>
        <w:t xml:space="preserve"> cases</w:t>
      </w:r>
      <w:r w:rsidRPr="00B7140C">
        <w:rPr>
          <w:rFonts w:ascii="Times New Roman" w:hAnsi="Times New Roman" w:cs="Times New Roman"/>
          <w:color w:val="000000" w:themeColor="text1"/>
          <w:sz w:val="21"/>
        </w:rPr>
        <w:tab/>
        <w:t>39</w:t>
      </w:r>
    </w:p>
    <w:p w14:paraId="02EF5A2C"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Table </w:t>
      </w:r>
      <w:proofErr w:type="gramStart"/>
      <w:r w:rsidRPr="00B7140C">
        <w:rPr>
          <w:rFonts w:ascii="Times New Roman" w:hAnsi="Times New Roman" w:cs="Times New Roman"/>
          <w:color w:val="000000" w:themeColor="text1"/>
          <w:sz w:val="21"/>
        </w:rPr>
        <w:t>5.1  Evidence</w:t>
      </w:r>
      <w:proofErr w:type="gramEnd"/>
      <w:r w:rsidRPr="00B7140C">
        <w:rPr>
          <w:rFonts w:ascii="Times New Roman" w:hAnsi="Times New Roman" w:cs="Times New Roman"/>
          <w:color w:val="000000" w:themeColor="text1"/>
          <w:sz w:val="21"/>
        </w:rPr>
        <w:t>-based micro-influencer selection and measurement framework</w:t>
      </w:r>
      <w:r w:rsidRPr="00B7140C">
        <w:rPr>
          <w:rFonts w:ascii="Times New Roman" w:hAnsi="Times New Roman" w:cs="Times New Roman"/>
          <w:color w:val="000000" w:themeColor="text1"/>
          <w:sz w:val="21"/>
        </w:rPr>
        <w:tab/>
        <w:t>48</w:t>
      </w:r>
    </w:p>
    <w:p w14:paraId="3362F8E4" w14:textId="77777777" w:rsidR="00935020" w:rsidRPr="00B7140C" w:rsidRDefault="00935020" w:rsidP="00935020">
      <w:pPr>
        <w:rPr>
          <w:rFonts w:ascii="Times New Roman" w:hAnsi="Times New Roman" w:cs="Times New Roman"/>
          <w:color w:val="000000" w:themeColor="text1"/>
        </w:rPr>
      </w:pPr>
    </w:p>
    <w:p w14:paraId="76F3116D" w14:textId="77777777" w:rsidR="00935020" w:rsidRPr="00B7140C" w:rsidRDefault="00935020" w:rsidP="00935020">
      <w:pPr>
        <w:rPr>
          <w:rFonts w:ascii="Times New Roman" w:hAnsi="Times New Roman" w:cs="Times New Roman"/>
          <w:color w:val="000000" w:themeColor="text1"/>
        </w:rPr>
      </w:pPr>
    </w:p>
    <w:p w14:paraId="65F08831" w14:textId="77777777" w:rsidR="00935020" w:rsidRPr="00B7140C" w:rsidRDefault="00935020" w:rsidP="00935020">
      <w:pPr>
        <w:rPr>
          <w:rFonts w:ascii="Times New Roman" w:hAnsi="Times New Roman" w:cs="Times New Roman"/>
          <w:color w:val="000000" w:themeColor="text1"/>
        </w:rPr>
      </w:pPr>
    </w:p>
    <w:p w14:paraId="57A5BAE8" w14:textId="77777777" w:rsidR="00935020" w:rsidRPr="00B7140C" w:rsidRDefault="00935020" w:rsidP="00935020">
      <w:pPr>
        <w:rPr>
          <w:rFonts w:ascii="Times New Roman" w:hAnsi="Times New Roman" w:cs="Times New Roman"/>
          <w:color w:val="000000" w:themeColor="text1"/>
        </w:rPr>
      </w:pPr>
    </w:p>
    <w:p w14:paraId="0C0040D5" w14:textId="77777777" w:rsidR="00935020" w:rsidRPr="00B7140C" w:rsidRDefault="00935020" w:rsidP="00935020">
      <w:pPr>
        <w:rPr>
          <w:rFonts w:ascii="Times New Roman" w:hAnsi="Times New Roman" w:cs="Times New Roman"/>
          <w:color w:val="000000" w:themeColor="text1"/>
        </w:rPr>
      </w:pPr>
    </w:p>
    <w:p w14:paraId="00C3EA19" w14:textId="77777777" w:rsidR="00935020" w:rsidRPr="00B7140C" w:rsidRDefault="00935020" w:rsidP="00935020">
      <w:pPr>
        <w:rPr>
          <w:rFonts w:ascii="Times New Roman" w:hAnsi="Times New Roman" w:cs="Times New Roman"/>
          <w:color w:val="000000" w:themeColor="text1"/>
        </w:rPr>
      </w:pPr>
    </w:p>
    <w:p w14:paraId="76F875D4" w14:textId="77777777" w:rsidR="00935020" w:rsidRPr="00B7140C" w:rsidRDefault="00935020" w:rsidP="00935020">
      <w:pPr>
        <w:rPr>
          <w:rFonts w:ascii="Times New Roman" w:hAnsi="Times New Roman" w:cs="Times New Roman"/>
          <w:color w:val="000000" w:themeColor="text1"/>
        </w:rPr>
      </w:pPr>
    </w:p>
    <w:p w14:paraId="34CD416D" w14:textId="77777777" w:rsidR="00935020" w:rsidRPr="00B7140C" w:rsidRDefault="00935020" w:rsidP="00935020">
      <w:pPr>
        <w:rPr>
          <w:rFonts w:ascii="Times New Roman" w:hAnsi="Times New Roman" w:cs="Times New Roman"/>
          <w:color w:val="000000" w:themeColor="text1"/>
        </w:rPr>
      </w:pPr>
    </w:p>
    <w:p w14:paraId="4153B7E8" w14:textId="77777777" w:rsidR="00935020" w:rsidRPr="00B7140C" w:rsidRDefault="00935020" w:rsidP="00935020">
      <w:pPr>
        <w:rPr>
          <w:rFonts w:ascii="Times New Roman" w:hAnsi="Times New Roman" w:cs="Times New Roman"/>
          <w:color w:val="000000" w:themeColor="text1"/>
        </w:rPr>
      </w:pPr>
    </w:p>
    <w:p w14:paraId="43C319CB" w14:textId="77777777" w:rsidR="00935020" w:rsidRPr="00B7140C" w:rsidRDefault="00935020" w:rsidP="00935020">
      <w:pPr>
        <w:rPr>
          <w:rFonts w:ascii="Times New Roman" w:hAnsi="Times New Roman" w:cs="Times New Roman"/>
          <w:color w:val="000000" w:themeColor="text1"/>
        </w:rPr>
      </w:pPr>
    </w:p>
    <w:p w14:paraId="2EC16AC5" w14:textId="77777777" w:rsidR="00935020" w:rsidRPr="00B7140C" w:rsidRDefault="00935020" w:rsidP="00935020">
      <w:pPr>
        <w:rPr>
          <w:rFonts w:ascii="Times New Roman" w:hAnsi="Times New Roman" w:cs="Times New Roman"/>
          <w:color w:val="000000" w:themeColor="text1"/>
        </w:rPr>
      </w:pPr>
    </w:p>
    <w:p w14:paraId="4D29E23B" w14:textId="77777777" w:rsidR="00935020" w:rsidRPr="00B7140C" w:rsidRDefault="00935020" w:rsidP="00935020">
      <w:pPr>
        <w:rPr>
          <w:rFonts w:ascii="Times New Roman" w:hAnsi="Times New Roman" w:cs="Times New Roman"/>
          <w:color w:val="000000" w:themeColor="text1"/>
        </w:rPr>
      </w:pPr>
    </w:p>
    <w:p w14:paraId="5AD8C307" w14:textId="77777777" w:rsidR="00935020" w:rsidRPr="00B7140C" w:rsidRDefault="00935020" w:rsidP="00935020">
      <w:pPr>
        <w:rPr>
          <w:rFonts w:ascii="Times New Roman" w:hAnsi="Times New Roman" w:cs="Times New Roman"/>
          <w:color w:val="000000" w:themeColor="text1"/>
        </w:rPr>
      </w:pPr>
    </w:p>
    <w:p w14:paraId="48BEDC54" w14:textId="77777777" w:rsidR="00935020" w:rsidRPr="00B7140C" w:rsidRDefault="00935020" w:rsidP="00935020">
      <w:pPr>
        <w:rPr>
          <w:rFonts w:ascii="Times New Roman" w:hAnsi="Times New Roman" w:cs="Times New Roman"/>
          <w:color w:val="000000" w:themeColor="text1"/>
        </w:rPr>
      </w:pPr>
    </w:p>
    <w:p w14:paraId="5D1754DC" w14:textId="77777777" w:rsidR="00935020" w:rsidRPr="00B7140C" w:rsidRDefault="00935020" w:rsidP="00935020">
      <w:pPr>
        <w:rPr>
          <w:rFonts w:ascii="Times New Roman" w:hAnsi="Times New Roman" w:cs="Times New Roman"/>
          <w:color w:val="000000" w:themeColor="text1"/>
        </w:rPr>
      </w:pPr>
    </w:p>
    <w:p w14:paraId="631F6DA9" w14:textId="77777777" w:rsidR="00935020" w:rsidRPr="00B7140C" w:rsidRDefault="00935020" w:rsidP="00935020">
      <w:pPr>
        <w:rPr>
          <w:rFonts w:ascii="Times New Roman" w:hAnsi="Times New Roman" w:cs="Times New Roman"/>
          <w:color w:val="000000" w:themeColor="text1"/>
        </w:rPr>
      </w:pPr>
    </w:p>
    <w:p w14:paraId="47BEE242" w14:textId="77777777" w:rsidR="00935020" w:rsidRPr="00B7140C" w:rsidRDefault="00935020" w:rsidP="00935020">
      <w:pPr>
        <w:rPr>
          <w:rFonts w:ascii="Times New Roman" w:hAnsi="Times New Roman" w:cs="Times New Roman"/>
          <w:color w:val="000000" w:themeColor="text1"/>
        </w:rPr>
      </w:pPr>
    </w:p>
    <w:p w14:paraId="00FACD1B" w14:textId="77777777" w:rsidR="00935020" w:rsidRPr="00B7140C" w:rsidRDefault="00935020" w:rsidP="00935020">
      <w:pPr>
        <w:rPr>
          <w:rFonts w:ascii="Times New Roman" w:hAnsi="Times New Roman" w:cs="Times New Roman"/>
          <w:color w:val="000000" w:themeColor="text1"/>
        </w:rPr>
      </w:pPr>
    </w:p>
    <w:p w14:paraId="309B3118" w14:textId="77777777" w:rsidR="00935020" w:rsidRPr="00B7140C" w:rsidRDefault="00935020" w:rsidP="00935020">
      <w:pPr>
        <w:rPr>
          <w:rFonts w:ascii="Times New Roman" w:hAnsi="Times New Roman" w:cs="Times New Roman"/>
          <w:color w:val="000000" w:themeColor="text1"/>
        </w:rPr>
      </w:pPr>
    </w:p>
    <w:p w14:paraId="4CB7269B" w14:textId="77777777" w:rsidR="00935020" w:rsidRPr="00B7140C" w:rsidRDefault="00935020" w:rsidP="00935020">
      <w:pPr>
        <w:rPr>
          <w:rFonts w:ascii="Times New Roman" w:hAnsi="Times New Roman" w:cs="Times New Roman"/>
          <w:color w:val="000000" w:themeColor="text1"/>
        </w:rPr>
      </w:pPr>
    </w:p>
    <w:p w14:paraId="2950F931" w14:textId="77777777" w:rsidR="00935020" w:rsidRPr="00B7140C" w:rsidRDefault="00935020" w:rsidP="00935020">
      <w:pPr>
        <w:rPr>
          <w:rFonts w:ascii="Times New Roman" w:hAnsi="Times New Roman" w:cs="Times New Roman"/>
          <w:color w:val="000000" w:themeColor="text1"/>
        </w:rPr>
      </w:pPr>
    </w:p>
    <w:p w14:paraId="227485C0" w14:textId="77777777" w:rsidR="00C62FA8" w:rsidRPr="00B7140C" w:rsidRDefault="00682E2E" w:rsidP="00935020">
      <w:pPr>
        <w:pStyle w:val="Heading1"/>
        <w:rPr>
          <w:rFonts w:ascii="Times New Roman" w:hAnsi="Times New Roman" w:cs="Times New Roman"/>
          <w:color w:val="000000" w:themeColor="text1"/>
        </w:rPr>
      </w:pPr>
      <w:bookmarkStart w:id="5" w:name="_Toc240238836"/>
      <w:r w:rsidRPr="00B7140C">
        <w:rPr>
          <w:rFonts w:ascii="Times New Roman" w:hAnsi="Times New Roman" w:cs="Times New Roman"/>
          <w:color w:val="000000" w:themeColor="text1"/>
        </w:rPr>
        <w:lastRenderedPageBreak/>
        <w:t>List of Figures</w:t>
      </w:r>
      <w:bookmarkEnd w:id="5"/>
    </w:p>
    <w:p w14:paraId="6B3BCC06"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1.1  Average</w:t>
      </w:r>
      <w:proofErr w:type="gramEnd"/>
      <w:r w:rsidRPr="00B7140C">
        <w:rPr>
          <w:rFonts w:ascii="Times New Roman" w:hAnsi="Times New Roman" w:cs="Times New Roman"/>
          <w:color w:val="000000" w:themeColor="text1"/>
          <w:sz w:val="21"/>
        </w:rPr>
        <w:t xml:space="preserve"> Instagram engagement rate by influencer tier</w:t>
      </w:r>
      <w:r w:rsidRPr="00B7140C">
        <w:rPr>
          <w:rFonts w:ascii="Times New Roman" w:hAnsi="Times New Roman" w:cs="Times New Roman"/>
          <w:color w:val="000000" w:themeColor="text1"/>
          <w:sz w:val="21"/>
        </w:rPr>
        <w:tab/>
        <w:t>2</w:t>
      </w:r>
    </w:p>
    <w:p w14:paraId="700EE1A3"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1.2  UK</w:t>
      </w:r>
      <w:proofErr w:type="gramEnd"/>
      <w:r w:rsidRPr="00B7140C">
        <w:rPr>
          <w:rFonts w:ascii="Times New Roman" w:hAnsi="Times New Roman" w:cs="Times New Roman"/>
          <w:color w:val="000000" w:themeColor="text1"/>
          <w:sz w:val="21"/>
        </w:rPr>
        <w:t xml:space="preserve"> beauty and skincare influencer marketing spend allocation</w:t>
      </w:r>
      <w:r w:rsidRPr="00B7140C">
        <w:rPr>
          <w:rFonts w:ascii="Times New Roman" w:hAnsi="Times New Roman" w:cs="Times New Roman"/>
          <w:color w:val="000000" w:themeColor="text1"/>
          <w:sz w:val="21"/>
        </w:rPr>
        <w:tab/>
        <w:t>5</w:t>
      </w:r>
    </w:p>
    <w:p w14:paraId="05F313F1"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1.3  Comparative</w:t>
      </w:r>
      <w:proofErr w:type="gramEnd"/>
      <w:r w:rsidRPr="00B7140C">
        <w:rPr>
          <w:rFonts w:ascii="Times New Roman" w:hAnsi="Times New Roman" w:cs="Times New Roman"/>
          <w:color w:val="000000" w:themeColor="text1"/>
          <w:sz w:val="21"/>
        </w:rPr>
        <w:t xml:space="preserve"> return-on-</w:t>
      </w:r>
      <w:proofErr w:type="spellStart"/>
      <w:r w:rsidRPr="00B7140C">
        <w:rPr>
          <w:rFonts w:ascii="Times New Roman" w:hAnsi="Times New Roman" w:cs="Times New Roman"/>
          <w:color w:val="000000" w:themeColor="text1"/>
          <w:sz w:val="21"/>
        </w:rPr>
        <w:t>ad</w:t>
      </w:r>
      <w:proofErr w:type="spellEnd"/>
      <w:r w:rsidRPr="00B7140C">
        <w:rPr>
          <w:rFonts w:ascii="Times New Roman" w:hAnsi="Times New Roman" w:cs="Times New Roman"/>
          <w:color w:val="000000" w:themeColor="text1"/>
          <w:sz w:val="21"/>
        </w:rPr>
        <w:t>-spend</w:t>
      </w:r>
      <w:r w:rsidRPr="00B7140C">
        <w:rPr>
          <w:rFonts w:ascii="Times New Roman" w:hAnsi="Times New Roman" w:cs="Times New Roman"/>
          <w:color w:val="000000" w:themeColor="text1"/>
          <w:sz w:val="21"/>
        </w:rPr>
        <w:tab/>
        <w:t>5</w:t>
      </w:r>
    </w:p>
    <w:p w14:paraId="5950C36A"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2.1  Secondary</w:t>
      </w:r>
      <w:proofErr w:type="gramEnd"/>
      <w:r w:rsidRPr="00B7140C">
        <w:rPr>
          <w:rFonts w:ascii="Times New Roman" w:hAnsi="Times New Roman" w:cs="Times New Roman"/>
          <w:color w:val="000000" w:themeColor="text1"/>
          <w:sz w:val="21"/>
        </w:rPr>
        <w:t>-data analytical framework</w:t>
      </w:r>
      <w:r w:rsidRPr="00B7140C">
        <w:rPr>
          <w:rFonts w:ascii="Times New Roman" w:hAnsi="Times New Roman" w:cs="Times New Roman"/>
          <w:color w:val="000000" w:themeColor="text1"/>
          <w:sz w:val="21"/>
        </w:rPr>
        <w:tab/>
        <w:t>15</w:t>
      </w:r>
    </w:p>
    <w:p w14:paraId="0A65A290"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3.1  Research</w:t>
      </w:r>
      <w:proofErr w:type="gramEnd"/>
      <w:r w:rsidRPr="00B7140C">
        <w:rPr>
          <w:rFonts w:ascii="Times New Roman" w:hAnsi="Times New Roman" w:cs="Times New Roman"/>
          <w:color w:val="000000" w:themeColor="text1"/>
          <w:sz w:val="21"/>
        </w:rPr>
        <w:t xml:space="preserve"> Onion applied to this study</w:t>
      </w:r>
      <w:r w:rsidRPr="00B7140C">
        <w:rPr>
          <w:rFonts w:ascii="Times New Roman" w:hAnsi="Times New Roman" w:cs="Times New Roman"/>
          <w:color w:val="000000" w:themeColor="text1"/>
          <w:sz w:val="21"/>
        </w:rPr>
        <w:tab/>
        <w:t>19</w:t>
      </w:r>
    </w:p>
    <w:p w14:paraId="781A14BF"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3.2  Evidence</w:t>
      </w:r>
      <w:proofErr w:type="gramEnd"/>
      <w:r w:rsidRPr="00B7140C">
        <w:rPr>
          <w:rFonts w:ascii="Times New Roman" w:hAnsi="Times New Roman" w:cs="Times New Roman"/>
          <w:color w:val="000000" w:themeColor="text1"/>
          <w:sz w:val="21"/>
        </w:rPr>
        <w:t xml:space="preserve"> identification and screening process</w:t>
      </w:r>
      <w:r w:rsidRPr="00B7140C">
        <w:rPr>
          <w:rFonts w:ascii="Times New Roman" w:hAnsi="Times New Roman" w:cs="Times New Roman"/>
          <w:color w:val="000000" w:themeColor="text1"/>
          <w:sz w:val="21"/>
        </w:rPr>
        <w:tab/>
        <w:t>23</w:t>
      </w:r>
    </w:p>
    <w:p w14:paraId="1B9AEA8F"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4.1  The</w:t>
      </w:r>
      <w:proofErr w:type="gramEnd"/>
      <w:r w:rsidRPr="00B7140C">
        <w:rPr>
          <w:rFonts w:ascii="Times New Roman" w:hAnsi="Times New Roman" w:cs="Times New Roman"/>
          <w:color w:val="000000" w:themeColor="text1"/>
          <w:sz w:val="21"/>
        </w:rPr>
        <w:t xml:space="preserve"> INKEY List’s INKEY School</w:t>
      </w:r>
      <w:r w:rsidRPr="00B7140C">
        <w:rPr>
          <w:rFonts w:ascii="Times New Roman" w:hAnsi="Times New Roman" w:cs="Times New Roman"/>
          <w:color w:val="000000" w:themeColor="text1"/>
          <w:sz w:val="21"/>
        </w:rPr>
        <w:tab/>
        <w:t>29</w:t>
      </w:r>
    </w:p>
    <w:p w14:paraId="21253D81"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4.2  Pai</w:t>
      </w:r>
      <w:proofErr w:type="gramEnd"/>
      <w:r w:rsidRPr="00B7140C">
        <w:rPr>
          <w:rFonts w:ascii="Times New Roman" w:hAnsi="Times New Roman" w:cs="Times New Roman"/>
          <w:color w:val="000000" w:themeColor="text1"/>
          <w:sz w:val="21"/>
        </w:rPr>
        <w:t xml:space="preserve"> Skincare’s sensitive-skin communication</w:t>
      </w:r>
      <w:r w:rsidRPr="00B7140C">
        <w:rPr>
          <w:rFonts w:ascii="Times New Roman" w:hAnsi="Times New Roman" w:cs="Times New Roman"/>
          <w:color w:val="000000" w:themeColor="text1"/>
          <w:sz w:val="21"/>
        </w:rPr>
        <w:tab/>
        <w:t>31</w:t>
      </w:r>
    </w:p>
    <w:p w14:paraId="2CB53144"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4.3  Revolution</w:t>
      </w:r>
      <w:proofErr w:type="gramEnd"/>
      <w:r w:rsidRPr="00B7140C">
        <w:rPr>
          <w:rFonts w:ascii="Times New Roman" w:hAnsi="Times New Roman" w:cs="Times New Roman"/>
          <w:color w:val="000000" w:themeColor="text1"/>
          <w:sz w:val="21"/>
        </w:rPr>
        <w:t xml:space="preserve"> Beauty Group scale indicators</w:t>
      </w:r>
      <w:r w:rsidRPr="00B7140C">
        <w:rPr>
          <w:rFonts w:ascii="Times New Roman" w:hAnsi="Times New Roman" w:cs="Times New Roman"/>
          <w:color w:val="000000" w:themeColor="text1"/>
          <w:sz w:val="21"/>
        </w:rPr>
        <w:tab/>
        <w:t>33</w:t>
      </w:r>
    </w:p>
    <w:p w14:paraId="3E2FC868"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4.4  No</w:t>
      </w:r>
      <w:proofErr w:type="gramEnd"/>
      <w:r w:rsidRPr="00B7140C">
        <w:rPr>
          <w:rFonts w:ascii="Times New Roman" w:hAnsi="Times New Roman" w:cs="Times New Roman"/>
          <w:color w:val="000000" w:themeColor="text1"/>
          <w:sz w:val="21"/>
        </w:rPr>
        <w:t>7 Future Renew product-testing extract</w:t>
      </w:r>
      <w:r w:rsidRPr="00B7140C">
        <w:rPr>
          <w:rFonts w:ascii="Times New Roman" w:hAnsi="Times New Roman" w:cs="Times New Roman"/>
          <w:color w:val="000000" w:themeColor="text1"/>
          <w:sz w:val="21"/>
        </w:rPr>
        <w:tab/>
        <w:t>34</w:t>
      </w:r>
    </w:p>
    <w:p w14:paraId="4A281B4B"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4.5  Skin</w:t>
      </w:r>
      <w:proofErr w:type="gramEnd"/>
      <w:r w:rsidRPr="00B7140C">
        <w:rPr>
          <w:rFonts w:ascii="Times New Roman" w:hAnsi="Times New Roman" w:cs="Times New Roman"/>
          <w:color w:val="000000" w:themeColor="text1"/>
          <w:sz w:val="21"/>
        </w:rPr>
        <w:t xml:space="preserve"> + Me’s </w:t>
      </w:r>
      <w:proofErr w:type="spellStart"/>
      <w:r w:rsidRPr="00B7140C">
        <w:rPr>
          <w:rFonts w:ascii="Times New Roman" w:hAnsi="Times New Roman" w:cs="Times New Roman"/>
          <w:color w:val="000000" w:themeColor="text1"/>
          <w:sz w:val="21"/>
        </w:rPr>
        <w:t>personalised</w:t>
      </w:r>
      <w:proofErr w:type="spellEnd"/>
      <w:r w:rsidRPr="00B7140C">
        <w:rPr>
          <w:rFonts w:ascii="Times New Roman" w:hAnsi="Times New Roman" w:cs="Times New Roman"/>
          <w:color w:val="000000" w:themeColor="text1"/>
          <w:sz w:val="21"/>
        </w:rPr>
        <w:t>-skincare proposition</w:t>
      </w:r>
      <w:r w:rsidRPr="00B7140C">
        <w:rPr>
          <w:rFonts w:ascii="Times New Roman" w:hAnsi="Times New Roman" w:cs="Times New Roman"/>
          <w:color w:val="000000" w:themeColor="text1"/>
          <w:sz w:val="21"/>
        </w:rPr>
        <w:tab/>
        <w:t>36</w:t>
      </w:r>
    </w:p>
    <w:p w14:paraId="7FABDA18"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4.6  UK</w:t>
      </w:r>
      <w:proofErr w:type="gramEnd"/>
      <w:r w:rsidRPr="00B7140C">
        <w:rPr>
          <w:rFonts w:ascii="Times New Roman" w:hAnsi="Times New Roman" w:cs="Times New Roman"/>
          <w:color w:val="000000" w:themeColor="text1"/>
          <w:sz w:val="21"/>
        </w:rPr>
        <w:t xml:space="preserve"> influencer-ad disclosure observed by ASA monitoring</w:t>
      </w:r>
      <w:r w:rsidRPr="00B7140C">
        <w:rPr>
          <w:rFonts w:ascii="Times New Roman" w:hAnsi="Times New Roman" w:cs="Times New Roman"/>
          <w:color w:val="000000" w:themeColor="text1"/>
          <w:sz w:val="21"/>
        </w:rPr>
        <w:tab/>
        <w:t>38</w:t>
      </w:r>
    </w:p>
    <w:p w14:paraId="7EDAC05A" w14:textId="77777777" w:rsidR="00C62FA8" w:rsidRPr="00B7140C" w:rsidRDefault="00682E2E">
      <w:pPr>
        <w:tabs>
          <w:tab w:val="right" w:leader="dot" w:pos="9000"/>
        </w:tabs>
        <w:spacing w:after="40" w:line="240" w:lineRule="auto"/>
        <w:rPr>
          <w:rFonts w:ascii="Times New Roman" w:hAnsi="Times New Roman" w:cs="Times New Roman"/>
          <w:color w:val="000000" w:themeColor="text1"/>
        </w:rPr>
      </w:pPr>
      <w:r w:rsidRPr="00B7140C">
        <w:rPr>
          <w:rFonts w:ascii="Times New Roman" w:hAnsi="Times New Roman" w:cs="Times New Roman"/>
          <w:color w:val="000000" w:themeColor="text1"/>
          <w:sz w:val="21"/>
        </w:rPr>
        <w:t xml:space="preserve">Figure </w:t>
      </w:r>
      <w:proofErr w:type="gramStart"/>
      <w:r w:rsidRPr="00B7140C">
        <w:rPr>
          <w:rFonts w:ascii="Times New Roman" w:hAnsi="Times New Roman" w:cs="Times New Roman"/>
          <w:color w:val="000000" w:themeColor="text1"/>
          <w:sz w:val="21"/>
        </w:rPr>
        <w:t>4.7  Evidence</w:t>
      </w:r>
      <w:proofErr w:type="gramEnd"/>
      <w:r w:rsidRPr="00B7140C">
        <w:rPr>
          <w:rFonts w:ascii="Times New Roman" w:hAnsi="Times New Roman" w:cs="Times New Roman"/>
          <w:color w:val="000000" w:themeColor="text1"/>
          <w:sz w:val="21"/>
        </w:rPr>
        <w:t>-weighted strength of the cross-case themes</w:t>
      </w:r>
      <w:r w:rsidRPr="00B7140C">
        <w:rPr>
          <w:rFonts w:ascii="Times New Roman" w:hAnsi="Times New Roman" w:cs="Times New Roman"/>
          <w:color w:val="000000" w:themeColor="text1"/>
          <w:sz w:val="21"/>
        </w:rPr>
        <w:tab/>
        <w:t>38</w:t>
      </w:r>
    </w:p>
    <w:p w14:paraId="291243CB" w14:textId="77777777" w:rsidR="00935020" w:rsidRPr="00B7140C" w:rsidRDefault="00935020" w:rsidP="00935020">
      <w:pPr>
        <w:rPr>
          <w:rFonts w:ascii="Times New Roman" w:hAnsi="Times New Roman" w:cs="Times New Roman"/>
          <w:color w:val="000000" w:themeColor="text1"/>
        </w:rPr>
      </w:pPr>
    </w:p>
    <w:p w14:paraId="3CBF8967" w14:textId="77777777" w:rsidR="00935020" w:rsidRPr="00B7140C" w:rsidRDefault="00935020" w:rsidP="00935020">
      <w:pPr>
        <w:rPr>
          <w:rFonts w:ascii="Times New Roman" w:hAnsi="Times New Roman" w:cs="Times New Roman"/>
          <w:color w:val="000000" w:themeColor="text1"/>
        </w:rPr>
      </w:pPr>
    </w:p>
    <w:p w14:paraId="1B071946" w14:textId="77777777" w:rsidR="00935020" w:rsidRPr="00B7140C" w:rsidRDefault="00935020" w:rsidP="00935020">
      <w:pPr>
        <w:rPr>
          <w:rFonts w:ascii="Times New Roman" w:hAnsi="Times New Roman" w:cs="Times New Roman"/>
          <w:color w:val="000000" w:themeColor="text1"/>
        </w:rPr>
      </w:pPr>
    </w:p>
    <w:p w14:paraId="7A6158A2" w14:textId="77777777" w:rsidR="00935020" w:rsidRPr="00B7140C" w:rsidRDefault="00935020" w:rsidP="00935020">
      <w:pPr>
        <w:rPr>
          <w:rFonts w:ascii="Times New Roman" w:hAnsi="Times New Roman" w:cs="Times New Roman"/>
          <w:color w:val="000000" w:themeColor="text1"/>
        </w:rPr>
      </w:pPr>
    </w:p>
    <w:p w14:paraId="039246A0" w14:textId="77777777" w:rsidR="00935020" w:rsidRPr="00B7140C" w:rsidRDefault="00935020" w:rsidP="00935020">
      <w:pPr>
        <w:rPr>
          <w:rFonts w:ascii="Times New Roman" w:hAnsi="Times New Roman" w:cs="Times New Roman"/>
          <w:color w:val="000000" w:themeColor="text1"/>
        </w:rPr>
      </w:pPr>
    </w:p>
    <w:p w14:paraId="1DAC20B3" w14:textId="77777777" w:rsidR="00935020" w:rsidRPr="00B7140C" w:rsidRDefault="00935020" w:rsidP="00935020">
      <w:pPr>
        <w:rPr>
          <w:rFonts w:ascii="Times New Roman" w:hAnsi="Times New Roman" w:cs="Times New Roman"/>
          <w:color w:val="000000" w:themeColor="text1"/>
        </w:rPr>
      </w:pPr>
    </w:p>
    <w:p w14:paraId="6F6F2BD2" w14:textId="77777777" w:rsidR="00935020" w:rsidRPr="00B7140C" w:rsidRDefault="00935020" w:rsidP="00935020">
      <w:pPr>
        <w:rPr>
          <w:rFonts w:ascii="Times New Roman" w:hAnsi="Times New Roman" w:cs="Times New Roman"/>
          <w:color w:val="000000" w:themeColor="text1"/>
        </w:rPr>
      </w:pPr>
    </w:p>
    <w:p w14:paraId="16F10B5B" w14:textId="77777777" w:rsidR="00935020" w:rsidRPr="00B7140C" w:rsidRDefault="00935020" w:rsidP="00935020">
      <w:pPr>
        <w:rPr>
          <w:rFonts w:ascii="Times New Roman" w:hAnsi="Times New Roman" w:cs="Times New Roman"/>
          <w:color w:val="000000" w:themeColor="text1"/>
        </w:rPr>
      </w:pPr>
    </w:p>
    <w:p w14:paraId="384D6379" w14:textId="77777777" w:rsidR="00935020" w:rsidRPr="00B7140C" w:rsidRDefault="00935020" w:rsidP="00935020">
      <w:pPr>
        <w:rPr>
          <w:rFonts w:ascii="Times New Roman" w:hAnsi="Times New Roman" w:cs="Times New Roman"/>
          <w:color w:val="000000" w:themeColor="text1"/>
        </w:rPr>
      </w:pPr>
    </w:p>
    <w:p w14:paraId="0BEDE264" w14:textId="77777777" w:rsidR="00935020" w:rsidRPr="00B7140C" w:rsidRDefault="00935020" w:rsidP="00935020">
      <w:pPr>
        <w:rPr>
          <w:rFonts w:ascii="Times New Roman" w:hAnsi="Times New Roman" w:cs="Times New Roman"/>
          <w:color w:val="000000" w:themeColor="text1"/>
        </w:rPr>
      </w:pPr>
    </w:p>
    <w:p w14:paraId="4012CA1B" w14:textId="77777777" w:rsidR="00935020" w:rsidRPr="00B7140C" w:rsidRDefault="00935020" w:rsidP="00935020">
      <w:pPr>
        <w:rPr>
          <w:rFonts w:ascii="Times New Roman" w:hAnsi="Times New Roman" w:cs="Times New Roman"/>
          <w:color w:val="000000" w:themeColor="text1"/>
        </w:rPr>
      </w:pPr>
    </w:p>
    <w:p w14:paraId="2BE034FE" w14:textId="77777777" w:rsidR="00935020" w:rsidRPr="00B7140C" w:rsidRDefault="00935020" w:rsidP="00935020">
      <w:pPr>
        <w:rPr>
          <w:rFonts w:ascii="Times New Roman" w:hAnsi="Times New Roman" w:cs="Times New Roman"/>
          <w:color w:val="000000" w:themeColor="text1"/>
        </w:rPr>
      </w:pPr>
    </w:p>
    <w:p w14:paraId="535DBD2E" w14:textId="77777777" w:rsidR="00935020" w:rsidRPr="00B7140C" w:rsidRDefault="00935020" w:rsidP="00935020">
      <w:pPr>
        <w:rPr>
          <w:rFonts w:ascii="Times New Roman" w:hAnsi="Times New Roman" w:cs="Times New Roman"/>
          <w:color w:val="000000" w:themeColor="text1"/>
        </w:rPr>
      </w:pPr>
    </w:p>
    <w:p w14:paraId="4E2F5D6F" w14:textId="77777777" w:rsidR="00935020" w:rsidRPr="00B7140C" w:rsidRDefault="00935020" w:rsidP="00935020">
      <w:pPr>
        <w:rPr>
          <w:rFonts w:ascii="Times New Roman" w:hAnsi="Times New Roman" w:cs="Times New Roman"/>
          <w:color w:val="000000" w:themeColor="text1"/>
        </w:rPr>
      </w:pPr>
    </w:p>
    <w:p w14:paraId="0A204F5B" w14:textId="77777777" w:rsidR="00935020" w:rsidRPr="00B7140C" w:rsidRDefault="00935020" w:rsidP="00935020">
      <w:pPr>
        <w:rPr>
          <w:rFonts w:ascii="Times New Roman" w:hAnsi="Times New Roman" w:cs="Times New Roman"/>
          <w:color w:val="000000" w:themeColor="text1"/>
        </w:rPr>
      </w:pPr>
    </w:p>
    <w:p w14:paraId="14911C58" w14:textId="77777777" w:rsidR="00935020" w:rsidRPr="00B7140C" w:rsidRDefault="00935020" w:rsidP="00935020">
      <w:pPr>
        <w:rPr>
          <w:rFonts w:ascii="Times New Roman" w:hAnsi="Times New Roman" w:cs="Times New Roman"/>
          <w:color w:val="000000" w:themeColor="text1"/>
        </w:rPr>
      </w:pPr>
    </w:p>
    <w:p w14:paraId="1DF91DFC" w14:textId="77777777" w:rsidR="00935020" w:rsidRPr="00B7140C" w:rsidRDefault="00935020" w:rsidP="00935020">
      <w:pPr>
        <w:rPr>
          <w:rFonts w:ascii="Times New Roman" w:hAnsi="Times New Roman" w:cs="Times New Roman"/>
          <w:color w:val="000000" w:themeColor="text1"/>
        </w:rPr>
      </w:pPr>
    </w:p>
    <w:p w14:paraId="790000FE" w14:textId="77777777" w:rsidR="00C62FA8" w:rsidRPr="00B7140C" w:rsidRDefault="00682E2E" w:rsidP="00935020">
      <w:pPr>
        <w:pStyle w:val="Heading1"/>
        <w:rPr>
          <w:rFonts w:ascii="Times New Roman" w:hAnsi="Times New Roman" w:cs="Times New Roman"/>
          <w:color w:val="000000" w:themeColor="text1"/>
        </w:rPr>
      </w:pPr>
      <w:bookmarkStart w:id="6" w:name="_Toc240238837"/>
      <w:r w:rsidRPr="00B7140C">
        <w:rPr>
          <w:rFonts w:ascii="Times New Roman" w:hAnsi="Times New Roman" w:cs="Times New Roman"/>
          <w:color w:val="000000" w:themeColor="text1"/>
        </w:rPr>
        <w:lastRenderedPageBreak/>
        <w:t>List of Abbreviations</w:t>
      </w:r>
      <w:bookmarkEnd w:id="6"/>
    </w:p>
    <w:tbl>
      <w:tblPr>
        <w:tblStyle w:val="TableGrid"/>
        <w:tblW w:w="0" w:type="auto"/>
        <w:tblLayout w:type="fixed"/>
        <w:tblLook w:val="04A0" w:firstRow="1" w:lastRow="0" w:firstColumn="1" w:lastColumn="0" w:noHBand="0" w:noVBand="1"/>
      </w:tblPr>
      <w:tblGrid>
        <w:gridCol w:w="1500"/>
        <w:gridCol w:w="6500"/>
      </w:tblGrid>
      <w:tr w:rsidR="0054279A" w:rsidRPr="00B7140C" w14:paraId="2B06DE3A" w14:textId="77777777">
        <w:tc>
          <w:tcPr>
            <w:tcW w:w="1500" w:type="dxa"/>
            <w:shd w:val="clear" w:color="auto" w:fill="D9EAD3"/>
            <w:vAlign w:val="center"/>
          </w:tcPr>
          <w:p w14:paraId="1033162C"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b/>
                <w:color w:val="000000" w:themeColor="text1"/>
                <w:sz w:val="22"/>
                <w:szCs w:val="28"/>
              </w:rPr>
              <w:t>Abbreviation</w:t>
            </w:r>
          </w:p>
        </w:tc>
        <w:tc>
          <w:tcPr>
            <w:tcW w:w="6500" w:type="dxa"/>
            <w:shd w:val="clear" w:color="auto" w:fill="D9EAD3"/>
            <w:vAlign w:val="center"/>
          </w:tcPr>
          <w:p w14:paraId="12E6603E"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b/>
                <w:color w:val="000000" w:themeColor="text1"/>
                <w:sz w:val="22"/>
                <w:szCs w:val="28"/>
              </w:rPr>
              <w:t>Meaning</w:t>
            </w:r>
          </w:p>
        </w:tc>
      </w:tr>
      <w:tr w:rsidR="0054279A" w:rsidRPr="00B7140C" w14:paraId="0EA48236" w14:textId="77777777">
        <w:tc>
          <w:tcPr>
            <w:tcW w:w="1500" w:type="dxa"/>
            <w:vAlign w:val="center"/>
          </w:tcPr>
          <w:p w14:paraId="41881749"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ASA</w:t>
            </w:r>
          </w:p>
        </w:tc>
        <w:tc>
          <w:tcPr>
            <w:tcW w:w="6500" w:type="dxa"/>
            <w:vAlign w:val="center"/>
          </w:tcPr>
          <w:p w14:paraId="1CF2188C"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Advertising Standards Authority</w:t>
            </w:r>
          </w:p>
        </w:tc>
      </w:tr>
      <w:tr w:rsidR="0054279A" w:rsidRPr="00B7140C" w14:paraId="3B1CF6B6" w14:textId="77777777">
        <w:tc>
          <w:tcPr>
            <w:tcW w:w="1500" w:type="dxa"/>
            <w:vAlign w:val="center"/>
          </w:tcPr>
          <w:p w14:paraId="582412CE"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CAP</w:t>
            </w:r>
          </w:p>
        </w:tc>
        <w:tc>
          <w:tcPr>
            <w:tcW w:w="6500" w:type="dxa"/>
            <w:vAlign w:val="center"/>
          </w:tcPr>
          <w:p w14:paraId="7AF243B8"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Committee of Advertising Practice</w:t>
            </w:r>
          </w:p>
        </w:tc>
      </w:tr>
      <w:tr w:rsidR="0054279A" w:rsidRPr="00B7140C" w14:paraId="39DC201A" w14:textId="77777777">
        <w:tc>
          <w:tcPr>
            <w:tcW w:w="1500" w:type="dxa"/>
            <w:vAlign w:val="center"/>
          </w:tcPr>
          <w:p w14:paraId="61316A2C"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DTC</w:t>
            </w:r>
          </w:p>
        </w:tc>
        <w:tc>
          <w:tcPr>
            <w:tcW w:w="6500" w:type="dxa"/>
            <w:vAlign w:val="center"/>
          </w:tcPr>
          <w:p w14:paraId="3FC313D1"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Direct-to-consumer</w:t>
            </w:r>
          </w:p>
        </w:tc>
      </w:tr>
      <w:tr w:rsidR="0054279A" w:rsidRPr="00B7140C" w14:paraId="58BE7D85" w14:textId="77777777">
        <w:tc>
          <w:tcPr>
            <w:tcW w:w="1500" w:type="dxa"/>
            <w:vAlign w:val="center"/>
          </w:tcPr>
          <w:p w14:paraId="4CC863DB"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Gen Z</w:t>
            </w:r>
          </w:p>
        </w:tc>
        <w:tc>
          <w:tcPr>
            <w:tcW w:w="6500" w:type="dxa"/>
            <w:vAlign w:val="center"/>
          </w:tcPr>
          <w:p w14:paraId="3EAB9D4E"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Generation Z</w:t>
            </w:r>
          </w:p>
        </w:tc>
      </w:tr>
      <w:tr w:rsidR="0054279A" w:rsidRPr="00B7140C" w14:paraId="25D1B8E2" w14:textId="77777777">
        <w:tc>
          <w:tcPr>
            <w:tcW w:w="1500" w:type="dxa"/>
            <w:vAlign w:val="center"/>
          </w:tcPr>
          <w:p w14:paraId="1EE23C66"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KPI</w:t>
            </w:r>
          </w:p>
        </w:tc>
        <w:tc>
          <w:tcPr>
            <w:tcW w:w="6500" w:type="dxa"/>
            <w:vAlign w:val="center"/>
          </w:tcPr>
          <w:p w14:paraId="6833C9CD"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Key performance indicator</w:t>
            </w:r>
          </w:p>
        </w:tc>
      </w:tr>
      <w:tr w:rsidR="0054279A" w:rsidRPr="00B7140C" w14:paraId="0DF80B15" w14:textId="77777777">
        <w:tc>
          <w:tcPr>
            <w:tcW w:w="1500" w:type="dxa"/>
            <w:vAlign w:val="center"/>
          </w:tcPr>
          <w:p w14:paraId="79AE6FCB"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RQ</w:t>
            </w:r>
          </w:p>
        </w:tc>
        <w:tc>
          <w:tcPr>
            <w:tcW w:w="6500" w:type="dxa"/>
            <w:vAlign w:val="center"/>
          </w:tcPr>
          <w:p w14:paraId="3403B9B4"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Research question</w:t>
            </w:r>
          </w:p>
        </w:tc>
      </w:tr>
      <w:tr w:rsidR="0054279A" w:rsidRPr="00B7140C" w14:paraId="6C686488" w14:textId="77777777">
        <w:tc>
          <w:tcPr>
            <w:tcW w:w="1500" w:type="dxa"/>
            <w:vAlign w:val="center"/>
          </w:tcPr>
          <w:p w14:paraId="7FCDCC30"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UWTSD</w:t>
            </w:r>
          </w:p>
        </w:tc>
        <w:tc>
          <w:tcPr>
            <w:tcW w:w="6500" w:type="dxa"/>
            <w:vAlign w:val="center"/>
          </w:tcPr>
          <w:p w14:paraId="151F4A0C" w14:textId="77777777" w:rsidR="00C62FA8" w:rsidRPr="00B7140C" w:rsidRDefault="00682E2E">
            <w:pPr>
              <w:spacing w:after="0" w:line="240" w:lineRule="auto"/>
              <w:rPr>
                <w:rFonts w:ascii="Times New Roman" w:hAnsi="Times New Roman" w:cs="Times New Roman"/>
                <w:color w:val="000000" w:themeColor="text1"/>
                <w:sz w:val="22"/>
                <w:szCs w:val="28"/>
              </w:rPr>
            </w:pPr>
            <w:r w:rsidRPr="00B7140C">
              <w:rPr>
                <w:rFonts w:ascii="Times New Roman" w:hAnsi="Times New Roman" w:cs="Times New Roman"/>
                <w:color w:val="000000" w:themeColor="text1"/>
                <w:sz w:val="22"/>
                <w:szCs w:val="28"/>
              </w:rPr>
              <w:t>University of Wales Trinity Saint David</w:t>
            </w:r>
          </w:p>
        </w:tc>
      </w:tr>
    </w:tbl>
    <w:p w14:paraId="7BE59BC1" w14:textId="77777777" w:rsidR="00C62FA8" w:rsidRPr="00B7140C" w:rsidRDefault="00C62FA8">
      <w:pPr>
        <w:spacing w:after="0"/>
        <w:rPr>
          <w:rFonts w:ascii="Times New Roman" w:hAnsi="Times New Roman" w:cs="Times New Roman"/>
        </w:rPr>
        <w:sectPr w:rsidR="00C62FA8" w:rsidRPr="00B7140C" w:rsidSect="00A049AA">
          <w:footerReference w:type="default" r:id="rId9"/>
          <w:pgSz w:w="11906" w:h="16838"/>
          <w:pgMar w:top="1440" w:right="1440" w:bottom="1440" w:left="1440" w:header="360" w:footer="360" w:gutter="0"/>
          <w:pgNumType w:fmt="lowerRoman" w:start="1"/>
          <w:cols w:space="720"/>
          <w:docGrid w:linePitch="326"/>
        </w:sectPr>
      </w:pPr>
    </w:p>
    <w:p w14:paraId="3295401D" w14:textId="77777777" w:rsidR="00E9723F" w:rsidRPr="00B7140C" w:rsidRDefault="000A7AAC" w:rsidP="005738C3">
      <w:pPr>
        <w:pStyle w:val="Heading1"/>
        <w:spacing w:before="240"/>
        <w:jc w:val="both"/>
        <w:rPr>
          <w:rFonts w:ascii="Times New Roman" w:hAnsi="Times New Roman" w:cs="Times New Roman"/>
          <w:color w:val="auto"/>
        </w:rPr>
      </w:pPr>
      <w:bookmarkStart w:id="7" w:name="_Toc237130068"/>
      <w:bookmarkStart w:id="8" w:name="_Toc240238838"/>
      <w:r w:rsidRPr="00B7140C">
        <w:rPr>
          <w:rFonts w:ascii="Times New Roman" w:hAnsi="Times New Roman" w:cs="Times New Roman"/>
          <w:color w:val="auto"/>
          <w:sz w:val="32"/>
        </w:rPr>
        <w:lastRenderedPageBreak/>
        <w:t>Chapter 1: Introduction and Rationale</w:t>
      </w:r>
      <w:bookmarkEnd w:id="7"/>
      <w:bookmarkEnd w:id="8"/>
    </w:p>
    <w:p w14:paraId="22C95BE6" w14:textId="77777777" w:rsidR="00E9723F" w:rsidRPr="00B7140C" w:rsidRDefault="000A7AAC" w:rsidP="005738C3">
      <w:pPr>
        <w:pStyle w:val="Heading2"/>
        <w:spacing w:before="240"/>
        <w:jc w:val="both"/>
        <w:rPr>
          <w:rFonts w:ascii="Times New Roman" w:hAnsi="Times New Roman" w:cs="Times New Roman"/>
          <w:color w:val="auto"/>
        </w:rPr>
      </w:pPr>
      <w:bookmarkStart w:id="9" w:name="_Toc237130069"/>
      <w:bookmarkStart w:id="10" w:name="_Toc240238839"/>
      <w:r w:rsidRPr="00B7140C">
        <w:rPr>
          <w:rFonts w:ascii="Times New Roman" w:hAnsi="Times New Roman" w:cs="Times New Roman"/>
          <w:color w:val="auto"/>
          <w:sz w:val="28"/>
        </w:rPr>
        <w:t>1.1 Research Background</w:t>
      </w:r>
      <w:bookmarkEnd w:id="9"/>
      <w:bookmarkEnd w:id="10"/>
    </w:p>
    <w:p w14:paraId="21D74559" w14:textId="77777777" w:rsidR="00FF36E3" w:rsidRPr="00B7140C" w:rsidRDefault="00FF36E3" w:rsidP="005738C3">
      <w:pPr>
        <w:pStyle w:val="NormalWeb"/>
        <w:spacing w:line="360" w:lineRule="auto"/>
        <w:jc w:val="both"/>
      </w:pPr>
      <w:r w:rsidRPr="00B7140C">
        <w:t xml:space="preserve">Today, influencer marketing is more than a global phenomenon; it has become one of the most influential changes in contemporary brand communication. The global influencer marketing industry is estimated to be valued at USD 24 billion in 2024, an increase of over 30 per cent per annum from the 2019 figure, which was valued at USD 6 billion (Guttmann, 2026; Influencer Marketing Hub, 2024). The U.K. is one of the most developed influencer economies in Europe, with marketer spending on influencer activity expected to surpass GBP 1.3 billion by 2025 (Fisher, 2025). Brands are shifting from macro and mega influencers towards micro-influencers, as micro-influencers typically have lower campaign costs, narrower audience targeting and higher engagement rates (De </w:t>
      </w:r>
      <w:proofErr w:type="spellStart"/>
      <w:r w:rsidRPr="00B7140C">
        <w:t>Veirman</w:t>
      </w:r>
      <w:proofErr w:type="spellEnd"/>
      <w:r w:rsidRPr="00B7140C">
        <w:t xml:space="preserve">, </w:t>
      </w:r>
      <w:proofErr w:type="spellStart"/>
      <w:r w:rsidRPr="00B7140C">
        <w:t>Cauberghe</w:t>
      </w:r>
      <w:proofErr w:type="spellEnd"/>
      <w:r w:rsidRPr="00B7140C">
        <w:t xml:space="preserve"> and </w:t>
      </w:r>
      <w:proofErr w:type="spellStart"/>
      <w:r w:rsidRPr="00B7140C">
        <w:t>Hudders</w:t>
      </w:r>
      <w:proofErr w:type="spellEnd"/>
      <w:r w:rsidRPr="00B7140C">
        <w:t xml:space="preserve">, 2017; </w:t>
      </w:r>
      <w:proofErr w:type="spellStart"/>
      <w:r w:rsidRPr="00B7140C">
        <w:t>Hudders</w:t>
      </w:r>
      <w:proofErr w:type="spellEnd"/>
      <w:r w:rsidRPr="00B7140C">
        <w:t xml:space="preserve">, De Jans and De </w:t>
      </w:r>
      <w:proofErr w:type="spellStart"/>
      <w:r w:rsidRPr="00B7140C">
        <w:t>Veirman</w:t>
      </w:r>
      <w:proofErr w:type="spellEnd"/>
      <w:r w:rsidRPr="00B7140C">
        <w:t>, 2021).</w:t>
      </w:r>
    </w:p>
    <w:p w14:paraId="6A7310F1" w14:textId="77777777" w:rsidR="007F1890" w:rsidRDefault="00FF36E3" w:rsidP="007F1890">
      <w:pPr>
        <w:pStyle w:val="NormalWeb"/>
        <w:spacing w:line="360" w:lineRule="auto"/>
        <w:jc w:val="both"/>
      </w:pPr>
      <w:r w:rsidRPr="00B7140C">
        <w:t>The change is most evident in the United Kingdom skincare industry. In 2024, consumers spent around GBP 3.4 billion on skincare in the UK, a segment expected to reach GBP 4.1 billion by 2028 due to a younger demographic that uses skincare as a daily habit and a way to express identity (Malone, 2024; Statista Research Department, 2025). This growth is driven by Generation Z, comprising UK consumers born between 1997 and 2012 (ages 14-28). They are the first generation to have grown up in a social-media environment; they are mobile-first, and TikTok and Instagram are key platforms for product discovery (</w:t>
      </w:r>
      <w:proofErr w:type="spellStart"/>
      <w:r w:rsidRPr="00B7140C">
        <w:t>Djafarova</w:t>
      </w:r>
      <w:proofErr w:type="spellEnd"/>
      <w:r w:rsidRPr="00B7140C">
        <w:t xml:space="preserve"> and Bowes, 2021; </w:t>
      </w:r>
      <w:proofErr w:type="spellStart"/>
      <w:r w:rsidRPr="00B7140C">
        <w:t>Vrontis</w:t>
      </w:r>
      <w:proofErr w:type="spellEnd"/>
      <w:r w:rsidRPr="00B7140C">
        <w:t xml:space="preserve"> et al., 2021; Ofcom, 2026). </w:t>
      </w:r>
      <w:r w:rsidR="007F1890">
        <w:t>Research by industry watchers reveals that 62 per cent of UK Gen Z consumers trust a micro-influencer more than a celebrity or brand advertising and 74 per cent have purchased a beauty or skincare product after seeing it promoted by a social media influencer (Edelman, 2024; HubSpot, 2024).</w:t>
      </w:r>
    </w:p>
    <w:p w14:paraId="4D297AA5" w14:textId="3A495B63" w:rsidR="00FF36E3" w:rsidRPr="00B7140C" w:rsidRDefault="007F1890" w:rsidP="007F1890">
      <w:pPr>
        <w:pStyle w:val="NormalWeb"/>
        <w:spacing w:line="360" w:lineRule="auto"/>
        <w:jc w:val="both"/>
      </w:pPr>
      <w:r>
        <w:t xml:space="preserve">The research on the credibility of micro-influencers takes place at a pivotal moment, as a combination of three pressures is brewing. Social commerce has also blurred the distinction between content engagement and buying, impacting the role of credibility near the point of sale (Ofcom, 2024). </w:t>
      </w:r>
      <w:r w:rsidR="00FF36E3" w:rsidRPr="00B7140C">
        <w:t xml:space="preserve">Second, the Advertising Standards Authority (ASA) and the Competition and Markets Authority (CMA) have strengthened attention to sponsorship disclosure, changing the information environment in which young consumers assess influencer endorsements (Advertising Standards Authority and Committee of Advertising Practice, </w:t>
      </w:r>
      <w:r w:rsidR="00FF36E3" w:rsidRPr="00B7140C">
        <w:lastRenderedPageBreak/>
        <w:t xml:space="preserve">2024). Third, there is well-established </w:t>
      </w:r>
      <w:proofErr w:type="spellStart"/>
      <w:r w:rsidR="00FF36E3" w:rsidRPr="00B7140C">
        <w:t>scepticism</w:t>
      </w:r>
      <w:proofErr w:type="spellEnd"/>
      <w:r w:rsidR="00FF36E3" w:rsidRPr="00B7140C">
        <w:t xml:space="preserve"> among Gen Z toward traditional advertising, while authenticity remains an important feature of digital-media engagement (Arbanas et al., 2024). However, despite substantial investment and changes in </w:t>
      </w:r>
      <w:proofErr w:type="spellStart"/>
      <w:r w:rsidR="00FF36E3" w:rsidRPr="00B7140C">
        <w:t>behaviour</w:t>
      </w:r>
      <w:proofErr w:type="spellEnd"/>
      <w:r w:rsidR="00FF36E3" w:rsidRPr="00B7140C">
        <w:t xml:space="preserve"> and regulation, the academic literature has not fully resolved the interactions among perceived credibility components -- trustworthiness, expertise, attractiveness, authenticity and homophily -- and their relationship with purchase intention within this audience, category and country. This study seeks to address that gap.</w:t>
      </w:r>
    </w:p>
    <w:p w14:paraId="4B52EC60" w14:textId="77777777" w:rsidR="00E9723F" w:rsidRPr="00B7140C" w:rsidRDefault="000A7AAC" w:rsidP="005738C3">
      <w:pPr>
        <w:jc w:val="both"/>
        <w:rPr>
          <w:rFonts w:ascii="Times New Roman" w:hAnsi="Times New Roman" w:cs="Times New Roman"/>
        </w:rPr>
      </w:pPr>
      <w:r w:rsidRPr="00B7140C">
        <w:rPr>
          <w:rFonts w:ascii="Times New Roman" w:hAnsi="Times New Roman" w:cs="Times New Roman"/>
          <w:noProof/>
        </w:rPr>
        <w:drawing>
          <wp:inline distT="0" distB="0" distL="0" distR="0" wp14:anchorId="5E7E9820" wp14:editId="399EE1F6">
            <wp:extent cx="5760000" cy="3240000"/>
            <wp:effectExtent l="0" t="0" r="0" b="0"/>
            <wp:docPr id="100" name="Chart 1" descr="Average Instagram engagement rate by influencer tier, UK 20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742EFF3" w14:textId="77777777" w:rsidR="00E9723F" w:rsidRPr="00B7140C" w:rsidRDefault="000A7AAC" w:rsidP="005738C3">
      <w:pPr>
        <w:spacing w:before="80"/>
        <w:jc w:val="both"/>
        <w:rPr>
          <w:rFonts w:ascii="Times New Roman" w:hAnsi="Times New Roman" w:cs="Times New Roman"/>
        </w:rPr>
      </w:pPr>
      <w:r w:rsidRPr="00B7140C">
        <w:rPr>
          <w:rFonts w:ascii="Times New Roman" w:hAnsi="Times New Roman" w:cs="Times New Roman"/>
          <w:i/>
          <w:sz w:val="20"/>
        </w:rPr>
        <w:t xml:space="preserve">Figure 1.1: Average Instagram engagement rate by influencer tier, United Kingdom, 2024. Source: Influencer Marketing Hub (2024); </w:t>
      </w:r>
      <w:proofErr w:type="spellStart"/>
      <w:r w:rsidRPr="00B7140C">
        <w:rPr>
          <w:rFonts w:ascii="Times New Roman" w:hAnsi="Times New Roman" w:cs="Times New Roman"/>
          <w:i/>
          <w:sz w:val="20"/>
        </w:rPr>
        <w:t>HypeAuditor</w:t>
      </w:r>
      <w:proofErr w:type="spellEnd"/>
      <w:r w:rsidRPr="00B7140C">
        <w:rPr>
          <w:rFonts w:ascii="Times New Roman" w:hAnsi="Times New Roman" w:cs="Times New Roman"/>
          <w:i/>
          <w:sz w:val="20"/>
        </w:rPr>
        <w:t xml:space="preserve"> (2024).</w:t>
      </w:r>
    </w:p>
    <w:p w14:paraId="6DFC0548" w14:textId="77777777" w:rsidR="00E9723F" w:rsidRPr="00B7140C" w:rsidRDefault="000A7AAC" w:rsidP="005738C3">
      <w:pPr>
        <w:pStyle w:val="Heading2"/>
        <w:spacing w:before="240"/>
        <w:jc w:val="both"/>
        <w:rPr>
          <w:rFonts w:ascii="Times New Roman" w:hAnsi="Times New Roman" w:cs="Times New Roman"/>
          <w:color w:val="auto"/>
        </w:rPr>
      </w:pPr>
      <w:bookmarkStart w:id="11" w:name="_Toc237130070"/>
      <w:bookmarkStart w:id="12" w:name="_Toc240238840"/>
      <w:r w:rsidRPr="00B7140C">
        <w:rPr>
          <w:rFonts w:ascii="Times New Roman" w:hAnsi="Times New Roman" w:cs="Times New Roman"/>
          <w:color w:val="auto"/>
          <w:sz w:val="28"/>
        </w:rPr>
        <w:t>1.2 Research Rationale</w:t>
      </w:r>
      <w:bookmarkEnd w:id="11"/>
      <w:bookmarkEnd w:id="12"/>
    </w:p>
    <w:p w14:paraId="78638A59" w14:textId="77777777" w:rsidR="00E9723F" w:rsidRPr="00B7140C" w:rsidRDefault="000A7AAC" w:rsidP="005738C3">
      <w:pPr>
        <w:pStyle w:val="Heading3"/>
        <w:spacing w:before="240"/>
        <w:jc w:val="both"/>
        <w:rPr>
          <w:rFonts w:ascii="Times New Roman" w:hAnsi="Times New Roman" w:cs="Times New Roman"/>
          <w:color w:val="auto"/>
        </w:rPr>
      </w:pPr>
      <w:bookmarkStart w:id="13" w:name="_Toc237130071"/>
      <w:bookmarkStart w:id="14" w:name="_Toc240238841"/>
      <w:r w:rsidRPr="00B7140C">
        <w:rPr>
          <w:rFonts w:ascii="Times New Roman" w:hAnsi="Times New Roman" w:cs="Times New Roman"/>
          <w:color w:val="auto"/>
        </w:rPr>
        <w:t>1.2.1 Theoretical Justification</w:t>
      </w:r>
      <w:bookmarkEnd w:id="13"/>
      <w:bookmarkEnd w:id="14"/>
    </w:p>
    <w:p w14:paraId="1DBF6774" w14:textId="77777777" w:rsidR="00FF36E3" w:rsidRPr="00B7140C" w:rsidRDefault="00FF36E3" w:rsidP="005738C3">
      <w:pPr>
        <w:pStyle w:val="NormalWeb"/>
        <w:spacing w:line="360" w:lineRule="auto"/>
        <w:jc w:val="both"/>
      </w:pPr>
      <w:r w:rsidRPr="00B7140C">
        <w:t xml:space="preserve">The study of persuasion through influencers has a solid theoretical foundation. The Source Credibility Model (Hovland and Weiss, 1951), as </w:t>
      </w:r>
      <w:proofErr w:type="spellStart"/>
      <w:r w:rsidRPr="00B7140C">
        <w:t>operationalised</w:t>
      </w:r>
      <w:proofErr w:type="spellEnd"/>
      <w:r w:rsidRPr="00B7140C">
        <w:t xml:space="preserve"> by Ohanian (1990), posits that trustworthiness, expertise and attractiveness are three dimensions that jointly shape the persuasive impact of a message. This three-dimensional structure has been widely adopted in influencer marketing research: Lou and Yuan (2019) found that informational value and credibility positively affect follower trust in branded social-media content, while Schouten, Janssen and </w:t>
      </w:r>
      <w:proofErr w:type="spellStart"/>
      <w:r w:rsidRPr="00B7140C">
        <w:t>Verspaget</w:t>
      </w:r>
      <w:proofErr w:type="spellEnd"/>
      <w:r w:rsidRPr="00B7140C">
        <w:t xml:space="preserve"> (2020) showed that perceived trustworthiness and identification can </w:t>
      </w:r>
      <w:r w:rsidRPr="00B7140C">
        <w:lastRenderedPageBreak/>
        <w:t xml:space="preserve">make influencers more effective than celebrities. A complementary model is the Theory of Planned </w:t>
      </w:r>
      <w:proofErr w:type="spellStart"/>
      <w:r w:rsidRPr="00B7140C">
        <w:t>Behaviour</w:t>
      </w:r>
      <w:proofErr w:type="spellEnd"/>
      <w:r w:rsidRPr="00B7140C">
        <w:t xml:space="preserve"> (Ajzen, 1991), which represents purchase intention as an immediate determinant of </w:t>
      </w:r>
      <w:proofErr w:type="spellStart"/>
      <w:r w:rsidRPr="00B7140C">
        <w:t>behaviour</w:t>
      </w:r>
      <w:proofErr w:type="spellEnd"/>
      <w:r w:rsidRPr="00B7140C">
        <w:t xml:space="preserve">; its drivers include attitudes, subjective norms and perceived </w:t>
      </w:r>
      <w:proofErr w:type="spellStart"/>
      <w:r w:rsidRPr="00B7140C">
        <w:t>behavioural</w:t>
      </w:r>
      <w:proofErr w:type="spellEnd"/>
      <w:r w:rsidRPr="00B7140C">
        <w:t xml:space="preserve"> control, which can be influenced by credible influencer content (</w:t>
      </w:r>
      <w:proofErr w:type="spellStart"/>
      <w:r w:rsidRPr="00B7140C">
        <w:t>Casaló</w:t>
      </w:r>
      <w:proofErr w:type="spellEnd"/>
      <w:r w:rsidRPr="00B7140C">
        <w:t xml:space="preserve">, Flavián and Ibáñez-Sánchez, 2020; </w:t>
      </w:r>
      <w:proofErr w:type="spellStart"/>
      <w:r w:rsidRPr="00B7140C">
        <w:t>Belanche</w:t>
      </w:r>
      <w:proofErr w:type="spellEnd"/>
      <w:r w:rsidRPr="00B7140C">
        <w:t xml:space="preserve"> et al., 2021). Incorporating an affective component, Parasocial Interaction Theory (Horton and Wohl, 1956) suggests that repeated one-sided viewing of an influencer can develop a quasi-personal relationship that increases persuasive impact (Sokolova and </w:t>
      </w:r>
      <w:proofErr w:type="spellStart"/>
      <w:r w:rsidRPr="00B7140C">
        <w:t>Kefi</w:t>
      </w:r>
      <w:proofErr w:type="spellEnd"/>
      <w:r w:rsidRPr="00B7140C">
        <w:t xml:space="preserve">, 2020). Influencer-brand fit research further indicates that the endorser, product and audience should be congruent for persuasion to be credible (Breves et al., 2019; </w:t>
      </w:r>
      <w:proofErr w:type="spellStart"/>
      <w:r w:rsidRPr="00B7140C">
        <w:t>Belanche</w:t>
      </w:r>
      <w:proofErr w:type="spellEnd"/>
      <w:r w:rsidRPr="00B7140C">
        <w:t xml:space="preserve"> et al., 2021; Schouten, Janssen and </w:t>
      </w:r>
      <w:proofErr w:type="spellStart"/>
      <w:r w:rsidRPr="00B7140C">
        <w:t>Verspaget</w:t>
      </w:r>
      <w:proofErr w:type="spellEnd"/>
      <w:r w:rsidRPr="00B7140C">
        <w:t>, 2020).</w:t>
      </w:r>
    </w:p>
    <w:p w14:paraId="52F08F00" w14:textId="77777777" w:rsidR="00FF36E3" w:rsidRPr="00B7140C" w:rsidRDefault="00FF36E3" w:rsidP="005738C3">
      <w:pPr>
        <w:pStyle w:val="NormalWeb"/>
        <w:spacing w:line="360" w:lineRule="auto"/>
        <w:jc w:val="both"/>
      </w:pPr>
      <w:r w:rsidRPr="00B7140C">
        <w:t xml:space="preserve">Even with this strong theoretical base, several aspects remain unresolved. First, there are conflicting perspectives regarding which aspect of credibility is most important in micro-influencer contexts: Lou and Yuan (2019) </w:t>
      </w:r>
      <w:proofErr w:type="spellStart"/>
      <w:r w:rsidRPr="00B7140C">
        <w:t>emphasise</w:t>
      </w:r>
      <w:proofErr w:type="spellEnd"/>
      <w:r w:rsidRPr="00B7140C">
        <w:t xml:space="preserve"> trustworthiness, </w:t>
      </w:r>
      <w:proofErr w:type="spellStart"/>
      <w:r w:rsidRPr="00B7140C">
        <w:t>Belanche</w:t>
      </w:r>
      <w:proofErr w:type="spellEnd"/>
      <w:r w:rsidRPr="00B7140C">
        <w:t xml:space="preserve"> et al. (2021) </w:t>
      </w:r>
      <w:proofErr w:type="spellStart"/>
      <w:r w:rsidRPr="00B7140C">
        <w:t>emphasise</w:t>
      </w:r>
      <w:proofErr w:type="spellEnd"/>
      <w:r w:rsidRPr="00B7140C">
        <w:t xml:space="preserve"> perceived expertise, and Schouten, Janssen and </w:t>
      </w:r>
      <w:proofErr w:type="spellStart"/>
      <w:r w:rsidRPr="00B7140C">
        <w:t>Verspaget</w:t>
      </w:r>
      <w:proofErr w:type="spellEnd"/>
      <w:r w:rsidRPr="00B7140C">
        <w:t xml:space="preserve"> (2020) identify identification and similarity. Second, authenticity has not been consistently defined across studies, with </w:t>
      </w:r>
      <w:proofErr w:type="spellStart"/>
      <w:r w:rsidRPr="00B7140C">
        <w:t>Audrezet</w:t>
      </w:r>
      <w:proofErr w:type="spellEnd"/>
      <w:r w:rsidRPr="00B7140C">
        <w:t xml:space="preserve">, de </w:t>
      </w:r>
      <w:proofErr w:type="spellStart"/>
      <w:r w:rsidRPr="00B7140C">
        <w:t>Kerviler</w:t>
      </w:r>
      <w:proofErr w:type="spellEnd"/>
      <w:r w:rsidRPr="00B7140C">
        <w:t xml:space="preserve"> and Guidry </w:t>
      </w:r>
      <w:proofErr w:type="spellStart"/>
      <w:r w:rsidRPr="00B7140C">
        <w:t>Moulard</w:t>
      </w:r>
      <w:proofErr w:type="spellEnd"/>
      <w:r w:rsidRPr="00B7140C">
        <w:t xml:space="preserve"> (2020) treating it as a managerial outcome, Pöyry et al. (2019) as an audience response and Lee and Eastin (2021) as a multidimensional perception. Third, the reported influence of sponsorship disclosure is not consistently explained: Boerman, Willemsen and van der Aa (2017) and </w:t>
      </w:r>
      <w:proofErr w:type="spellStart"/>
      <w:r w:rsidRPr="00B7140C">
        <w:t>Eisend</w:t>
      </w:r>
      <w:proofErr w:type="spellEnd"/>
      <w:r w:rsidRPr="00B7140C">
        <w:t xml:space="preserve"> et al. (2020) report different conditions under which disclosure can suppress or support persuasion. These tensions reflect changing platform affordances, different disclosure regimes and a literature concentrated in a limited range of national settings (</w:t>
      </w:r>
      <w:proofErr w:type="spellStart"/>
      <w:r w:rsidRPr="00B7140C">
        <w:t>Vrontis</w:t>
      </w:r>
      <w:proofErr w:type="spellEnd"/>
      <w:r w:rsidRPr="00B7140C">
        <w:t xml:space="preserve"> et al., 2021; </w:t>
      </w:r>
      <w:proofErr w:type="spellStart"/>
      <w:r w:rsidRPr="00B7140C">
        <w:t>Hudders</w:t>
      </w:r>
      <w:proofErr w:type="spellEnd"/>
      <w:r w:rsidRPr="00B7140C">
        <w:t xml:space="preserve">, De Jans and De </w:t>
      </w:r>
      <w:proofErr w:type="spellStart"/>
      <w:r w:rsidRPr="00B7140C">
        <w:t>Veirman</w:t>
      </w:r>
      <w:proofErr w:type="spellEnd"/>
      <w:r w:rsidRPr="00B7140C">
        <w:t>, 2021).</w:t>
      </w:r>
    </w:p>
    <w:p w14:paraId="71AAE63D" w14:textId="77777777" w:rsidR="00FF36E3" w:rsidRPr="00B7140C" w:rsidRDefault="00FF36E3" w:rsidP="005738C3">
      <w:pPr>
        <w:pStyle w:val="NormalWeb"/>
        <w:spacing w:line="360" w:lineRule="auto"/>
        <w:jc w:val="both"/>
      </w:pPr>
      <w:r w:rsidRPr="00B7140C">
        <w:t xml:space="preserve">The study addresses a specific and tractable research gap. Although there is substantial literature on influencer credibility, published evidence has not been </w:t>
      </w:r>
      <w:proofErr w:type="spellStart"/>
      <w:r w:rsidRPr="00B7140C">
        <w:t>synthesised</w:t>
      </w:r>
      <w:proofErr w:type="spellEnd"/>
      <w:r w:rsidRPr="00B7140C">
        <w:t xml:space="preserve"> sufficiently to explain how authenticity, homophily and parasocial attachment interact with platform context and sponsorship disclosure in shaping purchase intention for Generation Z skincare consumers (</w:t>
      </w:r>
      <w:proofErr w:type="spellStart"/>
      <w:r w:rsidRPr="00B7140C">
        <w:t>Djafarova</w:t>
      </w:r>
      <w:proofErr w:type="spellEnd"/>
      <w:r w:rsidRPr="00B7140C">
        <w:t xml:space="preserve"> and Bowes, 2021; Pöyry et al., 2019; </w:t>
      </w:r>
      <w:proofErr w:type="spellStart"/>
      <w:r w:rsidRPr="00B7140C">
        <w:t>Vrontis</w:t>
      </w:r>
      <w:proofErr w:type="spellEnd"/>
      <w:r w:rsidRPr="00B7140C">
        <w:t xml:space="preserve"> et al., 2021). This is theoretically relevant because skincare can be a relatively high-involvement product category in which consumers make credibility judgements about ingredients, suitability and product claims; these judgements may be weighted differently from lower-involvement categories. The UK disclosure environment also creates an important contextual boundary for </w:t>
      </w:r>
      <w:r w:rsidRPr="00B7140C">
        <w:lastRenderedPageBreak/>
        <w:t>interpretation (Advertising Standards Authority, 2025a; Committee of Advertising Practice, 2026a). A unified, contextual synthesis is therefore needed to refine the constructs and provide an evidence-based model for influencer selection and campaign design.</w:t>
      </w:r>
    </w:p>
    <w:p w14:paraId="444F99F0" w14:textId="77777777" w:rsidR="00E9723F" w:rsidRPr="00B7140C" w:rsidRDefault="000A7AAC" w:rsidP="005738C3">
      <w:pPr>
        <w:pStyle w:val="Heading3"/>
        <w:spacing w:before="240"/>
        <w:jc w:val="both"/>
        <w:rPr>
          <w:rFonts w:ascii="Times New Roman" w:hAnsi="Times New Roman" w:cs="Times New Roman"/>
          <w:color w:val="auto"/>
        </w:rPr>
      </w:pPr>
      <w:bookmarkStart w:id="15" w:name="_Toc237130072"/>
      <w:bookmarkStart w:id="16" w:name="_Toc240238842"/>
      <w:r w:rsidRPr="00B7140C">
        <w:rPr>
          <w:rFonts w:ascii="Times New Roman" w:hAnsi="Times New Roman" w:cs="Times New Roman"/>
          <w:color w:val="auto"/>
        </w:rPr>
        <w:t>1.2.2 Practical Justification</w:t>
      </w:r>
      <w:bookmarkEnd w:id="15"/>
      <w:bookmarkEnd w:id="16"/>
    </w:p>
    <w:p w14:paraId="3CD155B1" w14:textId="77777777" w:rsidR="00B01715" w:rsidRPr="00B7140C" w:rsidRDefault="00B01715" w:rsidP="00B01715">
      <w:pPr>
        <w:pStyle w:val="NormalWeb"/>
        <w:spacing w:line="360" w:lineRule="auto"/>
        <w:jc w:val="both"/>
      </w:pPr>
      <w:r w:rsidRPr="00B7140C">
        <w:t>Theoretical gap has real-world implications. Micro-influencers are not excluded from the scope of spending of notable beauty and skin care brands in the UK (Malone, 2024; Influencer Marketing Hub, 2024). But there are still marketers that struggle with measuring the impact of social media and trust, which is why it is significant to use evidence-based approaches to selecting influencers (Arbanas et al., 2024). In this way, there is still space for significant investment through follower numbers and other heuristics that are not best supported by the academic evidence of credibility in the UK Gen Z skincare setting.</w:t>
      </w:r>
    </w:p>
    <w:p w14:paraId="45D14868" w14:textId="77777777" w:rsidR="00B01715" w:rsidRPr="00B7140C" w:rsidRDefault="00B01715" w:rsidP="00B01715">
      <w:pPr>
        <w:pStyle w:val="NormalWeb"/>
        <w:spacing w:line="360" w:lineRule="auto"/>
        <w:jc w:val="both"/>
      </w:pPr>
      <w:r w:rsidRPr="00B7140C">
        <w:t>There are three points of management pain. First, there is a lack of a validated, category-specific credibility framework that could leave brands vulnerable to relying on the agency's intuition or vanity metrics, which can result in decisions that are poor for the campaign and disclosure issues (Advertising Standards Authority, 2025a; Advertising Standards Authority, 2025b). Secondly, repute and compliance risks of ambiguous commercial communication rise with heightened expectations of consumers to protect themselves (Committee of Advertising Practice, 2026a; Committee of Advertising Practice, 2026b). Thirdly, the opportunity cost of investing in micro-influencers that are not effective can be substantial, especially if managers are choosing influencers for followers instead of credibility (</w:t>
      </w:r>
      <w:proofErr w:type="spellStart"/>
      <w:r w:rsidRPr="00B7140C">
        <w:t>HypeAuditor</w:t>
      </w:r>
      <w:proofErr w:type="spellEnd"/>
      <w:r w:rsidRPr="00B7140C">
        <w:t>, 2024). In fact, the managerial question in a competitive skincare category is not just how to differentiate between visibility and credible influence, but also how to measure performance without relying on the assumption that reach equals purchase intention.</w:t>
      </w:r>
    </w:p>
    <w:p w14:paraId="08D3A736" w14:textId="77777777" w:rsidR="00572677" w:rsidRPr="00B7140C" w:rsidRDefault="00C01C0B" w:rsidP="005738C3">
      <w:pPr>
        <w:spacing w:before="80"/>
        <w:jc w:val="both"/>
        <w:rPr>
          <w:rFonts w:ascii="Times New Roman" w:hAnsi="Times New Roman" w:cs="Times New Roman"/>
          <w:szCs w:val="24"/>
        </w:rPr>
      </w:pPr>
      <w:r w:rsidRPr="00B7140C">
        <w:rPr>
          <w:rFonts w:ascii="Times New Roman" w:hAnsi="Times New Roman" w:cs="Times New Roman"/>
          <w:szCs w:val="24"/>
        </w:rPr>
        <w:t xml:space="preserve">Figures 1.2–1.3 </w:t>
      </w:r>
      <w:proofErr w:type="spellStart"/>
      <w:r w:rsidRPr="00B7140C">
        <w:rPr>
          <w:rFonts w:ascii="Times New Roman" w:hAnsi="Times New Roman" w:cs="Times New Roman"/>
          <w:szCs w:val="24"/>
        </w:rPr>
        <w:t>summarise</w:t>
      </w:r>
      <w:proofErr w:type="spellEnd"/>
      <w:r w:rsidRPr="00B7140C">
        <w:rPr>
          <w:rFonts w:ascii="Times New Roman" w:hAnsi="Times New Roman" w:cs="Times New Roman"/>
          <w:szCs w:val="24"/>
        </w:rPr>
        <w:t xml:space="preserve"> the £380 million allocation and return-on-</w:t>
      </w:r>
      <w:proofErr w:type="spellStart"/>
      <w:r w:rsidRPr="00B7140C">
        <w:rPr>
          <w:rFonts w:ascii="Times New Roman" w:hAnsi="Times New Roman" w:cs="Times New Roman"/>
          <w:szCs w:val="24"/>
        </w:rPr>
        <w:t>ad</w:t>
      </w:r>
      <w:proofErr w:type="spellEnd"/>
      <w:r w:rsidRPr="00B7140C">
        <w:rPr>
          <w:rFonts w:ascii="Times New Roman" w:hAnsi="Times New Roman" w:cs="Times New Roman"/>
          <w:szCs w:val="24"/>
        </w:rPr>
        <w:t>-spend gap.</w:t>
      </w:r>
    </w:p>
    <w:tbl>
      <w:tblPr>
        <w:tblW w:w="9000" w:type="dxa"/>
        <w:jc w:val="center"/>
        <w:tblBorders>
          <w:top w:val="single" w:sz="6" w:space="0" w:color="000000"/>
          <w:left w:val="single" w:sz="6" w:space="0" w:color="000000"/>
          <w:bottom w:val="single" w:sz="6" w:space="0" w:color="000000"/>
          <w:right w:val="single" w:sz="6" w:space="0" w:color="000000"/>
          <w:insideH w:val="single" w:sz="4" w:space="0" w:color="808080"/>
          <w:insideV w:val="single" w:sz="4" w:space="0" w:color="808080"/>
        </w:tblBorders>
        <w:tblLayout w:type="fixed"/>
        <w:tblLook w:val="04A0" w:firstRow="1" w:lastRow="0" w:firstColumn="1" w:lastColumn="0" w:noHBand="0" w:noVBand="1"/>
      </w:tblPr>
      <w:tblGrid>
        <w:gridCol w:w="3300"/>
        <w:gridCol w:w="2200"/>
        <w:gridCol w:w="3500"/>
      </w:tblGrid>
      <w:tr w:rsidR="00A12B69" w:rsidRPr="00B7140C" w14:paraId="05230D43" w14:textId="77777777">
        <w:trPr>
          <w:tblHeader/>
          <w:jc w:val="center"/>
        </w:trPr>
        <w:tc>
          <w:tcPr>
            <w:tcW w:w="3300" w:type="dxa"/>
            <w:shd w:val="clear" w:color="auto" w:fill="1F4E79"/>
            <w:vAlign w:val="center"/>
          </w:tcPr>
          <w:p w14:paraId="3AC2658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Influencer Tier</w:t>
            </w:r>
          </w:p>
        </w:tc>
        <w:tc>
          <w:tcPr>
            <w:tcW w:w="2200" w:type="dxa"/>
            <w:shd w:val="clear" w:color="auto" w:fill="1F4E79"/>
            <w:vAlign w:val="center"/>
          </w:tcPr>
          <w:p w14:paraId="4EBE04F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Share of Beauty &amp; Skincare Spend (%)</w:t>
            </w:r>
          </w:p>
        </w:tc>
        <w:tc>
          <w:tcPr>
            <w:tcW w:w="3500" w:type="dxa"/>
            <w:shd w:val="clear" w:color="auto" w:fill="1F4E79"/>
            <w:vAlign w:val="center"/>
          </w:tcPr>
          <w:p w14:paraId="6AD193E1"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Reported Engagement Rate (%)</w:t>
            </w:r>
          </w:p>
        </w:tc>
      </w:tr>
      <w:tr w:rsidR="00A12B69" w:rsidRPr="00B7140C" w14:paraId="49194DA5" w14:textId="77777777">
        <w:trPr>
          <w:jc w:val="center"/>
        </w:trPr>
        <w:tc>
          <w:tcPr>
            <w:tcW w:w="3300" w:type="dxa"/>
            <w:vAlign w:val="center"/>
          </w:tcPr>
          <w:p w14:paraId="2CC073D2"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Nano (&lt;10k)</w:t>
            </w:r>
          </w:p>
        </w:tc>
        <w:tc>
          <w:tcPr>
            <w:tcW w:w="2200" w:type="dxa"/>
            <w:vAlign w:val="center"/>
          </w:tcPr>
          <w:p w14:paraId="6E2806C5"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18%</w:t>
            </w:r>
          </w:p>
        </w:tc>
        <w:tc>
          <w:tcPr>
            <w:tcW w:w="3500" w:type="dxa"/>
            <w:vAlign w:val="center"/>
          </w:tcPr>
          <w:p w14:paraId="1098985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5.6%</w:t>
            </w:r>
          </w:p>
        </w:tc>
      </w:tr>
      <w:tr w:rsidR="00A12B69" w:rsidRPr="00B7140C" w14:paraId="18151DDE" w14:textId="77777777">
        <w:trPr>
          <w:jc w:val="center"/>
        </w:trPr>
        <w:tc>
          <w:tcPr>
            <w:tcW w:w="3300" w:type="dxa"/>
            <w:vAlign w:val="center"/>
          </w:tcPr>
          <w:p w14:paraId="6AC49F6F"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Micro (10k–100k)</w:t>
            </w:r>
          </w:p>
        </w:tc>
        <w:tc>
          <w:tcPr>
            <w:tcW w:w="2200" w:type="dxa"/>
            <w:vAlign w:val="center"/>
          </w:tcPr>
          <w:p w14:paraId="14256621"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48%</w:t>
            </w:r>
          </w:p>
        </w:tc>
        <w:tc>
          <w:tcPr>
            <w:tcW w:w="3500" w:type="dxa"/>
            <w:vAlign w:val="center"/>
          </w:tcPr>
          <w:p w14:paraId="79CBBCC0"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3.9%</w:t>
            </w:r>
          </w:p>
        </w:tc>
      </w:tr>
      <w:tr w:rsidR="00A12B69" w:rsidRPr="00B7140C" w14:paraId="00C546CC" w14:textId="77777777">
        <w:trPr>
          <w:jc w:val="center"/>
        </w:trPr>
        <w:tc>
          <w:tcPr>
            <w:tcW w:w="3300" w:type="dxa"/>
            <w:vAlign w:val="center"/>
          </w:tcPr>
          <w:p w14:paraId="7D279AE5"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Macro (100k–1M)</w:t>
            </w:r>
          </w:p>
        </w:tc>
        <w:tc>
          <w:tcPr>
            <w:tcW w:w="2200" w:type="dxa"/>
            <w:vAlign w:val="center"/>
          </w:tcPr>
          <w:p w14:paraId="736E4DCE"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22%</w:t>
            </w:r>
          </w:p>
        </w:tc>
        <w:tc>
          <w:tcPr>
            <w:tcW w:w="3500" w:type="dxa"/>
            <w:vAlign w:val="center"/>
          </w:tcPr>
          <w:p w14:paraId="69ABD98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1.8%</w:t>
            </w:r>
          </w:p>
        </w:tc>
      </w:tr>
      <w:tr w:rsidR="00A12B69" w:rsidRPr="00B7140C" w14:paraId="753D9BDE" w14:textId="77777777">
        <w:trPr>
          <w:jc w:val="center"/>
        </w:trPr>
        <w:tc>
          <w:tcPr>
            <w:tcW w:w="3300" w:type="dxa"/>
            <w:vAlign w:val="center"/>
          </w:tcPr>
          <w:p w14:paraId="2B39B46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Mega / Celebrity (&gt;1M)</w:t>
            </w:r>
          </w:p>
        </w:tc>
        <w:tc>
          <w:tcPr>
            <w:tcW w:w="2200" w:type="dxa"/>
            <w:vAlign w:val="center"/>
          </w:tcPr>
          <w:p w14:paraId="5FCAF1BE"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12%</w:t>
            </w:r>
          </w:p>
        </w:tc>
        <w:tc>
          <w:tcPr>
            <w:tcW w:w="3500" w:type="dxa"/>
            <w:vAlign w:val="center"/>
          </w:tcPr>
          <w:p w14:paraId="07A8E3F3"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1.1%</w:t>
            </w:r>
          </w:p>
        </w:tc>
      </w:tr>
    </w:tbl>
    <w:p w14:paraId="57919580" w14:textId="77777777" w:rsidR="00572677" w:rsidRPr="00B7140C" w:rsidRDefault="00C01C0B" w:rsidP="005738C3">
      <w:pPr>
        <w:spacing w:before="80"/>
        <w:jc w:val="both"/>
        <w:rPr>
          <w:rFonts w:ascii="Times New Roman" w:hAnsi="Times New Roman" w:cs="Times New Roman"/>
        </w:rPr>
      </w:pPr>
      <w:r w:rsidRPr="00B7140C">
        <w:rPr>
          <w:rFonts w:ascii="Times New Roman" w:hAnsi="Times New Roman" w:cs="Times New Roman"/>
          <w:i/>
          <w:sz w:val="20"/>
        </w:rPr>
        <w:lastRenderedPageBreak/>
        <w:t xml:space="preserve">Figure 1.2: UK Beauty and Skincare Influencer Marketing Spend Allocation and Engagement, 2024. Sources: Compiled from Influencer Marketing Hub (2024); </w:t>
      </w:r>
      <w:proofErr w:type="spellStart"/>
      <w:r w:rsidRPr="00B7140C">
        <w:rPr>
          <w:rFonts w:ascii="Times New Roman" w:hAnsi="Times New Roman" w:cs="Times New Roman"/>
          <w:i/>
          <w:sz w:val="20"/>
        </w:rPr>
        <w:t>HypeAuditor</w:t>
      </w:r>
      <w:proofErr w:type="spellEnd"/>
      <w:r w:rsidRPr="00B7140C">
        <w:rPr>
          <w:rFonts w:ascii="Times New Roman" w:hAnsi="Times New Roman" w:cs="Times New Roman"/>
          <w:i/>
          <w:sz w:val="20"/>
        </w:rPr>
        <w:t xml:space="preserve"> (2024); Malone (2024).</w:t>
      </w:r>
    </w:p>
    <w:p w14:paraId="0721211A" w14:textId="77777777" w:rsidR="00572677" w:rsidRPr="00B7140C" w:rsidRDefault="00572677" w:rsidP="005738C3">
      <w:pPr>
        <w:spacing w:after="0"/>
        <w:jc w:val="both"/>
        <w:rPr>
          <w:rFonts w:ascii="Times New Roman" w:hAnsi="Times New Roman" w:cs="Times New Roman"/>
        </w:rPr>
      </w:pPr>
    </w:p>
    <w:tbl>
      <w:tblPr>
        <w:tblW w:w="9000" w:type="dxa"/>
        <w:jc w:val="center"/>
        <w:tblBorders>
          <w:top w:val="single" w:sz="6" w:space="0" w:color="000000"/>
          <w:left w:val="single" w:sz="6" w:space="0" w:color="000000"/>
          <w:bottom w:val="single" w:sz="6" w:space="0" w:color="000000"/>
          <w:right w:val="single" w:sz="6" w:space="0" w:color="000000"/>
          <w:insideH w:val="single" w:sz="4" w:space="0" w:color="808080"/>
          <w:insideV w:val="single" w:sz="4" w:space="0" w:color="808080"/>
        </w:tblBorders>
        <w:tblLayout w:type="fixed"/>
        <w:tblLook w:val="04A0" w:firstRow="1" w:lastRow="0" w:firstColumn="1" w:lastColumn="0" w:noHBand="0" w:noVBand="1"/>
      </w:tblPr>
      <w:tblGrid>
        <w:gridCol w:w="3300"/>
        <w:gridCol w:w="2900"/>
        <w:gridCol w:w="2800"/>
      </w:tblGrid>
      <w:tr w:rsidR="00A12B69" w:rsidRPr="00B7140C" w14:paraId="6F4C8522" w14:textId="77777777">
        <w:trPr>
          <w:tblHeader/>
          <w:jc w:val="center"/>
        </w:trPr>
        <w:tc>
          <w:tcPr>
            <w:tcW w:w="3300" w:type="dxa"/>
            <w:shd w:val="clear" w:color="auto" w:fill="1F4E79"/>
            <w:vAlign w:val="center"/>
          </w:tcPr>
          <w:p w14:paraId="1CFF8E81"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Selection Basis</w:t>
            </w:r>
          </w:p>
        </w:tc>
        <w:tc>
          <w:tcPr>
            <w:tcW w:w="2900" w:type="dxa"/>
            <w:shd w:val="clear" w:color="auto" w:fill="1F4E79"/>
            <w:vAlign w:val="center"/>
          </w:tcPr>
          <w:p w14:paraId="130ABD36"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Reported Median ROAS (£ return per £1 spent)</w:t>
            </w:r>
          </w:p>
        </w:tc>
        <w:tc>
          <w:tcPr>
            <w:tcW w:w="2800" w:type="dxa"/>
            <w:shd w:val="clear" w:color="auto" w:fill="1F4E79"/>
            <w:vAlign w:val="center"/>
          </w:tcPr>
          <w:p w14:paraId="1E098BFF"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b/>
                <w:sz w:val="20"/>
              </w:rPr>
              <w:t>Reported ROAS Range</w:t>
            </w:r>
          </w:p>
        </w:tc>
      </w:tr>
      <w:tr w:rsidR="00A12B69" w:rsidRPr="00B7140C" w14:paraId="551B6E61" w14:textId="77777777">
        <w:trPr>
          <w:jc w:val="center"/>
        </w:trPr>
        <w:tc>
          <w:tcPr>
            <w:tcW w:w="3300" w:type="dxa"/>
            <w:vAlign w:val="center"/>
          </w:tcPr>
          <w:p w14:paraId="659C5ED6"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Follower-count-led selection</w:t>
            </w:r>
          </w:p>
        </w:tc>
        <w:tc>
          <w:tcPr>
            <w:tcW w:w="2900" w:type="dxa"/>
            <w:vAlign w:val="center"/>
          </w:tcPr>
          <w:p w14:paraId="3AEF30C1"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£1.6</w:t>
            </w:r>
          </w:p>
        </w:tc>
        <w:tc>
          <w:tcPr>
            <w:tcW w:w="2800" w:type="dxa"/>
            <w:vAlign w:val="center"/>
          </w:tcPr>
          <w:p w14:paraId="052E1D01"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£0.9 – £2.3</w:t>
            </w:r>
          </w:p>
        </w:tc>
      </w:tr>
      <w:tr w:rsidR="00A12B69" w:rsidRPr="00B7140C" w14:paraId="0B96100E" w14:textId="77777777">
        <w:trPr>
          <w:jc w:val="center"/>
        </w:trPr>
        <w:tc>
          <w:tcPr>
            <w:tcW w:w="3300" w:type="dxa"/>
            <w:vAlign w:val="center"/>
          </w:tcPr>
          <w:p w14:paraId="18664FDD"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Aesthetic / vanity metrics</w:t>
            </w:r>
          </w:p>
        </w:tc>
        <w:tc>
          <w:tcPr>
            <w:tcW w:w="2900" w:type="dxa"/>
            <w:vAlign w:val="center"/>
          </w:tcPr>
          <w:p w14:paraId="281295D9"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£1.9</w:t>
            </w:r>
          </w:p>
        </w:tc>
        <w:tc>
          <w:tcPr>
            <w:tcW w:w="2800" w:type="dxa"/>
            <w:vAlign w:val="center"/>
          </w:tcPr>
          <w:p w14:paraId="6C0B6106"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£1.1 – £2.6</w:t>
            </w:r>
          </w:p>
        </w:tc>
      </w:tr>
      <w:tr w:rsidR="00A12B69" w:rsidRPr="00B7140C" w14:paraId="2096E2C9" w14:textId="77777777">
        <w:trPr>
          <w:jc w:val="center"/>
        </w:trPr>
        <w:tc>
          <w:tcPr>
            <w:tcW w:w="3300" w:type="dxa"/>
            <w:vAlign w:val="center"/>
          </w:tcPr>
          <w:p w14:paraId="16F299B8"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Credibility-led selection</w:t>
            </w:r>
          </w:p>
        </w:tc>
        <w:tc>
          <w:tcPr>
            <w:tcW w:w="2900" w:type="dxa"/>
            <w:vAlign w:val="center"/>
          </w:tcPr>
          <w:p w14:paraId="73FFD6E5"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£4.1</w:t>
            </w:r>
          </w:p>
        </w:tc>
        <w:tc>
          <w:tcPr>
            <w:tcW w:w="2800" w:type="dxa"/>
            <w:vAlign w:val="center"/>
          </w:tcPr>
          <w:p w14:paraId="38E41218" w14:textId="77777777" w:rsidR="00572677" w:rsidRPr="00B7140C" w:rsidRDefault="00C01C0B" w:rsidP="005738C3">
            <w:pPr>
              <w:spacing w:after="0"/>
              <w:jc w:val="both"/>
              <w:rPr>
                <w:rFonts w:ascii="Times New Roman" w:hAnsi="Times New Roman" w:cs="Times New Roman"/>
              </w:rPr>
            </w:pPr>
            <w:r w:rsidRPr="00B7140C">
              <w:rPr>
                <w:rFonts w:ascii="Times New Roman" w:hAnsi="Times New Roman" w:cs="Times New Roman"/>
                <w:sz w:val="20"/>
              </w:rPr>
              <w:t>£2.4 – £4.6</w:t>
            </w:r>
          </w:p>
        </w:tc>
      </w:tr>
    </w:tbl>
    <w:p w14:paraId="5786F81C" w14:textId="77777777" w:rsidR="00572677" w:rsidRPr="00B7140C" w:rsidRDefault="00C01C0B" w:rsidP="005738C3">
      <w:pPr>
        <w:spacing w:before="80"/>
        <w:jc w:val="both"/>
        <w:rPr>
          <w:rFonts w:ascii="Times New Roman" w:hAnsi="Times New Roman" w:cs="Times New Roman"/>
        </w:rPr>
      </w:pPr>
      <w:r w:rsidRPr="00B7140C">
        <w:rPr>
          <w:rFonts w:ascii="Times New Roman" w:hAnsi="Times New Roman" w:cs="Times New Roman"/>
          <w:i/>
          <w:sz w:val="20"/>
        </w:rPr>
        <w:t>Figure 1.3: Comparative Return-on-</w:t>
      </w:r>
      <w:proofErr w:type="spellStart"/>
      <w:r w:rsidRPr="00B7140C">
        <w:rPr>
          <w:rFonts w:ascii="Times New Roman" w:hAnsi="Times New Roman" w:cs="Times New Roman"/>
          <w:i/>
          <w:sz w:val="20"/>
        </w:rPr>
        <w:t>Ad</w:t>
      </w:r>
      <w:proofErr w:type="spellEnd"/>
      <w:r w:rsidRPr="00B7140C">
        <w:rPr>
          <w:rFonts w:ascii="Times New Roman" w:hAnsi="Times New Roman" w:cs="Times New Roman"/>
          <w:i/>
          <w:sz w:val="20"/>
        </w:rPr>
        <w:t xml:space="preserve">-Spend (ROAS) — Credibility-led versus Follower-led Micro-Influencer Selection, UK Skincare and Beauty, 2024. Source: </w:t>
      </w:r>
      <w:proofErr w:type="spellStart"/>
      <w:r w:rsidRPr="00B7140C">
        <w:rPr>
          <w:rFonts w:ascii="Times New Roman" w:hAnsi="Times New Roman" w:cs="Times New Roman"/>
          <w:i/>
          <w:sz w:val="20"/>
        </w:rPr>
        <w:t>HypeAuditor</w:t>
      </w:r>
      <w:proofErr w:type="spellEnd"/>
      <w:r w:rsidRPr="00B7140C">
        <w:rPr>
          <w:rFonts w:ascii="Times New Roman" w:hAnsi="Times New Roman" w:cs="Times New Roman"/>
          <w:i/>
          <w:sz w:val="20"/>
        </w:rPr>
        <w:t xml:space="preserve"> (2024).</w:t>
      </w:r>
    </w:p>
    <w:p w14:paraId="6FE921C3" w14:textId="77777777" w:rsidR="00572677" w:rsidRPr="00B7140C" w:rsidRDefault="00C01C0B" w:rsidP="005738C3">
      <w:pPr>
        <w:spacing w:before="80"/>
        <w:jc w:val="both"/>
        <w:rPr>
          <w:rFonts w:ascii="Times New Roman" w:hAnsi="Times New Roman" w:cs="Times New Roman"/>
          <w:szCs w:val="24"/>
        </w:rPr>
      </w:pPr>
      <w:r w:rsidRPr="00B7140C">
        <w:rPr>
          <w:rFonts w:ascii="Times New Roman" w:hAnsi="Times New Roman" w:cs="Times New Roman"/>
          <w:szCs w:val="24"/>
        </w:rPr>
        <w:t xml:space="preserve">Taken together, Figures 1.2 and 1.3 illustrate why the theoretical gap carries practical financial weight: micro-influencers receive a substantial share of campaign attention, while follower count and aesthetics remain imperfect selection signals. This reinforces the need for a category-specific credibility framework that distinguishes reach from evidence-based selection and outcome measurement (Malone, 2024; Influencer Marketing Hub, 2024; </w:t>
      </w:r>
      <w:proofErr w:type="spellStart"/>
      <w:r w:rsidRPr="00B7140C">
        <w:rPr>
          <w:rFonts w:ascii="Times New Roman" w:hAnsi="Times New Roman" w:cs="Times New Roman"/>
          <w:szCs w:val="24"/>
        </w:rPr>
        <w:t>HypeAuditor</w:t>
      </w:r>
      <w:proofErr w:type="spellEnd"/>
      <w:r w:rsidRPr="00B7140C">
        <w:rPr>
          <w:rFonts w:ascii="Times New Roman" w:hAnsi="Times New Roman" w:cs="Times New Roman"/>
          <w:szCs w:val="24"/>
        </w:rPr>
        <w:t>, 2024).</w:t>
      </w:r>
    </w:p>
    <w:p w14:paraId="5DC11CA4" w14:textId="77777777" w:rsidR="00E9723F" w:rsidRPr="00B7140C" w:rsidRDefault="000A7AAC" w:rsidP="005738C3">
      <w:pPr>
        <w:pStyle w:val="Heading2"/>
        <w:spacing w:before="240"/>
        <w:jc w:val="both"/>
        <w:rPr>
          <w:rFonts w:ascii="Times New Roman" w:hAnsi="Times New Roman" w:cs="Times New Roman"/>
          <w:color w:val="auto"/>
        </w:rPr>
      </w:pPr>
      <w:bookmarkStart w:id="17" w:name="_Toc237130073"/>
      <w:bookmarkStart w:id="18" w:name="_Toc240238843"/>
      <w:r w:rsidRPr="00B7140C">
        <w:rPr>
          <w:rFonts w:ascii="Times New Roman" w:hAnsi="Times New Roman" w:cs="Times New Roman"/>
          <w:color w:val="auto"/>
          <w:sz w:val="28"/>
        </w:rPr>
        <w:t>1.3 Research Contribution and Motivation</w:t>
      </w:r>
      <w:bookmarkEnd w:id="17"/>
      <w:bookmarkEnd w:id="18"/>
    </w:p>
    <w:p w14:paraId="5474A182" w14:textId="77777777" w:rsidR="00B43BB0" w:rsidRPr="00B7140C" w:rsidRDefault="00B43BB0" w:rsidP="005738C3">
      <w:pPr>
        <w:pStyle w:val="NormalWeb"/>
        <w:spacing w:line="360" w:lineRule="auto"/>
        <w:jc w:val="both"/>
      </w:pPr>
      <w:r w:rsidRPr="00B7140C">
        <w:t xml:space="preserve">This dissertation makes a theoretical contribution by employing an extended source-credibility perspective as an </w:t>
      </w:r>
      <w:proofErr w:type="spellStart"/>
      <w:r w:rsidRPr="00B7140C">
        <w:t>organising</w:t>
      </w:r>
      <w:proofErr w:type="spellEnd"/>
      <w:r w:rsidRPr="00B7140C">
        <w:t xml:space="preserve"> framework for secondary evidence and not as a structural model for statistical testing. It examines the definitions and reports of trustworthiness, expertise, attractiveness, authenticity and homophily from published studies and the representation of parasocial attachment as a relational mechanism and platform context and the disclosure of sponsorship as a contextual influence. This is a reaction to the construct instability that was found by </w:t>
      </w:r>
      <w:proofErr w:type="spellStart"/>
      <w:r w:rsidRPr="00B7140C">
        <w:t>Audrezet</w:t>
      </w:r>
      <w:proofErr w:type="spellEnd"/>
      <w:r w:rsidRPr="00B7140C">
        <w:t xml:space="preserve">, de </w:t>
      </w:r>
      <w:proofErr w:type="spellStart"/>
      <w:r w:rsidRPr="00B7140C">
        <w:t>Kerviler</w:t>
      </w:r>
      <w:proofErr w:type="spellEnd"/>
      <w:r w:rsidRPr="00B7140C">
        <w:t xml:space="preserve"> and Guidry </w:t>
      </w:r>
      <w:proofErr w:type="spellStart"/>
      <w:r w:rsidRPr="00B7140C">
        <w:t>Moulard</w:t>
      </w:r>
      <w:proofErr w:type="spellEnd"/>
      <w:r w:rsidRPr="00B7140C">
        <w:t xml:space="preserve"> (2020) and Pöyry et al. (2019), as well as to the demand for models of influencer effectiveness that are contingent (</w:t>
      </w:r>
      <w:proofErr w:type="spellStart"/>
      <w:r w:rsidRPr="00B7140C">
        <w:t>Vrontis</w:t>
      </w:r>
      <w:proofErr w:type="spellEnd"/>
      <w:r w:rsidRPr="00B7140C">
        <w:t xml:space="preserve"> et al., 2021; </w:t>
      </w:r>
      <w:proofErr w:type="spellStart"/>
      <w:r w:rsidRPr="00B7140C">
        <w:t>Hudders</w:t>
      </w:r>
      <w:proofErr w:type="spellEnd"/>
      <w:r w:rsidRPr="00B7140C">
        <w:t xml:space="preserve">, De Jans and De </w:t>
      </w:r>
      <w:proofErr w:type="spellStart"/>
      <w:r w:rsidRPr="00B7140C">
        <w:t>Veirman</w:t>
      </w:r>
      <w:proofErr w:type="spellEnd"/>
      <w:r w:rsidRPr="00B7140C">
        <w:t xml:space="preserve">, 2021). The proposed contribution is an integrated narrative of convergence, contradiction and boundary conditions in the available evidence, adjusted to </w:t>
      </w:r>
      <w:proofErr w:type="spellStart"/>
      <w:r w:rsidRPr="00B7140C">
        <w:t>UKGen</w:t>
      </w:r>
      <w:proofErr w:type="spellEnd"/>
      <w:r w:rsidRPr="00B7140C">
        <w:t xml:space="preserve"> Z skincare, and it does not make claims for newly estimated causal effects.</w:t>
      </w:r>
    </w:p>
    <w:p w14:paraId="1964E194" w14:textId="77777777" w:rsidR="00B43BB0" w:rsidRPr="00B7140C" w:rsidRDefault="00B43BB0" w:rsidP="005738C3">
      <w:pPr>
        <w:pStyle w:val="NormalWeb"/>
        <w:spacing w:line="360" w:lineRule="auto"/>
        <w:jc w:val="both"/>
      </w:pPr>
      <w:r w:rsidRPr="00B7140C">
        <w:t xml:space="preserve">The dissertation uses secondary data only, both methodologically and empirically. It reviewed peer-reviewed research, regulatory publications, public company material and reputable industry reports through transparent searches in Scopus, Web of Science, </w:t>
      </w:r>
      <w:r w:rsidRPr="00B7140C">
        <w:lastRenderedPageBreak/>
        <w:t xml:space="preserve">ScienceDirect, Google Scholar and the university library. Eligible sources were assessed using inclusion and exclusion criteria, quality and contextual fit and were documented in an extraction matrix covering country, sample, platform, category, construct definitions, measures, reported relationships and limitations. Directed thematic analysis and narrative synthesis were used to compare evidence across the five credibility dimensions, parasocial attachment, platform context and disclosure, while remaining open to additional themes (Snyder, 2019; </w:t>
      </w:r>
      <w:proofErr w:type="spellStart"/>
      <w:r w:rsidRPr="00B7140C">
        <w:t>Tranfield</w:t>
      </w:r>
      <w:proofErr w:type="spellEnd"/>
      <w:r w:rsidRPr="00B7140C">
        <w:t>, Denyer and Smart, 2003; Braun and Clarke, 2006). No new personal data were collected, no questionnaire or interview was administered and no participant was recruited. The empirical value lies in making diverse published evidence transparent and comparable rather than creating a new respondent dataset or meta-analysis.</w:t>
      </w:r>
    </w:p>
    <w:p w14:paraId="4E2EAD14" w14:textId="77777777" w:rsidR="00FD570E" w:rsidRPr="00B7140C" w:rsidRDefault="00FD570E" w:rsidP="00FD570E">
      <w:pPr>
        <w:pStyle w:val="NormalWeb"/>
        <w:spacing w:line="360" w:lineRule="auto"/>
        <w:jc w:val="both"/>
      </w:pPr>
      <w:r w:rsidRPr="00B7140C">
        <w:t>The research provides a framework for UK skincare brand managers, influencer-marketing agencies and practitioners that are evidence-based. It does not only take into account the number of followers and the looks of the profile but also credibility cues and supporting evidence, platform conditions and disclosure context. It separates claims with direct UK evidence for the skin care sector from next to adjacent markets and categories and labels claims based primarily on industry reports with an opaque methodological approach. This evidence-grading approach enables managers to differentiate between more robust and timely claims and choose influencers or assess disclosure compliance (</w:t>
      </w:r>
      <w:proofErr w:type="spellStart"/>
      <w:r w:rsidRPr="00B7140C">
        <w:t>Vrontis</w:t>
      </w:r>
      <w:proofErr w:type="spellEnd"/>
      <w:r w:rsidRPr="00B7140C">
        <w:t xml:space="preserve"> et al., 2021; Ye et al., 2021). It's the combination of a cohort (UK Gen Z), category (skincare), influencer tier (micro) and regulatory-platform context which is the originality. The output does not present new causal claims within the UK; rather, it provides propositions that would be based on evidence and decision criteria/priorities for future primary research.</w:t>
      </w:r>
    </w:p>
    <w:p w14:paraId="6FB2A896" w14:textId="77777777" w:rsidR="00E9723F" w:rsidRPr="00B7140C" w:rsidRDefault="000A7AAC" w:rsidP="005738C3">
      <w:pPr>
        <w:pStyle w:val="Heading2"/>
        <w:spacing w:before="240"/>
        <w:jc w:val="both"/>
        <w:rPr>
          <w:rFonts w:ascii="Times New Roman" w:hAnsi="Times New Roman" w:cs="Times New Roman"/>
          <w:color w:val="auto"/>
        </w:rPr>
      </w:pPr>
      <w:bookmarkStart w:id="19" w:name="_Toc237130074"/>
      <w:bookmarkStart w:id="20" w:name="_Toc240238844"/>
      <w:r w:rsidRPr="00B7140C">
        <w:rPr>
          <w:rFonts w:ascii="Times New Roman" w:hAnsi="Times New Roman" w:cs="Times New Roman"/>
          <w:color w:val="auto"/>
          <w:sz w:val="28"/>
        </w:rPr>
        <w:t>1.4 Research Aim, Objectives and Question</w:t>
      </w:r>
      <w:bookmarkEnd w:id="19"/>
      <w:bookmarkEnd w:id="20"/>
    </w:p>
    <w:p w14:paraId="33FA77E8" w14:textId="77777777" w:rsidR="00B43BB0" w:rsidRPr="00B7140C" w:rsidRDefault="00B43BB0" w:rsidP="005738C3">
      <w:pPr>
        <w:pStyle w:val="NormalWeb"/>
        <w:spacing w:line="360" w:lineRule="auto"/>
        <w:jc w:val="both"/>
      </w:pPr>
      <w:r w:rsidRPr="00B7140C">
        <w:t>In keeping with the research gap and approved ethics position, the design elements below are presented only in terms of secondary data. They do not estimate effects from a new UK sample but rather critically compare and interpret existing evidence. The aim, objectives and research question are therefore formulated using verbs that can be accomplished with transparent searching, quality appraisal, structured extraction and thematic narrative synthesis.</w:t>
      </w:r>
    </w:p>
    <w:p w14:paraId="2AD6CB09" w14:textId="77777777" w:rsidR="00FF36E3" w:rsidRPr="00B7140C" w:rsidRDefault="000A7AAC" w:rsidP="005738C3">
      <w:pPr>
        <w:pStyle w:val="NormalWeb"/>
        <w:spacing w:line="360" w:lineRule="auto"/>
        <w:jc w:val="both"/>
      </w:pPr>
      <w:r w:rsidRPr="00B7140C">
        <w:lastRenderedPageBreak/>
        <w:t xml:space="preserve">Research Aim: To critically evaluate, through a secondary-data multiple-case analysis of five UK skincare </w:t>
      </w:r>
      <w:proofErr w:type="spellStart"/>
      <w:r w:rsidRPr="00B7140C">
        <w:t>organisations</w:t>
      </w:r>
      <w:proofErr w:type="spellEnd"/>
      <w:r w:rsidRPr="00B7140C">
        <w:t>, how micro-influencer credibility dimensions relate to purchase intention among UK Gen Z consumers in the skincare industry.</w:t>
      </w:r>
    </w:p>
    <w:p w14:paraId="0D37E440" w14:textId="77777777" w:rsidR="00E9723F" w:rsidRPr="00B7140C" w:rsidRDefault="000A7AAC" w:rsidP="005738C3">
      <w:pPr>
        <w:jc w:val="both"/>
        <w:rPr>
          <w:rFonts w:ascii="Times New Roman" w:hAnsi="Times New Roman" w:cs="Times New Roman"/>
        </w:rPr>
      </w:pPr>
      <w:r w:rsidRPr="00B7140C">
        <w:rPr>
          <w:rFonts w:ascii="Times New Roman" w:hAnsi="Times New Roman" w:cs="Times New Roman"/>
        </w:rPr>
        <w:t xml:space="preserve">The aim is </w:t>
      </w:r>
      <w:proofErr w:type="spellStart"/>
      <w:r w:rsidRPr="00B7140C">
        <w:rPr>
          <w:rFonts w:ascii="Times New Roman" w:hAnsi="Times New Roman" w:cs="Times New Roman"/>
        </w:rPr>
        <w:t>operationalised</w:t>
      </w:r>
      <w:proofErr w:type="spellEnd"/>
      <w:r w:rsidRPr="00B7140C">
        <w:rPr>
          <w:rFonts w:ascii="Times New Roman" w:hAnsi="Times New Roman" w:cs="Times New Roman"/>
        </w:rPr>
        <w:t xml:space="preserve"> through two objectives that match the approved secondary-data design:</w:t>
      </w:r>
    </w:p>
    <w:p w14:paraId="343C25C5" w14:textId="77777777" w:rsidR="00E9723F" w:rsidRPr="00B7140C" w:rsidRDefault="000A7AAC" w:rsidP="005738C3">
      <w:pPr>
        <w:ind w:left="425" w:hanging="425"/>
        <w:jc w:val="both"/>
        <w:rPr>
          <w:rFonts w:ascii="Times New Roman" w:hAnsi="Times New Roman" w:cs="Times New Roman"/>
        </w:rPr>
      </w:pPr>
      <w:r w:rsidRPr="00B7140C">
        <w:rPr>
          <w:rFonts w:ascii="Times New Roman" w:hAnsi="Times New Roman" w:cs="Times New Roman"/>
        </w:rPr>
        <w:t xml:space="preserve">1. To critically </w:t>
      </w:r>
      <w:proofErr w:type="spellStart"/>
      <w:r w:rsidRPr="00B7140C">
        <w:rPr>
          <w:rFonts w:ascii="Times New Roman" w:hAnsi="Times New Roman" w:cs="Times New Roman"/>
        </w:rPr>
        <w:t>synthesise</w:t>
      </w:r>
      <w:proofErr w:type="spellEnd"/>
      <w:r w:rsidRPr="00B7140C">
        <w:rPr>
          <w:rFonts w:ascii="Times New Roman" w:hAnsi="Times New Roman" w:cs="Times New Roman"/>
        </w:rPr>
        <w:t xml:space="preserve"> secondary evidence on trustworthiness, expertise, attractiveness, authenticity and homophily, and examine how these credibility dimensions are </w:t>
      </w:r>
      <w:proofErr w:type="spellStart"/>
      <w:r w:rsidRPr="00B7140C">
        <w:rPr>
          <w:rFonts w:ascii="Times New Roman" w:hAnsi="Times New Roman" w:cs="Times New Roman"/>
        </w:rPr>
        <w:t>contextualised</w:t>
      </w:r>
      <w:proofErr w:type="spellEnd"/>
      <w:r w:rsidRPr="00B7140C">
        <w:rPr>
          <w:rFonts w:ascii="Times New Roman" w:hAnsi="Times New Roman" w:cs="Times New Roman"/>
        </w:rPr>
        <w:t xml:space="preserve"> across the five UK skincare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 in relation to Gen Z purchase intention.</w:t>
      </w:r>
    </w:p>
    <w:p w14:paraId="0281CB17" w14:textId="77777777" w:rsidR="00E9723F" w:rsidRPr="00B7140C" w:rsidRDefault="000A7AAC" w:rsidP="005738C3">
      <w:pPr>
        <w:ind w:left="425" w:hanging="425"/>
        <w:jc w:val="both"/>
        <w:rPr>
          <w:rFonts w:ascii="Times New Roman" w:hAnsi="Times New Roman" w:cs="Times New Roman"/>
        </w:rPr>
      </w:pPr>
      <w:r w:rsidRPr="00B7140C">
        <w:rPr>
          <w:rFonts w:ascii="Times New Roman" w:hAnsi="Times New Roman" w:cs="Times New Roman"/>
        </w:rPr>
        <w:t xml:space="preserve">2. To compare the five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 to evaluate how parasocial attachment, platform context and sponsorship disclosure condition the credibility-to-purchase-intention relationship, and translate the cross-case findings into an evidence-based selection framework for UK skincare brand managers.</w:t>
      </w:r>
    </w:p>
    <w:p w14:paraId="4858E0A3" w14:textId="77777777" w:rsidR="00E9723F" w:rsidRPr="00B7140C" w:rsidRDefault="000A7AAC" w:rsidP="005738C3">
      <w:pPr>
        <w:spacing w:before="120" w:after="80"/>
        <w:jc w:val="both"/>
        <w:rPr>
          <w:rFonts w:ascii="Times New Roman" w:hAnsi="Times New Roman" w:cs="Times New Roman"/>
        </w:rPr>
      </w:pPr>
      <w:r w:rsidRPr="00B7140C">
        <w:rPr>
          <w:rFonts w:ascii="Times New Roman" w:hAnsi="Times New Roman" w:cs="Times New Roman"/>
        </w:rPr>
        <w:t>These objectives are guided by one research question:</w:t>
      </w:r>
    </w:p>
    <w:p w14:paraId="14AE984C" w14:textId="77777777" w:rsidR="00E9723F" w:rsidRPr="00B7140C" w:rsidRDefault="000A7AAC" w:rsidP="005738C3">
      <w:pPr>
        <w:ind w:left="425" w:hanging="425"/>
        <w:jc w:val="both"/>
        <w:rPr>
          <w:rFonts w:ascii="Times New Roman" w:hAnsi="Times New Roman" w:cs="Times New Roman"/>
        </w:rPr>
      </w:pPr>
      <w:r w:rsidRPr="00B7140C">
        <w:rPr>
          <w:rFonts w:ascii="Times New Roman" w:hAnsi="Times New Roman" w:cs="Times New Roman"/>
        </w:rPr>
        <w:t xml:space="preserve">RQ1: How does cross-case analysis of five UK skincare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interpreted alongside existing secondary evidence, explain how micro-influencer credibility relates to Gen Z purchase intention, including the roles of parasocial attachment, platform context and sponsorship disclosure?</w:t>
      </w:r>
    </w:p>
    <w:p w14:paraId="0915663E" w14:textId="77777777" w:rsidR="00FD5AA3" w:rsidRPr="00B7140C" w:rsidRDefault="00FD5AA3" w:rsidP="005738C3">
      <w:pPr>
        <w:ind w:left="425" w:hanging="425"/>
        <w:jc w:val="both"/>
        <w:rPr>
          <w:rFonts w:ascii="Times New Roman" w:hAnsi="Times New Roman" w:cs="Times New Roman"/>
        </w:rPr>
      </w:pPr>
      <w:r w:rsidRPr="00B7140C">
        <w:rPr>
          <w:rFonts w:ascii="Times New Roman" w:hAnsi="Times New Roman" w:cs="Times New Roman"/>
        </w:rPr>
        <w:t xml:space="preserve">The alignment is deliberate. Objective 1 links the five credibility dimensions to the five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contexts, while Objective 2 uses cross-case comparison to evaluate relational and contextual conditions and derive the managerial framework. RQ1 is therefore answered through the same secondary-data multiple-case design used in Chapters 3–5. Conclusions remain evidence-weighted and analytical rather than causal or statistically </w:t>
      </w:r>
      <w:proofErr w:type="spellStart"/>
      <w:r w:rsidRPr="00B7140C">
        <w:rPr>
          <w:rFonts w:ascii="Times New Roman" w:hAnsi="Times New Roman" w:cs="Times New Roman"/>
        </w:rPr>
        <w:t>generalisable</w:t>
      </w:r>
      <w:proofErr w:type="spellEnd"/>
      <w:r w:rsidRPr="00B7140C">
        <w:rPr>
          <w:rFonts w:ascii="Times New Roman" w:hAnsi="Times New Roman" w:cs="Times New Roman"/>
        </w:rPr>
        <w:t xml:space="preserve"> to the UK Gen Z population.</w:t>
      </w:r>
    </w:p>
    <w:p w14:paraId="150008B5" w14:textId="77777777" w:rsidR="00E9723F" w:rsidRPr="00B7140C" w:rsidRDefault="000A7AAC" w:rsidP="005738C3">
      <w:pPr>
        <w:pStyle w:val="Heading2"/>
        <w:pageBreakBefore/>
        <w:spacing w:before="240"/>
        <w:jc w:val="both"/>
        <w:rPr>
          <w:rFonts w:ascii="Times New Roman" w:hAnsi="Times New Roman" w:cs="Times New Roman"/>
          <w:color w:val="auto"/>
        </w:rPr>
      </w:pPr>
      <w:bookmarkStart w:id="21" w:name="_Toc237130075"/>
      <w:bookmarkStart w:id="22" w:name="_Toc240238845"/>
      <w:r w:rsidRPr="00B7140C">
        <w:rPr>
          <w:rFonts w:ascii="Times New Roman" w:hAnsi="Times New Roman" w:cs="Times New Roman"/>
          <w:color w:val="auto"/>
          <w:sz w:val="28"/>
        </w:rPr>
        <w:lastRenderedPageBreak/>
        <w:t>1.5 Dissertation Structure</w:t>
      </w:r>
      <w:bookmarkEnd w:id="21"/>
      <w:bookmarkEnd w:id="22"/>
    </w:p>
    <w:p w14:paraId="3D5AB35D" w14:textId="77777777" w:rsidR="00F6547C" w:rsidRPr="00B7140C" w:rsidRDefault="00F6547C" w:rsidP="005738C3">
      <w:pPr>
        <w:pStyle w:val="NormalWeb"/>
        <w:spacing w:line="360" w:lineRule="auto"/>
        <w:jc w:val="both"/>
      </w:pPr>
      <w:r w:rsidRPr="00B7140C">
        <w:t xml:space="preserve">This dissertation is </w:t>
      </w:r>
      <w:proofErr w:type="spellStart"/>
      <w:r w:rsidRPr="00B7140C">
        <w:t>organised</w:t>
      </w:r>
      <w:proofErr w:type="spellEnd"/>
      <w:r w:rsidRPr="00B7140C">
        <w:t xml:space="preserve"> into six chapters. Chapter 2 develops the theoretical and conceptual framework by critically reviewing credibility, parasocial attachment, platform context, sponsorship disclosure and purchase intention. Chapter 3 explains and justifies the secondary-data multi-case methodology, evidence selection, quality appraisal, extraction, analysis, ethics and data management. Chapter 4 presents the five UK skincare cases using a consistent background, challenge, approach and outcome structure and then compares the cases. Chapter 5 interprets those cross-case findings against the Chapter 2 literature and refines the conceptual framework. Chapter 6 presents the conclusions, theoretical and managerial implications, limitations and future research. No chapter collects primary data or </w:t>
      </w:r>
      <w:proofErr w:type="gramStart"/>
      <w:r w:rsidRPr="00B7140C">
        <w:t>recruits</w:t>
      </w:r>
      <w:proofErr w:type="gramEnd"/>
      <w:r w:rsidRPr="00B7140C">
        <w:t xml:space="preserve"> participants.</w:t>
      </w:r>
    </w:p>
    <w:p w14:paraId="5B9FC5AF" w14:textId="77777777" w:rsidR="00E9723F" w:rsidRPr="00B7140C" w:rsidRDefault="000A7AAC" w:rsidP="005738C3">
      <w:pPr>
        <w:jc w:val="both"/>
        <w:rPr>
          <w:rFonts w:ascii="Times New Roman" w:hAnsi="Times New Roman" w:cs="Times New Roman"/>
        </w:rPr>
      </w:pPr>
      <w:r w:rsidRPr="00B7140C">
        <w:rPr>
          <w:rFonts w:ascii="Times New Roman" w:hAnsi="Times New Roman" w:cs="Times New Roman"/>
        </w:rPr>
        <w:br w:type="page"/>
      </w:r>
    </w:p>
    <w:p w14:paraId="1B6FAEAE" w14:textId="77777777" w:rsidR="00766610" w:rsidRPr="00B7140C" w:rsidRDefault="00766610" w:rsidP="005738C3">
      <w:pPr>
        <w:pStyle w:val="Heading1"/>
        <w:spacing w:before="240"/>
        <w:jc w:val="both"/>
        <w:rPr>
          <w:rFonts w:ascii="Times New Roman" w:hAnsi="Times New Roman" w:cs="Times New Roman"/>
          <w:color w:val="auto"/>
        </w:rPr>
      </w:pPr>
      <w:bookmarkStart w:id="23" w:name="_Toc237130076"/>
      <w:bookmarkStart w:id="24" w:name="_Toc240238846"/>
      <w:r w:rsidRPr="00B7140C">
        <w:rPr>
          <w:rFonts w:ascii="Times New Roman" w:hAnsi="Times New Roman" w:cs="Times New Roman"/>
          <w:color w:val="auto"/>
          <w:sz w:val="32"/>
        </w:rPr>
        <w:lastRenderedPageBreak/>
        <w:t>Chapter 2: Literature Review</w:t>
      </w:r>
      <w:bookmarkEnd w:id="23"/>
      <w:bookmarkEnd w:id="24"/>
    </w:p>
    <w:p w14:paraId="268D1677" w14:textId="77777777" w:rsidR="00766610" w:rsidRPr="00B7140C" w:rsidRDefault="00766610" w:rsidP="005738C3">
      <w:pPr>
        <w:pStyle w:val="Heading2"/>
        <w:spacing w:before="240"/>
        <w:jc w:val="both"/>
        <w:rPr>
          <w:rFonts w:ascii="Times New Roman" w:hAnsi="Times New Roman" w:cs="Times New Roman"/>
          <w:color w:val="auto"/>
        </w:rPr>
      </w:pPr>
      <w:bookmarkStart w:id="25" w:name="_Toc237130077"/>
      <w:bookmarkStart w:id="26" w:name="_Toc240238847"/>
      <w:r w:rsidRPr="00B7140C">
        <w:rPr>
          <w:rFonts w:ascii="Times New Roman" w:hAnsi="Times New Roman" w:cs="Times New Roman"/>
          <w:color w:val="auto"/>
          <w:sz w:val="28"/>
        </w:rPr>
        <w:t>2.1 Introduction</w:t>
      </w:r>
      <w:bookmarkEnd w:id="25"/>
      <w:bookmarkEnd w:id="26"/>
    </w:p>
    <w:p w14:paraId="0DA39120" w14:textId="77777777" w:rsidR="0007229F" w:rsidRPr="00B7140C" w:rsidRDefault="0007229F" w:rsidP="0007229F">
      <w:pPr>
        <w:spacing w:before="100" w:beforeAutospacing="1" w:after="100" w:afterAutospacing="1"/>
        <w:jc w:val="both"/>
        <w:rPr>
          <w:rFonts w:ascii="Times New Roman" w:hAnsi="Times New Roman" w:cs="Times New Roman"/>
        </w:rPr>
      </w:pPr>
      <w:r w:rsidRPr="00B7140C">
        <w:rPr>
          <w:rFonts w:ascii="Times New Roman" w:hAnsi="Times New Roman" w:cs="Times New Roman"/>
        </w:rPr>
        <w:t>The credibility of micro-influencers is a topic that is discussed a lot, but the extent and influence that the credibility has, and its dimensions are still debated, as presented in Chapter 1 (</w:t>
      </w:r>
      <w:proofErr w:type="spellStart"/>
      <w:r w:rsidRPr="00B7140C">
        <w:rPr>
          <w:rFonts w:ascii="Times New Roman" w:hAnsi="Times New Roman" w:cs="Times New Roman"/>
        </w:rPr>
        <w:t>Vrontis</w:t>
      </w:r>
      <w:proofErr w:type="spellEnd"/>
      <w:r w:rsidRPr="00B7140C">
        <w:rPr>
          <w:rFonts w:ascii="Times New Roman" w:hAnsi="Times New Roman" w:cs="Times New Roman"/>
        </w:rPr>
        <w:t xml:space="preserve"> et al., 2021; </w:t>
      </w:r>
      <w:proofErr w:type="spellStart"/>
      <w:r w:rsidRPr="00B7140C">
        <w:rPr>
          <w:rFonts w:ascii="Times New Roman" w:hAnsi="Times New Roman" w:cs="Times New Roman"/>
        </w:rPr>
        <w:t>Hudders</w:t>
      </w:r>
      <w:proofErr w:type="spellEnd"/>
      <w:r w:rsidRPr="00B7140C">
        <w:rPr>
          <w:rFonts w:ascii="Times New Roman" w:hAnsi="Times New Roman" w:cs="Times New Roman"/>
        </w:rPr>
        <w:t xml:space="preserve">, De Jans and De </w:t>
      </w:r>
      <w:proofErr w:type="spellStart"/>
      <w:r w:rsidRPr="00B7140C">
        <w:rPr>
          <w:rFonts w:ascii="Times New Roman" w:hAnsi="Times New Roman" w:cs="Times New Roman"/>
        </w:rPr>
        <w:t>Veirman</w:t>
      </w:r>
      <w:proofErr w:type="spellEnd"/>
      <w:r w:rsidRPr="00B7140C">
        <w:rPr>
          <w:rFonts w:ascii="Times New Roman" w:hAnsi="Times New Roman" w:cs="Times New Roman"/>
        </w:rPr>
        <w:t xml:space="preserve">, 2021). The literature review in this chapter critically analyses peer-reviewed literature published primarily between 2018 and 2026 regarding the topics of credibility, purchase intention, parasocial attachment, and the context and disclosure of the platform and sponsorship. It is not a compilation of studies, but rather it constitutes an identification of convergence, of contradiction, of methodological limitations and gaps that can justify a structured secondary synthesis. The scope includes social media influencers and only includes celebrity or traditional endorsement evidence when it pertains to a relevant construct. All surveys, samples or statistical models mentioned are part of the published source studies and not new surveys or samples created for this dissertation or statistical model. The key themes are explored critically in Section 2.2; the extended source-credibility lens is explained in Section 2.3; key literature is </w:t>
      </w:r>
      <w:proofErr w:type="spellStart"/>
      <w:r w:rsidRPr="00B7140C">
        <w:rPr>
          <w:rFonts w:ascii="Times New Roman" w:hAnsi="Times New Roman" w:cs="Times New Roman"/>
        </w:rPr>
        <w:t>summarised</w:t>
      </w:r>
      <w:proofErr w:type="spellEnd"/>
      <w:r w:rsidRPr="00B7140C">
        <w:rPr>
          <w:rFonts w:ascii="Times New Roman" w:hAnsi="Times New Roman" w:cs="Times New Roman"/>
        </w:rPr>
        <w:t xml:space="preserve"> in Section 2.5; and Section 2.6 concludes the section and links the themes to the methodology.</w:t>
      </w:r>
    </w:p>
    <w:p w14:paraId="57032D73" w14:textId="77777777" w:rsidR="00766610" w:rsidRPr="00B7140C" w:rsidRDefault="00766610" w:rsidP="005738C3">
      <w:pPr>
        <w:pStyle w:val="Heading2"/>
        <w:spacing w:before="240"/>
        <w:jc w:val="both"/>
        <w:rPr>
          <w:rFonts w:ascii="Times New Roman" w:hAnsi="Times New Roman" w:cs="Times New Roman"/>
          <w:color w:val="auto"/>
        </w:rPr>
      </w:pPr>
      <w:bookmarkStart w:id="27" w:name="_Toc237130078"/>
      <w:bookmarkStart w:id="28" w:name="_Toc240238848"/>
      <w:r w:rsidRPr="00B7140C">
        <w:rPr>
          <w:rFonts w:ascii="Times New Roman" w:hAnsi="Times New Roman" w:cs="Times New Roman"/>
          <w:color w:val="auto"/>
          <w:sz w:val="28"/>
        </w:rPr>
        <w:t>2.2 Thematic Overview of the Literature</w:t>
      </w:r>
      <w:bookmarkEnd w:id="27"/>
      <w:bookmarkEnd w:id="28"/>
    </w:p>
    <w:p w14:paraId="2FF370CA" w14:textId="77777777" w:rsidR="00766610" w:rsidRPr="00B7140C" w:rsidRDefault="00766610" w:rsidP="005738C3">
      <w:pPr>
        <w:pStyle w:val="Heading3"/>
        <w:spacing w:before="240"/>
        <w:jc w:val="both"/>
        <w:rPr>
          <w:rFonts w:ascii="Times New Roman" w:hAnsi="Times New Roman" w:cs="Times New Roman"/>
          <w:color w:val="auto"/>
        </w:rPr>
      </w:pPr>
      <w:bookmarkStart w:id="29" w:name="_Toc237130079"/>
      <w:bookmarkStart w:id="30" w:name="_Toc240238849"/>
      <w:r w:rsidRPr="00B7140C">
        <w:rPr>
          <w:rFonts w:ascii="Times New Roman" w:hAnsi="Times New Roman" w:cs="Times New Roman"/>
          <w:color w:val="auto"/>
        </w:rPr>
        <w:t>2.2.1 Deconstructing the Tri-Dimensional Source Credibility Model</w:t>
      </w:r>
      <w:bookmarkEnd w:id="29"/>
      <w:bookmarkEnd w:id="30"/>
    </w:p>
    <w:p w14:paraId="293AD152"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Recent influencer literature has commonly treated source credibility as a tri-dimensional construct comprising trustworthiness, expertise and attractiveness (Lou and Yuan, 2019; Wiedmann and von </w:t>
      </w:r>
      <w:proofErr w:type="spellStart"/>
      <w:r w:rsidRPr="00B7140C">
        <w:rPr>
          <w:rFonts w:ascii="Times New Roman" w:eastAsia="Times New Roman" w:hAnsi="Times New Roman" w:cs="Times New Roman"/>
          <w:szCs w:val="24"/>
        </w:rPr>
        <w:t>Mettenheim</w:t>
      </w:r>
      <w:proofErr w:type="spellEnd"/>
      <w:r w:rsidRPr="00B7140C">
        <w:rPr>
          <w:rFonts w:ascii="Times New Roman" w:eastAsia="Times New Roman" w:hAnsi="Times New Roman" w:cs="Times New Roman"/>
          <w:szCs w:val="24"/>
        </w:rPr>
        <w:t xml:space="preserve">, 2021; </w:t>
      </w:r>
      <w:proofErr w:type="spellStart"/>
      <w:r w:rsidRPr="00B7140C">
        <w:rPr>
          <w:rFonts w:ascii="Times New Roman" w:eastAsia="Times New Roman" w:hAnsi="Times New Roman" w:cs="Times New Roman"/>
          <w:szCs w:val="24"/>
        </w:rPr>
        <w:t>Belanche</w:t>
      </w:r>
      <w:proofErr w:type="spellEnd"/>
      <w:r w:rsidRPr="00B7140C">
        <w:rPr>
          <w:rFonts w:ascii="Times New Roman" w:eastAsia="Times New Roman" w:hAnsi="Times New Roman" w:cs="Times New Roman"/>
          <w:szCs w:val="24"/>
        </w:rPr>
        <w:t xml:space="preserve"> et al., 2021). This convenience does not remove a serious issue: the dimensions are often represented as parallel additive predictors even though their reported effects vary across contexts. Lou and Yuan (2019) </w:t>
      </w:r>
      <w:proofErr w:type="spellStart"/>
      <w:r w:rsidRPr="00B7140C">
        <w:rPr>
          <w:rFonts w:ascii="Times New Roman" w:eastAsia="Times New Roman" w:hAnsi="Times New Roman" w:cs="Times New Roman"/>
          <w:szCs w:val="24"/>
        </w:rPr>
        <w:t>emphasise</w:t>
      </w:r>
      <w:proofErr w:type="spellEnd"/>
      <w:r w:rsidRPr="00B7140C">
        <w:rPr>
          <w:rFonts w:ascii="Times New Roman" w:eastAsia="Times New Roman" w:hAnsi="Times New Roman" w:cs="Times New Roman"/>
          <w:szCs w:val="24"/>
        </w:rPr>
        <w:t xml:space="preserve"> informational value and trust, Wiedmann and von </w:t>
      </w:r>
      <w:proofErr w:type="spellStart"/>
      <w:r w:rsidRPr="00B7140C">
        <w:rPr>
          <w:rFonts w:ascii="Times New Roman" w:eastAsia="Times New Roman" w:hAnsi="Times New Roman" w:cs="Times New Roman"/>
          <w:szCs w:val="24"/>
        </w:rPr>
        <w:t>Mettenheim</w:t>
      </w:r>
      <w:proofErr w:type="spellEnd"/>
      <w:r w:rsidRPr="00B7140C">
        <w:rPr>
          <w:rFonts w:ascii="Times New Roman" w:eastAsia="Times New Roman" w:hAnsi="Times New Roman" w:cs="Times New Roman"/>
          <w:szCs w:val="24"/>
        </w:rPr>
        <w:t xml:space="preserve"> (2021) report a strong role for expertise, and Kim and Kim (2021) show that attractiveness can become more influential under some brand-familiarity conditions. The methodological limitations behind these discrepancies are seldom addressed directly. Many studies pool product categories and then draw credibility conclusions that may actually be category-dependent (Torres, Augusto and Matos, 2019; Breves et al., 2019). Sampling is also frequently concentrated in single-country or convenience settings, while outcomes vary between attitudes, trust and </w:t>
      </w:r>
      <w:proofErr w:type="spellStart"/>
      <w:r w:rsidRPr="00B7140C">
        <w:rPr>
          <w:rFonts w:ascii="Times New Roman" w:eastAsia="Times New Roman" w:hAnsi="Times New Roman" w:cs="Times New Roman"/>
          <w:szCs w:val="24"/>
        </w:rPr>
        <w:t>behavioural</w:t>
      </w:r>
      <w:proofErr w:type="spellEnd"/>
      <w:r w:rsidRPr="00B7140C">
        <w:rPr>
          <w:rFonts w:ascii="Times New Roman" w:eastAsia="Times New Roman" w:hAnsi="Times New Roman" w:cs="Times New Roman"/>
          <w:szCs w:val="24"/>
        </w:rPr>
        <w:t xml:space="preserve"> </w:t>
      </w:r>
      <w:r w:rsidRPr="00B7140C">
        <w:rPr>
          <w:rFonts w:ascii="Times New Roman" w:eastAsia="Times New Roman" w:hAnsi="Times New Roman" w:cs="Times New Roman"/>
          <w:szCs w:val="24"/>
        </w:rPr>
        <w:lastRenderedPageBreak/>
        <w:t>intention (</w:t>
      </w:r>
      <w:proofErr w:type="spellStart"/>
      <w:r w:rsidRPr="00B7140C">
        <w:rPr>
          <w:rFonts w:ascii="Times New Roman" w:eastAsia="Times New Roman" w:hAnsi="Times New Roman" w:cs="Times New Roman"/>
          <w:szCs w:val="24"/>
        </w:rPr>
        <w:t>Vrontis</w:t>
      </w:r>
      <w:proofErr w:type="spellEnd"/>
      <w:r w:rsidRPr="00B7140C">
        <w:rPr>
          <w:rFonts w:ascii="Times New Roman" w:eastAsia="Times New Roman" w:hAnsi="Times New Roman" w:cs="Times New Roman"/>
          <w:szCs w:val="24"/>
        </w:rPr>
        <w:t xml:space="preserve"> et al., 2021). Consequently, the question of which credibility dimension matters most, for whom and under what conditions remains unresolved. In UK Gen Z skincare, the evidence has not been sufficiently </w:t>
      </w:r>
      <w:proofErr w:type="spellStart"/>
      <w:r w:rsidRPr="00B7140C">
        <w:rPr>
          <w:rFonts w:ascii="Times New Roman" w:eastAsia="Times New Roman" w:hAnsi="Times New Roman" w:cs="Times New Roman"/>
          <w:szCs w:val="24"/>
        </w:rPr>
        <w:t>synthesised</w:t>
      </w:r>
      <w:proofErr w:type="spellEnd"/>
      <w:r w:rsidRPr="00B7140C">
        <w:rPr>
          <w:rFonts w:ascii="Times New Roman" w:eastAsia="Times New Roman" w:hAnsi="Times New Roman" w:cs="Times New Roman"/>
          <w:szCs w:val="24"/>
        </w:rPr>
        <w:t xml:space="preserve"> to determine whether the reported hierarchy is stable or context-dependent.</w:t>
      </w:r>
    </w:p>
    <w:p w14:paraId="507D0BC2" w14:textId="77777777" w:rsidR="00766610" w:rsidRPr="00B7140C" w:rsidRDefault="00766610" w:rsidP="005738C3">
      <w:pPr>
        <w:pStyle w:val="Heading3"/>
        <w:spacing w:before="240"/>
        <w:jc w:val="both"/>
        <w:rPr>
          <w:rFonts w:ascii="Times New Roman" w:hAnsi="Times New Roman" w:cs="Times New Roman"/>
          <w:color w:val="auto"/>
        </w:rPr>
      </w:pPr>
      <w:bookmarkStart w:id="31" w:name="_Toc237130080"/>
      <w:bookmarkStart w:id="32" w:name="_Toc240238850"/>
      <w:r w:rsidRPr="00B7140C">
        <w:rPr>
          <w:rFonts w:ascii="Times New Roman" w:hAnsi="Times New Roman" w:cs="Times New Roman"/>
          <w:color w:val="auto"/>
        </w:rPr>
        <w:t>2.2.2 Authenticity as the Contested Fourth Dimension</w:t>
      </w:r>
      <w:bookmarkEnd w:id="31"/>
      <w:bookmarkEnd w:id="32"/>
    </w:p>
    <w:p w14:paraId="6838EA90"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The attribute of being authentic is the most widely mentioned when it comes to what Gen Z consumers look for in influencer endorsements and is even present in nearly all conceptual models published since 2020 (</w:t>
      </w:r>
      <w:proofErr w:type="spellStart"/>
      <w:r w:rsidRPr="00B7140C">
        <w:rPr>
          <w:rFonts w:ascii="Times New Roman" w:eastAsia="Times New Roman" w:hAnsi="Times New Roman" w:cs="Times New Roman"/>
          <w:szCs w:val="24"/>
        </w:rPr>
        <w:t>Audrezet</w:t>
      </w:r>
      <w:proofErr w:type="spellEnd"/>
      <w:r w:rsidRPr="00B7140C">
        <w:rPr>
          <w:rFonts w:ascii="Times New Roman" w:eastAsia="Times New Roman" w:hAnsi="Times New Roman" w:cs="Times New Roman"/>
          <w:szCs w:val="24"/>
        </w:rPr>
        <w:t xml:space="preserve">, de </w:t>
      </w:r>
      <w:proofErr w:type="spellStart"/>
      <w:r w:rsidRPr="00B7140C">
        <w:rPr>
          <w:rFonts w:ascii="Times New Roman" w:eastAsia="Times New Roman" w:hAnsi="Times New Roman" w:cs="Times New Roman"/>
          <w:szCs w:val="24"/>
        </w:rPr>
        <w:t>Kerviler</w:t>
      </w:r>
      <w:proofErr w:type="spellEnd"/>
      <w:r w:rsidRPr="00B7140C">
        <w:rPr>
          <w:rFonts w:ascii="Times New Roman" w:eastAsia="Times New Roman" w:hAnsi="Times New Roman" w:cs="Times New Roman"/>
          <w:szCs w:val="24"/>
        </w:rPr>
        <w:t xml:space="preserve"> and Guidry Moulard, 2020; Lee and Eastin, 2021; Balaban and </w:t>
      </w:r>
      <w:proofErr w:type="spellStart"/>
      <w:r w:rsidRPr="00B7140C">
        <w:rPr>
          <w:rFonts w:ascii="Times New Roman" w:eastAsia="Times New Roman" w:hAnsi="Times New Roman" w:cs="Times New Roman"/>
          <w:szCs w:val="24"/>
        </w:rPr>
        <w:t>Szambolics</w:t>
      </w:r>
      <w:proofErr w:type="spellEnd"/>
      <w:r w:rsidRPr="00B7140C">
        <w:rPr>
          <w:rFonts w:ascii="Times New Roman" w:eastAsia="Times New Roman" w:hAnsi="Times New Roman" w:cs="Times New Roman"/>
          <w:szCs w:val="24"/>
        </w:rPr>
        <w:t xml:space="preserve">, 2022; Pöyry et al., 2019). However, across this literature the construct is not theoretically coherent. Authenticity is viewed as a managerial </w:t>
      </w:r>
      <w:proofErr w:type="spellStart"/>
      <w:r w:rsidRPr="00B7140C">
        <w:rPr>
          <w:rFonts w:ascii="Times New Roman" w:eastAsia="Times New Roman" w:hAnsi="Times New Roman" w:cs="Times New Roman"/>
          <w:szCs w:val="24"/>
        </w:rPr>
        <w:t>signalling</w:t>
      </w:r>
      <w:proofErr w:type="spellEnd"/>
      <w:r w:rsidRPr="00B7140C">
        <w:rPr>
          <w:rFonts w:ascii="Times New Roman" w:eastAsia="Times New Roman" w:hAnsi="Times New Roman" w:cs="Times New Roman"/>
          <w:szCs w:val="24"/>
        </w:rPr>
        <w:t xml:space="preserve"> outcome by </w:t>
      </w:r>
      <w:proofErr w:type="spellStart"/>
      <w:r w:rsidRPr="00B7140C">
        <w:rPr>
          <w:rFonts w:ascii="Times New Roman" w:eastAsia="Times New Roman" w:hAnsi="Times New Roman" w:cs="Times New Roman"/>
          <w:szCs w:val="24"/>
        </w:rPr>
        <w:t>Audrezet</w:t>
      </w:r>
      <w:proofErr w:type="spellEnd"/>
      <w:r w:rsidRPr="00B7140C">
        <w:rPr>
          <w:rFonts w:ascii="Times New Roman" w:eastAsia="Times New Roman" w:hAnsi="Times New Roman" w:cs="Times New Roman"/>
          <w:szCs w:val="24"/>
        </w:rPr>
        <w:t xml:space="preserve"> et al. (2020) that is created by the manager through transparency and passion; as a self-perception of the endorser by Balaban and </w:t>
      </w:r>
      <w:proofErr w:type="spellStart"/>
      <w:r w:rsidRPr="00B7140C">
        <w:rPr>
          <w:rFonts w:ascii="Times New Roman" w:eastAsia="Times New Roman" w:hAnsi="Times New Roman" w:cs="Times New Roman"/>
          <w:szCs w:val="24"/>
        </w:rPr>
        <w:t>Szambolics</w:t>
      </w:r>
      <w:proofErr w:type="spellEnd"/>
      <w:r w:rsidRPr="00B7140C">
        <w:rPr>
          <w:rFonts w:ascii="Times New Roman" w:eastAsia="Times New Roman" w:hAnsi="Times New Roman" w:cs="Times New Roman"/>
          <w:szCs w:val="24"/>
        </w:rPr>
        <w:t xml:space="preserve"> (2022); as a judgement of the audience as measured by a four-factor scale of authenticity (truthful, original, spontaneous, and morality-orientated) by Lee and Eastin (2021); and as a property of the endorsement situation as opposed to the endorser, by Pöyry et al. (2019). These are not just different manifestations of one construct -- they are four different constructs labelled the same, and studies reporting an "authenticity effect" </w:t>
      </w:r>
      <w:proofErr w:type="spellStart"/>
      <w:r w:rsidRPr="00B7140C">
        <w:rPr>
          <w:rFonts w:ascii="Times New Roman" w:eastAsia="Times New Roman" w:hAnsi="Times New Roman" w:cs="Times New Roman"/>
          <w:szCs w:val="24"/>
        </w:rPr>
        <w:t>oftenare</w:t>
      </w:r>
      <w:proofErr w:type="spellEnd"/>
      <w:r w:rsidRPr="00B7140C">
        <w:rPr>
          <w:rFonts w:ascii="Times New Roman" w:eastAsia="Times New Roman" w:hAnsi="Times New Roman" w:cs="Times New Roman"/>
          <w:szCs w:val="24"/>
        </w:rPr>
        <w:t xml:space="preserve"> not measuring the same thing. This is complicated by a debate on the empirical side. The finding of Reinikainen et al. (2020) is that perceived authenticity enhances the parasocial relationship and, indirectly, brand attitudes, while Kim and Kim (2021) indicate the reverse is true: brand attitudes influence the perceived authenticity of the parasocial relationship. The other strand states that authenticity is not a part of credibility; it is a </w:t>
      </w:r>
      <w:proofErr w:type="spellStart"/>
      <w:r w:rsidRPr="00B7140C">
        <w:rPr>
          <w:rFonts w:ascii="Times New Roman" w:eastAsia="Times New Roman" w:hAnsi="Times New Roman" w:cs="Times New Roman"/>
          <w:szCs w:val="24"/>
        </w:rPr>
        <w:t>moderatorthat</w:t>
      </w:r>
      <w:proofErr w:type="spellEnd"/>
      <w:r w:rsidRPr="00B7140C">
        <w:rPr>
          <w:rFonts w:ascii="Times New Roman" w:eastAsia="Times New Roman" w:hAnsi="Times New Roman" w:cs="Times New Roman"/>
          <w:szCs w:val="24"/>
        </w:rPr>
        <w:t xml:space="preserve"> influences the transformation of trustworthiness and expertise towards persuasion (</w:t>
      </w:r>
      <w:proofErr w:type="spellStart"/>
      <w:r w:rsidRPr="00B7140C">
        <w:rPr>
          <w:rFonts w:ascii="Times New Roman" w:eastAsia="Times New Roman" w:hAnsi="Times New Roman" w:cs="Times New Roman"/>
          <w:szCs w:val="24"/>
        </w:rPr>
        <w:t>Gerrath</w:t>
      </w:r>
      <w:proofErr w:type="spellEnd"/>
      <w:r w:rsidRPr="00B7140C">
        <w:rPr>
          <w:rFonts w:ascii="Times New Roman" w:eastAsia="Times New Roman" w:hAnsi="Times New Roman" w:cs="Times New Roman"/>
          <w:szCs w:val="24"/>
        </w:rPr>
        <w:t xml:space="preserve"> and Usrey, 2021). Nafees et al. (2021) try to resolve the controversy by defining authenticity as a second-order construct that includes trustworthiness as a first-order construct, which collapses two concepts thought to be different and overfits the resulting structure. Two more weaknesses persist. First, there is no study that explicitly explores authenticity in the UK Gen Z skincare context, a context that is particularly demanding on the construct of authenticity given the on-skin efficacy claims made in product labels. Second, the construct is limited by the use of near-exclusive self-report survey measures, with the construct often being reported as something valued by Gen Z despite contradictory </w:t>
      </w:r>
      <w:proofErr w:type="spellStart"/>
      <w:r w:rsidRPr="00B7140C">
        <w:rPr>
          <w:rFonts w:ascii="Times New Roman" w:eastAsia="Times New Roman" w:hAnsi="Times New Roman" w:cs="Times New Roman"/>
          <w:szCs w:val="24"/>
        </w:rPr>
        <w:t>behaviour</w:t>
      </w:r>
      <w:proofErr w:type="spellEnd"/>
      <w:r w:rsidRPr="00B7140C">
        <w:rPr>
          <w:rFonts w:ascii="Times New Roman" w:eastAsia="Times New Roman" w:hAnsi="Times New Roman" w:cs="Times New Roman"/>
          <w:szCs w:val="24"/>
        </w:rPr>
        <w:t xml:space="preserve"> being observed (Croes and Bartels, 2021). The dissertation, therefore, considers authenticity as a contested analytical </w:t>
      </w:r>
      <w:r w:rsidRPr="00B7140C">
        <w:rPr>
          <w:rFonts w:ascii="Times New Roman" w:eastAsia="Times New Roman" w:hAnsi="Times New Roman" w:cs="Times New Roman"/>
          <w:szCs w:val="24"/>
        </w:rPr>
        <w:lastRenderedPageBreak/>
        <w:t xml:space="preserve">theme and contrasts the ways in which authenticity is </w:t>
      </w:r>
      <w:proofErr w:type="spellStart"/>
      <w:r w:rsidRPr="00B7140C">
        <w:rPr>
          <w:rFonts w:ascii="Times New Roman" w:eastAsia="Times New Roman" w:hAnsi="Times New Roman" w:cs="Times New Roman"/>
          <w:szCs w:val="24"/>
        </w:rPr>
        <w:t>operationalised</w:t>
      </w:r>
      <w:proofErr w:type="spellEnd"/>
      <w:r w:rsidRPr="00B7140C">
        <w:rPr>
          <w:rFonts w:ascii="Times New Roman" w:eastAsia="Times New Roman" w:hAnsi="Times New Roman" w:cs="Times New Roman"/>
          <w:szCs w:val="24"/>
        </w:rPr>
        <w:t xml:space="preserve"> in order to compare reported relationships for each of these different </w:t>
      </w:r>
      <w:proofErr w:type="spellStart"/>
      <w:r w:rsidRPr="00B7140C">
        <w:rPr>
          <w:rFonts w:ascii="Times New Roman" w:eastAsia="Times New Roman" w:hAnsi="Times New Roman" w:cs="Times New Roman"/>
          <w:szCs w:val="24"/>
        </w:rPr>
        <w:t>operationalisations</w:t>
      </w:r>
      <w:proofErr w:type="spellEnd"/>
      <w:r w:rsidRPr="00B7140C">
        <w:rPr>
          <w:rFonts w:ascii="Times New Roman" w:eastAsia="Times New Roman" w:hAnsi="Times New Roman" w:cs="Times New Roman"/>
          <w:szCs w:val="24"/>
        </w:rPr>
        <w:t>, rather than acting as a scale for the new set of data collection.</w:t>
      </w:r>
    </w:p>
    <w:p w14:paraId="6A8B9563" w14:textId="77777777" w:rsidR="00766610" w:rsidRPr="00B7140C" w:rsidRDefault="00766610" w:rsidP="005738C3">
      <w:pPr>
        <w:pStyle w:val="Heading3"/>
        <w:spacing w:before="240"/>
        <w:jc w:val="both"/>
        <w:rPr>
          <w:rFonts w:ascii="Times New Roman" w:hAnsi="Times New Roman" w:cs="Times New Roman"/>
          <w:color w:val="auto"/>
        </w:rPr>
      </w:pPr>
      <w:bookmarkStart w:id="33" w:name="_Toc237130081"/>
      <w:bookmarkStart w:id="34" w:name="_Toc240238851"/>
      <w:r w:rsidRPr="00B7140C">
        <w:rPr>
          <w:rFonts w:ascii="Times New Roman" w:hAnsi="Times New Roman" w:cs="Times New Roman"/>
          <w:color w:val="auto"/>
        </w:rPr>
        <w:t>2.2.3 Parasocial Attachment as the Contested Mediating Mechanism</w:t>
      </w:r>
      <w:bookmarkEnd w:id="33"/>
      <w:bookmarkEnd w:id="34"/>
    </w:p>
    <w:p w14:paraId="07EEF992"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The essential literature on the parasocial relationship has emerged as the main theory to explain the relationship between credibility and </w:t>
      </w:r>
      <w:proofErr w:type="spellStart"/>
      <w:r w:rsidRPr="00B7140C">
        <w:rPr>
          <w:rFonts w:ascii="Times New Roman" w:eastAsia="Times New Roman" w:hAnsi="Times New Roman" w:cs="Times New Roman"/>
          <w:szCs w:val="24"/>
        </w:rPr>
        <w:t>behavioural</w:t>
      </w:r>
      <w:proofErr w:type="spellEnd"/>
      <w:r w:rsidRPr="00B7140C">
        <w:rPr>
          <w:rFonts w:ascii="Times New Roman" w:eastAsia="Times New Roman" w:hAnsi="Times New Roman" w:cs="Times New Roman"/>
          <w:szCs w:val="24"/>
        </w:rPr>
        <w:t xml:space="preserve"> intention (Sokolova and </w:t>
      </w:r>
      <w:proofErr w:type="spellStart"/>
      <w:r w:rsidRPr="00B7140C">
        <w:rPr>
          <w:rFonts w:ascii="Times New Roman" w:eastAsia="Times New Roman" w:hAnsi="Times New Roman" w:cs="Times New Roman"/>
          <w:szCs w:val="24"/>
        </w:rPr>
        <w:t>Kefi</w:t>
      </w:r>
      <w:proofErr w:type="spellEnd"/>
      <w:r w:rsidRPr="00B7140C">
        <w:rPr>
          <w:rFonts w:ascii="Times New Roman" w:eastAsia="Times New Roman" w:hAnsi="Times New Roman" w:cs="Times New Roman"/>
          <w:szCs w:val="24"/>
        </w:rPr>
        <w:t xml:space="preserve">, 2020; Farivar, Wang and Yuan, 2021; </w:t>
      </w:r>
      <w:proofErr w:type="spellStart"/>
      <w:r w:rsidRPr="00B7140C">
        <w:rPr>
          <w:rFonts w:ascii="Times New Roman" w:eastAsia="Times New Roman" w:hAnsi="Times New Roman" w:cs="Times New Roman"/>
          <w:szCs w:val="24"/>
        </w:rPr>
        <w:t>Munnukka</w:t>
      </w:r>
      <w:proofErr w:type="spellEnd"/>
      <w:r w:rsidRPr="00B7140C">
        <w:rPr>
          <w:rFonts w:ascii="Times New Roman" w:eastAsia="Times New Roman" w:hAnsi="Times New Roman" w:cs="Times New Roman"/>
          <w:szCs w:val="24"/>
        </w:rPr>
        <w:t xml:space="preserve"> et al., 2019; Croes and Bartels, 2021). The core idea (repeated one-sided exposure creates a quasi-personal bond that enhances persuasive effect) is empirically supported across platforms and categories. However, it has three important theoretical deficits. First, there is inconsistent measurement of the construct across studies. For example, Sokolova and </w:t>
      </w:r>
      <w:proofErr w:type="spellStart"/>
      <w:r w:rsidRPr="00B7140C">
        <w:rPr>
          <w:rFonts w:ascii="Times New Roman" w:eastAsia="Times New Roman" w:hAnsi="Times New Roman" w:cs="Times New Roman"/>
          <w:szCs w:val="24"/>
        </w:rPr>
        <w:t>Kefi</w:t>
      </w:r>
      <w:proofErr w:type="spellEnd"/>
      <w:r w:rsidRPr="00B7140C">
        <w:rPr>
          <w:rFonts w:ascii="Times New Roman" w:eastAsia="Times New Roman" w:hAnsi="Times New Roman" w:cs="Times New Roman"/>
          <w:szCs w:val="24"/>
        </w:rPr>
        <w:t xml:space="preserve"> (2020) employ a modified version of the parasocial-interaction scale; Farivar et al. (2021) use a custom five-item scale called "parasocial relationship"; </w:t>
      </w:r>
      <w:proofErr w:type="spellStart"/>
      <w:r w:rsidRPr="00B7140C">
        <w:rPr>
          <w:rFonts w:ascii="Times New Roman" w:eastAsia="Times New Roman" w:hAnsi="Times New Roman" w:cs="Times New Roman"/>
          <w:szCs w:val="24"/>
        </w:rPr>
        <w:t>Munnukka</w:t>
      </w:r>
      <w:proofErr w:type="spellEnd"/>
      <w:r w:rsidRPr="00B7140C">
        <w:rPr>
          <w:rFonts w:ascii="Times New Roman" w:eastAsia="Times New Roman" w:hAnsi="Times New Roman" w:cs="Times New Roman"/>
          <w:szCs w:val="24"/>
        </w:rPr>
        <w:t xml:space="preserve"> et al. (2019) use a hybrid attachment scale; and Reinikainen et al. (2020) use another one. Therefore, the effects reported as "parasocial" may not necessarily be the same construct (Ye et al., 2021), and effect sizes reported in meta-analyses are unsafe. Second, there is a dispute as to the logic of the direction. Farivar, Wang and Yuan (2021) specifically examine whether opinion leadership is an alternative mechanism or a sequential one to parasocial relationships and determine that they both have independent and partially competing effects on purchase intention. This is opposite to the mediation process assumed by Sokolova and </w:t>
      </w:r>
      <w:proofErr w:type="spellStart"/>
      <w:r w:rsidRPr="00B7140C">
        <w:rPr>
          <w:rFonts w:ascii="Times New Roman" w:eastAsia="Times New Roman" w:hAnsi="Times New Roman" w:cs="Times New Roman"/>
          <w:szCs w:val="24"/>
        </w:rPr>
        <w:t>Kefi</w:t>
      </w:r>
      <w:proofErr w:type="spellEnd"/>
      <w:r w:rsidRPr="00B7140C">
        <w:rPr>
          <w:rFonts w:ascii="Times New Roman" w:eastAsia="Times New Roman" w:hAnsi="Times New Roman" w:cs="Times New Roman"/>
          <w:szCs w:val="24"/>
        </w:rPr>
        <w:t xml:space="preserve"> (2020) and Ki and Kim (2019), where the parasocial attachment comes after credibility. But Reinikainen et al. (2020) add an additional twist to the situation and show that authenticity enhances parasocial relationships, thus implying a partial reversal in the causal relationship. Multiple structural models have been postulated, and the literature has now accumulated evidence that is consistent with each of these models, but there is no single test to </w:t>
      </w:r>
      <w:proofErr w:type="spellStart"/>
      <w:r w:rsidRPr="00B7140C">
        <w:rPr>
          <w:rFonts w:ascii="Times New Roman" w:eastAsia="Times New Roman" w:hAnsi="Times New Roman" w:cs="Times New Roman"/>
          <w:szCs w:val="24"/>
        </w:rPr>
        <w:t>favour</w:t>
      </w:r>
      <w:proofErr w:type="spellEnd"/>
      <w:r w:rsidRPr="00B7140C">
        <w:rPr>
          <w:rFonts w:ascii="Times New Roman" w:eastAsia="Times New Roman" w:hAnsi="Times New Roman" w:cs="Times New Roman"/>
          <w:szCs w:val="24"/>
        </w:rPr>
        <w:t xml:space="preserve"> one model over the others. Third, the term "parasocial" is used to describe the relationship of long-term viewers to television actors who present episodic and predictable content, and it is applied to the algorithmic feed of TikTok and Instagram's stories; the application of the concept is theoretically underdefended. However, according to </w:t>
      </w:r>
      <w:proofErr w:type="spellStart"/>
      <w:r w:rsidRPr="00B7140C">
        <w:rPr>
          <w:rFonts w:ascii="Times New Roman" w:eastAsia="Times New Roman" w:hAnsi="Times New Roman" w:cs="Times New Roman"/>
          <w:szCs w:val="24"/>
        </w:rPr>
        <w:t>Djafarova</w:t>
      </w:r>
      <w:proofErr w:type="spellEnd"/>
      <w:r w:rsidRPr="00B7140C">
        <w:rPr>
          <w:rFonts w:ascii="Times New Roman" w:eastAsia="Times New Roman" w:hAnsi="Times New Roman" w:cs="Times New Roman"/>
          <w:szCs w:val="24"/>
        </w:rPr>
        <w:t xml:space="preserve"> and Bowes (2021), Gen Z consumers look at a lot of creators during each session and do not tend to maintain the sustained attention the original construct had envisioned. It is difficult to determine how an instrument could ever be able to validly capture this attenuated engagement. In the context of the UK population of </w:t>
      </w:r>
      <w:r w:rsidRPr="00B7140C">
        <w:rPr>
          <w:rFonts w:ascii="Times New Roman" w:eastAsia="Times New Roman" w:hAnsi="Times New Roman" w:cs="Times New Roman"/>
          <w:szCs w:val="24"/>
        </w:rPr>
        <w:lastRenderedPageBreak/>
        <w:t>Generation Z, these drawbacks highlight the fact that parasocial attachment is both extensively significant and the most controversial relational mechanism, which is why making a systematic comparison of its definitions, directions and contextual boundaries in the published studies is itself a substantive secondary-data contribution.</w:t>
      </w:r>
    </w:p>
    <w:p w14:paraId="75E8FA27" w14:textId="77777777" w:rsidR="00766610" w:rsidRPr="00B7140C" w:rsidRDefault="00766610" w:rsidP="005738C3">
      <w:pPr>
        <w:pStyle w:val="Heading3"/>
        <w:spacing w:before="240"/>
        <w:jc w:val="both"/>
        <w:rPr>
          <w:rFonts w:ascii="Times New Roman" w:hAnsi="Times New Roman" w:cs="Times New Roman"/>
          <w:color w:val="auto"/>
        </w:rPr>
      </w:pPr>
      <w:bookmarkStart w:id="35" w:name="_Toc237130082"/>
      <w:bookmarkStart w:id="36" w:name="_Toc240238852"/>
      <w:r w:rsidRPr="00B7140C">
        <w:rPr>
          <w:rFonts w:ascii="Times New Roman" w:hAnsi="Times New Roman" w:cs="Times New Roman"/>
          <w:color w:val="auto"/>
        </w:rPr>
        <w:t>2.2.4 Boundary Conditions: Platform Affordances and Disclosure Salience</w:t>
      </w:r>
      <w:bookmarkEnd w:id="35"/>
      <w:bookmarkEnd w:id="36"/>
    </w:p>
    <w:p w14:paraId="05D19924"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Two contextual moderators are emerging as crucial, yet they are not sufficiently tested together. Platform-level effects have been observed in the 2018-2024 corpus but not in a systematic way in the UK for skincare. The short-form vertical video, the algorithmic feed, and the native shopping feature of TikTok create a persuasion architecture quite different from Instagram's time-taking grid that focuses on curated content (</w:t>
      </w:r>
      <w:proofErr w:type="spellStart"/>
      <w:r w:rsidRPr="00B7140C">
        <w:rPr>
          <w:rFonts w:ascii="Times New Roman" w:eastAsia="Times New Roman" w:hAnsi="Times New Roman" w:cs="Times New Roman"/>
          <w:szCs w:val="24"/>
        </w:rPr>
        <w:t>Djafarova</w:t>
      </w:r>
      <w:proofErr w:type="spellEnd"/>
      <w:r w:rsidRPr="00B7140C">
        <w:rPr>
          <w:rFonts w:ascii="Times New Roman" w:eastAsia="Times New Roman" w:hAnsi="Times New Roman" w:cs="Times New Roman"/>
          <w:szCs w:val="24"/>
        </w:rPr>
        <w:t xml:space="preserve"> and Bowes, 2021; Argyris et al., 2020). Most of the credibility studies conducted to date have taken place on Instagram (</w:t>
      </w:r>
      <w:proofErr w:type="spellStart"/>
      <w:r w:rsidRPr="00B7140C">
        <w:rPr>
          <w:rFonts w:ascii="Times New Roman" w:eastAsia="Times New Roman" w:hAnsi="Times New Roman" w:cs="Times New Roman"/>
          <w:szCs w:val="24"/>
        </w:rPr>
        <w:t>Vrontis</w:t>
      </w:r>
      <w:proofErr w:type="spellEnd"/>
      <w:r w:rsidRPr="00B7140C">
        <w:rPr>
          <w:rFonts w:ascii="Times New Roman" w:eastAsia="Times New Roman" w:hAnsi="Times New Roman" w:cs="Times New Roman"/>
          <w:szCs w:val="24"/>
        </w:rPr>
        <w:t xml:space="preserve"> et al., 2021), and again, the </w:t>
      </w:r>
      <w:proofErr w:type="spellStart"/>
      <w:r w:rsidRPr="00B7140C">
        <w:rPr>
          <w:rFonts w:ascii="Times New Roman" w:eastAsia="Times New Roman" w:hAnsi="Times New Roman" w:cs="Times New Roman"/>
          <w:szCs w:val="24"/>
        </w:rPr>
        <w:t>generalisation</w:t>
      </w:r>
      <w:proofErr w:type="spellEnd"/>
      <w:r w:rsidRPr="00B7140C">
        <w:rPr>
          <w:rFonts w:ascii="Times New Roman" w:eastAsia="Times New Roman" w:hAnsi="Times New Roman" w:cs="Times New Roman"/>
          <w:szCs w:val="24"/>
        </w:rPr>
        <w:t xml:space="preserve"> to TikTok is empirically questionable, while Haenlein et al. (2020) claim that the affordances of the platforms determine what kinds of credibility dimensions become salient – namely, attractiveness for TikTok and expertise for Instagram. However, comparisons between Instagram and TikTok still do not happen very often, and the idea that Instagram effect sizes will apply to TikTok is reiterated even in well-designed reviews (Leung, Gu and Palmatier, 2022). The literature on sponsorship disclosure is in an even poorer state. In a study of the </w:t>
      </w:r>
      <w:proofErr w:type="spellStart"/>
      <w:r w:rsidRPr="00B7140C">
        <w:rPr>
          <w:rFonts w:ascii="Times New Roman" w:eastAsia="Times New Roman" w:hAnsi="Times New Roman" w:cs="Times New Roman"/>
          <w:szCs w:val="24"/>
        </w:rPr>
        <w:t>standardised</w:t>
      </w:r>
      <w:proofErr w:type="spellEnd"/>
      <w:r w:rsidRPr="00B7140C">
        <w:rPr>
          <w:rFonts w:ascii="Times New Roman" w:eastAsia="Times New Roman" w:hAnsi="Times New Roman" w:cs="Times New Roman"/>
          <w:szCs w:val="24"/>
        </w:rPr>
        <w:t xml:space="preserve"> Instagram #ad disclosure, Boerman (2020) finds that disclosure leads to decreased perceived authenticity but has no consistent effect on purchase intention. Kay, Mulcahy and Parkinson (2020) state that disclosure increases credibility for micro-influencers but decreases credibility for macro-influencers. Hughes, Swaminathan and Brooks (2019) conclude that there is no main effect of disclosure, though there is a significant interaction with expertise cues. De Cicco, Iacobucci and Pagliaro (2021) state that disclosure induces persuasion knowledge, but parasocial attachment attenuates the activation of the persuasion knowledge. These results are not immediately reconcilable, and there is no clear theoretical explanation yet of how disclosure and credibility relate in the field. Another issue is that few studies have been carried out under the UK regulatory regime, which since 2023 has been </w:t>
      </w:r>
      <w:proofErr w:type="gramStart"/>
      <w:r w:rsidRPr="00B7140C">
        <w:rPr>
          <w:rFonts w:ascii="Times New Roman" w:eastAsia="Times New Roman" w:hAnsi="Times New Roman" w:cs="Times New Roman"/>
          <w:szCs w:val="24"/>
        </w:rPr>
        <w:t>more aggressive and strict</w:t>
      </w:r>
      <w:proofErr w:type="gramEnd"/>
      <w:r w:rsidRPr="00B7140C">
        <w:rPr>
          <w:rFonts w:ascii="Times New Roman" w:eastAsia="Times New Roman" w:hAnsi="Times New Roman" w:cs="Times New Roman"/>
          <w:szCs w:val="24"/>
        </w:rPr>
        <w:t xml:space="preserve"> in enforcing ASA and CMA disclosure rules than the US or German regulatory regimes in which most studies have been conducted. Therefore, the disclosure salience of consumers in the UK's generation Z is likely to be greater quantitatively than previous studies suggest, and the interaction between disclosure salience and credibility dimensions has not yet been </w:t>
      </w:r>
      <w:r w:rsidRPr="00B7140C">
        <w:rPr>
          <w:rFonts w:ascii="Times New Roman" w:eastAsia="Times New Roman" w:hAnsi="Times New Roman" w:cs="Times New Roman"/>
          <w:szCs w:val="24"/>
        </w:rPr>
        <w:lastRenderedPageBreak/>
        <w:t xml:space="preserve">determined. It is explicit that the </w:t>
      </w:r>
      <w:proofErr w:type="spellStart"/>
      <w:r w:rsidRPr="00B7140C">
        <w:rPr>
          <w:rFonts w:ascii="Times New Roman" w:eastAsia="Times New Roman" w:hAnsi="Times New Roman" w:cs="Times New Roman"/>
          <w:szCs w:val="24"/>
        </w:rPr>
        <w:t>standardised</w:t>
      </w:r>
      <w:proofErr w:type="spellEnd"/>
      <w:r w:rsidRPr="00B7140C">
        <w:rPr>
          <w:rFonts w:ascii="Times New Roman" w:eastAsia="Times New Roman" w:hAnsi="Times New Roman" w:cs="Times New Roman"/>
          <w:szCs w:val="24"/>
        </w:rPr>
        <w:t xml:space="preserve"> disclosure labels examined by Boerman in a sample of retailers in the Netherlands were aimed at a market where the regulator has limited visibility (Boerman, 2020). The disclosure effect of a regulator which is actively enforcing its regulations, like the ASA with its recent beauty-influencer campaign in 2023–2024, or the CMA in its consumer-law enforcement, has never been quantified. </w:t>
      </w:r>
      <w:proofErr w:type="spellStart"/>
      <w:r w:rsidRPr="00B7140C">
        <w:rPr>
          <w:rFonts w:ascii="Times New Roman" w:eastAsia="Times New Roman" w:hAnsi="Times New Roman" w:cs="Times New Roman"/>
          <w:szCs w:val="24"/>
        </w:rPr>
        <w:t>Hudders</w:t>
      </w:r>
      <w:proofErr w:type="spellEnd"/>
      <w:r w:rsidRPr="00B7140C">
        <w:rPr>
          <w:rFonts w:ascii="Times New Roman" w:eastAsia="Times New Roman" w:hAnsi="Times New Roman" w:cs="Times New Roman"/>
          <w:szCs w:val="24"/>
        </w:rPr>
        <w:t xml:space="preserve">, De Jans and De </w:t>
      </w:r>
      <w:proofErr w:type="spellStart"/>
      <w:r w:rsidRPr="00B7140C">
        <w:rPr>
          <w:rFonts w:ascii="Times New Roman" w:eastAsia="Times New Roman" w:hAnsi="Times New Roman" w:cs="Times New Roman"/>
          <w:szCs w:val="24"/>
        </w:rPr>
        <w:t>Veirman</w:t>
      </w:r>
      <w:proofErr w:type="spellEnd"/>
      <w:r w:rsidRPr="00B7140C">
        <w:rPr>
          <w:rFonts w:ascii="Times New Roman" w:eastAsia="Times New Roman" w:hAnsi="Times New Roman" w:cs="Times New Roman"/>
          <w:szCs w:val="24"/>
        </w:rPr>
        <w:t xml:space="preserve"> (2021) specifically identify replication as a research priority for the regulator. The dissertation fills this void by </w:t>
      </w:r>
      <w:proofErr w:type="spellStart"/>
      <w:r w:rsidRPr="00B7140C">
        <w:rPr>
          <w:rFonts w:ascii="Times New Roman" w:eastAsia="Times New Roman" w:hAnsi="Times New Roman" w:cs="Times New Roman"/>
          <w:szCs w:val="24"/>
        </w:rPr>
        <w:t>conceptualising</w:t>
      </w:r>
      <w:proofErr w:type="spellEnd"/>
      <w:r w:rsidRPr="00B7140C">
        <w:rPr>
          <w:rFonts w:ascii="Times New Roman" w:eastAsia="Times New Roman" w:hAnsi="Times New Roman" w:cs="Times New Roman"/>
          <w:szCs w:val="24"/>
        </w:rPr>
        <w:t xml:space="preserve"> the reported influence of platform and disclosure salience as contextual themes of analysis and subsequently contrasts the influence of platform salience and disclosure salience across different source designs, settings and regulatory regimes, rather than making new moderation estimates.</w:t>
      </w:r>
    </w:p>
    <w:p w14:paraId="54ECAE01" w14:textId="77777777" w:rsidR="00766610" w:rsidRPr="00B7140C" w:rsidRDefault="00766610" w:rsidP="005738C3">
      <w:pPr>
        <w:pStyle w:val="Heading2"/>
        <w:spacing w:before="240"/>
        <w:jc w:val="both"/>
        <w:rPr>
          <w:rFonts w:ascii="Times New Roman" w:hAnsi="Times New Roman" w:cs="Times New Roman"/>
          <w:color w:val="auto"/>
        </w:rPr>
      </w:pPr>
      <w:bookmarkStart w:id="37" w:name="_Toc237130083"/>
      <w:bookmarkStart w:id="38" w:name="_Toc240238853"/>
      <w:r w:rsidRPr="00B7140C">
        <w:rPr>
          <w:rFonts w:ascii="Times New Roman" w:hAnsi="Times New Roman" w:cs="Times New Roman"/>
          <w:color w:val="auto"/>
          <w:sz w:val="28"/>
        </w:rPr>
        <w:t>2.3 Theoretical Foundation and Contribution</w:t>
      </w:r>
      <w:bookmarkEnd w:id="37"/>
      <w:bookmarkEnd w:id="38"/>
    </w:p>
    <w:p w14:paraId="16DC317C"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An extended source-credibility model is the primary theoretical model used in the dissertation, along with a parasocial-relationship mechanism. The lens identifies trustworthiness, expertise and attractiveness as classical lens categories and calls the concepts of authenticity and homophily into question (</w:t>
      </w:r>
      <w:proofErr w:type="spellStart"/>
      <w:r w:rsidRPr="00B7140C">
        <w:rPr>
          <w:rFonts w:ascii="Times New Roman" w:eastAsia="Times New Roman" w:hAnsi="Times New Roman" w:cs="Times New Roman"/>
          <w:szCs w:val="24"/>
        </w:rPr>
        <w:t>Belanche</w:t>
      </w:r>
      <w:proofErr w:type="spellEnd"/>
      <w:r w:rsidRPr="00B7140C">
        <w:rPr>
          <w:rFonts w:ascii="Times New Roman" w:eastAsia="Times New Roman" w:hAnsi="Times New Roman" w:cs="Times New Roman"/>
          <w:szCs w:val="24"/>
        </w:rPr>
        <w:t xml:space="preserve"> et al., 2021; Wiedmann and von </w:t>
      </w:r>
      <w:proofErr w:type="spellStart"/>
      <w:r w:rsidRPr="00B7140C">
        <w:rPr>
          <w:rFonts w:ascii="Times New Roman" w:eastAsia="Times New Roman" w:hAnsi="Times New Roman" w:cs="Times New Roman"/>
          <w:szCs w:val="24"/>
        </w:rPr>
        <w:t>Mettenheim</w:t>
      </w:r>
      <w:proofErr w:type="spellEnd"/>
      <w:r w:rsidRPr="00B7140C">
        <w:rPr>
          <w:rFonts w:ascii="Times New Roman" w:eastAsia="Times New Roman" w:hAnsi="Times New Roman" w:cs="Times New Roman"/>
          <w:szCs w:val="24"/>
        </w:rPr>
        <w:t xml:space="preserve">, 2021; Nafees et al., 2021; Lee and Eastin, 2021). These measures are not variables measured from new consumers but are simply constructs used as coding categories in this secondary data design. The links reported between platform context and the credibility of the platform and between platform sponsorship disclosure and the credibility of the platform are interpreted within the context of parasocial attachment; the final outcome is purchase intention, and the contextual influences are platform context and platform sponsorship disclosure. The framework does not </w:t>
      </w:r>
      <w:proofErr w:type="spellStart"/>
      <w:r w:rsidRPr="00B7140C">
        <w:rPr>
          <w:rFonts w:ascii="Times New Roman" w:eastAsia="Times New Roman" w:hAnsi="Times New Roman" w:cs="Times New Roman"/>
          <w:szCs w:val="24"/>
        </w:rPr>
        <w:t>makeany</w:t>
      </w:r>
      <w:proofErr w:type="spellEnd"/>
      <w:r w:rsidRPr="00B7140C">
        <w:rPr>
          <w:rFonts w:ascii="Times New Roman" w:eastAsia="Times New Roman" w:hAnsi="Times New Roman" w:cs="Times New Roman"/>
          <w:szCs w:val="24"/>
        </w:rPr>
        <w:t xml:space="preserve"> assumption about the universal positive or causal relationship; it allows for the review to compare patterns of convergence, divergence or patterns dependent on source design, category, geography and platform.</w:t>
      </w:r>
    </w:p>
    <w:p w14:paraId="186322B6"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Alternative frameworks were explored but were not as appropriate as the main </w:t>
      </w:r>
      <w:proofErr w:type="spellStart"/>
      <w:r w:rsidRPr="00B7140C">
        <w:rPr>
          <w:rFonts w:ascii="Times New Roman" w:eastAsia="Times New Roman" w:hAnsi="Times New Roman" w:cs="Times New Roman"/>
          <w:szCs w:val="24"/>
        </w:rPr>
        <w:t>organising</w:t>
      </w:r>
      <w:proofErr w:type="spellEnd"/>
      <w:r w:rsidRPr="00B7140C">
        <w:rPr>
          <w:rFonts w:ascii="Times New Roman" w:eastAsia="Times New Roman" w:hAnsi="Times New Roman" w:cs="Times New Roman"/>
          <w:szCs w:val="24"/>
        </w:rPr>
        <w:t xml:space="preserve"> framework. The Theory of Planned </w:t>
      </w:r>
      <w:proofErr w:type="spellStart"/>
      <w:r w:rsidRPr="00B7140C">
        <w:rPr>
          <w:rFonts w:ascii="Times New Roman" w:eastAsia="Times New Roman" w:hAnsi="Times New Roman" w:cs="Times New Roman"/>
          <w:szCs w:val="24"/>
        </w:rPr>
        <w:t>Behaviour</w:t>
      </w:r>
      <w:proofErr w:type="spellEnd"/>
      <w:r w:rsidRPr="00B7140C">
        <w:rPr>
          <w:rFonts w:ascii="Times New Roman" w:eastAsia="Times New Roman" w:hAnsi="Times New Roman" w:cs="Times New Roman"/>
          <w:szCs w:val="24"/>
        </w:rPr>
        <w:t xml:space="preserve"> can be used to explain the intention and </w:t>
      </w:r>
      <w:proofErr w:type="spellStart"/>
      <w:r w:rsidRPr="00B7140C">
        <w:rPr>
          <w:rFonts w:ascii="Times New Roman" w:eastAsia="Times New Roman" w:hAnsi="Times New Roman" w:cs="Times New Roman"/>
          <w:szCs w:val="24"/>
        </w:rPr>
        <w:t>behaviour</w:t>
      </w:r>
      <w:proofErr w:type="spellEnd"/>
      <w:r w:rsidRPr="00B7140C">
        <w:rPr>
          <w:rFonts w:ascii="Times New Roman" w:eastAsia="Times New Roman" w:hAnsi="Times New Roman" w:cs="Times New Roman"/>
          <w:szCs w:val="24"/>
        </w:rPr>
        <w:t xml:space="preserve"> (</w:t>
      </w:r>
      <w:proofErr w:type="spellStart"/>
      <w:r w:rsidRPr="00B7140C">
        <w:rPr>
          <w:rFonts w:ascii="Times New Roman" w:eastAsia="Times New Roman" w:hAnsi="Times New Roman" w:cs="Times New Roman"/>
          <w:szCs w:val="24"/>
        </w:rPr>
        <w:t>Casalo</w:t>
      </w:r>
      <w:proofErr w:type="spellEnd"/>
      <w:r w:rsidRPr="00B7140C">
        <w:rPr>
          <w:rFonts w:ascii="Times New Roman" w:eastAsia="Times New Roman" w:hAnsi="Times New Roman" w:cs="Times New Roman"/>
          <w:szCs w:val="24"/>
        </w:rPr>
        <w:t xml:space="preserve">, Flavian and Ibanez-Sanchez, 2020; Ki and Kim, 2019); however, it does not break down source credibility into dimensions. Elaboration-likelihood models explain persuasion routes but do not specify the dimensional structure of the influencer source. The extended source-credibility view is most appropriate for the study's single research question, as it allows for comparison across the five dimensions of credibility and incorporates </w:t>
      </w:r>
      <w:r w:rsidRPr="00B7140C">
        <w:rPr>
          <w:rFonts w:ascii="Times New Roman" w:eastAsia="Times New Roman" w:hAnsi="Times New Roman" w:cs="Times New Roman"/>
          <w:szCs w:val="24"/>
        </w:rPr>
        <w:lastRenderedPageBreak/>
        <w:t xml:space="preserve">parasocial attachment as a relational explanation and platform context and disclosure as contextual explanations. It is used as a </w:t>
      </w:r>
      <w:proofErr w:type="spellStart"/>
      <w:r w:rsidRPr="00B7140C">
        <w:rPr>
          <w:rFonts w:ascii="Times New Roman" w:eastAsia="Times New Roman" w:hAnsi="Times New Roman" w:cs="Times New Roman"/>
          <w:szCs w:val="24"/>
        </w:rPr>
        <w:t>sensitising</w:t>
      </w:r>
      <w:proofErr w:type="spellEnd"/>
      <w:r w:rsidRPr="00B7140C">
        <w:rPr>
          <w:rFonts w:ascii="Times New Roman" w:eastAsia="Times New Roman" w:hAnsi="Times New Roman" w:cs="Times New Roman"/>
          <w:szCs w:val="24"/>
        </w:rPr>
        <w:t xml:space="preserve"> framework for search, extraction and coding, rather than as a causal model which will be newly estimated along its paths.</w:t>
      </w:r>
    </w:p>
    <w:p w14:paraId="2E377097"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There are three contributions to this theoretical space. First, the dissertation systematically </w:t>
      </w:r>
      <w:proofErr w:type="spellStart"/>
      <w:r w:rsidRPr="00B7140C">
        <w:rPr>
          <w:rFonts w:ascii="Times New Roman" w:eastAsia="Times New Roman" w:hAnsi="Times New Roman" w:cs="Times New Roman"/>
          <w:szCs w:val="24"/>
        </w:rPr>
        <w:t>synthesises</w:t>
      </w:r>
      <w:proofErr w:type="spellEnd"/>
      <w:r w:rsidRPr="00B7140C">
        <w:rPr>
          <w:rFonts w:ascii="Times New Roman" w:eastAsia="Times New Roman" w:hAnsi="Times New Roman" w:cs="Times New Roman"/>
          <w:szCs w:val="24"/>
        </w:rPr>
        <w:t xml:space="preserve"> the definitions of five credibility dimensions and their relationship with purchase intention and explicitly seeing how source quality and relevance to skincare for UK Gen Z connect to these dimensions. Second, it examines competing perspectives on parasocial attachment without assuming any model beforehand (Sokolova and </w:t>
      </w:r>
      <w:proofErr w:type="spellStart"/>
      <w:r w:rsidRPr="00B7140C">
        <w:rPr>
          <w:rFonts w:ascii="Times New Roman" w:eastAsia="Times New Roman" w:hAnsi="Times New Roman" w:cs="Times New Roman"/>
          <w:szCs w:val="24"/>
        </w:rPr>
        <w:t>Kefi</w:t>
      </w:r>
      <w:proofErr w:type="spellEnd"/>
      <w:r w:rsidRPr="00B7140C">
        <w:rPr>
          <w:rFonts w:ascii="Times New Roman" w:eastAsia="Times New Roman" w:hAnsi="Times New Roman" w:cs="Times New Roman"/>
          <w:szCs w:val="24"/>
        </w:rPr>
        <w:t xml:space="preserve">, 2020; Farivar, Wang and Yuan, 2021). Third, it embeds platform and disclosure evidence as boundary conditions and also pinpoints where findings can and cannot be transferred across contexts (Boerman, 2020; Kay, Mulcahy and Parkinson, 2020; Hughes, Swaminathan and Brooks, 2019). The contribution is, therefore, an evidence </w:t>
      </w:r>
      <w:proofErr w:type="gramStart"/>
      <w:r w:rsidRPr="00B7140C">
        <w:rPr>
          <w:rFonts w:ascii="Times New Roman" w:eastAsia="Times New Roman" w:hAnsi="Times New Roman" w:cs="Times New Roman"/>
          <w:szCs w:val="24"/>
        </w:rPr>
        <w:t>map</w:t>
      </w:r>
      <w:proofErr w:type="gramEnd"/>
      <w:r w:rsidRPr="00B7140C">
        <w:rPr>
          <w:rFonts w:ascii="Times New Roman" w:eastAsia="Times New Roman" w:hAnsi="Times New Roman" w:cs="Times New Roman"/>
          <w:szCs w:val="24"/>
        </w:rPr>
        <w:t xml:space="preserve"> with some tentative propositions and not a claim to estimate new UK effects or a managerial decision framework.</w:t>
      </w:r>
    </w:p>
    <w:p w14:paraId="1FE72DD8" w14:textId="77777777" w:rsidR="00766610" w:rsidRPr="00B7140C" w:rsidRDefault="00766610" w:rsidP="005738C3">
      <w:pPr>
        <w:pStyle w:val="Heading2"/>
        <w:spacing w:before="240"/>
        <w:jc w:val="both"/>
        <w:rPr>
          <w:rFonts w:ascii="Times New Roman" w:hAnsi="Times New Roman" w:cs="Times New Roman"/>
          <w:color w:val="auto"/>
        </w:rPr>
      </w:pPr>
      <w:bookmarkStart w:id="39" w:name="_Toc237130084"/>
      <w:bookmarkStart w:id="40" w:name="_Toc240238854"/>
      <w:r w:rsidRPr="00B7140C">
        <w:rPr>
          <w:rFonts w:ascii="Times New Roman" w:hAnsi="Times New Roman" w:cs="Times New Roman"/>
          <w:color w:val="auto"/>
        </w:rPr>
        <w:t>2.4 Conceptual Framework</w:t>
      </w:r>
      <w:bookmarkEnd w:id="39"/>
      <w:bookmarkEnd w:id="40"/>
    </w:p>
    <w:p w14:paraId="02D67AE9"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hAnsi="Times New Roman" w:cs="Times New Roman"/>
        </w:rPr>
        <w:t xml:space="preserve">The framework is a transparent model for </w:t>
      </w:r>
      <w:proofErr w:type="spellStart"/>
      <w:r w:rsidRPr="00B7140C">
        <w:rPr>
          <w:rFonts w:ascii="Times New Roman" w:hAnsi="Times New Roman" w:cs="Times New Roman"/>
        </w:rPr>
        <w:t>analysing</w:t>
      </w:r>
      <w:proofErr w:type="spellEnd"/>
      <w:r w:rsidRPr="00B7140C">
        <w:rPr>
          <w:rFonts w:ascii="Times New Roman" w:hAnsi="Times New Roman" w:cs="Times New Roman"/>
        </w:rPr>
        <w:t xml:space="preserve"> secondary evidence. The first half of the synthesis is structured around five themes of credibility: trustworthiness, expertise and attractiveness as the traditional dimensions, and authenticity and homophily as emerging and controversial ones (Ohanian, 1990; Lee and Eastin, 2021; Wiedmann and von </w:t>
      </w:r>
      <w:proofErr w:type="spellStart"/>
      <w:r w:rsidRPr="00B7140C">
        <w:rPr>
          <w:rFonts w:ascii="Times New Roman" w:hAnsi="Times New Roman" w:cs="Times New Roman"/>
        </w:rPr>
        <w:t>Mettenheim</w:t>
      </w:r>
      <w:proofErr w:type="spellEnd"/>
      <w:r w:rsidRPr="00B7140C">
        <w:rPr>
          <w:rFonts w:ascii="Times New Roman" w:hAnsi="Times New Roman" w:cs="Times New Roman"/>
        </w:rPr>
        <w:t>, 2021). The review will document the definition of each theme, how it is measured, the population and context examined, the direction and strength of any reported association with purchase intention, and the limits on interpretation. Consistency, contradiction and contextual dependence will then be judged through cross-study comparison. This directly supports Objective 1 and the credibility-dimension component of the research question without creating new effect estimates.</w:t>
      </w:r>
    </w:p>
    <w:p w14:paraId="7935DC09"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Relational-mechanism themes (PSA) and contextual-influence themes (PI) are formed by parasocial attachment (Sokolova and </w:t>
      </w:r>
      <w:proofErr w:type="spellStart"/>
      <w:r w:rsidRPr="00B7140C">
        <w:rPr>
          <w:rFonts w:ascii="Times New Roman" w:eastAsia="Times New Roman" w:hAnsi="Times New Roman" w:cs="Times New Roman"/>
          <w:szCs w:val="24"/>
        </w:rPr>
        <w:t>Kefi</w:t>
      </w:r>
      <w:proofErr w:type="spellEnd"/>
      <w:r w:rsidRPr="00B7140C">
        <w:rPr>
          <w:rFonts w:ascii="Times New Roman" w:eastAsia="Times New Roman" w:hAnsi="Times New Roman" w:cs="Times New Roman"/>
          <w:szCs w:val="24"/>
        </w:rPr>
        <w:t xml:space="preserve">, 2020; Farivar, Wang and Yuan, 2021; Haenlein et al., 2020; De Cicco, Iacobucci and Pagliaro, 2021). The dissertation will not re-estimate claims of mediation or moderation; rather, those will be taken from the original authors. The synthesis will instead compare the explanations for the reported heterogeneity in credibility-intention relationships provided by definitions, platforms, categories, countries, disclosure </w:t>
      </w:r>
      <w:r w:rsidRPr="00B7140C">
        <w:rPr>
          <w:rFonts w:ascii="Times New Roman" w:eastAsia="Times New Roman" w:hAnsi="Times New Roman" w:cs="Times New Roman"/>
          <w:szCs w:val="24"/>
        </w:rPr>
        <w:lastRenderedPageBreak/>
        <w:t>regimes and research designs. This helps to support Objective 2 and the other relational and contextual aspects of the single research question.</w:t>
      </w:r>
    </w:p>
    <w:p w14:paraId="22474999" w14:textId="77777777" w:rsidR="00766610"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hAnsi="Times New Roman" w:cs="Times New Roman"/>
        </w:rPr>
        <w:t xml:space="preserve">The framework includes three aspects of secondary analysis. First, it sets the terms and limits for the source search. Second, it constructs an extraction matrix in Excel containing sources, country, sample, platform, product category, construct definitions, measures, analytical method, reported relationships, limitations and UK relevance. Third, it focuses thematic coding and narrative comparison on the credibility dimensions, relational mechanism and contextual influences (Snyder, 2019; Braun and Clarke, 2006). No questionnaire will be constructed, no participant sample will be recruited and no SPSS or PROCESS analysis will be performed. The study does not claim to be a meta-analysis because statistical estimates will not be pooled where sources are not sufficiently comparable. Figure 2.1 is therefore a </w:t>
      </w:r>
      <w:proofErr w:type="spellStart"/>
      <w:r w:rsidRPr="00B7140C">
        <w:rPr>
          <w:rFonts w:ascii="Times New Roman" w:hAnsi="Times New Roman" w:cs="Times New Roman"/>
        </w:rPr>
        <w:t>sensitising</w:t>
      </w:r>
      <w:proofErr w:type="spellEnd"/>
      <w:r w:rsidRPr="00B7140C">
        <w:rPr>
          <w:rFonts w:ascii="Times New Roman" w:hAnsi="Times New Roman" w:cs="Times New Roman"/>
        </w:rPr>
        <w:t xml:space="preserve"> device for secondary synthesis, not a model for testing relationships.</w:t>
      </w:r>
    </w:p>
    <w:p w14:paraId="23DF3499" w14:textId="77777777" w:rsidR="00726940" w:rsidRPr="00B7140C" w:rsidRDefault="00682E2E" w:rsidP="005D5605">
      <w:pPr>
        <w:jc w:val="both"/>
        <w:rPr>
          <w:rFonts w:ascii="Times New Roman" w:hAnsi="Times New Roman" w:cs="Times New Roman"/>
        </w:rPr>
      </w:pPr>
      <w:r w:rsidRPr="00B7140C">
        <w:rPr>
          <w:rFonts w:ascii="Times New Roman" w:hAnsi="Times New Roman" w:cs="Times New Roman"/>
        </w:rPr>
        <w:t xml:space="preserve">The framework also establishes the logic for the </w:t>
      </w:r>
      <w:proofErr w:type="spellStart"/>
      <w:r w:rsidRPr="00B7140C">
        <w:rPr>
          <w:rFonts w:ascii="Times New Roman" w:hAnsi="Times New Roman" w:cs="Times New Roman"/>
        </w:rPr>
        <w:t>later</w:t>
      </w:r>
      <w:proofErr w:type="spellEnd"/>
      <w:r w:rsidRPr="00B7140C">
        <w:rPr>
          <w:rFonts w:ascii="Times New Roman" w:hAnsi="Times New Roman" w:cs="Times New Roman"/>
        </w:rPr>
        <w:t xml:space="preserve"> case analysis. The five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cases are examined against the same constructs so that evidence can be compared consistently rather than selected differently for each company. In Chapter 4, trustworthiness, expertise, attractiveness, authenticity and homophily are considered alongside creator-product fit, parasocial relevance, platform context and disclosure. Chapter 5 then compares the recurring and divergent patterns with the literature and refines the proposed relationships. This approach treats the framework as a </w:t>
      </w:r>
      <w:proofErr w:type="spellStart"/>
      <w:r w:rsidRPr="00B7140C">
        <w:rPr>
          <w:rFonts w:ascii="Times New Roman" w:hAnsi="Times New Roman" w:cs="Times New Roman"/>
        </w:rPr>
        <w:t>sensitising</w:t>
      </w:r>
      <w:proofErr w:type="spellEnd"/>
      <w:r w:rsidRPr="00B7140C">
        <w:rPr>
          <w:rFonts w:ascii="Times New Roman" w:hAnsi="Times New Roman" w:cs="Times New Roman"/>
        </w:rPr>
        <w:t xml:space="preserve"> and </w:t>
      </w:r>
      <w:proofErr w:type="spellStart"/>
      <w:r w:rsidRPr="00B7140C">
        <w:rPr>
          <w:rFonts w:ascii="Times New Roman" w:hAnsi="Times New Roman" w:cs="Times New Roman"/>
        </w:rPr>
        <w:t>organising</w:t>
      </w:r>
      <w:proofErr w:type="spellEnd"/>
      <w:r w:rsidRPr="00B7140C">
        <w:rPr>
          <w:rFonts w:ascii="Times New Roman" w:hAnsi="Times New Roman" w:cs="Times New Roman"/>
        </w:rPr>
        <w:t xml:space="preserve"> device rather than a statistically tested causal model, which is consistent with the study's secondary-data design and the heterogeneous evidence base (Snyder, 2019; </w:t>
      </w:r>
      <w:proofErr w:type="spellStart"/>
      <w:r w:rsidRPr="00B7140C">
        <w:rPr>
          <w:rFonts w:ascii="Times New Roman" w:hAnsi="Times New Roman" w:cs="Times New Roman"/>
        </w:rPr>
        <w:t>Vrontis</w:t>
      </w:r>
      <w:proofErr w:type="spellEnd"/>
      <w:r w:rsidRPr="00B7140C">
        <w:rPr>
          <w:rFonts w:ascii="Times New Roman" w:hAnsi="Times New Roman" w:cs="Times New Roman"/>
        </w:rPr>
        <w:t xml:space="preserve"> et al., 2021; Braun and Clarke, 2006).</w:t>
      </w:r>
    </w:p>
    <w:tbl>
      <w:tblPr>
        <w:tblW w:w="0" w:type="auto"/>
        <w:jc w:val="center"/>
        <w:tblLayout w:type="fixed"/>
        <w:tblLook w:val="04A0" w:firstRow="1" w:lastRow="0" w:firstColumn="1" w:lastColumn="0" w:noHBand="0" w:noVBand="1"/>
      </w:tblPr>
      <w:tblGrid>
        <w:gridCol w:w="3744"/>
        <w:gridCol w:w="2592"/>
        <w:gridCol w:w="3024"/>
      </w:tblGrid>
      <w:tr w:rsidR="00A12B69" w:rsidRPr="00B7140C" w14:paraId="69159F87" w14:textId="77777777" w:rsidTr="000A272C">
        <w:trPr>
          <w:jc w:val="center"/>
        </w:trPr>
        <w:tc>
          <w:tcPr>
            <w:tcW w:w="3744" w:type="dxa"/>
            <w:tcBorders>
              <w:top w:val="single" w:sz="8" w:space="0" w:color="1F4E79"/>
              <w:left w:val="single" w:sz="8" w:space="0" w:color="1F4E79"/>
              <w:bottom w:val="single" w:sz="8" w:space="0" w:color="1F4E79"/>
              <w:right w:val="single" w:sz="8" w:space="0" w:color="1F4E79"/>
            </w:tcBorders>
            <w:shd w:val="clear" w:color="auto" w:fill="1F4E79"/>
            <w:vAlign w:val="center"/>
          </w:tcPr>
          <w:p w14:paraId="44F18608" w14:textId="77777777" w:rsidR="00766610" w:rsidRPr="00B7140C" w:rsidRDefault="00766610" w:rsidP="00853964">
            <w:pPr>
              <w:spacing w:after="0" w:line="240" w:lineRule="auto"/>
              <w:jc w:val="center"/>
              <w:rPr>
                <w:rFonts w:ascii="Times New Roman" w:hAnsi="Times New Roman" w:cs="Times New Roman"/>
              </w:rPr>
            </w:pPr>
            <w:r w:rsidRPr="00B7140C">
              <w:rPr>
                <w:rFonts w:ascii="Times New Roman" w:hAnsi="Times New Roman" w:cs="Times New Roman"/>
                <w:b/>
                <w:sz w:val="20"/>
              </w:rPr>
              <w:t>CREDIBILITY EVIDENCE THEMES</w:t>
            </w:r>
          </w:p>
        </w:tc>
        <w:tc>
          <w:tcPr>
            <w:tcW w:w="2592" w:type="dxa"/>
            <w:tcBorders>
              <w:top w:val="single" w:sz="8" w:space="0" w:color="1F4E79"/>
              <w:left w:val="single" w:sz="8" w:space="0" w:color="1F4E79"/>
              <w:bottom w:val="single" w:sz="8" w:space="0" w:color="1F4E79"/>
              <w:right w:val="single" w:sz="8" w:space="0" w:color="1F4E79"/>
            </w:tcBorders>
            <w:shd w:val="clear" w:color="auto" w:fill="1F4E79"/>
            <w:vAlign w:val="center"/>
          </w:tcPr>
          <w:p w14:paraId="00AFC072" w14:textId="77777777" w:rsidR="00766610" w:rsidRPr="00B7140C" w:rsidRDefault="00766610" w:rsidP="00EC621B">
            <w:pPr>
              <w:spacing w:after="0"/>
              <w:jc w:val="center"/>
              <w:rPr>
                <w:rFonts w:ascii="Times New Roman" w:hAnsi="Times New Roman" w:cs="Times New Roman"/>
              </w:rPr>
            </w:pPr>
            <w:r w:rsidRPr="00B7140C">
              <w:rPr>
                <w:rFonts w:ascii="Times New Roman" w:hAnsi="Times New Roman" w:cs="Times New Roman"/>
                <w:b/>
                <w:sz w:val="20"/>
              </w:rPr>
              <w:t>RELATIONAL MECHANISM</w:t>
            </w:r>
          </w:p>
        </w:tc>
        <w:tc>
          <w:tcPr>
            <w:tcW w:w="2592" w:type="dxa"/>
            <w:tcBorders>
              <w:top w:val="single" w:sz="8" w:space="0" w:color="1F4E79"/>
              <w:left w:val="single" w:sz="8" w:space="0" w:color="1F4E79"/>
              <w:bottom w:val="single" w:sz="8" w:space="0" w:color="1F4E79"/>
              <w:right w:val="single" w:sz="8" w:space="0" w:color="1F4E79"/>
            </w:tcBorders>
            <w:shd w:val="clear" w:color="auto" w:fill="1F4E79"/>
            <w:vAlign w:val="center"/>
          </w:tcPr>
          <w:p w14:paraId="7176793A" w14:textId="77777777" w:rsidR="00766610" w:rsidRPr="00B7140C" w:rsidRDefault="00766610" w:rsidP="00EC621B">
            <w:pPr>
              <w:spacing w:after="0"/>
              <w:jc w:val="center"/>
              <w:rPr>
                <w:rFonts w:ascii="Times New Roman" w:hAnsi="Times New Roman" w:cs="Times New Roman"/>
              </w:rPr>
            </w:pPr>
            <w:r w:rsidRPr="00B7140C">
              <w:rPr>
                <w:rFonts w:ascii="Times New Roman" w:hAnsi="Times New Roman" w:cs="Times New Roman"/>
                <w:b/>
                <w:sz w:val="20"/>
              </w:rPr>
              <w:t>OUTCOME</w:t>
            </w:r>
          </w:p>
        </w:tc>
      </w:tr>
      <w:tr w:rsidR="00A12B69" w:rsidRPr="00B7140C" w14:paraId="46248CAF" w14:textId="77777777" w:rsidTr="000A272C">
        <w:trPr>
          <w:jc w:val="center"/>
        </w:trPr>
        <w:tc>
          <w:tcPr>
            <w:tcW w:w="3744" w:type="dxa"/>
            <w:tcBorders>
              <w:top w:val="single" w:sz="8" w:space="0" w:color="1F4E79"/>
              <w:left w:val="single" w:sz="8" w:space="0" w:color="1F4E79"/>
              <w:bottom w:val="single" w:sz="8" w:space="0" w:color="1F4E79"/>
              <w:right w:val="single" w:sz="8" w:space="0" w:color="1F4E79"/>
            </w:tcBorders>
            <w:shd w:val="clear" w:color="auto" w:fill="D9E2F3"/>
            <w:vAlign w:val="center"/>
          </w:tcPr>
          <w:p w14:paraId="7D95F45A" w14:textId="77777777" w:rsidR="00766610" w:rsidRPr="00B7140C" w:rsidRDefault="00766610" w:rsidP="00853964">
            <w:pPr>
              <w:spacing w:before="40" w:after="40" w:line="240" w:lineRule="auto"/>
              <w:jc w:val="center"/>
              <w:rPr>
                <w:rFonts w:ascii="Times New Roman" w:hAnsi="Times New Roman" w:cs="Times New Roman"/>
              </w:rPr>
            </w:pPr>
            <w:r w:rsidRPr="00B7140C">
              <w:rPr>
                <w:rFonts w:ascii="Times New Roman" w:hAnsi="Times New Roman" w:cs="Times New Roman"/>
                <w:b/>
                <w:sz w:val="20"/>
              </w:rPr>
              <w:t>Trustworthiness</w:t>
            </w:r>
          </w:p>
          <w:p w14:paraId="7CCC19A0" w14:textId="77777777" w:rsidR="00766610" w:rsidRPr="00B7140C" w:rsidRDefault="00766610" w:rsidP="00853964">
            <w:pPr>
              <w:spacing w:before="40" w:after="40" w:line="240" w:lineRule="auto"/>
              <w:jc w:val="center"/>
              <w:rPr>
                <w:rFonts w:ascii="Times New Roman" w:hAnsi="Times New Roman" w:cs="Times New Roman"/>
              </w:rPr>
            </w:pPr>
            <w:r w:rsidRPr="00B7140C">
              <w:rPr>
                <w:rFonts w:ascii="Times New Roman" w:hAnsi="Times New Roman" w:cs="Times New Roman"/>
                <w:b/>
                <w:sz w:val="20"/>
              </w:rPr>
              <w:t>Expertise</w:t>
            </w:r>
          </w:p>
          <w:p w14:paraId="3D0015EC" w14:textId="77777777" w:rsidR="00766610" w:rsidRPr="00B7140C" w:rsidRDefault="00766610" w:rsidP="00853964">
            <w:pPr>
              <w:spacing w:before="40" w:after="40" w:line="240" w:lineRule="auto"/>
              <w:jc w:val="center"/>
              <w:rPr>
                <w:rFonts w:ascii="Times New Roman" w:hAnsi="Times New Roman" w:cs="Times New Roman"/>
              </w:rPr>
            </w:pPr>
            <w:r w:rsidRPr="00B7140C">
              <w:rPr>
                <w:rFonts w:ascii="Times New Roman" w:hAnsi="Times New Roman" w:cs="Times New Roman"/>
                <w:b/>
                <w:sz w:val="20"/>
              </w:rPr>
              <w:t>Attractiveness</w:t>
            </w:r>
          </w:p>
          <w:p w14:paraId="4755CFE2" w14:textId="77777777" w:rsidR="00766610" w:rsidRPr="00B7140C" w:rsidRDefault="00766610" w:rsidP="00853964">
            <w:pPr>
              <w:spacing w:before="40" w:after="40" w:line="240" w:lineRule="auto"/>
              <w:jc w:val="center"/>
              <w:rPr>
                <w:rFonts w:ascii="Times New Roman" w:hAnsi="Times New Roman" w:cs="Times New Roman"/>
              </w:rPr>
            </w:pPr>
            <w:r w:rsidRPr="00B7140C">
              <w:rPr>
                <w:rFonts w:ascii="Times New Roman" w:hAnsi="Times New Roman" w:cs="Times New Roman"/>
                <w:b/>
                <w:sz w:val="20"/>
              </w:rPr>
              <w:t>Authenticity</w:t>
            </w:r>
          </w:p>
          <w:p w14:paraId="4214E014" w14:textId="77777777" w:rsidR="00766610" w:rsidRPr="00B7140C" w:rsidRDefault="00766610" w:rsidP="00853964">
            <w:pPr>
              <w:spacing w:before="40" w:after="40" w:line="240" w:lineRule="auto"/>
              <w:jc w:val="center"/>
              <w:rPr>
                <w:rFonts w:ascii="Times New Roman" w:hAnsi="Times New Roman" w:cs="Times New Roman"/>
              </w:rPr>
            </w:pPr>
            <w:r w:rsidRPr="00B7140C">
              <w:rPr>
                <w:rFonts w:ascii="Times New Roman" w:hAnsi="Times New Roman" w:cs="Times New Roman"/>
                <w:b/>
                <w:sz w:val="20"/>
              </w:rPr>
              <w:t>Homophily</w:t>
            </w:r>
          </w:p>
          <w:p w14:paraId="35E523FA" w14:textId="77777777" w:rsidR="00766610" w:rsidRPr="00B7140C" w:rsidRDefault="00766610" w:rsidP="00853964">
            <w:pPr>
              <w:spacing w:line="240" w:lineRule="auto"/>
              <w:jc w:val="center"/>
              <w:rPr>
                <w:rFonts w:ascii="Times New Roman" w:hAnsi="Times New Roman" w:cs="Times New Roman"/>
              </w:rPr>
            </w:pPr>
          </w:p>
        </w:tc>
        <w:tc>
          <w:tcPr>
            <w:tcW w:w="2592" w:type="dxa"/>
            <w:tcBorders>
              <w:top w:val="single" w:sz="8" w:space="0" w:color="2E75B6"/>
              <w:left w:val="single" w:sz="8" w:space="0" w:color="2E75B6"/>
              <w:bottom w:val="single" w:sz="8" w:space="0" w:color="2E75B6"/>
              <w:right w:val="single" w:sz="8" w:space="0" w:color="2E75B6"/>
            </w:tcBorders>
            <w:shd w:val="clear" w:color="auto" w:fill="2E75B6"/>
            <w:vAlign w:val="center"/>
          </w:tcPr>
          <w:p w14:paraId="32A1F6F4" w14:textId="77777777" w:rsidR="00766610" w:rsidRPr="00B7140C" w:rsidRDefault="00766610" w:rsidP="00EC621B">
            <w:pPr>
              <w:spacing w:after="0"/>
              <w:jc w:val="center"/>
              <w:rPr>
                <w:rFonts w:ascii="Times New Roman" w:hAnsi="Times New Roman" w:cs="Times New Roman"/>
              </w:rPr>
            </w:pPr>
            <w:r w:rsidRPr="00B7140C">
              <w:rPr>
                <w:rFonts w:ascii="Times New Roman" w:hAnsi="Times New Roman" w:cs="Times New Roman"/>
                <w:b/>
              </w:rPr>
              <w:t>Parasocial attachment</w:t>
            </w:r>
          </w:p>
          <w:p w14:paraId="0A8BACE9" w14:textId="77777777" w:rsidR="00766610" w:rsidRPr="00B7140C" w:rsidRDefault="00766610" w:rsidP="00EC621B">
            <w:pPr>
              <w:jc w:val="center"/>
              <w:rPr>
                <w:rFonts w:ascii="Times New Roman" w:hAnsi="Times New Roman" w:cs="Times New Roman"/>
              </w:rPr>
            </w:pPr>
          </w:p>
        </w:tc>
        <w:tc>
          <w:tcPr>
            <w:tcW w:w="2592" w:type="dxa"/>
            <w:tcBorders>
              <w:top w:val="single" w:sz="8" w:space="0" w:color="1F4E79"/>
              <w:left w:val="single" w:sz="8" w:space="0" w:color="1F4E79"/>
              <w:bottom w:val="single" w:sz="8" w:space="0" w:color="1F4E79"/>
              <w:right w:val="single" w:sz="8" w:space="0" w:color="1F4E79"/>
            </w:tcBorders>
            <w:shd w:val="clear" w:color="auto" w:fill="1F4E79"/>
            <w:vAlign w:val="center"/>
          </w:tcPr>
          <w:p w14:paraId="2B7517F3" w14:textId="77777777" w:rsidR="00766610" w:rsidRPr="00B7140C" w:rsidRDefault="00766610" w:rsidP="00EC621B">
            <w:pPr>
              <w:jc w:val="center"/>
              <w:rPr>
                <w:rFonts w:ascii="Times New Roman" w:hAnsi="Times New Roman" w:cs="Times New Roman"/>
              </w:rPr>
            </w:pPr>
            <w:r w:rsidRPr="00B7140C">
              <w:rPr>
                <w:rFonts w:ascii="Times New Roman" w:hAnsi="Times New Roman" w:cs="Times New Roman"/>
                <w:b/>
              </w:rPr>
              <w:t>Purchase intention</w:t>
            </w:r>
          </w:p>
        </w:tc>
      </w:tr>
      <w:tr w:rsidR="00A12B69" w:rsidRPr="00B7140C" w14:paraId="3398B54F" w14:textId="77777777" w:rsidTr="000A272C">
        <w:trPr>
          <w:jc w:val="center"/>
        </w:trPr>
        <w:tc>
          <w:tcPr>
            <w:tcW w:w="9360" w:type="dxa"/>
            <w:gridSpan w:val="3"/>
            <w:tcBorders>
              <w:top w:val="single" w:sz="8" w:space="0" w:color="BF8F00"/>
              <w:left w:val="single" w:sz="8" w:space="0" w:color="BF8F00"/>
              <w:bottom w:val="single" w:sz="8" w:space="0" w:color="BF8F00"/>
              <w:right w:val="single" w:sz="8" w:space="0" w:color="BF8F00"/>
            </w:tcBorders>
            <w:shd w:val="clear" w:color="auto" w:fill="FFF2CC"/>
            <w:vAlign w:val="center"/>
          </w:tcPr>
          <w:p w14:paraId="0335F363" w14:textId="77777777" w:rsidR="00766610" w:rsidRPr="00B7140C" w:rsidRDefault="00766610" w:rsidP="00853964">
            <w:pPr>
              <w:spacing w:line="240" w:lineRule="auto"/>
              <w:jc w:val="center"/>
              <w:rPr>
                <w:rFonts w:ascii="Times New Roman" w:hAnsi="Times New Roman" w:cs="Times New Roman"/>
              </w:rPr>
            </w:pPr>
            <w:r w:rsidRPr="00B7140C">
              <w:rPr>
                <w:rFonts w:ascii="Times New Roman" w:hAnsi="Times New Roman" w:cs="Times New Roman"/>
                <w:b/>
                <w:sz w:val="22"/>
              </w:rPr>
              <w:t>CONTEXTUAL INFLUENCES</w:t>
            </w:r>
          </w:p>
          <w:p w14:paraId="47C6E053" w14:textId="77777777" w:rsidR="00766610" w:rsidRPr="00B7140C" w:rsidRDefault="00766610" w:rsidP="00853964">
            <w:pPr>
              <w:spacing w:after="0" w:line="240" w:lineRule="auto"/>
              <w:jc w:val="center"/>
              <w:rPr>
                <w:rFonts w:ascii="Times New Roman" w:hAnsi="Times New Roman" w:cs="Times New Roman"/>
              </w:rPr>
            </w:pPr>
            <w:r w:rsidRPr="00B7140C">
              <w:rPr>
                <w:rFonts w:ascii="Times New Roman" w:hAnsi="Times New Roman" w:cs="Times New Roman"/>
                <w:i/>
                <w:sz w:val="20"/>
              </w:rPr>
              <w:t>Platform context (TikTok vs Instagram) · Sponsorship-disclosure salience</w:t>
            </w:r>
          </w:p>
        </w:tc>
      </w:tr>
    </w:tbl>
    <w:p w14:paraId="04706A6D" w14:textId="77777777" w:rsidR="00766610" w:rsidRPr="00B7140C" w:rsidRDefault="00766610" w:rsidP="00853964">
      <w:pPr>
        <w:spacing w:before="120" w:after="240"/>
        <w:rPr>
          <w:rFonts w:ascii="Times New Roman" w:hAnsi="Times New Roman" w:cs="Times New Roman"/>
        </w:rPr>
      </w:pPr>
      <w:r w:rsidRPr="00B7140C">
        <w:rPr>
          <w:rFonts w:ascii="Times New Roman" w:hAnsi="Times New Roman" w:cs="Times New Roman"/>
          <w:i/>
          <w:sz w:val="20"/>
        </w:rPr>
        <w:t>Figure 2.1: Secondary-Data Analytical Framework for Micro-Influencer Credibility and Purchase Intention in the UK Gen Z Skincare Context. Source: Author’s synthesis of the 2018–2026 literature reviewed in Section 2.2.</w:t>
      </w:r>
    </w:p>
    <w:p w14:paraId="67AF7917" w14:textId="77777777" w:rsidR="0003259E" w:rsidRPr="00B7140C" w:rsidRDefault="0003259E">
      <w:pPr>
        <w:rPr>
          <w:rFonts w:ascii="Times New Roman" w:hAnsi="Times New Roman" w:cs="Times New Roman"/>
        </w:rPr>
        <w:sectPr w:rsidR="0003259E" w:rsidRPr="00B7140C" w:rsidSect="00A049AA">
          <w:footerReference w:type="default" r:id="rId11"/>
          <w:pgSz w:w="11906" w:h="16838"/>
          <w:pgMar w:top="1440" w:right="1440" w:bottom="1440" w:left="1440" w:header="360" w:footer="360" w:gutter="0"/>
          <w:pgNumType w:start="1"/>
          <w:cols w:space="720"/>
          <w:docGrid w:linePitch="326"/>
        </w:sectPr>
      </w:pPr>
    </w:p>
    <w:p w14:paraId="51C5489D" w14:textId="77777777" w:rsidR="0003259E" w:rsidRPr="00B7140C" w:rsidRDefault="00682E2E">
      <w:pPr>
        <w:pStyle w:val="Heading2"/>
        <w:rPr>
          <w:rFonts w:ascii="Times New Roman" w:hAnsi="Times New Roman" w:cs="Times New Roman"/>
          <w:color w:val="auto"/>
        </w:rPr>
      </w:pPr>
      <w:bookmarkStart w:id="41" w:name="_Toc237130085"/>
      <w:bookmarkStart w:id="42" w:name="_Toc240238855"/>
      <w:r w:rsidRPr="00B7140C">
        <w:rPr>
          <w:rFonts w:ascii="Times New Roman" w:hAnsi="Times New Roman" w:cs="Times New Roman"/>
          <w:color w:val="auto"/>
        </w:rPr>
        <w:lastRenderedPageBreak/>
        <w:t>2.5 Summary Table of Key Literature</w:t>
      </w:r>
      <w:bookmarkEnd w:id="41"/>
      <w:bookmarkEnd w:id="42"/>
    </w:p>
    <w:p w14:paraId="187F8009" w14:textId="77777777" w:rsidR="0003259E" w:rsidRPr="00B7140C" w:rsidRDefault="00682E2E">
      <w:pPr>
        <w:spacing w:after="80"/>
        <w:rPr>
          <w:rFonts w:ascii="Times New Roman" w:hAnsi="Times New Roman" w:cs="Times New Roman"/>
        </w:rPr>
      </w:pPr>
      <w:r w:rsidRPr="00B7140C">
        <w:rPr>
          <w:rFonts w:ascii="Times New Roman" w:hAnsi="Times New Roman" w:cs="Times New Roman"/>
          <w:sz w:val="16"/>
        </w:rPr>
        <w:t xml:space="preserve">Table 2.1 </w:t>
      </w:r>
      <w:proofErr w:type="spellStart"/>
      <w:r w:rsidRPr="00B7140C">
        <w:rPr>
          <w:rFonts w:ascii="Times New Roman" w:hAnsi="Times New Roman" w:cs="Times New Roman"/>
          <w:sz w:val="16"/>
        </w:rPr>
        <w:t>synthesises</w:t>
      </w:r>
      <w:proofErr w:type="spellEnd"/>
      <w:r w:rsidRPr="00B7140C">
        <w:rPr>
          <w:rFonts w:ascii="Times New Roman" w:hAnsi="Times New Roman" w:cs="Times New Roman"/>
          <w:sz w:val="16"/>
        </w:rPr>
        <w:t xml:space="preserve"> 10 studies central to the critical review. </w:t>
      </w:r>
    </w:p>
    <w:tbl>
      <w:tblPr>
        <w:tblStyle w:val="TableGrid"/>
        <w:tblW w:w="0" w:type="auto"/>
        <w:jc w:val="center"/>
        <w:tblLayout w:type="fixed"/>
        <w:tblLook w:val="04A0" w:firstRow="1" w:lastRow="0" w:firstColumn="1" w:lastColumn="0" w:noHBand="0" w:noVBand="1"/>
      </w:tblPr>
      <w:tblGrid>
        <w:gridCol w:w="1389"/>
        <w:gridCol w:w="1559"/>
        <w:gridCol w:w="1928"/>
        <w:gridCol w:w="1502"/>
        <w:gridCol w:w="2580"/>
        <w:gridCol w:w="2438"/>
        <w:gridCol w:w="2494"/>
      </w:tblGrid>
      <w:tr w:rsidR="00A12B69" w:rsidRPr="00B7140C" w14:paraId="237799F4" w14:textId="77777777">
        <w:trPr>
          <w:tblHeader/>
          <w:jc w:val="center"/>
        </w:trPr>
        <w:tc>
          <w:tcPr>
            <w:tcW w:w="1389" w:type="dxa"/>
            <w:shd w:val="clear" w:color="auto" w:fill="1F4E78"/>
            <w:tcMar>
              <w:top w:w="50" w:type="dxa"/>
              <w:left w:w="55" w:type="dxa"/>
              <w:bottom w:w="50" w:type="dxa"/>
              <w:right w:w="55" w:type="dxa"/>
            </w:tcMar>
            <w:vAlign w:val="center"/>
          </w:tcPr>
          <w:p w14:paraId="6E5F9A4E"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Author(s) &amp; Year</w:t>
            </w:r>
          </w:p>
        </w:tc>
        <w:tc>
          <w:tcPr>
            <w:tcW w:w="1559" w:type="dxa"/>
            <w:shd w:val="clear" w:color="auto" w:fill="1F4E78"/>
            <w:tcMar>
              <w:top w:w="50" w:type="dxa"/>
              <w:left w:w="55" w:type="dxa"/>
              <w:bottom w:w="50" w:type="dxa"/>
              <w:right w:w="55" w:type="dxa"/>
            </w:tcMar>
            <w:vAlign w:val="center"/>
          </w:tcPr>
          <w:p w14:paraId="64AF95A6"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Theory/Framework</w:t>
            </w:r>
          </w:p>
        </w:tc>
        <w:tc>
          <w:tcPr>
            <w:tcW w:w="1928" w:type="dxa"/>
            <w:shd w:val="clear" w:color="auto" w:fill="1F4E78"/>
            <w:tcMar>
              <w:top w:w="50" w:type="dxa"/>
              <w:left w:w="55" w:type="dxa"/>
              <w:bottom w:w="50" w:type="dxa"/>
              <w:right w:w="55" w:type="dxa"/>
            </w:tcMar>
            <w:vAlign w:val="center"/>
          </w:tcPr>
          <w:p w14:paraId="3F0CF020"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Key Constructs/Themes</w:t>
            </w:r>
          </w:p>
        </w:tc>
        <w:tc>
          <w:tcPr>
            <w:tcW w:w="1502" w:type="dxa"/>
            <w:shd w:val="clear" w:color="auto" w:fill="1F4E78"/>
            <w:tcMar>
              <w:top w:w="50" w:type="dxa"/>
              <w:left w:w="55" w:type="dxa"/>
              <w:bottom w:w="50" w:type="dxa"/>
              <w:right w:w="55" w:type="dxa"/>
            </w:tcMar>
            <w:vAlign w:val="center"/>
          </w:tcPr>
          <w:p w14:paraId="6E64C7E6"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Methodology</w:t>
            </w:r>
          </w:p>
        </w:tc>
        <w:tc>
          <w:tcPr>
            <w:tcW w:w="2580" w:type="dxa"/>
            <w:shd w:val="clear" w:color="auto" w:fill="1F4E78"/>
            <w:tcMar>
              <w:top w:w="50" w:type="dxa"/>
              <w:left w:w="55" w:type="dxa"/>
              <w:bottom w:w="50" w:type="dxa"/>
              <w:right w:w="55" w:type="dxa"/>
            </w:tcMar>
            <w:vAlign w:val="center"/>
          </w:tcPr>
          <w:p w14:paraId="2B55BF50"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Key Findings</w:t>
            </w:r>
          </w:p>
        </w:tc>
        <w:tc>
          <w:tcPr>
            <w:tcW w:w="2438" w:type="dxa"/>
            <w:shd w:val="clear" w:color="auto" w:fill="1F4E78"/>
            <w:tcMar>
              <w:top w:w="50" w:type="dxa"/>
              <w:left w:w="55" w:type="dxa"/>
              <w:bottom w:w="50" w:type="dxa"/>
              <w:right w:w="55" w:type="dxa"/>
            </w:tcMar>
            <w:vAlign w:val="center"/>
          </w:tcPr>
          <w:p w14:paraId="1399242D"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Limitations/Gaps</w:t>
            </w:r>
          </w:p>
        </w:tc>
        <w:tc>
          <w:tcPr>
            <w:tcW w:w="2494" w:type="dxa"/>
            <w:shd w:val="clear" w:color="auto" w:fill="1F4E78"/>
            <w:tcMar>
              <w:top w:w="50" w:type="dxa"/>
              <w:left w:w="55" w:type="dxa"/>
              <w:bottom w:w="50" w:type="dxa"/>
              <w:right w:w="55" w:type="dxa"/>
            </w:tcMar>
            <w:vAlign w:val="center"/>
          </w:tcPr>
          <w:p w14:paraId="750D8A17" w14:textId="77777777" w:rsidR="0003259E" w:rsidRPr="00B7140C" w:rsidRDefault="00682E2E">
            <w:pPr>
              <w:spacing w:after="0"/>
              <w:jc w:val="center"/>
              <w:rPr>
                <w:rFonts w:ascii="Times New Roman" w:hAnsi="Times New Roman" w:cs="Times New Roman"/>
                <w:sz w:val="16"/>
                <w:szCs w:val="24"/>
              </w:rPr>
            </w:pPr>
            <w:r w:rsidRPr="00B7140C">
              <w:rPr>
                <w:rFonts w:ascii="Times New Roman" w:hAnsi="Times New Roman" w:cs="Times New Roman"/>
                <w:b/>
                <w:sz w:val="16"/>
                <w:szCs w:val="24"/>
              </w:rPr>
              <w:t>Relevance to This Study</w:t>
            </w:r>
          </w:p>
        </w:tc>
      </w:tr>
      <w:tr w:rsidR="00A12B69" w:rsidRPr="00B7140C" w14:paraId="3D7F28BA" w14:textId="77777777">
        <w:trPr>
          <w:cantSplit/>
          <w:jc w:val="center"/>
        </w:trPr>
        <w:tc>
          <w:tcPr>
            <w:tcW w:w="1389" w:type="dxa"/>
            <w:tcMar>
              <w:top w:w="50" w:type="dxa"/>
              <w:left w:w="55" w:type="dxa"/>
              <w:bottom w:w="50" w:type="dxa"/>
              <w:right w:w="55" w:type="dxa"/>
            </w:tcMar>
          </w:tcPr>
          <w:p w14:paraId="3E59FA63"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Lou &amp; Yuan (2019)</w:t>
            </w:r>
          </w:p>
        </w:tc>
        <w:tc>
          <w:tcPr>
            <w:tcW w:w="1559" w:type="dxa"/>
            <w:tcMar>
              <w:top w:w="50" w:type="dxa"/>
              <w:left w:w="55" w:type="dxa"/>
              <w:bottom w:w="50" w:type="dxa"/>
              <w:right w:w="55" w:type="dxa"/>
            </w:tcMar>
          </w:tcPr>
          <w:p w14:paraId="1CE76C2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Source credibility; message value</w:t>
            </w:r>
          </w:p>
        </w:tc>
        <w:tc>
          <w:tcPr>
            <w:tcW w:w="1928" w:type="dxa"/>
            <w:tcMar>
              <w:top w:w="50" w:type="dxa"/>
              <w:left w:w="55" w:type="dxa"/>
              <w:bottom w:w="50" w:type="dxa"/>
              <w:right w:w="55" w:type="dxa"/>
            </w:tcMar>
          </w:tcPr>
          <w:p w14:paraId="752CD2E1"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Expertise, trustworthiness, content value, trust</w:t>
            </w:r>
          </w:p>
        </w:tc>
        <w:tc>
          <w:tcPr>
            <w:tcW w:w="1502" w:type="dxa"/>
            <w:tcMar>
              <w:top w:w="50" w:type="dxa"/>
              <w:left w:w="55" w:type="dxa"/>
              <w:bottom w:w="50" w:type="dxa"/>
              <w:right w:w="55" w:type="dxa"/>
            </w:tcMar>
          </w:tcPr>
          <w:p w14:paraId="53A3033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Cross-sectional survey; SEM</w:t>
            </w:r>
          </w:p>
        </w:tc>
        <w:tc>
          <w:tcPr>
            <w:tcW w:w="2580" w:type="dxa"/>
            <w:tcMar>
              <w:top w:w="50" w:type="dxa"/>
              <w:left w:w="55" w:type="dxa"/>
              <w:bottom w:w="50" w:type="dxa"/>
              <w:right w:w="55" w:type="dxa"/>
            </w:tcMar>
          </w:tcPr>
          <w:p w14:paraId="2FBF2A0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Informative value and credibility strengthened trust in branded influencer content.</w:t>
            </w:r>
          </w:p>
        </w:tc>
        <w:tc>
          <w:tcPr>
            <w:tcW w:w="2438" w:type="dxa"/>
            <w:tcMar>
              <w:top w:w="50" w:type="dxa"/>
              <w:left w:w="55" w:type="dxa"/>
              <w:bottom w:w="50" w:type="dxa"/>
              <w:right w:w="55" w:type="dxa"/>
            </w:tcMar>
          </w:tcPr>
          <w:p w14:paraId="53BC083D"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Self-report intentions; broad social-media/product context.</w:t>
            </w:r>
          </w:p>
        </w:tc>
        <w:tc>
          <w:tcPr>
            <w:tcW w:w="2494" w:type="dxa"/>
            <w:tcMar>
              <w:top w:w="50" w:type="dxa"/>
              <w:left w:w="55" w:type="dxa"/>
              <w:bottom w:w="50" w:type="dxa"/>
              <w:right w:w="55" w:type="dxa"/>
            </w:tcMar>
          </w:tcPr>
          <w:p w14:paraId="6F94E0C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Establishes core credibility pathways for Objective 1.</w:t>
            </w:r>
          </w:p>
        </w:tc>
      </w:tr>
      <w:tr w:rsidR="00A12B69" w:rsidRPr="00B7140C" w14:paraId="1ACCE7A6" w14:textId="77777777">
        <w:trPr>
          <w:cantSplit/>
          <w:jc w:val="center"/>
        </w:trPr>
        <w:tc>
          <w:tcPr>
            <w:tcW w:w="1389" w:type="dxa"/>
            <w:shd w:val="clear" w:color="auto" w:fill="EAF2F8"/>
            <w:tcMar>
              <w:top w:w="50" w:type="dxa"/>
              <w:left w:w="55" w:type="dxa"/>
              <w:bottom w:w="50" w:type="dxa"/>
              <w:right w:w="55" w:type="dxa"/>
            </w:tcMar>
          </w:tcPr>
          <w:p w14:paraId="524A2E8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Wiedmann &amp; von </w:t>
            </w:r>
            <w:proofErr w:type="spellStart"/>
            <w:r w:rsidRPr="00B7140C">
              <w:rPr>
                <w:rFonts w:ascii="Times New Roman" w:hAnsi="Times New Roman" w:cs="Times New Roman"/>
                <w:sz w:val="16"/>
                <w:szCs w:val="24"/>
              </w:rPr>
              <w:t>Mettenheim</w:t>
            </w:r>
            <w:proofErr w:type="spellEnd"/>
            <w:r w:rsidRPr="00B7140C">
              <w:rPr>
                <w:rFonts w:ascii="Times New Roman" w:hAnsi="Times New Roman" w:cs="Times New Roman"/>
                <w:sz w:val="16"/>
                <w:szCs w:val="24"/>
              </w:rPr>
              <w:t xml:space="preserve"> (2021)</w:t>
            </w:r>
          </w:p>
        </w:tc>
        <w:tc>
          <w:tcPr>
            <w:tcW w:w="1559" w:type="dxa"/>
            <w:shd w:val="clear" w:color="auto" w:fill="EAF2F8"/>
            <w:tcMar>
              <w:top w:w="50" w:type="dxa"/>
              <w:left w:w="55" w:type="dxa"/>
              <w:bottom w:w="50" w:type="dxa"/>
              <w:right w:w="55" w:type="dxa"/>
            </w:tcMar>
          </w:tcPr>
          <w:p w14:paraId="02E7CB69"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Source Credibility Model</w:t>
            </w:r>
          </w:p>
        </w:tc>
        <w:tc>
          <w:tcPr>
            <w:tcW w:w="1928" w:type="dxa"/>
            <w:shd w:val="clear" w:color="auto" w:fill="EAF2F8"/>
            <w:tcMar>
              <w:top w:w="50" w:type="dxa"/>
              <w:left w:w="55" w:type="dxa"/>
              <w:bottom w:w="50" w:type="dxa"/>
              <w:right w:w="55" w:type="dxa"/>
            </w:tcMar>
          </w:tcPr>
          <w:p w14:paraId="117330D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Attractiveness, trustworthiness, expertise, purchase intention</w:t>
            </w:r>
          </w:p>
        </w:tc>
        <w:tc>
          <w:tcPr>
            <w:tcW w:w="1502" w:type="dxa"/>
            <w:shd w:val="clear" w:color="auto" w:fill="EAF2F8"/>
            <w:tcMar>
              <w:top w:w="50" w:type="dxa"/>
              <w:left w:w="55" w:type="dxa"/>
              <w:bottom w:w="50" w:type="dxa"/>
              <w:right w:w="55" w:type="dxa"/>
            </w:tcMar>
          </w:tcPr>
          <w:p w14:paraId="0B26978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Quantitative survey; structural modelling</w:t>
            </w:r>
          </w:p>
        </w:tc>
        <w:tc>
          <w:tcPr>
            <w:tcW w:w="2580" w:type="dxa"/>
            <w:shd w:val="clear" w:color="auto" w:fill="EAF2F8"/>
            <w:tcMar>
              <w:top w:w="50" w:type="dxa"/>
              <w:left w:w="55" w:type="dxa"/>
              <w:bottom w:w="50" w:type="dxa"/>
              <w:right w:w="55" w:type="dxa"/>
            </w:tcMar>
          </w:tcPr>
          <w:p w14:paraId="62910A6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Expertise and trustworthiness were particularly influential, but effects varied by construct.</w:t>
            </w:r>
          </w:p>
        </w:tc>
        <w:tc>
          <w:tcPr>
            <w:tcW w:w="2438" w:type="dxa"/>
            <w:shd w:val="clear" w:color="auto" w:fill="EAF2F8"/>
            <w:tcMar>
              <w:top w:w="50" w:type="dxa"/>
              <w:left w:w="55" w:type="dxa"/>
              <w:bottom w:w="50" w:type="dxa"/>
              <w:right w:w="55" w:type="dxa"/>
            </w:tcMar>
          </w:tcPr>
          <w:p w14:paraId="714A3B1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Lifestyle context; transferability to UK skincare is uncertain.</w:t>
            </w:r>
          </w:p>
        </w:tc>
        <w:tc>
          <w:tcPr>
            <w:tcW w:w="2494" w:type="dxa"/>
            <w:shd w:val="clear" w:color="auto" w:fill="EAF2F8"/>
            <w:tcMar>
              <w:top w:w="50" w:type="dxa"/>
              <w:left w:w="55" w:type="dxa"/>
              <w:bottom w:w="50" w:type="dxa"/>
              <w:right w:w="55" w:type="dxa"/>
            </w:tcMar>
          </w:tcPr>
          <w:p w14:paraId="47C99102"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Supports comparison of the three classical dimensions.</w:t>
            </w:r>
          </w:p>
        </w:tc>
      </w:tr>
      <w:tr w:rsidR="00A12B69" w:rsidRPr="00B7140C" w14:paraId="7778C45C" w14:textId="77777777">
        <w:trPr>
          <w:cantSplit/>
          <w:jc w:val="center"/>
        </w:trPr>
        <w:tc>
          <w:tcPr>
            <w:tcW w:w="1389" w:type="dxa"/>
            <w:tcMar>
              <w:top w:w="50" w:type="dxa"/>
              <w:left w:w="55" w:type="dxa"/>
              <w:bottom w:w="50" w:type="dxa"/>
              <w:right w:w="55" w:type="dxa"/>
            </w:tcMar>
          </w:tcPr>
          <w:p w14:paraId="41DF90B0" w14:textId="77777777" w:rsidR="0003259E" w:rsidRPr="00B7140C" w:rsidRDefault="00682E2E">
            <w:pPr>
              <w:spacing w:after="0" w:line="216" w:lineRule="auto"/>
              <w:rPr>
                <w:rFonts w:ascii="Times New Roman" w:hAnsi="Times New Roman" w:cs="Times New Roman"/>
                <w:sz w:val="16"/>
                <w:szCs w:val="24"/>
              </w:rPr>
            </w:pPr>
            <w:proofErr w:type="spellStart"/>
            <w:r w:rsidRPr="00B7140C">
              <w:rPr>
                <w:rFonts w:ascii="Times New Roman" w:hAnsi="Times New Roman" w:cs="Times New Roman"/>
                <w:sz w:val="16"/>
                <w:szCs w:val="24"/>
              </w:rPr>
              <w:t>Audrezet</w:t>
            </w:r>
            <w:proofErr w:type="spellEnd"/>
            <w:r w:rsidRPr="00B7140C">
              <w:rPr>
                <w:rFonts w:ascii="Times New Roman" w:hAnsi="Times New Roman" w:cs="Times New Roman"/>
                <w:sz w:val="16"/>
                <w:szCs w:val="24"/>
              </w:rPr>
              <w:t xml:space="preserve"> et al. (2020)</w:t>
            </w:r>
          </w:p>
        </w:tc>
        <w:tc>
          <w:tcPr>
            <w:tcW w:w="1559" w:type="dxa"/>
            <w:tcMar>
              <w:top w:w="50" w:type="dxa"/>
              <w:left w:w="55" w:type="dxa"/>
              <w:bottom w:w="50" w:type="dxa"/>
              <w:right w:w="55" w:type="dxa"/>
            </w:tcMar>
          </w:tcPr>
          <w:p w14:paraId="38BE916C"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Authenticity management</w:t>
            </w:r>
          </w:p>
        </w:tc>
        <w:tc>
          <w:tcPr>
            <w:tcW w:w="1928" w:type="dxa"/>
            <w:tcMar>
              <w:top w:w="50" w:type="dxa"/>
              <w:left w:w="55" w:type="dxa"/>
              <w:bottom w:w="50" w:type="dxa"/>
              <w:right w:w="55" w:type="dxa"/>
            </w:tcMar>
          </w:tcPr>
          <w:p w14:paraId="01DD9BC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Passion, transparency, </w:t>
            </w:r>
            <w:proofErr w:type="spellStart"/>
            <w:r w:rsidRPr="00B7140C">
              <w:rPr>
                <w:rFonts w:ascii="Times New Roman" w:hAnsi="Times New Roman" w:cs="Times New Roman"/>
                <w:sz w:val="16"/>
                <w:szCs w:val="24"/>
              </w:rPr>
              <w:t>commercialisation</w:t>
            </w:r>
            <w:proofErr w:type="spellEnd"/>
            <w:r w:rsidRPr="00B7140C">
              <w:rPr>
                <w:rFonts w:ascii="Times New Roman" w:hAnsi="Times New Roman" w:cs="Times New Roman"/>
                <w:sz w:val="16"/>
                <w:szCs w:val="24"/>
              </w:rPr>
              <w:t>, authenticity</w:t>
            </w:r>
          </w:p>
        </w:tc>
        <w:tc>
          <w:tcPr>
            <w:tcW w:w="1502" w:type="dxa"/>
            <w:tcMar>
              <w:top w:w="50" w:type="dxa"/>
              <w:left w:w="55" w:type="dxa"/>
              <w:bottom w:w="50" w:type="dxa"/>
              <w:right w:w="55" w:type="dxa"/>
            </w:tcMar>
          </w:tcPr>
          <w:p w14:paraId="2DADD5F8"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Qualitative influencer interviews</w:t>
            </w:r>
          </w:p>
        </w:tc>
        <w:tc>
          <w:tcPr>
            <w:tcW w:w="2580" w:type="dxa"/>
            <w:tcMar>
              <w:top w:w="50" w:type="dxa"/>
              <w:left w:w="55" w:type="dxa"/>
              <w:bottom w:w="50" w:type="dxa"/>
              <w:right w:w="55" w:type="dxa"/>
            </w:tcMar>
          </w:tcPr>
          <w:p w14:paraId="00F6592D"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Passion and transparency strategies helped influencers protect authenticity under commercial pressure.</w:t>
            </w:r>
          </w:p>
        </w:tc>
        <w:tc>
          <w:tcPr>
            <w:tcW w:w="2438" w:type="dxa"/>
            <w:tcMar>
              <w:top w:w="50" w:type="dxa"/>
              <w:left w:w="55" w:type="dxa"/>
              <w:bottom w:w="50" w:type="dxa"/>
              <w:right w:w="55" w:type="dxa"/>
            </w:tcMar>
          </w:tcPr>
          <w:p w14:paraId="05C7C1C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Influencer-side accounts rather than Gen-Z consumer evidence.</w:t>
            </w:r>
          </w:p>
        </w:tc>
        <w:tc>
          <w:tcPr>
            <w:tcW w:w="2494" w:type="dxa"/>
            <w:tcMar>
              <w:top w:w="50" w:type="dxa"/>
              <w:left w:w="55" w:type="dxa"/>
              <w:bottom w:w="50" w:type="dxa"/>
              <w:right w:w="55" w:type="dxa"/>
            </w:tcMar>
          </w:tcPr>
          <w:p w14:paraId="5B62C6FD"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Explains authenticity as a managed signal rather than a fixed trait.</w:t>
            </w:r>
          </w:p>
        </w:tc>
      </w:tr>
      <w:tr w:rsidR="00A12B69" w:rsidRPr="00B7140C" w14:paraId="3A43C523" w14:textId="77777777">
        <w:trPr>
          <w:cantSplit/>
          <w:jc w:val="center"/>
        </w:trPr>
        <w:tc>
          <w:tcPr>
            <w:tcW w:w="1389" w:type="dxa"/>
            <w:shd w:val="clear" w:color="auto" w:fill="EAF2F8"/>
            <w:tcMar>
              <w:top w:w="50" w:type="dxa"/>
              <w:left w:w="55" w:type="dxa"/>
              <w:bottom w:w="50" w:type="dxa"/>
              <w:right w:w="55" w:type="dxa"/>
            </w:tcMar>
          </w:tcPr>
          <w:p w14:paraId="6F12065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Lee &amp; Eastin (2021)</w:t>
            </w:r>
          </w:p>
        </w:tc>
        <w:tc>
          <w:tcPr>
            <w:tcW w:w="1559" w:type="dxa"/>
            <w:shd w:val="clear" w:color="auto" w:fill="EAF2F8"/>
            <w:tcMar>
              <w:top w:w="50" w:type="dxa"/>
              <w:left w:w="55" w:type="dxa"/>
              <w:bottom w:w="50" w:type="dxa"/>
              <w:right w:w="55" w:type="dxa"/>
            </w:tcMar>
          </w:tcPr>
          <w:p w14:paraId="218925D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Perceived influencer authenticity</w:t>
            </w:r>
          </w:p>
        </w:tc>
        <w:tc>
          <w:tcPr>
            <w:tcW w:w="1928" w:type="dxa"/>
            <w:shd w:val="clear" w:color="auto" w:fill="EAF2F8"/>
            <w:tcMar>
              <w:top w:w="50" w:type="dxa"/>
              <w:left w:w="55" w:type="dxa"/>
              <w:bottom w:w="50" w:type="dxa"/>
              <w:right w:w="55" w:type="dxa"/>
            </w:tcMar>
          </w:tcPr>
          <w:p w14:paraId="257EAAC3"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Sincerity, truthful endorsement, visibility, uniqueness</w:t>
            </w:r>
          </w:p>
        </w:tc>
        <w:tc>
          <w:tcPr>
            <w:tcW w:w="1502" w:type="dxa"/>
            <w:shd w:val="clear" w:color="auto" w:fill="EAF2F8"/>
            <w:tcMar>
              <w:top w:w="50" w:type="dxa"/>
              <w:left w:w="55" w:type="dxa"/>
              <w:bottom w:w="50" w:type="dxa"/>
              <w:right w:w="55" w:type="dxa"/>
            </w:tcMar>
          </w:tcPr>
          <w:p w14:paraId="0769D103"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Multi-study scale development and validation</w:t>
            </w:r>
          </w:p>
        </w:tc>
        <w:tc>
          <w:tcPr>
            <w:tcW w:w="2580" w:type="dxa"/>
            <w:shd w:val="clear" w:color="auto" w:fill="EAF2F8"/>
            <w:tcMar>
              <w:top w:w="50" w:type="dxa"/>
              <w:left w:w="55" w:type="dxa"/>
              <w:bottom w:w="50" w:type="dxa"/>
              <w:right w:w="55" w:type="dxa"/>
            </w:tcMar>
          </w:tcPr>
          <w:p w14:paraId="01840F39"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Developed and validated a multidimensional audience-based authenticity scale.</w:t>
            </w:r>
          </w:p>
        </w:tc>
        <w:tc>
          <w:tcPr>
            <w:tcW w:w="2438" w:type="dxa"/>
            <w:shd w:val="clear" w:color="auto" w:fill="EAF2F8"/>
            <w:tcMar>
              <w:top w:w="50" w:type="dxa"/>
              <w:left w:w="55" w:type="dxa"/>
              <w:bottom w:w="50" w:type="dxa"/>
              <w:right w:w="55" w:type="dxa"/>
            </w:tcMar>
          </w:tcPr>
          <w:p w14:paraId="4248BAD9"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Scale validation does not establish effects in UK skincare.</w:t>
            </w:r>
          </w:p>
        </w:tc>
        <w:tc>
          <w:tcPr>
            <w:tcW w:w="2494" w:type="dxa"/>
            <w:shd w:val="clear" w:color="auto" w:fill="EAF2F8"/>
            <w:tcMar>
              <w:top w:w="50" w:type="dxa"/>
              <w:left w:w="55" w:type="dxa"/>
              <w:bottom w:w="50" w:type="dxa"/>
              <w:right w:w="55" w:type="dxa"/>
            </w:tcMar>
          </w:tcPr>
          <w:p w14:paraId="7B34F91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Clarifies competing </w:t>
            </w:r>
            <w:proofErr w:type="spellStart"/>
            <w:r w:rsidRPr="00B7140C">
              <w:rPr>
                <w:rFonts w:ascii="Times New Roman" w:hAnsi="Times New Roman" w:cs="Times New Roman"/>
                <w:sz w:val="16"/>
                <w:szCs w:val="24"/>
              </w:rPr>
              <w:t>operationalisations</w:t>
            </w:r>
            <w:proofErr w:type="spellEnd"/>
            <w:r w:rsidRPr="00B7140C">
              <w:rPr>
                <w:rFonts w:ascii="Times New Roman" w:hAnsi="Times New Roman" w:cs="Times New Roman"/>
                <w:sz w:val="16"/>
                <w:szCs w:val="24"/>
              </w:rPr>
              <w:t xml:space="preserve"> of authenticity.</w:t>
            </w:r>
          </w:p>
        </w:tc>
      </w:tr>
      <w:tr w:rsidR="00A12B69" w:rsidRPr="00B7140C" w14:paraId="750631A3" w14:textId="77777777">
        <w:trPr>
          <w:cantSplit/>
          <w:jc w:val="center"/>
        </w:trPr>
        <w:tc>
          <w:tcPr>
            <w:tcW w:w="1389" w:type="dxa"/>
            <w:tcMar>
              <w:top w:w="50" w:type="dxa"/>
              <w:left w:w="55" w:type="dxa"/>
              <w:bottom w:w="50" w:type="dxa"/>
              <w:right w:w="55" w:type="dxa"/>
            </w:tcMar>
          </w:tcPr>
          <w:p w14:paraId="54EE9FF6"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Sokolova &amp; </w:t>
            </w:r>
            <w:proofErr w:type="spellStart"/>
            <w:r w:rsidRPr="00B7140C">
              <w:rPr>
                <w:rFonts w:ascii="Times New Roman" w:hAnsi="Times New Roman" w:cs="Times New Roman"/>
                <w:sz w:val="16"/>
                <w:szCs w:val="24"/>
              </w:rPr>
              <w:t>Kefi</w:t>
            </w:r>
            <w:proofErr w:type="spellEnd"/>
            <w:r w:rsidRPr="00B7140C">
              <w:rPr>
                <w:rFonts w:ascii="Times New Roman" w:hAnsi="Times New Roman" w:cs="Times New Roman"/>
                <w:sz w:val="16"/>
                <w:szCs w:val="24"/>
              </w:rPr>
              <w:t xml:space="preserve"> (2020)</w:t>
            </w:r>
          </w:p>
        </w:tc>
        <w:tc>
          <w:tcPr>
            <w:tcW w:w="1559" w:type="dxa"/>
            <w:tcMar>
              <w:top w:w="50" w:type="dxa"/>
              <w:left w:w="55" w:type="dxa"/>
              <w:bottom w:w="50" w:type="dxa"/>
              <w:right w:w="55" w:type="dxa"/>
            </w:tcMar>
          </w:tcPr>
          <w:p w14:paraId="617B8EC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Source credibility; parasocial interaction</w:t>
            </w:r>
          </w:p>
        </w:tc>
        <w:tc>
          <w:tcPr>
            <w:tcW w:w="1928" w:type="dxa"/>
            <w:tcMar>
              <w:top w:w="50" w:type="dxa"/>
              <w:left w:w="55" w:type="dxa"/>
              <w:bottom w:w="50" w:type="dxa"/>
              <w:right w:w="55" w:type="dxa"/>
            </w:tcMar>
          </w:tcPr>
          <w:p w14:paraId="5C22915C"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Credibility, parasocial interaction, purchase intention</w:t>
            </w:r>
          </w:p>
        </w:tc>
        <w:tc>
          <w:tcPr>
            <w:tcW w:w="1502" w:type="dxa"/>
            <w:tcMar>
              <w:top w:w="50" w:type="dxa"/>
              <w:left w:w="55" w:type="dxa"/>
              <w:bottom w:w="50" w:type="dxa"/>
              <w:right w:w="55" w:type="dxa"/>
            </w:tcMar>
          </w:tcPr>
          <w:p w14:paraId="352F616C"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Survey of Instagram/YouTube users; SEM</w:t>
            </w:r>
          </w:p>
        </w:tc>
        <w:tc>
          <w:tcPr>
            <w:tcW w:w="2580" w:type="dxa"/>
            <w:tcMar>
              <w:top w:w="50" w:type="dxa"/>
              <w:left w:w="55" w:type="dxa"/>
              <w:bottom w:w="50" w:type="dxa"/>
              <w:right w:w="55" w:type="dxa"/>
            </w:tcMar>
          </w:tcPr>
          <w:p w14:paraId="75B92E6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Credibility and parasocial interaction were associated with purchase intention.</w:t>
            </w:r>
          </w:p>
        </w:tc>
        <w:tc>
          <w:tcPr>
            <w:tcW w:w="2438" w:type="dxa"/>
            <w:tcMar>
              <w:top w:w="50" w:type="dxa"/>
              <w:left w:w="55" w:type="dxa"/>
              <w:bottom w:w="50" w:type="dxa"/>
              <w:right w:w="55" w:type="dxa"/>
            </w:tcMar>
          </w:tcPr>
          <w:p w14:paraId="5C35C171"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Cross-sectional self-report data limit causal inference.</w:t>
            </w:r>
          </w:p>
        </w:tc>
        <w:tc>
          <w:tcPr>
            <w:tcW w:w="2494" w:type="dxa"/>
            <w:tcMar>
              <w:top w:w="50" w:type="dxa"/>
              <w:left w:w="55" w:type="dxa"/>
              <w:bottom w:w="50" w:type="dxa"/>
              <w:right w:w="55" w:type="dxa"/>
            </w:tcMar>
          </w:tcPr>
          <w:p w14:paraId="154AE37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Central evidence for parasocial attachment as a mechanism.</w:t>
            </w:r>
          </w:p>
        </w:tc>
      </w:tr>
      <w:tr w:rsidR="00A12B69" w:rsidRPr="00B7140C" w14:paraId="1B9725F3" w14:textId="77777777">
        <w:trPr>
          <w:cantSplit/>
          <w:jc w:val="center"/>
        </w:trPr>
        <w:tc>
          <w:tcPr>
            <w:tcW w:w="1389" w:type="dxa"/>
            <w:shd w:val="clear" w:color="auto" w:fill="EAF2F8"/>
            <w:tcMar>
              <w:top w:w="50" w:type="dxa"/>
              <w:left w:w="55" w:type="dxa"/>
              <w:bottom w:w="50" w:type="dxa"/>
              <w:right w:w="55" w:type="dxa"/>
            </w:tcMar>
          </w:tcPr>
          <w:p w14:paraId="09AB2464"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Farivar et al. (2021)</w:t>
            </w:r>
          </w:p>
        </w:tc>
        <w:tc>
          <w:tcPr>
            <w:tcW w:w="1559" w:type="dxa"/>
            <w:shd w:val="clear" w:color="auto" w:fill="EAF2F8"/>
            <w:tcMar>
              <w:top w:w="50" w:type="dxa"/>
              <w:left w:w="55" w:type="dxa"/>
              <w:bottom w:w="50" w:type="dxa"/>
              <w:right w:w="55" w:type="dxa"/>
            </w:tcMar>
          </w:tcPr>
          <w:p w14:paraId="059FD2A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Opinion leadership; parasocial relationship</w:t>
            </w:r>
          </w:p>
        </w:tc>
        <w:tc>
          <w:tcPr>
            <w:tcW w:w="1928" w:type="dxa"/>
            <w:shd w:val="clear" w:color="auto" w:fill="EAF2F8"/>
            <w:tcMar>
              <w:top w:w="50" w:type="dxa"/>
              <w:left w:w="55" w:type="dxa"/>
              <w:bottom w:w="50" w:type="dxa"/>
              <w:right w:w="55" w:type="dxa"/>
            </w:tcMar>
          </w:tcPr>
          <w:p w14:paraId="5F60ADE6"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Opinion leadership, parasocial relationship, purchase intention</w:t>
            </w:r>
          </w:p>
        </w:tc>
        <w:tc>
          <w:tcPr>
            <w:tcW w:w="1502" w:type="dxa"/>
            <w:shd w:val="clear" w:color="auto" w:fill="EAF2F8"/>
            <w:tcMar>
              <w:top w:w="50" w:type="dxa"/>
              <w:left w:w="55" w:type="dxa"/>
              <w:bottom w:w="50" w:type="dxa"/>
              <w:right w:w="55" w:type="dxa"/>
            </w:tcMar>
          </w:tcPr>
          <w:p w14:paraId="1AFC45F8"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Quantitative survey; SEM</w:t>
            </w:r>
          </w:p>
        </w:tc>
        <w:tc>
          <w:tcPr>
            <w:tcW w:w="2580" w:type="dxa"/>
            <w:shd w:val="clear" w:color="auto" w:fill="EAF2F8"/>
            <w:tcMar>
              <w:top w:w="50" w:type="dxa"/>
              <w:left w:w="55" w:type="dxa"/>
              <w:bottom w:w="50" w:type="dxa"/>
              <w:right w:w="55" w:type="dxa"/>
            </w:tcMar>
          </w:tcPr>
          <w:p w14:paraId="5B1506C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Opinion leadership and parasocial relationships had distinct, partly competing persuasive roles.</w:t>
            </w:r>
          </w:p>
        </w:tc>
        <w:tc>
          <w:tcPr>
            <w:tcW w:w="2438" w:type="dxa"/>
            <w:shd w:val="clear" w:color="auto" w:fill="EAF2F8"/>
            <w:tcMar>
              <w:top w:w="50" w:type="dxa"/>
              <w:left w:w="55" w:type="dxa"/>
              <w:bottom w:w="50" w:type="dxa"/>
              <w:right w:w="55" w:type="dxa"/>
            </w:tcMar>
          </w:tcPr>
          <w:p w14:paraId="50B19EF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Platform/category context restricts </w:t>
            </w:r>
            <w:proofErr w:type="spellStart"/>
            <w:r w:rsidRPr="00B7140C">
              <w:rPr>
                <w:rFonts w:ascii="Times New Roman" w:hAnsi="Times New Roman" w:cs="Times New Roman"/>
                <w:sz w:val="16"/>
                <w:szCs w:val="24"/>
              </w:rPr>
              <w:t>generalisation</w:t>
            </w:r>
            <w:proofErr w:type="spellEnd"/>
            <w:r w:rsidRPr="00B7140C">
              <w:rPr>
                <w:rFonts w:ascii="Times New Roman" w:hAnsi="Times New Roman" w:cs="Times New Roman"/>
                <w:sz w:val="16"/>
                <w:szCs w:val="24"/>
              </w:rPr>
              <w:t>.</w:t>
            </w:r>
          </w:p>
        </w:tc>
        <w:tc>
          <w:tcPr>
            <w:tcW w:w="2494" w:type="dxa"/>
            <w:shd w:val="clear" w:color="auto" w:fill="EAF2F8"/>
            <w:tcMar>
              <w:top w:w="50" w:type="dxa"/>
              <w:left w:w="55" w:type="dxa"/>
              <w:bottom w:w="50" w:type="dxa"/>
              <w:right w:w="55" w:type="dxa"/>
            </w:tcMar>
          </w:tcPr>
          <w:p w14:paraId="492B4231"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Challenges a single universal mediation pathway.</w:t>
            </w:r>
          </w:p>
        </w:tc>
      </w:tr>
      <w:tr w:rsidR="00A12B69" w:rsidRPr="00B7140C" w14:paraId="215F5DEF" w14:textId="77777777">
        <w:trPr>
          <w:cantSplit/>
          <w:jc w:val="center"/>
        </w:trPr>
        <w:tc>
          <w:tcPr>
            <w:tcW w:w="1389" w:type="dxa"/>
            <w:tcMar>
              <w:top w:w="50" w:type="dxa"/>
              <w:left w:w="55" w:type="dxa"/>
              <w:bottom w:w="50" w:type="dxa"/>
              <w:right w:w="55" w:type="dxa"/>
            </w:tcMar>
          </w:tcPr>
          <w:p w14:paraId="10978E15" w14:textId="77777777" w:rsidR="0003259E" w:rsidRPr="00B7140C" w:rsidRDefault="00682E2E">
            <w:pPr>
              <w:spacing w:after="0" w:line="216" w:lineRule="auto"/>
              <w:rPr>
                <w:rFonts w:ascii="Times New Roman" w:hAnsi="Times New Roman" w:cs="Times New Roman"/>
                <w:sz w:val="16"/>
                <w:szCs w:val="24"/>
              </w:rPr>
            </w:pPr>
            <w:proofErr w:type="spellStart"/>
            <w:r w:rsidRPr="00B7140C">
              <w:rPr>
                <w:rFonts w:ascii="Times New Roman" w:hAnsi="Times New Roman" w:cs="Times New Roman"/>
                <w:sz w:val="16"/>
                <w:szCs w:val="24"/>
              </w:rPr>
              <w:t>Djafarova</w:t>
            </w:r>
            <w:proofErr w:type="spellEnd"/>
            <w:r w:rsidRPr="00B7140C">
              <w:rPr>
                <w:rFonts w:ascii="Times New Roman" w:hAnsi="Times New Roman" w:cs="Times New Roman"/>
                <w:sz w:val="16"/>
                <w:szCs w:val="24"/>
              </w:rPr>
              <w:t xml:space="preserve"> &amp; Bowes (2021)</w:t>
            </w:r>
          </w:p>
        </w:tc>
        <w:tc>
          <w:tcPr>
            <w:tcW w:w="1559" w:type="dxa"/>
            <w:tcMar>
              <w:top w:w="50" w:type="dxa"/>
              <w:left w:w="55" w:type="dxa"/>
              <w:bottom w:w="50" w:type="dxa"/>
              <w:right w:w="55" w:type="dxa"/>
            </w:tcMar>
          </w:tcPr>
          <w:p w14:paraId="213274F4"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Social influence; impulse buying</w:t>
            </w:r>
          </w:p>
        </w:tc>
        <w:tc>
          <w:tcPr>
            <w:tcW w:w="1928" w:type="dxa"/>
            <w:tcMar>
              <w:top w:w="50" w:type="dxa"/>
              <w:left w:w="55" w:type="dxa"/>
              <w:bottom w:w="50" w:type="dxa"/>
              <w:right w:w="55" w:type="dxa"/>
            </w:tcMar>
          </w:tcPr>
          <w:p w14:paraId="27BD666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 xml:space="preserve">Instagram, Gen Z, influencer content, purchase </w:t>
            </w:r>
            <w:proofErr w:type="spellStart"/>
            <w:r w:rsidRPr="00B7140C">
              <w:rPr>
                <w:rFonts w:ascii="Times New Roman" w:hAnsi="Times New Roman" w:cs="Times New Roman"/>
                <w:sz w:val="16"/>
                <w:szCs w:val="24"/>
              </w:rPr>
              <w:t>behaviour</w:t>
            </w:r>
            <w:proofErr w:type="spellEnd"/>
          </w:p>
        </w:tc>
        <w:tc>
          <w:tcPr>
            <w:tcW w:w="1502" w:type="dxa"/>
            <w:tcMar>
              <w:top w:w="50" w:type="dxa"/>
              <w:left w:w="55" w:type="dxa"/>
              <w:bottom w:w="50" w:type="dxa"/>
              <w:right w:w="55" w:type="dxa"/>
            </w:tcMar>
          </w:tcPr>
          <w:p w14:paraId="280DFB8C"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Qualitative interviews with Gen-Z women</w:t>
            </w:r>
          </w:p>
        </w:tc>
        <w:tc>
          <w:tcPr>
            <w:tcW w:w="2580" w:type="dxa"/>
            <w:tcMar>
              <w:top w:w="50" w:type="dxa"/>
              <w:left w:w="55" w:type="dxa"/>
              <w:bottom w:w="50" w:type="dxa"/>
              <w:right w:w="55" w:type="dxa"/>
            </w:tcMar>
          </w:tcPr>
          <w:p w14:paraId="3B77EEF2"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Instagram content and influencer identification contributed to Gen-Z impulse purchasing.</w:t>
            </w:r>
          </w:p>
        </w:tc>
        <w:tc>
          <w:tcPr>
            <w:tcW w:w="2438" w:type="dxa"/>
            <w:tcMar>
              <w:top w:w="50" w:type="dxa"/>
              <w:left w:w="55" w:type="dxa"/>
              <w:bottom w:w="50" w:type="dxa"/>
              <w:right w:w="55" w:type="dxa"/>
            </w:tcMar>
          </w:tcPr>
          <w:p w14:paraId="03167F87"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Fashion-focused, small qualitative sample; not skincare-specific.</w:t>
            </w:r>
          </w:p>
        </w:tc>
        <w:tc>
          <w:tcPr>
            <w:tcW w:w="2494" w:type="dxa"/>
            <w:tcMar>
              <w:top w:w="50" w:type="dxa"/>
              <w:left w:w="55" w:type="dxa"/>
              <w:bottom w:w="50" w:type="dxa"/>
              <w:right w:w="55" w:type="dxa"/>
            </w:tcMar>
          </w:tcPr>
          <w:p w14:paraId="112707B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Provides close Gen-Z and platform-context evidence.</w:t>
            </w:r>
          </w:p>
        </w:tc>
      </w:tr>
      <w:tr w:rsidR="00A12B69" w:rsidRPr="00B7140C" w14:paraId="6C6297BB" w14:textId="77777777">
        <w:trPr>
          <w:cantSplit/>
          <w:jc w:val="center"/>
        </w:trPr>
        <w:tc>
          <w:tcPr>
            <w:tcW w:w="1389" w:type="dxa"/>
            <w:shd w:val="clear" w:color="auto" w:fill="EAF2F8"/>
            <w:tcMar>
              <w:top w:w="50" w:type="dxa"/>
              <w:left w:w="55" w:type="dxa"/>
              <w:bottom w:w="50" w:type="dxa"/>
              <w:right w:w="55" w:type="dxa"/>
            </w:tcMar>
          </w:tcPr>
          <w:p w14:paraId="62A366A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Boerman (2020)</w:t>
            </w:r>
          </w:p>
        </w:tc>
        <w:tc>
          <w:tcPr>
            <w:tcW w:w="1559" w:type="dxa"/>
            <w:shd w:val="clear" w:color="auto" w:fill="EAF2F8"/>
            <w:tcMar>
              <w:top w:w="50" w:type="dxa"/>
              <w:left w:w="55" w:type="dxa"/>
              <w:bottom w:w="50" w:type="dxa"/>
              <w:right w:w="55" w:type="dxa"/>
            </w:tcMar>
          </w:tcPr>
          <w:p w14:paraId="31A4E8EF"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Persuasion Knowledge Model</w:t>
            </w:r>
          </w:p>
        </w:tc>
        <w:tc>
          <w:tcPr>
            <w:tcW w:w="1928" w:type="dxa"/>
            <w:shd w:val="clear" w:color="auto" w:fill="EAF2F8"/>
            <w:tcMar>
              <w:top w:w="50" w:type="dxa"/>
              <w:left w:w="55" w:type="dxa"/>
              <w:bottom w:w="50" w:type="dxa"/>
              <w:right w:w="55" w:type="dxa"/>
            </w:tcMar>
          </w:tcPr>
          <w:p w14:paraId="1E88E661"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Disclosure, influencer size, recognition, attitudes</w:t>
            </w:r>
          </w:p>
        </w:tc>
        <w:tc>
          <w:tcPr>
            <w:tcW w:w="1502" w:type="dxa"/>
            <w:shd w:val="clear" w:color="auto" w:fill="EAF2F8"/>
            <w:tcMar>
              <w:top w:w="50" w:type="dxa"/>
              <w:left w:w="55" w:type="dxa"/>
              <w:bottom w:w="50" w:type="dxa"/>
              <w:right w:w="55" w:type="dxa"/>
            </w:tcMar>
          </w:tcPr>
          <w:p w14:paraId="04FACAA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Online experiment on Instagram disclosure</w:t>
            </w:r>
          </w:p>
        </w:tc>
        <w:tc>
          <w:tcPr>
            <w:tcW w:w="2580" w:type="dxa"/>
            <w:shd w:val="clear" w:color="auto" w:fill="EAF2F8"/>
            <w:tcMar>
              <w:top w:w="50" w:type="dxa"/>
              <w:left w:w="55" w:type="dxa"/>
              <w:bottom w:w="50" w:type="dxa"/>
              <w:right w:w="55" w:type="dxa"/>
            </w:tcMar>
          </w:tcPr>
          <w:p w14:paraId="243CC049" w14:textId="77777777" w:rsidR="0003259E" w:rsidRPr="00B7140C" w:rsidRDefault="00682E2E">
            <w:pPr>
              <w:spacing w:after="0" w:line="216" w:lineRule="auto"/>
              <w:rPr>
                <w:rFonts w:ascii="Times New Roman" w:hAnsi="Times New Roman" w:cs="Times New Roman"/>
                <w:sz w:val="16"/>
                <w:szCs w:val="24"/>
              </w:rPr>
            </w:pPr>
            <w:proofErr w:type="spellStart"/>
            <w:r w:rsidRPr="00B7140C">
              <w:rPr>
                <w:rFonts w:ascii="Times New Roman" w:hAnsi="Times New Roman" w:cs="Times New Roman"/>
                <w:sz w:val="16"/>
                <w:szCs w:val="24"/>
              </w:rPr>
              <w:t>Standardised</w:t>
            </w:r>
            <w:proofErr w:type="spellEnd"/>
            <w:r w:rsidRPr="00B7140C">
              <w:rPr>
                <w:rFonts w:ascii="Times New Roman" w:hAnsi="Times New Roman" w:cs="Times New Roman"/>
                <w:sz w:val="16"/>
                <w:szCs w:val="24"/>
              </w:rPr>
              <w:t xml:space="preserve"> disclosure activated advertising recognition, with effects varying by influencer context.</w:t>
            </w:r>
          </w:p>
        </w:tc>
        <w:tc>
          <w:tcPr>
            <w:tcW w:w="2438" w:type="dxa"/>
            <w:shd w:val="clear" w:color="auto" w:fill="EAF2F8"/>
            <w:tcMar>
              <w:top w:w="50" w:type="dxa"/>
              <w:left w:w="55" w:type="dxa"/>
              <w:bottom w:w="50" w:type="dxa"/>
              <w:right w:w="55" w:type="dxa"/>
            </w:tcMar>
          </w:tcPr>
          <w:p w14:paraId="49A967AB"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Dutch/regulatory setting; purchase effects were not consistently direct.</w:t>
            </w:r>
          </w:p>
        </w:tc>
        <w:tc>
          <w:tcPr>
            <w:tcW w:w="2494" w:type="dxa"/>
            <w:shd w:val="clear" w:color="auto" w:fill="EAF2F8"/>
            <w:tcMar>
              <w:top w:w="50" w:type="dxa"/>
              <w:left w:w="55" w:type="dxa"/>
              <w:bottom w:w="50" w:type="dxa"/>
              <w:right w:w="55" w:type="dxa"/>
            </w:tcMar>
          </w:tcPr>
          <w:p w14:paraId="02FAD8FA"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Frames sponsorship disclosure as a contextual boundary condition.</w:t>
            </w:r>
          </w:p>
        </w:tc>
      </w:tr>
      <w:tr w:rsidR="00A12B69" w:rsidRPr="00B7140C" w14:paraId="2026D44C" w14:textId="77777777">
        <w:trPr>
          <w:cantSplit/>
          <w:jc w:val="center"/>
        </w:trPr>
        <w:tc>
          <w:tcPr>
            <w:tcW w:w="1389" w:type="dxa"/>
            <w:tcMar>
              <w:top w:w="50" w:type="dxa"/>
              <w:left w:w="55" w:type="dxa"/>
              <w:bottom w:w="50" w:type="dxa"/>
              <w:right w:w="55" w:type="dxa"/>
            </w:tcMar>
          </w:tcPr>
          <w:p w14:paraId="1D63C185"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Kay et al. (2020)</w:t>
            </w:r>
          </w:p>
        </w:tc>
        <w:tc>
          <w:tcPr>
            <w:tcW w:w="1559" w:type="dxa"/>
            <w:tcMar>
              <w:top w:w="50" w:type="dxa"/>
              <w:left w:w="55" w:type="dxa"/>
              <w:bottom w:w="50" w:type="dxa"/>
              <w:right w:w="55" w:type="dxa"/>
            </w:tcMar>
          </w:tcPr>
          <w:p w14:paraId="1703DAF8"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Disclosure; influencer type</w:t>
            </w:r>
          </w:p>
        </w:tc>
        <w:tc>
          <w:tcPr>
            <w:tcW w:w="1928" w:type="dxa"/>
            <w:tcMar>
              <w:top w:w="50" w:type="dxa"/>
              <w:left w:w="55" w:type="dxa"/>
              <w:bottom w:w="50" w:type="dxa"/>
              <w:right w:w="55" w:type="dxa"/>
            </w:tcMar>
          </w:tcPr>
          <w:p w14:paraId="09F412CC"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Micro/macro influencers, disclosure, credibility</w:t>
            </w:r>
          </w:p>
        </w:tc>
        <w:tc>
          <w:tcPr>
            <w:tcW w:w="1502" w:type="dxa"/>
            <w:tcMar>
              <w:top w:w="50" w:type="dxa"/>
              <w:left w:w="55" w:type="dxa"/>
              <w:bottom w:w="50" w:type="dxa"/>
              <w:right w:w="55" w:type="dxa"/>
            </w:tcMar>
          </w:tcPr>
          <w:p w14:paraId="7381C026"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Experimental quantitative study</w:t>
            </w:r>
          </w:p>
        </w:tc>
        <w:tc>
          <w:tcPr>
            <w:tcW w:w="2580" w:type="dxa"/>
            <w:tcMar>
              <w:top w:w="50" w:type="dxa"/>
              <w:left w:w="55" w:type="dxa"/>
              <w:bottom w:w="50" w:type="dxa"/>
              <w:right w:w="55" w:type="dxa"/>
            </w:tcMar>
          </w:tcPr>
          <w:p w14:paraId="53B559CE"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Disclosure effects differed between micro- and macro-influencers and could support micro-influencer credibility.</w:t>
            </w:r>
          </w:p>
        </w:tc>
        <w:tc>
          <w:tcPr>
            <w:tcW w:w="2438" w:type="dxa"/>
            <w:tcMar>
              <w:top w:w="50" w:type="dxa"/>
              <w:left w:w="55" w:type="dxa"/>
              <w:bottom w:w="50" w:type="dxa"/>
              <w:right w:w="55" w:type="dxa"/>
            </w:tcMar>
          </w:tcPr>
          <w:p w14:paraId="6F43122B"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Artificial exposure and non-UK context constrain transferability.</w:t>
            </w:r>
          </w:p>
        </w:tc>
        <w:tc>
          <w:tcPr>
            <w:tcW w:w="2494" w:type="dxa"/>
            <w:tcMar>
              <w:top w:w="50" w:type="dxa"/>
              <w:left w:w="55" w:type="dxa"/>
              <w:bottom w:w="50" w:type="dxa"/>
              <w:right w:w="55" w:type="dxa"/>
            </w:tcMar>
          </w:tcPr>
          <w:p w14:paraId="7B1CEFC2"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Directly relevant to micro-influencer disclosure strategy.</w:t>
            </w:r>
          </w:p>
        </w:tc>
      </w:tr>
      <w:tr w:rsidR="00A12B69" w:rsidRPr="00B7140C" w14:paraId="1AA972AF" w14:textId="77777777">
        <w:trPr>
          <w:cantSplit/>
          <w:jc w:val="center"/>
        </w:trPr>
        <w:tc>
          <w:tcPr>
            <w:tcW w:w="1389" w:type="dxa"/>
            <w:shd w:val="clear" w:color="auto" w:fill="EAF2F8"/>
            <w:tcMar>
              <w:top w:w="50" w:type="dxa"/>
              <w:left w:w="55" w:type="dxa"/>
              <w:bottom w:w="50" w:type="dxa"/>
              <w:right w:w="55" w:type="dxa"/>
            </w:tcMar>
          </w:tcPr>
          <w:p w14:paraId="0CAB33F7" w14:textId="77777777" w:rsidR="0003259E" w:rsidRPr="00B7140C" w:rsidRDefault="00682E2E">
            <w:pPr>
              <w:spacing w:after="0" w:line="216" w:lineRule="auto"/>
              <w:rPr>
                <w:rFonts w:ascii="Times New Roman" w:hAnsi="Times New Roman" w:cs="Times New Roman"/>
                <w:sz w:val="16"/>
                <w:szCs w:val="24"/>
              </w:rPr>
            </w:pPr>
            <w:proofErr w:type="spellStart"/>
            <w:r w:rsidRPr="00B7140C">
              <w:rPr>
                <w:rFonts w:ascii="Times New Roman" w:hAnsi="Times New Roman" w:cs="Times New Roman"/>
                <w:sz w:val="16"/>
                <w:szCs w:val="24"/>
              </w:rPr>
              <w:t>Vrontis</w:t>
            </w:r>
            <w:proofErr w:type="spellEnd"/>
            <w:r w:rsidRPr="00B7140C">
              <w:rPr>
                <w:rFonts w:ascii="Times New Roman" w:hAnsi="Times New Roman" w:cs="Times New Roman"/>
                <w:sz w:val="16"/>
                <w:szCs w:val="24"/>
              </w:rPr>
              <w:t xml:space="preserve"> et al. (2021)</w:t>
            </w:r>
          </w:p>
        </w:tc>
        <w:tc>
          <w:tcPr>
            <w:tcW w:w="1559" w:type="dxa"/>
            <w:shd w:val="clear" w:color="auto" w:fill="EAF2F8"/>
            <w:tcMar>
              <w:top w:w="50" w:type="dxa"/>
              <w:left w:w="55" w:type="dxa"/>
              <w:bottom w:w="50" w:type="dxa"/>
              <w:right w:w="55" w:type="dxa"/>
            </w:tcMar>
          </w:tcPr>
          <w:p w14:paraId="1EF541BB"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Integrative influencer-marketing framework</w:t>
            </w:r>
          </w:p>
        </w:tc>
        <w:tc>
          <w:tcPr>
            <w:tcW w:w="1928" w:type="dxa"/>
            <w:shd w:val="clear" w:color="auto" w:fill="EAF2F8"/>
            <w:tcMar>
              <w:top w:w="50" w:type="dxa"/>
              <w:left w:w="55" w:type="dxa"/>
              <w:bottom w:w="50" w:type="dxa"/>
              <w:right w:w="55" w:type="dxa"/>
            </w:tcMar>
          </w:tcPr>
          <w:p w14:paraId="41E762D9"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Antecedents, mediators, outcomes, research gaps</w:t>
            </w:r>
          </w:p>
        </w:tc>
        <w:tc>
          <w:tcPr>
            <w:tcW w:w="1502" w:type="dxa"/>
            <w:shd w:val="clear" w:color="auto" w:fill="EAF2F8"/>
            <w:tcMar>
              <w:top w:w="50" w:type="dxa"/>
              <w:left w:w="55" w:type="dxa"/>
              <w:bottom w:w="50" w:type="dxa"/>
              <w:right w:w="55" w:type="dxa"/>
            </w:tcMar>
          </w:tcPr>
          <w:p w14:paraId="64C7F659"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Systematic literature review</w:t>
            </w:r>
          </w:p>
        </w:tc>
        <w:tc>
          <w:tcPr>
            <w:tcW w:w="2580" w:type="dxa"/>
            <w:shd w:val="clear" w:color="auto" w:fill="EAF2F8"/>
            <w:tcMar>
              <w:top w:w="50" w:type="dxa"/>
              <w:left w:w="55" w:type="dxa"/>
              <w:bottom w:w="50" w:type="dxa"/>
              <w:right w:w="55" w:type="dxa"/>
            </w:tcMar>
          </w:tcPr>
          <w:p w14:paraId="6642942A"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Mapped fragmented influencer research and highlighted inconsistent constructs and methods.</w:t>
            </w:r>
          </w:p>
        </w:tc>
        <w:tc>
          <w:tcPr>
            <w:tcW w:w="2438" w:type="dxa"/>
            <w:shd w:val="clear" w:color="auto" w:fill="EAF2F8"/>
            <w:tcMar>
              <w:top w:w="50" w:type="dxa"/>
              <w:left w:w="55" w:type="dxa"/>
              <w:bottom w:w="50" w:type="dxa"/>
              <w:right w:w="55" w:type="dxa"/>
            </w:tcMar>
          </w:tcPr>
          <w:p w14:paraId="233AF550"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Dependent on the quality and coverage of prior studies.</w:t>
            </w:r>
          </w:p>
        </w:tc>
        <w:tc>
          <w:tcPr>
            <w:tcW w:w="2494" w:type="dxa"/>
            <w:shd w:val="clear" w:color="auto" w:fill="EAF2F8"/>
            <w:tcMar>
              <w:top w:w="50" w:type="dxa"/>
              <w:left w:w="55" w:type="dxa"/>
              <w:bottom w:w="50" w:type="dxa"/>
              <w:right w:w="55" w:type="dxa"/>
            </w:tcMar>
          </w:tcPr>
          <w:p w14:paraId="27E1C0AD" w14:textId="77777777" w:rsidR="0003259E" w:rsidRPr="00B7140C" w:rsidRDefault="00682E2E">
            <w:pPr>
              <w:spacing w:after="0" w:line="216" w:lineRule="auto"/>
              <w:rPr>
                <w:rFonts w:ascii="Times New Roman" w:hAnsi="Times New Roman" w:cs="Times New Roman"/>
                <w:sz w:val="16"/>
                <w:szCs w:val="24"/>
              </w:rPr>
            </w:pPr>
            <w:r w:rsidRPr="00B7140C">
              <w:rPr>
                <w:rFonts w:ascii="Times New Roman" w:hAnsi="Times New Roman" w:cs="Times New Roman"/>
                <w:sz w:val="16"/>
                <w:szCs w:val="24"/>
              </w:rPr>
              <w:t>Justifies structured synthesis and exposes evidence gaps.</w:t>
            </w:r>
          </w:p>
        </w:tc>
      </w:tr>
    </w:tbl>
    <w:p w14:paraId="71A16223" w14:textId="77777777" w:rsidR="0003259E" w:rsidRPr="00B7140C" w:rsidRDefault="0003259E">
      <w:pPr>
        <w:rPr>
          <w:rFonts w:ascii="Times New Roman" w:hAnsi="Times New Roman" w:cs="Times New Roman"/>
        </w:rPr>
        <w:sectPr w:rsidR="0003259E" w:rsidRPr="00B7140C">
          <w:footerReference w:type="default" r:id="rId12"/>
          <w:pgSz w:w="16838" w:h="11906" w:orient="landscape"/>
          <w:pgMar w:top="720" w:right="650" w:bottom="720" w:left="650" w:header="360" w:footer="360" w:gutter="0"/>
          <w:cols w:space="720"/>
        </w:sectPr>
      </w:pPr>
    </w:p>
    <w:p w14:paraId="573ECC41" w14:textId="77777777" w:rsidR="00766610" w:rsidRPr="00B7140C" w:rsidRDefault="00766610" w:rsidP="005738C3">
      <w:pPr>
        <w:pStyle w:val="Heading2"/>
        <w:spacing w:before="240"/>
        <w:jc w:val="both"/>
        <w:rPr>
          <w:rFonts w:ascii="Times New Roman" w:hAnsi="Times New Roman" w:cs="Times New Roman"/>
          <w:color w:val="auto"/>
        </w:rPr>
      </w:pPr>
      <w:bookmarkStart w:id="43" w:name="_Toc237130086"/>
      <w:bookmarkStart w:id="44" w:name="_Toc240238856"/>
      <w:r w:rsidRPr="00B7140C">
        <w:rPr>
          <w:rFonts w:ascii="Times New Roman" w:hAnsi="Times New Roman" w:cs="Times New Roman"/>
          <w:color w:val="auto"/>
        </w:rPr>
        <w:lastRenderedPageBreak/>
        <w:t>2.6 Conclusion</w:t>
      </w:r>
      <w:bookmarkEnd w:id="43"/>
      <w:bookmarkEnd w:id="44"/>
    </w:p>
    <w:p w14:paraId="1F2EB70D" w14:textId="77777777" w:rsidR="00432F17" w:rsidRPr="00B7140C" w:rsidRDefault="00432F17" w:rsidP="005738C3">
      <w:pPr>
        <w:spacing w:before="100" w:beforeAutospacing="1" w:after="100" w:afterAutospacing="1"/>
        <w:jc w:val="both"/>
        <w:rPr>
          <w:rFonts w:ascii="Times New Roman" w:eastAsia="Times New Roman" w:hAnsi="Times New Roman" w:cs="Times New Roman"/>
          <w:szCs w:val="24"/>
        </w:rPr>
      </w:pPr>
      <w:r w:rsidRPr="00B7140C">
        <w:rPr>
          <w:rFonts w:ascii="Times New Roman" w:eastAsia="Times New Roman" w:hAnsi="Times New Roman" w:cs="Times New Roman"/>
          <w:szCs w:val="24"/>
        </w:rPr>
        <w:t xml:space="preserve">This chapter critically examined the peer-reviewed literature and identified four weaknesses that justify the analysis that follows. The classical three-dimensional model varies across contexts; authenticity is </w:t>
      </w:r>
      <w:proofErr w:type="spellStart"/>
      <w:r w:rsidRPr="00B7140C">
        <w:rPr>
          <w:rFonts w:ascii="Times New Roman" w:eastAsia="Times New Roman" w:hAnsi="Times New Roman" w:cs="Times New Roman"/>
          <w:szCs w:val="24"/>
        </w:rPr>
        <w:t>operationalised</w:t>
      </w:r>
      <w:proofErr w:type="spellEnd"/>
      <w:r w:rsidRPr="00B7140C">
        <w:rPr>
          <w:rFonts w:ascii="Times New Roman" w:eastAsia="Times New Roman" w:hAnsi="Times New Roman" w:cs="Times New Roman"/>
          <w:szCs w:val="24"/>
        </w:rPr>
        <w:t xml:space="preserve"> inconsistently; the measurement and direction of parasocial attachment remain contested; and platform affordances and disclosure salience are rarely considered together in UK-relevant skincare evidence (</w:t>
      </w:r>
      <w:proofErr w:type="spellStart"/>
      <w:r w:rsidRPr="00B7140C">
        <w:rPr>
          <w:rFonts w:ascii="Times New Roman" w:eastAsia="Times New Roman" w:hAnsi="Times New Roman" w:cs="Times New Roman"/>
          <w:szCs w:val="24"/>
        </w:rPr>
        <w:t>Vrontis</w:t>
      </w:r>
      <w:proofErr w:type="spellEnd"/>
      <w:r w:rsidRPr="00B7140C">
        <w:rPr>
          <w:rFonts w:ascii="Times New Roman" w:eastAsia="Times New Roman" w:hAnsi="Times New Roman" w:cs="Times New Roman"/>
          <w:szCs w:val="24"/>
        </w:rPr>
        <w:t xml:space="preserve"> et al., 2021; </w:t>
      </w:r>
      <w:proofErr w:type="spellStart"/>
      <w:r w:rsidRPr="00B7140C">
        <w:rPr>
          <w:rFonts w:ascii="Times New Roman" w:eastAsia="Times New Roman" w:hAnsi="Times New Roman" w:cs="Times New Roman"/>
          <w:szCs w:val="24"/>
        </w:rPr>
        <w:t>Hudders</w:t>
      </w:r>
      <w:proofErr w:type="spellEnd"/>
      <w:r w:rsidRPr="00B7140C">
        <w:rPr>
          <w:rFonts w:ascii="Times New Roman" w:eastAsia="Times New Roman" w:hAnsi="Times New Roman" w:cs="Times New Roman"/>
          <w:szCs w:val="24"/>
        </w:rPr>
        <w:t xml:space="preserve">, De Jans and De </w:t>
      </w:r>
      <w:proofErr w:type="spellStart"/>
      <w:r w:rsidRPr="00B7140C">
        <w:rPr>
          <w:rFonts w:ascii="Times New Roman" w:eastAsia="Times New Roman" w:hAnsi="Times New Roman" w:cs="Times New Roman"/>
          <w:szCs w:val="24"/>
        </w:rPr>
        <w:t>Veirman</w:t>
      </w:r>
      <w:proofErr w:type="spellEnd"/>
      <w:r w:rsidRPr="00B7140C">
        <w:rPr>
          <w:rFonts w:ascii="Times New Roman" w:eastAsia="Times New Roman" w:hAnsi="Times New Roman" w:cs="Times New Roman"/>
          <w:szCs w:val="24"/>
        </w:rPr>
        <w:t>, 2021). The chapter therefore extends source credibility into a conceptual framework containing five credibility themes, a relational mechanism and contextual influences. This framework directly structures the case evidence presented in Chapter 4 and the cross-case discussion in Chapter 5. Chapter 3 next explains how the secondary-data multi-case design, evidence selection, quality appraisal, extraction matrix, directed thematic analysis and narrative synthesis were conducted. No participants were recruited and no new personal data were collected.</w:t>
      </w:r>
    </w:p>
    <w:p w14:paraId="5E31349A" w14:textId="77777777" w:rsidR="00432F17" w:rsidRPr="00B7140C" w:rsidRDefault="00432F17" w:rsidP="005738C3">
      <w:pPr>
        <w:jc w:val="both"/>
        <w:rPr>
          <w:rFonts w:ascii="Times New Roman" w:hAnsi="Times New Roman" w:cs="Times New Roman"/>
        </w:rPr>
      </w:pPr>
    </w:p>
    <w:p w14:paraId="20BBF1B5" w14:textId="77777777" w:rsidR="00766610" w:rsidRPr="00B7140C" w:rsidRDefault="00766610" w:rsidP="005738C3">
      <w:pPr>
        <w:jc w:val="both"/>
        <w:rPr>
          <w:rFonts w:ascii="Times New Roman" w:hAnsi="Times New Roman" w:cs="Times New Roman"/>
        </w:rPr>
      </w:pPr>
      <w:r w:rsidRPr="00B7140C">
        <w:rPr>
          <w:rFonts w:ascii="Times New Roman" w:hAnsi="Times New Roman" w:cs="Times New Roman"/>
        </w:rPr>
        <w:br w:type="page"/>
      </w:r>
    </w:p>
    <w:p w14:paraId="65346699" w14:textId="77777777" w:rsidR="00A930E4" w:rsidRPr="00B7140C" w:rsidRDefault="00A930E4" w:rsidP="00A930E4">
      <w:pPr>
        <w:pStyle w:val="Heading1"/>
        <w:rPr>
          <w:rFonts w:ascii="Times New Roman" w:hAnsi="Times New Roman" w:cs="Times New Roman"/>
          <w:color w:val="auto"/>
        </w:rPr>
      </w:pPr>
      <w:bookmarkStart w:id="45" w:name="_Toc237130087"/>
      <w:bookmarkStart w:id="46" w:name="_Toc240238857"/>
      <w:r w:rsidRPr="00B7140C">
        <w:rPr>
          <w:rFonts w:ascii="Times New Roman" w:hAnsi="Times New Roman" w:cs="Times New Roman"/>
          <w:color w:val="auto"/>
        </w:rPr>
        <w:lastRenderedPageBreak/>
        <w:t>Chapter 3: Methodology</w:t>
      </w:r>
      <w:bookmarkEnd w:id="45"/>
      <w:bookmarkEnd w:id="46"/>
    </w:p>
    <w:p w14:paraId="2650DE1D" w14:textId="77777777" w:rsidR="00A930E4" w:rsidRPr="00B7140C" w:rsidRDefault="00A930E4" w:rsidP="00A930E4">
      <w:pPr>
        <w:pStyle w:val="Heading2"/>
        <w:rPr>
          <w:rFonts w:ascii="Times New Roman" w:hAnsi="Times New Roman" w:cs="Times New Roman"/>
          <w:color w:val="auto"/>
        </w:rPr>
      </w:pPr>
      <w:bookmarkStart w:id="47" w:name="_Toc237130088"/>
      <w:bookmarkStart w:id="48" w:name="_Toc240238858"/>
      <w:r w:rsidRPr="00B7140C">
        <w:rPr>
          <w:rFonts w:ascii="Times New Roman" w:hAnsi="Times New Roman" w:cs="Times New Roman"/>
          <w:color w:val="auto"/>
        </w:rPr>
        <w:t>3.1 Introduction</w:t>
      </w:r>
      <w:bookmarkEnd w:id="47"/>
      <w:bookmarkEnd w:id="48"/>
    </w:p>
    <w:p w14:paraId="0765D2E8"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This chapter explains and justifies the methodology used to address the research aim, objectives and research question. Consistent with the approved ethics position, the study used publicly and legitimately accessible secondary data and did not recruit participants, administer questionnaires or interviews, conduct experiments or scrape social-media data. The overall strategy was a secondary-data multiple-case study of five UK skincare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The INKEY List, Pai Skincare, Revolution Skincare, No7 and Skin + Me. Published academic studies, regulatory material, company information and reputable business reporting were used as evidence within and across those cases. Evidence was purposively identified, screened, appraised, extracted and </w:t>
      </w:r>
      <w:proofErr w:type="spellStart"/>
      <w:r w:rsidRPr="00B7140C">
        <w:rPr>
          <w:rFonts w:ascii="Times New Roman" w:hAnsi="Times New Roman" w:cs="Times New Roman"/>
        </w:rPr>
        <w:t>synthesised</w:t>
      </w:r>
      <w:proofErr w:type="spellEnd"/>
      <w:r w:rsidRPr="00B7140C">
        <w:rPr>
          <w:rFonts w:ascii="Times New Roman" w:hAnsi="Times New Roman" w:cs="Times New Roman"/>
        </w:rPr>
        <w:t xml:space="preserve"> using a transparent process (</w:t>
      </w:r>
      <w:proofErr w:type="spellStart"/>
      <w:r w:rsidRPr="00B7140C">
        <w:rPr>
          <w:rFonts w:ascii="Times New Roman" w:hAnsi="Times New Roman" w:cs="Times New Roman"/>
        </w:rPr>
        <w:t>Tranfield</w:t>
      </w:r>
      <w:proofErr w:type="spellEnd"/>
      <w:r w:rsidRPr="00B7140C">
        <w:rPr>
          <w:rFonts w:ascii="Times New Roman" w:hAnsi="Times New Roman" w:cs="Times New Roman"/>
        </w:rPr>
        <w:t xml:space="preserve">, Denyer and Smart, 2003; Snyder, 2019). The chapter first positions the study within the Research Onion, then justifies the case-study design, case selection, data sources, analysis, </w:t>
      </w:r>
      <w:proofErr w:type="spellStart"/>
      <w:r w:rsidRPr="00B7140C">
        <w:rPr>
          <w:rFonts w:ascii="Times New Roman" w:hAnsi="Times New Roman" w:cs="Times New Roman"/>
        </w:rPr>
        <w:t>rigour</w:t>
      </w:r>
      <w:proofErr w:type="spellEnd"/>
      <w:r w:rsidRPr="00B7140C">
        <w:rPr>
          <w:rFonts w:ascii="Times New Roman" w:hAnsi="Times New Roman" w:cs="Times New Roman"/>
        </w:rPr>
        <w:t xml:space="preserve"> and ethical controls before linking the method to the Chapter 4 findings.</w:t>
      </w:r>
    </w:p>
    <w:p w14:paraId="6858D5FC" w14:textId="77777777" w:rsidR="00A930E4" w:rsidRPr="00B7140C" w:rsidRDefault="00A930E4" w:rsidP="00A930E4">
      <w:pPr>
        <w:pStyle w:val="Heading2"/>
        <w:rPr>
          <w:rFonts w:ascii="Times New Roman" w:hAnsi="Times New Roman" w:cs="Times New Roman"/>
          <w:color w:val="auto"/>
        </w:rPr>
      </w:pPr>
      <w:bookmarkStart w:id="49" w:name="_Toc237130089"/>
      <w:bookmarkStart w:id="50" w:name="_Toc240238859"/>
      <w:r w:rsidRPr="00B7140C">
        <w:rPr>
          <w:rFonts w:ascii="Times New Roman" w:hAnsi="Times New Roman" w:cs="Times New Roman"/>
          <w:color w:val="auto"/>
        </w:rPr>
        <w:t>3.2 Research Philosophy, Approach and Design</w:t>
      </w:r>
      <w:bookmarkEnd w:id="49"/>
      <w:bookmarkEnd w:id="50"/>
    </w:p>
    <w:p w14:paraId="33161E3B" w14:textId="77777777" w:rsidR="00A930E4" w:rsidRPr="00B7140C" w:rsidRDefault="00A930E4" w:rsidP="00A930E4">
      <w:pPr>
        <w:pStyle w:val="Heading3"/>
        <w:rPr>
          <w:rFonts w:ascii="Times New Roman" w:hAnsi="Times New Roman" w:cs="Times New Roman"/>
          <w:color w:val="auto"/>
        </w:rPr>
      </w:pPr>
      <w:bookmarkStart w:id="51" w:name="_Toc237130090"/>
      <w:bookmarkStart w:id="52" w:name="_Toc240238860"/>
      <w:r w:rsidRPr="00B7140C">
        <w:rPr>
          <w:rFonts w:ascii="Times New Roman" w:hAnsi="Times New Roman" w:cs="Times New Roman"/>
          <w:color w:val="auto"/>
        </w:rPr>
        <w:t>3.2.1 Research philosophy</w:t>
      </w:r>
      <w:bookmarkEnd w:id="51"/>
      <w:bookmarkEnd w:id="52"/>
    </w:p>
    <w:p w14:paraId="729296AC"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The research question supported a pragmatic philosophy because it required an evidence-weighted explanation rather than commitment to a single epistemological position. Quantitative models of purchase intention, qualitative accounts of authenticity and mixed-method evidence could therefore be compared while retaining differences in method and context, consistent with pragmatism (Saunders, Lewis and Thornhill, 2019; Creswell and Creswell, 2018). A solely positivist position was not adopted because heterogeneous constructs, samples and platforms did not permit statistical equivalence or a new population estimate. A purely interpretivist position was also insufficient because the study needed to evaluate reported relationships and measures as well as meanings. Ontologically, credibility was treated as context-dependent; epistemologically, claims were treated as only as credible as the source quality, methodological transparency and relevance to UK Gen Z skincare.</w:t>
      </w:r>
    </w:p>
    <w:p w14:paraId="7CAB2B22" w14:textId="77777777" w:rsidR="00A930E4" w:rsidRPr="00B7140C" w:rsidRDefault="00A930E4" w:rsidP="00A930E4">
      <w:pPr>
        <w:pStyle w:val="Heading3"/>
        <w:rPr>
          <w:rFonts w:ascii="Times New Roman" w:hAnsi="Times New Roman" w:cs="Times New Roman"/>
          <w:color w:val="auto"/>
        </w:rPr>
      </w:pPr>
      <w:bookmarkStart w:id="53" w:name="_Toc237130091"/>
      <w:bookmarkStart w:id="54" w:name="_Toc240238861"/>
      <w:r w:rsidRPr="00B7140C">
        <w:rPr>
          <w:rFonts w:ascii="Times New Roman" w:hAnsi="Times New Roman" w:cs="Times New Roman"/>
          <w:color w:val="auto"/>
        </w:rPr>
        <w:t>3.2.2 Research approach and strategy</w:t>
      </w:r>
      <w:bookmarkEnd w:id="53"/>
      <w:bookmarkEnd w:id="54"/>
    </w:p>
    <w:p w14:paraId="4DA2B1DC"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An abductive approach was used. Initial analytical categories were derived from the source-credibility model, Theory of Planned </w:t>
      </w:r>
      <w:proofErr w:type="spellStart"/>
      <w:r w:rsidRPr="00B7140C">
        <w:rPr>
          <w:rFonts w:ascii="Times New Roman" w:hAnsi="Times New Roman" w:cs="Times New Roman"/>
        </w:rPr>
        <w:t>Behaviour</w:t>
      </w:r>
      <w:proofErr w:type="spellEnd"/>
      <w:r w:rsidRPr="00B7140C">
        <w:rPr>
          <w:rFonts w:ascii="Times New Roman" w:hAnsi="Times New Roman" w:cs="Times New Roman"/>
        </w:rPr>
        <w:t xml:space="preserve">, parasocial interaction and product-fit reasoning developed in Chapter 2, while coding remained open to emergent findings, </w:t>
      </w:r>
      <w:r w:rsidRPr="00B7140C">
        <w:rPr>
          <w:rFonts w:ascii="Times New Roman" w:hAnsi="Times New Roman" w:cs="Times New Roman"/>
        </w:rPr>
        <w:lastRenderedPageBreak/>
        <w:t xml:space="preserve">contradictions and boundary conditions. Abduction was therefore more appropriate than pure deduction, which could force evidence into pre-set categories, or pure induction, which could overlook the established conceptual structure (Saunders, Lewis and Thornhill, 2019). The research strategy was a secondary-data multiple-case study supported by structured evidence review and thematic narrative synthesis. The five UK skincare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formed the bounded cases, while academic, regulatory, company and reputable business sources provided the evidence used for within-case interpretation and cross-case comparison. This strategy aligned Chapter 3 with the case structure used in Chapter 4 without changing the approved secondary-data ethics scope.</w:t>
      </w:r>
    </w:p>
    <w:p w14:paraId="758E1E29" w14:textId="77777777" w:rsidR="00354B9D" w:rsidRPr="00B7140C" w:rsidRDefault="00354B9D" w:rsidP="00A930E4">
      <w:pPr>
        <w:jc w:val="center"/>
        <w:rPr>
          <w:rFonts w:ascii="Times New Roman" w:hAnsi="Times New Roman" w:cs="Times New Roman"/>
          <w:i/>
          <w:sz w:val="21"/>
        </w:rPr>
      </w:pPr>
      <w:r w:rsidRPr="00B7140C">
        <w:rPr>
          <w:rFonts w:ascii="Times New Roman" w:hAnsi="Times New Roman" w:cs="Times New Roman"/>
          <w:noProof/>
        </w:rPr>
        <w:drawing>
          <wp:inline distT="0" distB="0" distL="0" distR="0" wp14:anchorId="1F4F6825" wp14:editId="445B1BBF">
            <wp:extent cx="5731510" cy="45446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44695"/>
                    </a:xfrm>
                    <a:prstGeom prst="rect">
                      <a:avLst/>
                    </a:prstGeom>
                    <a:noFill/>
                    <a:ln>
                      <a:noFill/>
                    </a:ln>
                  </pic:spPr>
                </pic:pic>
              </a:graphicData>
            </a:graphic>
          </wp:inline>
        </w:drawing>
      </w:r>
    </w:p>
    <w:p w14:paraId="6827F18B" w14:textId="77777777" w:rsidR="00A930E4" w:rsidRPr="00B7140C" w:rsidRDefault="00A930E4" w:rsidP="00A930E4">
      <w:pPr>
        <w:jc w:val="center"/>
        <w:rPr>
          <w:rFonts w:ascii="Times New Roman" w:hAnsi="Times New Roman" w:cs="Times New Roman"/>
        </w:rPr>
      </w:pPr>
      <w:r w:rsidRPr="00B7140C">
        <w:rPr>
          <w:rFonts w:ascii="Times New Roman" w:hAnsi="Times New Roman" w:cs="Times New Roman"/>
          <w:i/>
          <w:sz w:val="21"/>
        </w:rPr>
        <w:t xml:space="preserve">Figure 3.1: Research Onion applied to this study (author-developed from Saunders, Lewis and Thornhill, 2019). </w:t>
      </w:r>
    </w:p>
    <w:p w14:paraId="5F6A5C01" w14:textId="77777777" w:rsidR="00A930E4" w:rsidRPr="00B7140C" w:rsidRDefault="00A930E4" w:rsidP="00A930E4">
      <w:pPr>
        <w:pStyle w:val="Heading2"/>
        <w:rPr>
          <w:rFonts w:ascii="Times New Roman" w:hAnsi="Times New Roman" w:cs="Times New Roman"/>
          <w:color w:val="auto"/>
        </w:rPr>
      </w:pPr>
      <w:bookmarkStart w:id="55" w:name="_Toc240238862"/>
      <w:r w:rsidRPr="00B7140C">
        <w:rPr>
          <w:rFonts w:ascii="Times New Roman" w:hAnsi="Times New Roman" w:cs="Times New Roman"/>
          <w:color w:val="auto"/>
        </w:rPr>
        <w:t>3.3 Justification of the Secondary-Data Case Study Methodology</w:t>
      </w:r>
      <w:bookmarkEnd w:id="55"/>
    </w:p>
    <w:p w14:paraId="0E586B88" w14:textId="77777777" w:rsidR="005F5322" w:rsidRPr="00B7140C" w:rsidRDefault="005F5322" w:rsidP="005F5322">
      <w:pPr>
        <w:jc w:val="both"/>
        <w:rPr>
          <w:rFonts w:ascii="Times New Roman" w:hAnsi="Times New Roman" w:cs="Times New Roman"/>
        </w:rPr>
      </w:pPr>
      <w:r w:rsidRPr="00B7140C">
        <w:rPr>
          <w:rFonts w:ascii="Times New Roman" w:hAnsi="Times New Roman" w:cs="Times New Roman"/>
        </w:rPr>
        <w:t xml:space="preserve">The case-study methodology was appropriate to the study because it allowed a study of the operation of the credibility constructs in different real-life skincare contexts, instead of assuming that context is irrelevant. The consistent structure of the cases enabled the study to </w:t>
      </w:r>
      <w:proofErr w:type="spellStart"/>
      <w:r w:rsidRPr="00B7140C">
        <w:rPr>
          <w:rFonts w:ascii="Times New Roman" w:hAnsi="Times New Roman" w:cs="Times New Roman"/>
        </w:rPr>
        <w:lastRenderedPageBreak/>
        <w:t>analyse</w:t>
      </w:r>
      <w:proofErr w:type="spellEnd"/>
      <w:r w:rsidRPr="00B7140C">
        <w:rPr>
          <w:rFonts w:ascii="Times New Roman" w:hAnsi="Times New Roman" w:cs="Times New Roman"/>
        </w:rPr>
        <w:t xml:space="preserve"> similarities and differences in the patterns of trustworthiness, expertise, attractiveness, authenticity, homophily, parasocial attachment, platform context and disclosure across the five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Secondary data was used for the reasons that detailed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regulatory and academic evidence was publicly available and could be triangulated without recruiting participants. The design also allowed for comparison between the different business models and levels of product risk while maintaining the distinction between contextual evidence and causal proof (Saunders, Lewis and Thornhill, 2019; Creswell and Creswell, 2018). In order to limit selective citations and ensure source inclusion and appraisal of the sources are repeatable, a structured evidence-search process was maintained throughout the case design (</w:t>
      </w:r>
      <w:proofErr w:type="spellStart"/>
      <w:r w:rsidRPr="00B7140C">
        <w:rPr>
          <w:rFonts w:ascii="Times New Roman" w:hAnsi="Times New Roman" w:cs="Times New Roman"/>
        </w:rPr>
        <w:t>Tranfield</w:t>
      </w:r>
      <w:proofErr w:type="spellEnd"/>
      <w:r w:rsidRPr="00B7140C">
        <w:rPr>
          <w:rFonts w:ascii="Times New Roman" w:hAnsi="Times New Roman" w:cs="Times New Roman"/>
        </w:rPr>
        <w:t>, Denyer and Smart, 2003; Snyder, 2019).</w:t>
      </w:r>
    </w:p>
    <w:p w14:paraId="7121F9B9" w14:textId="77777777" w:rsidR="005F5322" w:rsidRPr="00B7140C" w:rsidRDefault="005F5322" w:rsidP="005F5322">
      <w:pPr>
        <w:jc w:val="both"/>
        <w:rPr>
          <w:rFonts w:ascii="Times New Roman" w:hAnsi="Times New Roman" w:cs="Times New Roman"/>
        </w:rPr>
      </w:pPr>
      <w:r w:rsidRPr="00B7140C">
        <w:rPr>
          <w:rFonts w:ascii="Times New Roman" w:hAnsi="Times New Roman" w:cs="Times New Roman"/>
        </w:rPr>
        <w:t xml:space="preserve">Primary surveys and interviews were not feasible, as this would involve participant recruitment, consent and a separate ethics approval, and self-report and small sample limitations would not address the question across contexts alone. Experiments might have been conducted that tested causality but were not part of the approved secondary data scope. The selected multi-case design was therefore a combination of depth and breadth with five different contrasting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and multiple types of sources. The primary drawback is that material from public companies and vendors may focus on positive results and may lack campaign-level counterfactuals. For this reason, claims were kept to the minimum in proportion to the evidence presented in an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context, as well as academic literature, government publications, and independent business reporting, and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evidence was triangulated with academic research (Creswell and Creswell, 2018; Snyder, 2019).</w:t>
      </w:r>
    </w:p>
    <w:p w14:paraId="3F762CB0" w14:textId="77777777" w:rsidR="00A930E4" w:rsidRPr="00B7140C" w:rsidRDefault="00A930E4" w:rsidP="00A930E4">
      <w:pPr>
        <w:pStyle w:val="Heading2"/>
        <w:rPr>
          <w:rFonts w:ascii="Times New Roman" w:hAnsi="Times New Roman" w:cs="Times New Roman"/>
          <w:color w:val="auto"/>
        </w:rPr>
      </w:pPr>
      <w:bookmarkStart w:id="56" w:name="_Toc237130093"/>
      <w:bookmarkStart w:id="57" w:name="_Toc240238863"/>
      <w:r w:rsidRPr="00B7140C">
        <w:rPr>
          <w:rFonts w:ascii="Times New Roman" w:hAnsi="Times New Roman" w:cs="Times New Roman"/>
          <w:color w:val="auto"/>
        </w:rPr>
        <w:t xml:space="preserve">3.4 </w:t>
      </w:r>
      <w:r w:rsidR="005C37C4" w:rsidRPr="00B7140C">
        <w:rPr>
          <w:rFonts w:ascii="Times New Roman" w:hAnsi="Times New Roman" w:cs="Times New Roman"/>
          <w:color w:val="auto"/>
        </w:rPr>
        <w:t>Case Selection and Sampling Strategy</w:t>
      </w:r>
      <w:bookmarkEnd w:id="56"/>
      <w:bookmarkEnd w:id="57"/>
      <w:r w:rsidR="005C37C4" w:rsidRPr="00B7140C">
        <w:rPr>
          <w:rFonts w:ascii="Times New Roman" w:hAnsi="Times New Roman" w:cs="Times New Roman"/>
          <w:color w:val="auto"/>
        </w:rPr>
        <w:t xml:space="preserve"> </w:t>
      </w:r>
    </w:p>
    <w:p w14:paraId="339D26CB"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Purposive, criterion-based sampling was used because case and source selection depended on information richness and theoretical relevance rather than statistical representativeness (Booth, Sutton and Papaioannou, 2016; Saunders, Lewis and Thornhill, 2019). The five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were selected for relevance to UK skincare, sufficient public evidence, diversity of business model and communication context, and contemporary market activity. Within each case, supporting sources were also selected purposively. Peer-reviewed studies published mainly between 2017 and 2026 were </w:t>
      </w:r>
      <w:proofErr w:type="spellStart"/>
      <w:r w:rsidRPr="00B7140C">
        <w:rPr>
          <w:rFonts w:ascii="Times New Roman" w:hAnsi="Times New Roman" w:cs="Times New Roman"/>
        </w:rPr>
        <w:t>prioritised</w:t>
      </w:r>
      <w:proofErr w:type="spellEnd"/>
      <w:r w:rsidRPr="00B7140C">
        <w:rPr>
          <w:rFonts w:ascii="Times New Roman" w:hAnsi="Times New Roman" w:cs="Times New Roman"/>
        </w:rPr>
        <w:t xml:space="preserve"> where they clearly reported influencer-credibility constructs, purchase intention or closely related outcomes. UK, Gen Z, skincare/beauty, TikTok and Instagram evidence received greater contextual weight, while </w:t>
      </w:r>
      <w:r w:rsidRPr="00B7140C">
        <w:rPr>
          <w:rFonts w:ascii="Times New Roman" w:hAnsi="Times New Roman" w:cs="Times New Roman"/>
        </w:rPr>
        <w:lastRenderedPageBreak/>
        <w:t>evidence from other countries or categories was retained as indirect evidence where it helped explain mechanisms or boundary conditions.</w:t>
      </w:r>
    </w:p>
    <w:tbl>
      <w:tblPr>
        <w:tblW w:w="0" w:type="auto"/>
        <w:jc w:val="center"/>
        <w:tblLayout w:type="fixed"/>
        <w:tblLook w:val="04A0" w:firstRow="1" w:lastRow="0" w:firstColumn="1" w:lastColumn="0" w:noHBand="0" w:noVBand="1"/>
      </w:tblPr>
      <w:tblGrid>
        <w:gridCol w:w="3106"/>
        <w:gridCol w:w="3106"/>
        <w:gridCol w:w="3106"/>
      </w:tblGrid>
      <w:tr w:rsidR="00A12B69" w:rsidRPr="00B7140C" w14:paraId="1B08055E" w14:textId="77777777" w:rsidTr="00EE51EC">
        <w:trPr>
          <w:tblHeader/>
          <w:jc w:val="center"/>
        </w:trPr>
        <w:tc>
          <w:tcPr>
            <w:tcW w:w="3106" w:type="dxa"/>
            <w:shd w:val="clear" w:color="auto" w:fill="1F4E78"/>
            <w:tcMar>
              <w:top w:w="100" w:type="dxa"/>
              <w:left w:w="120" w:type="dxa"/>
              <w:bottom w:w="100" w:type="dxa"/>
              <w:right w:w="120" w:type="dxa"/>
            </w:tcMar>
          </w:tcPr>
          <w:p w14:paraId="2EE5FED5" w14:textId="77777777" w:rsidR="00A930E4" w:rsidRPr="00B7140C" w:rsidRDefault="00A930E4" w:rsidP="00EE51EC">
            <w:pPr>
              <w:rPr>
                <w:rFonts w:ascii="Times New Roman" w:hAnsi="Times New Roman" w:cs="Times New Roman"/>
              </w:rPr>
            </w:pPr>
            <w:r w:rsidRPr="00B7140C">
              <w:rPr>
                <w:rFonts w:ascii="Times New Roman" w:hAnsi="Times New Roman" w:cs="Times New Roman"/>
                <w:b/>
                <w:sz w:val="17"/>
              </w:rPr>
              <w:t>Decision area</w:t>
            </w:r>
          </w:p>
        </w:tc>
        <w:tc>
          <w:tcPr>
            <w:tcW w:w="3106" w:type="dxa"/>
            <w:shd w:val="clear" w:color="auto" w:fill="1F4E78"/>
            <w:tcMar>
              <w:top w:w="100" w:type="dxa"/>
              <w:left w:w="120" w:type="dxa"/>
              <w:bottom w:w="100" w:type="dxa"/>
              <w:right w:w="120" w:type="dxa"/>
            </w:tcMar>
          </w:tcPr>
          <w:p w14:paraId="486DF6FD" w14:textId="77777777" w:rsidR="00A930E4" w:rsidRPr="00B7140C" w:rsidRDefault="00A930E4" w:rsidP="00EE51EC">
            <w:pPr>
              <w:rPr>
                <w:rFonts w:ascii="Times New Roman" w:hAnsi="Times New Roman" w:cs="Times New Roman"/>
              </w:rPr>
            </w:pPr>
            <w:r w:rsidRPr="00B7140C">
              <w:rPr>
                <w:rFonts w:ascii="Times New Roman" w:hAnsi="Times New Roman" w:cs="Times New Roman"/>
                <w:b/>
                <w:sz w:val="17"/>
              </w:rPr>
              <w:t>Included</w:t>
            </w:r>
          </w:p>
        </w:tc>
        <w:tc>
          <w:tcPr>
            <w:tcW w:w="3106" w:type="dxa"/>
            <w:shd w:val="clear" w:color="auto" w:fill="1F4E78"/>
            <w:tcMar>
              <w:top w:w="100" w:type="dxa"/>
              <w:left w:w="120" w:type="dxa"/>
              <w:bottom w:w="100" w:type="dxa"/>
              <w:right w:w="120" w:type="dxa"/>
            </w:tcMar>
          </w:tcPr>
          <w:p w14:paraId="3DA917EF" w14:textId="77777777" w:rsidR="00A930E4" w:rsidRPr="00B7140C" w:rsidRDefault="00A930E4" w:rsidP="00EE51EC">
            <w:pPr>
              <w:rPr>
                <w:rFonts w:ascii="Times New Roman" w:hAnsi="Times New Roman" w:cs="Times New Roman"/>
              </w:rPr>
            </w:pPr>
            <w:r w:rsidRPr="00B7140C">
              <w:rPr>
                <w:rFonts w:ascii="Times New Roman" w:hAnsi="Times New Roman" w:cs="Times New Roman"/>
                <w:b/>
                <w:sz w:val="17"/>
              </w:rPr>
              <w:t>Excluded</w:t>
            </w:r>
          </w:p>
        </w:tc>
      </w:tr>
      <w:tr w:rsidR="00A12B69" w:rsidRPr="00B7140C" w14:paraId="4BE4F703" w14:textId="77777777" w:rsidTr="00EE51EC">
        <w:trPr>
          <w:jc w:val="center"/>
        </w:trPr>
        <w:tc>
          <w:tcPr>
            <w:tcW w:w="3106" w:type="dxa"/>
            <w:tcMar>
              <w:top w:w="100" w:type="dxa"/>
              <w:left w:w="120" w:type="dxa"/>
              <w:bottom w:w="100" w:type="dxa"/>
              <w:right w:w="120" w:type="dxa"/>
            </w:tcMar>
            <w:vAlign w:val="center"/>
          </w:tcPr>
          <w:p w14:paraId="1DC29CF3"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Source/type</w:t>
            </w:r>
          </w:p>
        </w:tc>
        <w:tc>
          <w:tcPr>
            <w:tcW w:w="3106" w:type="dxa"/>
            <w:tcMar>
              <w:top w:w="100" w:type="dxa"/>
              <w:left w:w="120" w:type="dxa"/>
              <w:bottom w:w="100" w:type="dxa"/>
              <w:right w:w="120" w:type="dxa"/>
            </w:tcMar>
            <w:vAlign w:val="center"/>
          </w:tcPr>
          <w:p w14:paraId="4E0BD9CA"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Peer-reviewed empirical or review studies; official regulation; credible industry context</w:t>
            </w:r>
          </w:p>
        </w:tc>
        <w:tc>
          <w:tcPr>
            <w:tcW w:w="3106" w:type="dxa"/>
            <w:tcMar>
              <w:top w:w="100" w:type="dxa"/>
              <w:left w:w="120" w:type="dxa"/>
              <w:bottom w:w="100" w:type="dxa"/>
              <w:right w:w="120" w:type="dxa"/>
            </w:tcMar>
            <w:vAlign w:val="center"/>
          </w:tcPr>
          <w:p w14:paraId="37AEE71C"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Opinion pieces, unverifiable claims, or sources without an identifiable method</w:t>
            </w:r>
          </w:p>
        </w:tc>
      </w:tr>
      <w:tr w:rsidR="00A12B69" w:rsidRPr="00B7140C" w14:paraId="5F842D25" w14:textId="77777777" w:rsidTr="00EE51EC">
        <w:trPr>
          <w:jc w:val="center"/>
        </w:trPr>
        <w:tc>
          <w:tcPr>
            <w:tcW w:w="3106" w:type="dxa"/>
            <w:tcMar>
              <w:top w:w="100" w:type="dxa"/>
              <w:left w:w="120" w:type="dxa"/>
              <w:bottom w:w="100" w:type="dxa"/>
              <w:right w:w="120" w:type="dxa"/>
            </w:tcMar>
            <w:vAlign w:val="center"/>
          </w:tcPr>
          <w:p w14:paraId="29E4FFC3"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Phenomenon</w:t>
            </w:r>
          </w:p>
        </w:tc>
        <w:tc>
          <w:tcPr>
            <w:tcW w:w="3106" w:type="dxa"/>
            <w:tcMar>
              <w:top w:w="100" w:type="dxa"/>
              <w:left w:w="120" w:type="dxa"/>
              <w:bottom w:w="100" w:type="dxa"/>
              <w:right w:w="120" w:type="dxa"/>
            </w:tcMar>
            <w:vAlign w:val="center"/>
          </w:tcPr>
          <w:p w14:paraId="5134B53B"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Micro-influencer credibility and consumer intention/</w:t>
            </w:r>
            <w:proofErr w:type="spellStart"/>
            <w:r w:rsidRPr="00B7140C">
              <w:rPr>
                <w:rFonts w:ascii="Times New Roman" w:hAnsi="Times New Roman" w:cs="Times New Roman"/>
                <w:sz w:val="17"/>
              </w:rPr>
              <w:t>behaviour</w:t>
            </w:r>
            <w:proofErr w:type="spellEnd"/>
          </w:p>
        </w:tc>
        <w:tc>
          <w:tcPr>
            <w:tcW w:w="3106" w:type="dxa"/>
            <w:tcMar>
              <w:top w:w="100" w:type="dxa"/>
              <w:left w:w="120" w:type="dxa"/>
              <w:bottom w:w="100" w:type="dxa"/>
              <w:right w:w="120" w:type="dxa"/>
            </w:tcMar>
            <w:vAlign w:val="center"/>
          </w:tcPr>
          <w:p w14:paraId="6E1966A8"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Celebrity-only endorsement or non-social-media advertising</w:t>
            </w:r>
          </w:p>
        </w:tc>
      </w:tr>
      <w:tr w:rsidR="00A12B69" w:rsidRPr="00B7140C" w14:paraId="19D1B542" w14:textId="77777777" w:rsidTr="00EE51EC">
        <w:trPr>
          <w:jc w:val="center"/>
        </w:trPr>
        <w:tc>
          <w:tcPr>
            <w:tcW w:w="3106" w:type="dxa"/>
            <w:tcMar>
              <w:top w:w="100" w:type="dxa"/>
              <w:left w:w="120" w:type="dxa"/>
              <w:bottom w:w="100" w:type="dxa"/>
              <w:right w:w="120" w:type="dxa"/>
            </w:tcMar>
            <w:vAlign w:val="center"/>
          </w:tcPr>
          <w:p w14:paraId="6CC4D6DB"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Context</w:t>
            </w:r>
          </w:p>
        </w:tc>
        <w:tc>
          <w:tcPr>
            <w:tcW w:w="3106" w:type="dxa"/>
            <w:tcMar>
              <w:top w:w="100" w:type="dxa"/>
              <w:left w:w="120" w:type="dxa"/>
              <w:bottom w:w="100" w:type="dxa"/>
              <w:right w:w="120" w:type="dxa"/>
            </w:tcMar>
            <w:vAlign w:val="center"/>
          </w:tcPr>
          <w:p w14:paraId="56737768"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 xml:space="preserve">UK/Gen Z/skincare </w:t>
            </w:r>
            <w:proofErr w:type="spellStart"/>
            <w:r w:rsidRPr="00B7140C">
              <w:rPr>
                <w:rFonts w:ascii="Times New Roman" w:hAnsi="Times New Roman" w:cs="Times New Roman"/>
                <w:sz w:val="17"/>
              </w:rPr>
              <w:t>prioritised</w:t>
            </w:r>
            <w:proofErr w:type="spellEnd"/>
            <w:r w:rsidRPr="00B7140C">
              <w:rPr>
                <w:rFonts w:ascii="Times New Roman" w:hAnsi="Times New Roman" w:cs="Times New Roman"/>
                <w:sz w:val="17"/>
              </w:rPr>
              <w:t>; labelled adjacent evidence permitted</w:t>
            </w:r>
          </w:p>
        </w:tc>
        <w:tc>
          <w:tcPr>
            <w:tcW w:w="3106" w:type="dxa"/>
            <w:tcMar>
              <w:top w:w="100" w:type="dxa"/>
              <w:left w:w="120" w:type="dxa"/>
              <w:bottom w:w="100" w:type="dxa"/>
              <w:right w:w="120" w:type="dxa"/>
            </w:tcMar>
            <w:vAlign w:val="center"/>
          </w:tcPr>
          <w:p w14:paraId="26B8C7B2"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Evidence with no credibility construct or consumer response</w:t>
            </w:r>
          </w:p>
        </w:tc>
      </w:tr>
      <w:tr w:rsidR="00A12B69" w:rsidRPr="00B7140C" w14:paraId="65AE15FA" w14:textId="77777777" w:rsidTr="00EE51EC">
        <w:trPr>
          <w:jc w:val="center"/>
        </w:trPr>
        <w:tc>
          <w:tcPr>
            <w:tcW w:w="3106" w:type="dxa"/>
            <w:tcMar>
              <w:top w:w="100" w:type="dxa"/>
              <w:left w:w="120" w:type="dxa"/>
              <w:bottom w:w="100" w:type="dxa"/>
              <w:right w:w="120" w:type="dxa"/>
            </w:tcMar>
            <w:vAlign w:val="center"/>
          </w:tcPr>
          <w:p w14:paraId="1D23644B"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Period/language</w:t>
            </w:r>
          </w:p>
        </w:tc>
        <w:tc>
          <w:tcPr>
            <w:tcW w:w="3106" w:type="dxa"/>
            <w:tcMar>
              <w:top w:w="100" w:type="dxa"/>
              <w:left w:w="120" w:type="dxa"/>
              <w:bottom w:w="100" w:type="dxa"/>
              <w:right w:w="120" w:type="dxa"/>
            </w:tcMar>
            <w:vAlign w:val="center"/>
          </w:tcPr>
          <w:p w14:paraId="71CB5760"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2017–2026 and English; seminal earlier theory retained</w:t>
            </w:r>
          </w:p>
        </w:tc>
        <w:tc>
          <w:tcPr>
            <w:tcW w:w="3106" w:type="dxa"/>
            <w:tcMar>
              <w:top w:w="100" w:type="dxa"/>
              <w:left w:w="120" w:type="dxa"/>
              <w:bottom w:w="100" w:type="dxa"/>
              <w:right w:w="120" w:type="dxa"/>
            </w:tcMar>
            <w:vAlign w:val="center"/>
          </w:tcPr>
          <w:p w14:paraId="20E3FEAE" w14:textId="77777777" w:rsidR="00A930E4" w:rsidRPr="00B7140C" w:rsidRDefault="00A930E4" w:rsidP="00EE51EC">
            <w:pPr>
              <w:rPr>
                <w:rFonts w:ascii="Times New Roman" w:hAnsi="Times New Roman" w:cs="Times New Roman"/>
              </w:rPr>
            </w:pPr>
            <w:r w:rsidRPr="00B7140C">
              <w:rPr>
                <w:rFonts w:ascii="Times New Roman" w:hAnsi="Times New Roman" w:cs="Times New Roman"/>
                <w:sz w:val="17"/>
              </w:rPr>
              <w:t>Older non-seminal or inaccessible full text</w:t>
            </w:r>
          </w:p>
        </w:tc>
      </w:tr>
    </w:tbl>
    <w:p w14:paraId="628DFD92" w14:textId="77777777" w:rsidR="00A930E4" w:rsidRPr="00B7140C" w:rsidRDefault="00A930E4" w:rsidP="00A930E4">
      <w:pPr>
        <w:jc w:val="center"/>
        <w:rPr>
          <w:rFonts w:ascii="Times New Roman" w:hAnsi="Times New Roman" w:cs="Times New Roman"/>
        </w:rPr>
      </w:pPr>
      <w:r w:rsidRPr="00B7140C">
        <w:rPr>
          <w:rFonts w:ascii="Times New Roman" w:hAnsi="Times New Roman" w:cs="Times New Roman"/>
          <w:b/>
          <w:sz w:val="18"/>
        </w:rPr>
        <w:t>Table 3.1: Criterion-based evidence selection.</w:t>
      </w:r>
    </w:p>
    <w:p w14:paraId="7C45BD80"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The exclusions avoided conceptual drift and unequal evidential claims. Current UK context information was drawn from regulatory publications and trusted industry sources, rather than considered as causal, peer-reviewed evidence. This hierarchy ensured that there was a minimum of commercial bias and a maximum of practical relevance, which is in accordance with the need to equate evidence weight to source design and review purpose as found in Booth, Sutton and Papaioannou (2016).</w:t>
      </w:r>
    </w:p>
    <w:p w14:paraId="1A83D42F" w14:textId="77777777" w:rsidR="00351715" w:rsidRPr="00B7140C" w:rsidRDefault="00682E2E">
      <w:pPr>
        <w:pStyle w:val="Heading3"/>
        <w:jc w:val="both"/>
        <w:rPr>
          <w:rFonts w:ascii="Times New Roman" w:hAnsi="Times New Roman" w:cs="Times New Roman"/>
          <w:color w:val="auto"/>
        </w:rPr>
      </w:pPr>
      <w:bookmarkStart w:id="58" w:name="_Toc240238864"/>
      <w:r w:rsidRPr="00B7140C">
        <w:rPr>
          <w:rFonts w:ascii="Times New Roman" w:hAnsi="Times New Roman" w:cs="Times New Roman"/>
          <w:color w:val="auto"/>
        </w:rPr>
        <w:t xml:space="preserve">3.4.1 Focal UK skincare </w:t>
      </w:r>
      <w:proofErr w:type="spellStart"/>
      <w:r w:rsidRPr="00B7140C">
        <w:rPr>
          <w:rFonts w:ascii="Times New Roman" w:hAnsi="Times New Roman" w:cs="Times New Roman"/>
          <w:color w:val="auto"/>
        </w:rPr>
        <w:t>organisations</w:t>
      </w:r>
      <w:bookmarkEnd w:id="58"/>
      <w:proofErr w:type="spellEnd"/>
    </w:p>
    <w:p w14:paraId="4E6FCC24" w14:textId="77777777" w:rsidR="00351715" w:rsidRPr="00B7140C" w:rsidRDefault="00682E2E">
      <w:pPr>
        <w:jc w:val="both"/>
        <w:rPr>
          <w:rFonts w:ascii="Times New Roman" w:hAnsi="Times New Roman" w:cs="Times New Roman"/>
        </w:rPr>
      </w:pPr>
      <w:r w:rsidRPr="00B7140C">
        <w:rPr>
          <w:rFonts w:ascii="Times New Roman" w:hAnsi="Times New Roman" w:cs="Times New Roman"/>
        </w:rPr>
        <w:t xml:space="preserve">Five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were selected as the focal cases: The INKEY List, Pai Skincare, Revolution Skincare, No7 and Skin + Me. They provide contrasts in ingredient-led education, sensitive-skin positioning, accessible mass-market beauty, established science-led retail and </w:t>
      </w:r>
      <w:proofErr w:type="spellStart"/>
      <w:r w:rsidRPr="00B7140C">
        <w:rPr>
          <w:rFonts w:ascii="Times New Roman" w:hAnsi="Times New Roman" w:cs="Times New Roman"/>
        </w:rPr>
        <w:t>personalised</w:t>
      </w:r>
      <w:proofErr w:type="spellEnd"/>
      <w:r w:rsidRPr="00B7140C">
        <w:rPr>
          <w:rFonts w:ascii="Times New Roman" w:hAnsi="Times New Roman" w:cs="Times New Roman"/>
        </w:rPr>
        <w:t xml:space="preserve"> digital skincare. This diversity supports analytical comparison of expertise, trustworthiness, authenticity, product fit, platform context and disclosure across different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settings. Official company material was used alongside academic, regulatory and independent business sources, and no case was ranked on overall performance. Detailed case profiles, including background, challenge or opportunity, approach and outcomes, are presented in Chapter 4 (The INKEY List, 2026a; Pai Skincare, 2026a; Revolution Beauty, 2026; No7 Beauty Company, 2026; Skin + Me, 2026a).</w:t>
      </w:r>
    </w:p>
    <w:p w14:paraId="31F75C58" w14:textId="77777777" w:rsidR="00351715" w:rsidRPr="00B7140C" w:rsidRDefault="00682E2E">
      <w:pPr>
        <w:pageBreakBefore/>
        <w:jc w:val="both"/>
        <w:rPr>
          <w:rFonts w:ascii="Times New Roman" w:hAnsi="Times New Roman" w:cs="Times New Roman"/>
        </w:rPr>
      </w:pPr>
      <w:r w:rsidRPr="00B7140C">
        <w:rPr>
          <w:rFonts w:ascii="Times New Roman" w:hAnsi="Times New Roman" w:cs="Times New Roman"/>
          <w:i/>
        </w:rPr>
        <w:lastRenderedPageBreak/>
        <w:t xml:space="preserve">Table 3.2: Focal UK skincare </w:t>
      </w:r>
      <w:proofErr w:type="spellStart"/>
      <w:r w:rsidRPr="00B7140C">
        <w:rPr>
          <w:rFonts w:ascii="Times New Roman" w:hAnsi="Times New Roman" w:cs="Times New Roman"/>
          <w:i/>
        </w:rPr>
        <w:t>organisational</w:t>
      </w:r>
      <w:proofErr w:type="spellEnd"/>
      <w:r w:rsidRPr="00B7140C">
        <w:rPr>
          <w:rFonts w:ascii="Times New Roman" w:hAnsi="Times New Roman" w:cs="Times New Roman"/>
          <w:i/>
        </w:rPr>
        <w:t xml:space="preserve"> contexts.</w:t>
      </w:r>
    </w:p>
    <w:tbl>
      <w:tblPr>
        <w:tblStyle w:val="TableGrid"/>
        <w:tblW w:w="0" w:type="auto"/>
        <w:tblLayout w:type="fixed"/>
        <w:tblLook w:val="04A0" w:firstRow="1" w:lastRow="0" w:firstColumn="1" w:lastColumn="0" w:noHBand="0" w:noVBand="1"/>
      </w:tblPr>
      <w:tblGrid>
        <w:gridCol w:w="1800"/>
        <w:gridCol w:w="3671"/>
        <w:gridCol w:w="3888"/>
      </w:tblGrid>
      <w:tr w:rsidR="00A12B69" w:rsidRPr="00B7140C" w14:paraId="49AA1190" w14:textId="77777777">
        <w:tc>
          <w:tcPr>
            <w:tcW w:w="1800" w:type="dxa"/>
            <w:shd w:val="clear" w:color="auto" w:fill="F2F2F2"/>
            <w:tcMar>
              <w:top w:w="80" w:type="dxa"/>
              <w:left w:w="80" w:type="dxa"/>
              <w:bottom w:w="80" w:type="dxa"/>
              <w:right w:w="80" w:type="dxa"/>
            </w:tcMar>
            <w:vAlign w:val="center"/>
          </w:tcPr>
          <w:p w14:paraId="799E5895" w14:textId="77777777" w:rsidR="00351715" w:rsidRPr="00B7140C" w:rsidRDefault="00682E2E">
            <w:pPr>
              <w:spacing w:after="0"/>
              <w:jc w:val="center"/>
              <w:rPr>
                <w:rFonts w:ascii="Times New Roman" w:hAnsi="Times New Roman" w:cs="Times New Roman"/>
              </w:rPr>
            </w:pPr>
            <w:r w:rsidRPr="00B7140C">
              <w:rPr>
                <w:rFonts w:ascii="Times New Roman" w:hAnsi="Times New Roman" w:cs="Times New Roman"/>
                <w:b/>
                <w:sz w:val="17"/>
              </w:rPr>
              <w:t>Company</w:t>
            </w:r>
          </w:p>
        </w:tc>
        <w:tc>
          <w:tcPr>
            <w:tcW w:w="3671" w:type="dxa"/>
            <w:shd w:val="clear" w:color="auto" w:fill="F2F2F2"/>
            <w:tcMar>
              <w:top w:w="80" w:type="dxa"/>
              <w:left w:w="80" w:type="dxa"/>
              <w:bottom w:w="80" w:type="dxa"/>
              <w:right w:w="80" w:type="dxa"/>
            </w:tcMar>
            <w:vAlign w:val="center"/>
          </w:tcPr>
          <w:p w14:paraId="4AB94A4F" w14:textId="77777777" w:rsidR="00351715" w:rsidRPr="00B7140C" w:rsidRDefault="00682E2E">
            <w:pPr>
              <w:rPr>
                <w:rFonts w:ascii="Times New Roman" w:hAnsi="Times New Roman" w:cs="Times New Roman"/>
              </w:rPr>
            </w:pPr>
            <w:r w:rsidRPr="00B7140C">
              <w:rPr>
                <w:rFonts w:ascii="Times New Roman" w:hAnsi="Times New Roman" w:cs="Times New Roman"/>
              </w:rPr>
              <w:t>Focal market context</w:t>
            </w:r>
          </w:p>
        </w:tc>
        <w:tc>
          <w:tcPr>
            <w:tcW w:w="3888" w:type="dxa"/>
            <w:shd w:val="clear" w:color="auto" w:fill="F2F2F2"/>
            <w:tcMar>
              <w:top w:w="80" w:type="dxa"/>
              <w:left w:w="80" w:type="dxa"/>
              <w:bottom w:w="80" w:type="dxa"/>
              <w:right w:w="80" w:type="dxa"/>
            </w:tcMar>
            <w:vAlign w:val="center"/>
          </w:tcPr>
          <w:p w14:paraId="41648E0B" w14:textId="77777777" w:rsidR="00351715" w:rsidRPr="00B7140C" w:rsidRDefault="00682E2E">
            <w:pPr>
              <w:spacing w:after="0"/>
              <w:jc w:val="center"/>
              <w:rPr>
                <w:rFonts w:ascii="Times New Roman" w:hAnsi="Times New Roman" w:cs="Times New Roman"/>
              </w:rPr>
            </w:pPr>
            <w:r w:rsidRPr="00B7140C">
              <w:rPr>
                <w:rFonts w:ascii="Times New Roman" w:hAnsi="Times New Roman" w:cs="Times New Roman"/>
                <w:b/>
                <w:sz w:val="17"/>
              </w:rPr>
              <w:t>Purpose in this study</w:t>
            </w:r>
          </w:p>
        </w:tc>
      </w:tr>
      <w:tr w:rsidR="00A12B69" w:rsidRPr="00B7140C" w14:paraId="6EE94860" w14:textId="77777777">
        <w:tc>
          <w:tcPr>
            <w:tcW w:w="1800" w:type="dxa"/>
            <w:tcMar>
              <w:top w:w="80" w:type="dxa"/>
              <w:left w:w="80" w:type="dxa"/>
              <w:bottom w:w="80" w:type="dxa"/>
              <w:right w:w="80" w:type="dxa"/>
            </w:tcMar>
            <w:vAlign w:val="center"/>
          </w:tcPr>
          <w:p w14:paraId="1C70ABCA"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The INKEY List</w:t>
            </w:r>
          </w:p>
        </w:tc>
        <w:tc>
          <w:tcPr>
            <w:tcW w:w="3671" w:type="dxa"/>
            <w:tcMar>
              <w:top w:w="80" w:type="dxa"/>
              <w:left w:w="80" w:type="dxa"/>
              <w:bottom w:w="80" w:type="dxa"/>
              <w:right w:w="80" w:type="dxa"/>
            </w:tcMar>
            <w:vAlign w:val="center"/>
          </w:tcPr>
          <w:p w14:paraId="297B1C22"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Ingredient-led skincare education and accessible routines.</w:t>
            </w:r>
          </w:p>
        </w:tc>
        <w:tc>
          <w:tcPr>
            <w:tcW w:w="3888" w:type="dxa"/>
            <w:tcMar>
              <w:top w:w="80" w:type="dxa"/>
              <w:left w:w="80" w:type="dxa"/>
              <w:bottom w:w="80" w:type="dxa"/>
              <w:right w:w="80" w:type="dxa"/>
            </w:tcMar>
            <w:vAlign w:val="center"/>
          </w:tcPr>
          <w:p w14:paraId="72F2FD38" w14:textId="77777777" w:rsidR="00351715" w:rsidRPr="00B7140C" w:rsidRDefault="00682E2E">
            <w:pPr>
              <w:rPr>
                <w:rFonts w:ascii="Times New Roman" w:hAnsi="Times New Roman" w:cs="Times New Roman"/>
              </w:rPr>
            </w:pPr>
            <w:r w:rsidRPr="00B7140C">
              <w:rPr>
                <w:rFonts w:ascii="Times New Roman" w:hAnsi="Times New Roman" w:cs="Times New Roman"/>
              </w:rPr>
              <w:t>Examines how expertise and explanatory content may matter.</w:t>
            </w:r>
          </w:p>
        </w:tc>
      </w:tr>
      <w:tr w:rsidR="00A12B69" w:rsidRPr="00B7140C" w14:paraId="4E04EFD4" w14:textId="77777777">
        <w:tc>
          <w:tcPr>
            <w:tcW w:w="1800" w:type="dxa"/>
            <w:tcMar>
              <w:top w:w="80" w:type="dxa"/>
              <w:left w:w="80" w:type="dxa"/>
              <w:bottom w:w="80" w:type="dxa"/>
              <w:right w:w="80" w:type="dxa"/>
            </w:tcMar>
            <w:vAlign w:val="center"/>
          </w:tcPr>
          <w:p w14:paraId="068A6E9C"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Pai Skincare</w:t>
            </w:r>
          </w:p>
        </w:tc>
        <w:tc>
          <w:tcPr>
            <w:tcW w:w="3671" w:type="dxa"/>
            <w:tcMar>
              <w:top w:w="80" w:type="dxa"/>
              <w:left w:w="80" w:type="dxa"/>
              <w:bottom w:w="80" w:type="dxa"/>
              <w:right w:w="80" w:type="dxa"/>
            </w:tcMar>
            <w:vAlign w:val="center"/>
          </w:tcPr>
          <w:p w14:paraId="07C20129"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Sensitive-skin and specialist-care positioning.</w:t>
            </w:r>
          </w:p>
        </w:tc>
        <w:tc>
          <w:tcPr>
            <w:tcW w:w="3888" w:type="dxa"/>
            <w:tcMar>
              <w:top w:w="80" w:type="dxa"/>
              <w:left w:w="80" w:type="dxa"/>
              <w:bottom w:w="80" w:type="dxa"/>
              <w:right w:w="80" w:type="dxa"/>
            </w:tcMar>
            <w:vAlign w:val="center"/>
          </w:tcPr>
          <w:p w14:paraId="38B334FF" w14:textId="77777777" w:rsidR="00351715" w:rsidRPr="00B7140C" w:rsidRDefault="00682E2E">
            <w:pPr>
              <w:rPr>
                <w:rFonts w:ascii="Times New Roman" w:hAnsi="Times New Roman" w:cs="Times New Roman"/>
              </w:rPr>
            </w:pPr>
            <w:r w:rsidRPr="00B7140C">
              <w:rPr>
                <w:rFonts w:ascii="Times New Roman" w:hAnsi="Times New Roman" w:cs="Times New Roman"/>
              </w:rPr>
              <w:t>Examines trust, product fit and credibility for higher-involvement claims.</w:t>
            </w:r>
          </w:p>
        </w:tc>
      </w:tr>
      <w:tr w:rsidR="00A12B69" w:rsidRPr="00B7140C" w14:paraId="7208D36B" w14:textId="77777777">
        <w:tc>
          <w:tcPr>
            <w:tcW w:w="1800" w:type="dxa"/>
            <w:tcMar>
              <w:top w:w="80" w:type="dxa"/>
              <w:left w:w="80" w:type="dxa"/>
              <w:bottom w:w="80" w:type="dxa"/>
              <w:right w:w="80" w:type="dxa"/>
            </w:tcMar>
            <w:vAlign w:val="center"/>
          </w:tcPr>
          <w:p w14:paraId="2E718603"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Revolution Skincare</w:t>
            </w:r>
          </w:p>
        </w:tc>
        <w:tc>
          <w:tcPr>
            <w:tcW w:w="3671" w:type="dxa"/>
            <w:tcMar>
              <w:top w:w="80" w:type="dxa"/>
              <w:left w:w="80" w:type="dxa"/>
              <w:bottom w:w="80" w:type="dxa"/>
              <w:right w:w="80" w:type="dxa"/>
            </w:tcMar>
            <w:vAlign w:val="center"/>
          </w:tcPr>
          <w:p w14:paraId="542EED71"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Accessible, trend-led mass-market skincare.</w:t>
            </w:r>
          </w:p>
        </w:tc>
        <w:tc>
          <w:tcPr>
            <w:tcW w:w="3888" w:type="dxa"/>
            <w:tcMar>
              <w:top w:w="80" w:type="dxa"/>
              <w:left w:w="80" w:type="dxa"/>
              <w:bottom w:w="80" w:type="dxa"/>
              <w:right w:w="80" w:type="dxa"/>
            </w:tcMar>
            <w:vAlign w:val="center"/>
          </w:tcPr>
          <w:p w14:paraId="2757E56A" w14:textId="77777777" w:rsidR="00351715" w:rsidRPr="00B7140C" w:rsidRDefault="00682E2E">
            <w:pPr>
              <w:rPr>
                <w:rFonts w:ascii="Times New Roman" w:hAnsi="Times New Roman" w:cs="Times New Roman"/>
              </w:rPr>
            </w:pPr>
            <w:r w:rsidRPr="00B7140C">
              <w:rPr>
                <w:rFonts w:ascii="Times New Roman" w:hAnsi="Times New Roman" w:cs="Times New Roman"/>
              </w:rPr>
              <w:t>Examines visibility, affordability and authenticity tensions.</w:t>
            </w:r>
          </w:p>
        </w:tc>
      </w:tr>
      <w:tr w:rsidR="00A12B69" w:rsidRPr="00B7140C" w14:paraId="0B59CDB0" w14:textId="77777777">
        <w:tc>
          <w:tcPr>
            <w:tcW w:w="1800" w:type="dxa"/>
            <w:tcMar>
              <w:top w:w="80" w:type="dxa"/>
              <w:left w:w="80" w:type="dxa"/>
              <w:bottom w:w="80" w:type="dxa"/>
              <w:right w:w="80" w:type="dxa"/>
            </w:tcMar>
            <w:vAlign w:val="center"/>
          </w:tcPr>
          <w:p w14:paraId="57A3ADC0"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No7</w:t>
            </w:r>
          </w:p>
        </w:tc>
        <w:tc>
          <w:tcPr>
            <w:tcW w:w="3671" w:type="dxa"/>
            <w:tcMar>
              <w:top w:w="80" w:type="dxa"/>
              <w:left w:w="80" w:type="dxa"/>
              <w:bottom w:w="80" w:type="dxa"/>
              <w:right w:w="80" w:type="dxa"/>
            </w:tcMar>
            <w:vAlign w:val="center"/>
          </w:tcPr>
          <w:p w14:paraId="3D4D7E95"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Established UK pharmacy and retail skincare brand.</w:t>
            </w:r>
          </w:p>
        </w:tc>
        <w:tc>
          <w:tcPr>
            <w:tcW w:w="3888" w:type="dxa"/>
            <w:tcMar>
              <w:top w:w="80" w:type="dxa"/>
              <w:left w:w="80" w:type="dxa"/>
              <w:bottom w:w="80" w:type="dxa"/>
              <w:right w:w="80" w:type="dxa"/>
            </w:tcMar>
            <w:vAlign w:val="center"/>
          </w:tcPr>
          <w:p w14:paraId="60FE002E" w14:textId="77777777" w:rsidR="00351715" w:rsidRPr="00B7140C" w:rsidRDefault="00682E2E">
            <w:pPr>
              <w:rPr>
                <w:rFonts w:ascii="Times New Roman" w:hAnsi="Times New Roman" w:cs="Times New Roman"/>
              </w:rPr>
            </w:pPr>
            <w:r w:rsidRPr="00B7140C">
              <w:rPr>
                <w:rFonts w:ascii="Times New Roman" w:hAnsi="Times New Roman" w:cs="Times New Roman"/>
              </w:rPr>
              <w:t>Examines how heritage and perceived expertise can frame endorsement.</w:t>
            </w:r>
          </w:p>
        </w:tc>
      </w:tr>
      <w:tr w:rsidR="00A12B69" w:rsidRPr="00B7140C" w14:paraId="0B4D8B80" w14:textId="77777777">
        <w:tc>
          <w:tcPr>
            <w:tcW w:w="1800" w:type="dxa"/>
            <w:tcMar>
              <w:top w:w="80" w:type="dxa"/>
              <w:left w:w="80" w:type="dxa"/>
              <w:bottom w:w="80" w:type="dxa"/>
              <w:right w:w="80" w:type="dxa"/>
            </w:tcMar>
            <w:vAlign w:val="center"/>
          </w:tcPr>
          <w:p w14:paraId="0F349EC6" w14:textId="77777777" w:rsidR="00351715" w:rsidRPr="00B7140C" w:rsidRDefault="00682E2E">
            <w:pPr>
              <w:spacing w:after="0"/>
              <w:rPr>
                <w:rFonts w:ascii="Times New Roman" w:hAnsi="Times New Roman" w:cs="Times New Roman"/>
              </w:rPr>
            </w:pPr>
            <w:r w:rsidRPr="00B7140C">
              <w:rPr>
                <w:rFonts w:ascii="Times New Roman" w:hAnsi="Times New Roman" w:cs="Times New Roman"/>
                <w:sz w:val="17"/>
              </w:rPr>
              <w:t>Skin + Me</w:t>
            </w:r>
          </w:p>
        </w:tc>
        <w:tc>
          <w:tcPr>
            <w:tcW w:w="3671" w:type="dxa"/>
            <w:tcMar>
              <w:top w:w="80" w:type="dxa"/>
              <w:left w:w="80" w:type="dxa"/>
              <w:bottom w:w="80" w:type="dxa"/>
              <w:right w:w="80" w:type="dxa"/>
            </w:tcMar>
            <w:vAlign w:val="center"/>
          </w:tcPr>
          <w:p w14:paraId="70BBD07E" w14:textId="77777777" w:rsidR="00351715" w:rsidRPr="00B7140C" w:rsidRDefault="00682E2E">
            <w:pPr>
              <w:spacing w:after="0"/>
              <w:rPr>
                <w:rFonts w:ascii="Times New Roman" w:hAnsi="Times New Roman" w:cs="Times New Roman"/>
              </w:rPr>
            </w:pPr>
            <w:proofErr w:type="spellStart"/>
            <w:r w:rsidRPr="00B7140C">
              <w:rPr>
                <w:rFonts w:ascii="Times New Roman" w:hAnsi="Times New Roman" w:cs="Times New Roman"/>
                <w:sz w:val="17"/>
              </w:rPr>
              <w:t>Personalised</w:t>
            </w:r>
            <w:proofErr w:type="spellEnd"/>
            <w:r w:rsidRPr="00B7140C">
              <w:rPr>
                <w:rFonts w:ascii="Times New Roman" w:hAnsi="Times New Roman" w:cs="Times New Roman"/>
                <w:sz w:val="17"/>
              </w:rPr>
              <w:t>, digital direct-to-consumer skincare.</w:t>
            </w:r>
          </w:p>
        </w:tc>
        <w:tc>
          <w:tcPr>
            <w:tcW w:w="3888" w:type="dxa"/>
            <w:tcMar>
              <w:top w:w="80" w:type="dxa"/>
              <w:left w:w="80" w:type="dxa"/>
              <w:bottom w:w="80" w:type="dxa"/>
              <w:right w:w="80" w:type="dxa"/>
            </w:tcMar>
            <w:vAlign w:val="center"/>
          </w:tcPr>
          <w:p w14:paraId="703A654F" w14:textId="77777777" w:rsidR="00351715" w:rsidRPr="00B7140C" w:rsidRDefault="00682E2E">
            <w:pPr>
              <w:rPr>
                <w:rFonts w:ascii="Times New Roman" w:hAnsi="Times New Roman" w:cs="Times New Roman"/>
              </w:rPr>
            </w:pPr>
            <w:r w:rsidRPr="00B7140C">
              <w:rPr>
                <w:rFonts w:ascii="Times New Roman" w:hAnsi="Times New Roman" w:cs="Times New Roman"/>
              </w:rPr>
              <w:t xml:space="preserve">Examines </w:t>
            </w:r>
            <w:proofErr w:type="spellStart"/>
            <w:r w:rsidRPr="00B7140C">
              <w:rPr>
                <w:rFonts w:ascii="Times New Roman" w:hAnsi="Times New Roman" w:cs="Times New Roman"/>
              </w:rPr>
              <w:t>personalisation</w:t>
            </w:r>
            <w:proofErr w:type="spellEnd"/>
            <w:r w:rsidRPr="00B7140C">
              <w:rPr>
                <w:rFonts w:ascii="Times New Roman" w:hAnsi="Times New Roman" w:cs="Times New Roman"/>
              </w:rPr>
              <w:t>, routine advice and transparent communication.</w:t>
            </w:r>
          </w:p>
        </w:tc>
      </w:tr>
    </w:tbl>
    <w:p w14:paraId="089986DF" w14:textId="77777777" w:rsidR="00A930E4" w:rsidRPr="00B7140C" w:rsidRDefault="00A930E4" w:rsidP="005F75E0">
      <w:pPr>
        <w:pStyle w:val="Heading2"/>
        <w:jc w:val="both"/>
        <w:rPr>
          <w:rFonts w:ascii="Times New Roman" w:hAnsi="Times New Roman" w:cs="Times New Roman"/>
          <w:color w:val="auto"/>
        </w:rPr>
      </w:pPr>
      <w:bookmarkStart w:id="59" w:name="_Toc240238865"/>
      <w:bookmarkStart w:id="60" w:name="_Toc237130094"/>
      <w:r w:rsidRPr="00B7140C">
        <w:rPr>
          <w:rFonts w:ascii="Times New Roman" w:hAnsi="Times New Roman" w:cs="Times New Roman"/>
          <w:color w:val="auto"/>
        </w:rPr>
        <w:t xml:space="preserve">3.5 Data Sources and </w:t>
      </w:r>
      <w:r w:rsidR="002E3DAB" w:rsidRPr="00B7140C">
        <w:rPr>
          <w:rFonts w:ascii="Times New Roman" w:hAnsi="Times New Roman" w:cs="Times New Roman"/>
          <w:color w:val="auto"/>
        </w:rPr>
        <w:t xml:space="preserve">Data </w:t>
      </w:r>
      <w:r w:rsidRPr="00B7140C">
        <w:rPr>
          <w:rFonts w:ascii="Times New Roman" w:hAnsi="Times New Roman" w:cs="Times New Roman"/>
          <w:color w:val="auto"/>
        </w:rPr>
        <w:t>Collection</w:t>
      </w:r>
      <w:bookmarkEnd w:id="59"/>
      <w:r w:rsidRPr="00B7140C">
        <w:rPr>
          <w:rFonts w:ascii="Times New Roman" w:hAnsi="Times New Roman" w:cs="Times New Roman"/>
          <w:color w:val="auto"/>
        </w:rPr>
        <w:t xml:space="preserve"> </w:t>
      </w:r>
      <w:bookmarkEnd w:id="60"/>
    </w:p>
    <w:p w14:paraId="04D7CEBD" w14:textId="77777777" w:rsidR="00B9667C" w:rsidRPr="00B7140C" w:rsidRDefault="00B9667C" w:rsidP="00B9667C">
      <w:pPr>
        <w:pStyle w:val="Heading3"/>
        <w:rPr>
          <w:rFonts w:ascii="Times New Roman" w:hAnsi="Times New Roman" w:cs="Times New Roman"/>
          <w:sz w:val="27"/>
        </w:rPr>
      </w:pPr>
      <w:bookmarkStart w:id="61" w:name="_Toc240238866"/>
      <w:r w:rsidRPr="00B7140C">
        <w:rPr>
          <w:rFonts w:ascii="Times New Roman" w:hAnsi="Times New Roman" w:cs="Times New Roman"/>
        </w:rPr>
        <w:t>3.5.1 Types of Secondary Data Sources</w:t>
      </w:r>
      <w:bookmarkEnd w:id="61"/>
    </w:p>
    <w:p w14:paraId="029954D4" w14:textId="77777777" w:rsidR="00691C56" w:rsidRDefault="00691C56" w:rsidP="00691C56">
      <w:pPr>
        <w:pStyle w:val="NormalWeb"/>
        <w:jc w:val="both"/>
      </w:pPr>
      <w:r>
        <w:t xml:space="preserve">Academic, </w:t>
      </w:r>
      <w:proofErr w:type="spellStart"/>
      <w:r>
        <w:t>organisational</w:t>
      </w:r>
      <w:proofErr w:type="spellEnd"/>
      <w:r>
        <w:t>, regulatory and market evidence were provided through the use of several categories of secondary data in the study.</w:t>
      </w:r>
    </w:p>
    <w:p w14:paraId="13256C59" w14:textId="77777777" w:rsidR="00691C56" w:rsidRDefault="00691C56" w:rsidP="00691C56">
      <w:pPr>
        <w:pStyle w:val="NormalWeb"/>
        <w:spacing w:line="360" w:lineRule="auto"/>
        <w:jc w:val="both"/>
      </w:pPr>
      <w:r w:rsidRPr="00691C56">
        <w:rPr>
          <w:b/>
          <w:bCs/>
        </w:rPr>
        <w:t>Peer-reviewed literature and academic databases</w:t>
      </w:r>
      <w:r>
        <w:t>. The search was carried out in Scopus, Web of Science, ScienceDirect, Google Scholar and the UWTSLIBRARY. Multidisciplinary citation searching and filtering was supported by Scopus and Web of Science, while the full-text of relevant marketing and consumer studies was available in ScienceDirect. Google Scholar expanded the literature search however it did not have as clear a ranking system and therefore needed to be reinforced with more rigorous source checks. The UWTSD Library facilitated proper access to full-text academic publications. These sources offered good theoretical and empirical evidence, but due to the differences in study design, country, and sample, it was difficult to make direct comparisons.</w:t>
      </w:r>
    </w:p>
    <w:p w14:paraId="501E4820" w14:textId="77777777" w:rsidR="00B9667C" w:rsidRPr="00B7140C" w:rsidRDefault="00B9667C" w:rsidP="002E3DAB">
      <w:pPr>
        <w:pStyle w:val="NormalWeb"/>
        <w:spacing w:line="360" w:lineRule="auto"/>
        <w:jc w:val="both"/>
      </w:pPr>
      <w:r w:rsidRPr="00B7140C">
        <w:rPr>
          <w:rStyle w:val="Strong"/>
        </w:rPr>
        <w:lastRenderedPageBreak/>
        <w:t>Company websites, reports and public presentations.</w:t>
      </w:r>
      <w:r w:rsidRPr="00B7140C">
        <w:t xml:space="preserve"> Official company websites, reports and publicly available materials were used to develop contextual evidence for the selected skincare cases. Their main strength was direct access to company strategies, activities and public communication. However, these materials could contain self-presentation bias because companies may </w:t>
      </w:r>
      <w:proofErr w:type="spellStart"/>
      <w:r w:rsidRPr="00B7140C">
        <w:t>emphasise</w:t>
      </w:r>
      <w:proofErr w:type="spellEnd"/>
      <w:r w:rsidRPr="00B7140C">
        <w:t xml:space="preserve"> positive developments and provide limited critical information.</w:t>
      </w:r>
    </w:p>
    <w:p w14:paraId="34C1C8D2" w14:textId="77777777" w:rsidR="00B9667C" w:rsidRPr="00B7140C" w:rsidRDefault="00B9667C" w:rsidP="002E3DAB">
      <w:pPr>
        <w:pStyle w:val="NormalWeb"/>
        <w:spacing w:line="360" w:lineRule="auto"/>
        <w:jc w:val="both"/>
      </w:pPr>
      <w:r w:rsidRPr="00B7140C">
        <w:rPr>
          <w:rStyle w:val="Strong"/>
        </w:rPr>
        <w:t>Regulatory publications.</w:t>
      </w:r>
      <w:r w:rsidRPr="00B7140C">
        <w:t xml:space="preserve"> Regulatory evidence was obtained from the Advertising Standards Authority (ASA), Committee of Advertising Practice (CAP) and Ofcom. These sources provided authoritative information concerning influencer advertising, sponsorship disclosure and the UK digital-media environment. However, regulatory sources mainly explain rules and monitoring outcomes rather than consumer purchase </w:t>
      </w:r>
      <w:proofErr w:type="spellStart"/>
      <w:r w:rsidRPr="00B7140C">
        <w:t>behaviour</w:t>
      </w:r>
      <w:proofErr w:type="spellEnd"/>
      <w:r w:rsidRPr="00B7140C">
        <w:t>.</w:t>
      </w:r>
    </w:p>
    <w:p w14:paraId="0941E7ED" w14:textId="77777777" w:rsidR="00B9667C" w:rsidRPr="00B7140C" w:rsidRDefault="00B9667C" w:rsidP="002E3DAB">
      <w:pPr>
        <w:pStyle w:val="NormalWeb"/>
        <w:spacing w:line="360" w:lineRule="auto"/>
        <w:jc w:val="both"/>
      </w:pPr>
      <w:r w:rsidRPr="00B7140C">
        <w:rPr>
          <w:rStyle w:val="Strong"/>
        </w:rPr>
        <w:t>Business press, trade publications and market reports.</w:t>
      </w:r>
      <w:r w:rsidRPr="00B7140C">
        <w:t xml:space="preserve"> Reputable trade press and selected market reports provided industry trends, market context and commercial perspectives. Their strengths included contemporary industry information and benchmarking. However, proprietary methodologies, aggregated data and commercial interests could restrict transparency and reproducibility (Booth, Sutton and Papaioannou, 2016).</w:t>
      </w:r>
    </w:p>
    <w:p w14:paraId="406B1516" w14:textId="77777777" w:rsidR="00B9667C" w:rsidRPr="00B7140C" w:rsidRDefault="00B9667C" w:rsidP="00315C77">
      <w:pPr>
        <w:pStyle w:val="Heading3"/>
        <w:jc w:val="both"/>
        <w:rPr>
          <w:rFonts w:ascii="Times New Roman" w:hAnsi="Times New Roman" w:cs="Times New Roman"/>
        </w:rPr>
      </w:pPr>
      <w:bookmarkStart w:id="62" w:name="_Toc240238867"/>
      <w:r w:rsidRPr="00B7140C">
        <w:rPr>
          <w:rFonts w:ascii="Times New Roman" w:hAnsi="Times New Roman" w:cs="Times New Roman"/>
        </w:rPr>
        <w:t>3.5.2 Data Collection Process</w:t>
      </w:r>
      <w:bookmarkEnd w:id="62"/>
    </w:p>
    <w:p w14:paraId="6714CA5A" w14:textId="77777777" w:rsidR="00B9667C" w:rsidRPr="00B7140C" w:rsidRDefault="00B9667C" w:rsidP="00315C77">
      <w:pPr>
        <w:pStyle w:val="NormalWeb"/>
        <w:spacing w:line="360" w:lineRule="auto"/>
        <w:jc w:val="both"/>
      </w:pPr>
      <w:r w:rsidRPr="00B7140C">
        <w:t>The basic Boolean search was</w:t>
      </w:r>
      <w:r w:rsidRPr="00B7140C">
        <w:rPr>
          <w:b/>
          <w:bCs/>
        </w:rPr>
        <w:t xml:space="preserve"> </w:t>
      </w:r>
      <w:r w:rsidRPr="00B7140C">
        <w:rPr>
          <w:rStyle w:val="Strong"/>
          <w:b w:val="0"/>
          <w:bCs w:val="0"/>
        </w:rPr>
        <w:t>("micro-influencer" OR "social media influencer") AND (credibility OR trustworthiness OR expertise OR attractiveness OR authenticity OR "likes") AND (skincare OR beauty OR cosmetic) AND (Gen Z OR "Generation Z" OR UK OR "United Kingdom")</w:t>
      </w:r>
      <w:r w:rsidRPr="00B7140C">
        <w:rPr>
          <w:b/>
          <w:bCs/>
        </w:rPr>
        <w:t>.</w:t>
      </w:r>
      <w:r w:rsidRPr="00B7140C">
        <w:t xml:space="preserve"> Additional searches included </w:t>
      </w:r>
      <w:r w:rsidRPr="00B7140C">
        <w:rPr>
          <w:rStyle w:val="Emphasis"/>
          <w:rFonts w:eastAsiaTheme="majorEastAsia"/>
        </w:rPr>
        <w:t>parasocial</w:t>
      </w:r>
      <w:r w:rsidRPr="00B7140C">
        <w:t xml:space="preserve">, TikTok, Instagram and </w:t>
      </w:r>
      <w:r w:rsidRPr="00B7140C">
        <w:rPr>
          <w:rStyle w:val="Emphasis"/>
          <w:rFonts w:eastAsiaTheme="majorEastAsia"/>
        </w:rPr>
        <w:t>sponsorship disclosure</w:t>
      </w:r>
      <w:r w:rsidRPr="00B7140C">
        <w:t>.</w:t>
      </w:r>
    </w:p>
    <w:p w14:paraId="23A3C4F9" w14:textId="77777777" w:rsidR="00B9667C" w:rsidRPr="00B7140C" w:rsidRDefault="00B9667C" w:rsidP="00315C77">
      <w:pPr>
        <w:pStyle w:val="NormalWeb"/>
        <w:spacing w:line="360" w:lineRule="auto"/>
        <w:jc w:val="both"/>
      </w:pPr>
      <w:r w:rsidRPr="00B7140C">
        <w:t>A search log recorded the database, search date, exact query, filters, result numbers and reasons for exclusion. Titles and abstracts were screened first, followed by full-text assessment against the same eligibility criteria. Duplicates were removed, and backward and forward citation searching was undertaken. The identification, screening and inclusion process followed PRISMA 2020 reporting principles (Page et al., 2021). Final search and inclusion numbers were reported in Chapter 4 rather than estimated in advance.</w:t>
      </w:r>
    </w:p>
    <w:tbl>
      <w:tblPr>
        <w:tblW w:w="0" w:type="auto"/>
        <w:jc w:val="center"/>
        <w:tblLayout w:type="fixed"/>
        <w:tblLook w:val="04A0" w:firstRow="1" w:lastRow="0" w:firstColumn="1" w:lastColumn="0" w:noHBand="0" w:noVBand="1"/>
      </w:tblPr>
      <w:tblGrid>
        <w:gridCol w:w="1555"/>
        <w:gridCol w:w="331"/>
        <w:gridCol w:w="1555"/>
        <w:gridCol w:w="331"/>
        <w:gridCol w:w="1555"/>
        <w:gridCol w:w="331"/>
        <w:gridCol w:w="1555"/>
        <w:gridCol w:w="331"/>
        <w:gridCol w:w="1555"/>
      </w:tblGrid>
      <w:tr w:rsidR="00A12B69" w:rsidRPr="00B7140C" w14:paraId="4E97BD0C" w14:textId="77777777" w:rsidTr="00EE51EC">
        <w:trPr>
          <w:tblHeader/>
          <w:jc w:val="center"/>
        </w:trPr>
        <w:tc>
          <w:tcPr>
            <w:tcW w:w="1555" w:type="dxa"/>
            <w:tcBorders>
              <w:top w:val="nil"/>
              <w:left w:val="nil"/>
              <w:bottom w:val="nil"/>
              <w:right w:val="nil"/>
            </w:tcBorders>
            <w:vAlign w:val="center"/>
          </w:tcPr>
          <w:p w14:paraId="5CC85BF9"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noProof/>
                <w:sz w:val="17"/>
              </w:rPr>
              <mc:AlternateContent>
                <mc:Choice Requires="wps">
                  <w:drawing>
                    <wp:inline distT="0" distB="0" distL="0" distR="0" wp14:anchorId="76445316" wp14:editId="363477FE">
                      <wp:extent cx="1050000" cy="520000"/>
                      <wp:effectExtent l="0" t="0" r="0" b="0"/>
                      <wp:docPr id="59434" name="Database search" descr="Editable methodology diagram shape: Database search"/>
                      <wp:cNvGraphicFramePr/>
                      <a:graphic xmlns:a="http://schemas.openxmlformats.org/drawingml/2006/main">
                        <a:graphicData uri="http://schemas.microsoft.com/office/word/2010/wordprocessingShape">
                          <wps:wsp>
                            <wps:cNvSpPr txBox="1"/>
                            <wps:spPr>
                              <a:xfrm>
                                <a:off x="0" y="0"/>
                                <a:ext cx="1050000" cy="520000"/>
                              </a:xfrm>
                              <a:prstGeom prst="roundRect">
                                <a:avLst/>
                              </a:prstGeom>
                              <a:solidFill>
                                <a:srgbClr val="D9EAF7"/>
                              </a:solidFill>
                              <a:ln w="12700">
                                <a:solidFill>
                                  <a:srgbClr val="1F4E78"/>
                                </a:solidFill>
                              </a:ln>
                            </wps:spPr>
                            <wps:txbx>
                              <w:txbxContent>
                                <w:p w14:paraId="6C0D24FA" w14:textId="77777777" w:rsidR="00A930E4" w:rsidRDefault="00A930E4" w:rsidP="00A930E4">
                                  <w:pPr>
                                    <w:jc w:val="center"/>
                                  </w:pPr>
                                  <w:r>
                                    <w:rPr>
                                      <w:b/>
                                      <w:color w:val="203040"/>
                                      <w:sz w:val="18"/>
                                    </w:rPr>
                                    <w:t>Database search</w:t>
                                  </w:r>
                                </w:p>
                              </w:txbxContent>
                            </wps:txbx>
                            <wps:bodyPr lIns="50000" tIns="25000" rIns="50000" bIns="25000" anchor="ctr"/>
                          </wps:wsp>
                        </a:graphicData>
                      </a:graphic>
                    </wp:inline>
                  </w:drawing>
                </mc:Choice>
                <mc:Fallback>
                  <w:pict>
                    <v:roundrect w14:anchorId="76445316" id="Database search" o:spid="_x0000_s1026" alt="Editable methodology diagram shape: Database search" style="width:82.7pt;height:40.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" fillcolor="#d9eaf7" strokecolor="#1f4e78" strokeweight="1pt">
                      <v:textbox inset="1.3889mm,.69444mm,1.3889mm,.69444mm">
                        <w:txbxContent>
                          <w:p w14:paraId="6C0D24FA" w14:textId="77777777" w:rsidR="00A930E4" w:rsidRDefault="00A930E4" w:rsidP="00A930E4">
                            <w:pPr>
                              <w:jc w:val="center"/>
                            </w:pPr>
                            <w:r>
                              <w:rPr>
                                <w:b/>
                                <w:color w:val="203040"/>
                                <w:sz w:val="18"/>
                              </w:rPr>
                              <w:t>Database search</w:t>
                            </w:r>
                          </w:p>
                        </w:txbxContent>
                      </v:textbox>
                      <w10:anchorlock/>
                    </v:roundrect>
                  </w:pict>
                </mc:Fallback>
              </mc:AlternateContent>
            </w:r>
          </w:p>
        </w:tc>
        <w:tc>
          <w:tcPr>
            <w:tcW w:w="331" w:type="dxa"/>
            <w:tcBorders>
              <w:top w:val="nil"/>
              <w:left w:val="nil"/>
              <w:bottom w:val="nil"/>
              <w:right w:val="nil"/>
            </w:tcBorders>
            <w:vAlign w:val="center"/>
          </w:tcPr>
          <w:p w14:paraId="0D7D3F4B"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b/>
                <w:sz w:val="32"/>
              </w:rPr>
              <w:t>→</w:t>
            </w:r>
          </w:p>
        </w:tc>
        <w:tc>
          <w:tcPr>
            <w:tcW w:w="1555" w:type="dxa"/>
            <w:tcBorders>
              <w:top w:val="nil"/>
              <w:left w:val="nil"/>
              <w:bottom w:val="nil"/>
              <w:right w:val="nil"/>
            </w:tcBorders>
            <w:vAlign w:val="center"/>
          </w:tcPr>
          <w:p w14:paraId="18F1DFF0"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noProof/>
                <w:sz w:val="17"/>
              </w:rPr>
              <mc:AlternateContent>
                <mc:Choice Requires="wps">
                  <w:drawing>
                    <wp:inline distT="0" distB="0" distL="0" distR="0" wp14:anchorId="15EC0EA3" wp14:editId="1BFA4202">
                      <wp:extent cx="1050000" cy="520000"/>
                      <wp:effectExtent l="0" t="0" r="0" b="0"/>
                      <wp:docPr id="11331" name="De-duplicate" descr="Editable methodology diagram shape: De-duplicate"/>
                      <wp:cNvGraphicFramePr/>
                      <a:graphic xmlns:a="http://schemas.openxmlformats.org/drawingml/2006/main">
                        <a:graphicData uri="http://schemas.microsoft.com/office/word/2010/wordprocessingShape">
                          <wps:wsp>
                            <wps:cNvSpPr txBox="1"/>
                            <wps:spPr>
                              <a:xfrm>
                                <a:off x="0" y="0"/>
                                <a:ext cx="1050000" cy="520000"/>
                              </a:xfrm>
                              <a:prstGeom prst="roundRect">
                                <a:avLst/>
                              </a:prstGeom>
                              <a:solidFill>
                                <a:srgbClr val="D9EAF7"/>
                              </a:solidFill>
                              <a:ln w="12700">
                                <a:solidFill>
                                  <a:srgbClr val="1F4E78"/>
                                </a:solidFill>
                              </a:ln>
                            </wps:spPr>
                            <wps:txbx>
                              <w:txbxContent>
                                <w:p w14:paraId="5FFDB668" w14:textId="77777777" w:rsidR="00A930E4" w:rsidRDefault="00A930E4" w:rsidP="00A930E4">
                                  <w:pPr>
                                    <w:jc w:val="center"/>
                                  </w:pPr>
                                  <w:r>
                                    <w:rPr>
                                      <w:b/>
                                      <w:color w:val="203040"/>
                                      <w:sz w:val="18"/>
                                    </w:rPr>
                                    <w:t>De-duplicate</w:t>
                                  </w:r>
                                </w:p>
                              </w:txbxContent>
                            </wps:txbx>
                            <wps:bodyPr lIns="50000" tIns="25000" rIns="50000" bIns="25000" anchor="ctr"/>
                          </wps:wsp>
                        </a:graphicData>
                      </a:graphic>
                    </wp:inline>
                  </w:drawing>
                </mc:Choice>
                <mc:Fallback>
                  <w:pict>
                    <v:roundrect w14:anchorId="15EC0EA3" id="De-duplicate" o:spid="_x0000_s1027" alt="Editable methodology diagram shape: De-duplicate" style="width:82.7pt;height:40.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" fillcolor="#d9eaf7" strokecolor="#1f4e78" strokeweight="1pt">
                      <v:textbox inset="1.3889mm,.69444mm,1.3889mm,.69444mm">
                        <w:txbxContent>
                          <w:p w14:paraId="5FFDB668" w14:textId="77777777" w:rsidR="00A930E4" w:rsidRDefault="00A930E4" w:rsidP="00A930E4">
                            <w:pPr>
                              <w:jc w:val="center"/>
                            </w:pPr>
                            <w:r>
                              <w:rPr>
                                <w:b/>
                                <w:color w:val="203040"/>
                                <w:sz w:val="18"/>
                              </w:rPr>
                              <w:t>De-duplicate</w:t>
                            </w:r>
                          </w:p>
                        </w:txbxContent>
                      </v:textbox>
                      <w10:anchorlock/>
                    </v:roundrect>
                  </w:pict>
                </mc:Fallback>
              </mc:AlternateContent>
            </w:r>
          </w:p>
        </w:tc>
        <w:tc>
          <w:tcPr>
            <w:tcW w:w="331" w:type="dxa"/>
            <w:tcBorders>
              <w:top w:val="nil"/>
              <w:left w:val="nil"/>
              <w:bottom w:val="nil"/>
              <w:right w:val="nil"/>
            </w:tcBorders>
            <w:vAlign w:val="center"/>
          </w:tcPr>
          <w:p w14:paraId="1228BCCD"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b/>
                <w:sz w:val="32"/>
              </w:rPr>
              <w:t>→</w:t>
            </w:r>
          </w:p>
        </w:tc>
        <w:tc>
          <w:tcPr>
            <w:tcW w:w="1555" w:type="dxa"/>
            <w:tcBorders>
              <w:top w:val="nil"/>
              <w:left w:val="nil"/>
              <w:bottom w:val="nil"/>
              <w:right w:val="nil"/>
            </w:tcBorders>
            <w:vAlign w:val="center"/>
          </w:tcPr>
          <w:p w14:paraId="3FDFCA4E"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noProof/>
                <w:sz w:val="17"/>
              </w:rPr>
              <mc:AlternateContent>
                <mc:Choice Requires="wps">
                  <w:drawing>
                    <wp:inline distT="0" distB="0" distL="0" distR="0" wp14:anchorId="6AC30271" wp14:editId="5641A056">
                      <wp:extent cx="1050000" cy="520000"/>
                      <wp:effectExtent l="0" t="0" r="0" b="0"/>
                      <wp:docPr id="52730" name="Title/abstract screen" descr="Editable methodology diagram shape: Title/abstract screen"/>
                      <wp:cNvGraphicFramePr/>
                      <a:graphic xmlns:a="http://schemas.openxmlformats.org/drawingml/2006/main">
                        <a:graphicData uri="http://schemas.microsoft.com/office/word/2010/wordprocessingShape">
                          <wps:wsp>
                            <wps:cNvSpPr txBox="1"/>
                            <wps:spPr>
                              <a:xfrm>
                                <a:off x="0" y="0"/>
                                <a:ext cx="1050000" cy="520000"/>
                              </a:xfrm>
                              <a:prstGeom prst="roundRect">
                                <a:avLst/>
                              </a:prstGeom>
                              <a:solidFill>
                                <a:srgbClr val="D9EAF7"/>
                              </a:solidFill>
                              <a:ln w="12700">
                                <a:solidFill>
                                  <a:srgbClr val="1F4E78"/>
                                </a:solidFill>
                              </a:ln>
                            </wps:spPr>
                            <wps:txbx>
                              <w:txbxContent>
                                <w:p w14:paraId="28C64D6C" w14:textId="77777777" w:rsidR="00A930E4" w:rsidRDefault="00A930E4" w:rsidP="00A930E4">
                                  <w:pPr>
                                    <w:jc w:val="center"/>
                                  </w:pPr>
                                  <w:r>
                                    <w:rPr>
                                      <w:b/>
                                      <w:color w:val="203040"/>
                                      <w:sz w:val="18"/>
                                    </w:rPr>
                                    <w:t>Title/abstract screen</w:t>
                                  </w:r>
                                </w:p>
                              </w:txbxContent>
                            </wps:txbx>
                            <wps:bodyPr lIns="50000" tIns="25000" rIns="50000" bIns="25000" anchor="ctr"/>
                          </wps:wsp>
                        </a:graphicData>
                      </a:graphic>
                    </wp:inline>
                  </w:drawing>
                </mc:Choice>
                <mc:Fallback>
                  <w:pict>
                    <v:roundrect w14:anchorId="6AC30271" id="Title/abstract screen" o:spid="_x0000_s1028" alt="Editable methodology diagram shape: Title/abstract screen" style="width:82.7pt;height:40.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" fillcolor="#d9eaf7" strokecolor="#1f4e78" strokeweight="1pt">
                      <v:textbox inset="1.3889mm,.69444mm,1.3889mm,.69444mm">
                        <w:txbxContent>
                          <w:p w14:paraId="28C64D6C" w14:textId="77777777" w:rsidR="00A930E4" w:rsidRDefault="00A930E4" w:rsidP="00A930E4">
                            <w:pPr>
                              <w:jc w:val="center"/>
                            </w:pPr>
                            <w:r>
                              <w:rPr>
                                <w:b/>
                                <w:color w:val="203040"/>
                                <w:sz w:val="18"/>
                              </w:rPr>
                              <w:t>Title/abstract screen</w:t>
                            </w:r>
                          </w:p>
                        </w:txbxContent>
                      </v:textbox>
                      <w10:anchorlock/>
                    </v:roundrect>
                  </w:pict>
                </mc:Fallback>
              </mc:AlternateContent>
            </w:r>
          </w:p>
        </w:tc>
        <w:tc>
          <w:tcPr>
            <w:tcW w:w="331" w:type="dxa"/>
            <w:tcBorders>
              <w:top w:val="nil"/>
              <w:left w:val="nil"/>
              <w:bottom w:val="nil"/>
              <w:right w:val="nil"/>
            </w:tcBorders>
            <w:vAlign w:val="center"/>
          </w:tcPr>
          <w:p w14:paraId="0760F745"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b/>
                <w:sz w:val="32"/>
              </w:rPr>
              <w:t>→</w:t>
            </w:r>
          </w:p>
        </w:tc>
        <w:tc>
          <w:tcPr>
            <w:tcW w:w="1555" w:type="dxa"/>
            <w:tcBorders>
              <w:top w:val="nil"/>
              <w:left w:val="nil"/>
              <w:bottom w:val="nil"/>
              <w:right w:val="nil"/>
            </w:tcBorders>
            <w:vAlign w:val="center"/>
          </w:tcPr>
          <w:p w14:paraId="2DFAB8E1"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noProof/>
                <w:sz w:val="17"/>
              </w:rPr>
              <mc:AlternateContent>
                <mc:Choice Requires="wps">
                  <w:drawing>
                    <wp:inline distT="0" distB="0" distL="0" distR="0" wp14:anchorId="2EB0E3AD" wp14:editId="531B34EB">
                      <wp:extent cx="1050000" cy="520000"/>
                      <wp:effectExtent l="0" t="0" r="0" b="0"/>
                      <wp:docPr id="33192" name="Full-text appraisal" descr="Editable methodology diagram shape: Full-text appraisal"/>
                      <wp:cNvGraphicFramePr/>
                      <a:graphic xmlns:a="http://schemas.openxmlformats.org/drawingml/2006/main">
                        <a:graphicData uri="http://schemas.microsoft.com/office/word/2010/wordprocessingShape">
                          <wps:wsp>
                            <wps:cNvSpPr txBox="1"/>
                            <wps:spPr>
                              <a:xfrm>
                                <a:off x="0" y="0"/>
                                <a:ext cx="1050000" cy="520000"/>
                              </a:xfrm>
                              <a:prstGeom prst="roundRect">
                                <a:avLst/>
                              </a:prstGeom>
                              <a:solidFill>
                                <a:srgbClr val="D9EAF7"/>
                              </a:solidFill>
                              <a:ln w="12700">
                                <a:solidFill>
                                  <a:srgbClr val="1F4E78"/>
                                </a:solidFill>
                              </a:ln>
                            </wps:spPr>
                            <wps:txbx>
                              <w:txbxContent>
                                <w:p w14:paraId="1D52F48E" w14:textId="77777777" w:rsidR="00A930E4" w:rsidRDefault="00A930E4" w:rsidP="00A930E4">
                                  <w:pPr>
                                    <w:jc w:val="center"/>
                                  </w:pPr>
                                  <w:r>
                                    <w:rPr>
                                      <w:b/>
                                      <w:color w:val="203040"/>
                                      <w:sz w:val="18"/>
                                    </w:rPr>
                                    <w:t>Full-text appraisal</w:t>
                                  </w:r>
                                </w:p>
                              </w:txbxContent>
                            </wps:txbx>
                            <wps:bodyPr lIns="50000" tIns="25000" rIns="50000" bIns="25000" anchor="ctr"/>
                          </wps:wsp>
                        </a:graphicData>
                      </a:graphic>
                    </wp:inline>
                  </w:drawing>
                </mc:Choice>
                <mc:Fallback>
                  <w:pict>
                    <v:roundrect w14:anchorId="2EB0E3AD" id="Full-text appraisal" o:spid="_x0000_s1029" alt="Editable methodology diagram shape: Full-text appraisal" style="width:82.7pt;height:40.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" fillcolor="#d9eaf7" strokecolor="#1f4e78" strokeweight="1pt">
                      <v:textbox inset="1.3889mm,.69444mm,1.3889mm,.69444mm">
                        <w:txbxContent>
                          <w:p w14:paraId="1D52F48E" w14:textId="77777777" w:rsidR="00A930E4" w:rsidRDefault="00A930E4" w:rsidP="00A930E4">
                            <w:pPr>
                              <w:jc w:val="center"/>
                            </w:pPr>
                            <w:r>
                              <w:rPr>
                                <w:b/>
                                <w:color w:val="203040"/>
                                <w:sz w:val="18"/>
                              </w:rPr>
                              <w:t>Full-text appraisal</w:t>
                            </w:r>
                          </w:p>
                        </w:txbxContent>
                      </v:textbox>
                      <w10:anchorlock/>
                    </v:roundrect>
                  </w:pict>
                </mc:Fallback>
              </mc:AlternateContent>
            </w:r>
          </w:p>
        </w:tc>
        <w:tc>
          <w:tcPr>
            <w:tcW w:w="331" w:type="dxa"/>
            <w:tcBorders>
              <w:top w:val="nil"/>
              <w:left w:val="nil"/>
              <w:bottom w:val="nil"/>
              <w:right w:val="nil"/>
            </w:tcBorders>
            <w:vAlign w:val="center"/>
          </w:tcPr>
          <w:p w14:paraId="06936D07"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b/>
                <w:sz w:val="32"/>
              </w:rPr>
              <w:t>→</w:t>
            </w:r>
          </w:p>
        </w:tc>
        <w:tc>
          <w:tcPr>
            <w:tcW w:w="1555" w:type="dxa"/>
            <w:tcBorders>
              <w:top w:val="nil"/>
              <w:left w:val="nil"/>
              <w:bottom w:val="nil"/>
              <w:right w:val="nil"/>
            </w:tcBorders>
            <w:vAlign w:val="center"/>
          </w:tcPr>
          <w:p w14:paraId="60CA5E7D" w14:textId="77777777" w:rsidR="00A930E4" w:rsidRPr="00B7140C" w:rsidRDefault="00A930E4" w:rsidP="00EE51EC">
            <w:pPr>
              <w:jc w:val="center"/>
              <w:rPr>
                <w:rFonts w:ascii="Times New Roman" w:hAnsi="Times New Roman" w:cs="Times New Roman"/>
              </w:rPr>
            </w:pPr>
            <w:r w:rsidRPr="00B7140C">
              <w:rPr>
                <w:rFonts w:ascii="Times New Roman" w:hAnsi="Times New Roman" w:cs="Times New Roman"/>
                <w:noProof/>
                <w:sz w:val="17"/>
              </w:rPr>
              <mc:AlternateContent>
                <mc:Choice Requires="wps">
                  <w:drawing>
                    <wp:inline distT="0" distB="0" distL="0" distR="0" wp14:anchorId="55CA09BD" wp14:editId="42E486DB">
                      <wp:extent cx="1050000" cy="520000"/>
                      <wp:effectExtent l="0" t="0" r="0" b="0"/>
                      <wp:docPr id="18244" name="Included evidence" descr="Editable methodology diagram shape: Included evidence"/>
                      <wp:cNvGraphicFramePr/>
                      <a:graphic xmlns:a="http://schemas.openxmlformats.org/drawingml/2006/main">
                        <a:graphicData uri="http://schemas.microsoft.com/office/word/2010/wordprocessingShape">
                          <wps:wsp>
                            <wps:cNvSpPr txBox="1"/>
                            <wps:spPr>
                              <a:xfrm>
                                <a:off x="0" y="0"/>
                                <a:ext cx="1050000" cy="520000"/>
                              </a:xfrm>
                              <a:prstGeom prst="roundRect">
                                <a:avLst/>
                              </a:prstGeom>
                              <a:solidFill>
                                <a:srgbClr val="D9EAF7"/>
                              </a:solidFill>
                              <a:ln w="12700">
                                <a:solidFill>
                                  <a:srgbClr val="1F4E78"/>
                                </a:solidFill>
                              </a:ln>
                            </wps:spPr>
                            <wps:txbx>
                              <w:txbxContent>
                                <w:p w14:paraId="56C5E2BE" w14:textId="77777777" w:rsidR="00A930E4" w:rsidRDefault="00A930E4" w:rsidP="00A930E4">
                                  <w:pPr>
                                    <w:jc w:val="center"/>
                                  </w:pPr>
                                  <w:r>
                                    <w:rPr>
                                      <w:b/>
                                      <w:color w:val="203040"/>
                                      <w:sz w:val="18"/>
                                    </w:rPr>
                                    <w:t>Included evidence</w:t>
                                  </w:r>
                                </w:p>
                              </w:txbxContent>
                            </wps:txbx>
                            <wps:bodyPr lIns="50000" tIns="25000" rIns="50000" bIns="25000" anchor="ctr"/>
                          </wps:wsp>
                        </a:graphicData>
                      </a:graphic>
                    </wp:inline>
                  </w:drawing>
                </mc:Choice>
                <mc:Fallback>
                  <w:pict>
                    <v:roundrect w14:anchorId="55CA09BD" id="Included evidence" o:spid="_x0000_s1030" alt="Editable methodology diagram shape: Included evidence" style="width:82.7pt;height:40.9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" fillcolor="#d9eaf7" strokecolor="#1f4e78" strokeweight="1pt">
                      <v:textbox inset="1.3889mm,.69444mm,1.3889mm,.69444mm">
                        <w:txbxContent>
                          <w:p w14:paraId="56C5E2BE" w14:textId="77777777" w:rsidR="00A930E4" w:rsidRDefault="00A930E4" w:rsidP="00A930E4">
                            <w:pPr>
                              <w:jc w:val="center"/>
                            </w:pPr>
                            <w:r>
                              <w:rPr>
                                <w:b/>
                                <w:color w:val="203040"/>
                                <w:sz w:val="18"/>
                              </w:rPr>
                              <w:t>Included evidence</w:t>
                            </w:r>
                          </w:p>
                        </w:txbxContent>
                      </v:textbox>
                      <w10:anchorlock/>
                    </v:roundrect>
                  </w:pict>
                </mc:Fallback>
              </mc:AlternateContent>
            </w:r>
          </w:p>
        </w:tc>
      </w:tr>
    </w:tbl>
    <w:p w14:paraId="2E3C54D2" w14:textId="77777777" w:rsidR="00A930E4" w:rsidRPr="00B7140C" w:rsidRDefault="00A930E4" w:rsidP="00A930E4">
      <w:pPr>
        <w:jc w:val="center"/>
        <w:rPr>
          <w:rFonts w:ascii="Times New Roman" w:hAnsi="Times New Roman" w:cs="Times New Roman"/>
        </w:rPr>
      </w:pPr>
      <w:r w:rsidRPr="00B7140C">
        <w:rPr>
          <w:rFonts w:ascii="Times New Roman" w:hAnsi="Times New Roman" w:cs="Times New Roman"/>
          <w:b/>
          <w:sz w:val="18"/>
        </w:rPr>
        <w:lastRenderedPageBreak/>
        <w:t xml:space="preserve">Figure 3.2: Evidence identification and screening process (author-developed). </w:t>
      </w:r>
    </w:p>
    <w:p w14:paraId="5B8EBF80" w14:textId="77777777" w:rsidR="00A930E4" w:rsidRPr="00B7140C" w:rsidRDefault="00A930E4" w:rsidP="00A930E4">
      <w:pPr>
        <w:pStyle w:val="Heading2"/>
        <w:rPr>
          <w:rFonts w:ascii="Times New Roman" w:hAnsi="Times New Roman" w:cs="Times New Roman"/>
          <w:color w:val="auto"/>
        </w:rPr>
      </w:pPr>
      <w:bookmarkStart w:id="63" w:name="_Toc237130095"/>
      <w:bookmarkStart w:id="64" w:name="_Toc240238868"/>
      <w:r w:rsidRPr="00B7140C">
        <w:rPr>
          <w:rFonts w:ascii="Times New Roman" w:hAnsi="Times New Roman" w:cs="Times New Roman"/>
          <w:color w:val="auto"/>
        </w:rPr>
        <w:t xml:space="preserve">3.6 </w:t>
      </w:r>
      <w:r w:rsidR="005C37C4" w:rsidRPr="00B7140C">
        <w:rPr>
          <w:rFonts w:ascii="Times New Roman" w:hAnsi="Times New Roman" w:cs="Times New Roman"/>
          <w:color w:val="auto"/>
        </w:rPr>
        <w:t>Data Analysis Approach</w:t>
      </w:r>
      <w:bookmarkEnd w:id="63"/>
      <w:bookmarkEnd w:id="64"/>
      <w:r w:rsidR="005C37C4" w:rsidRPr="00B7140C">
        <w:rPr>
          <w:rFonts w:ascii="Times New Roman" w:hAnsi="Times New Roman" w:cs="Times New Roman"/>
          <w:color w:val="auto"/>
        </w:rPr>
        <w:t xml:space="preserve">  </w:t>
      </w:r>
    </w:p>
    <w:p w14:paraId="0E5568B8" w14:textId="77777777" w:rsidR="00A930E4" w:rsidRPr="00B7140C" w:rsidRDefault="00A930E4" w:rsidP="00A930E4">
      <w:pPr>
        <w:pStyle w:val="Heading3"/>
        <w:rPr>
          <w:rFonts w:ascii="Times New Roman" w:hAnsi="Times New Roman" w:cs="Times New Roman"/>
          <w:color w:val="auto"/>
        </w:rPr>
      </w:pPr>
      <w:bookmarkStart w:id="65" w:name="_Toc237130096"/>
      <w:bookmarkStart w:id="66" w:name="_Toc240238869"/>
      <w:r w:rsidRPr="00B7140C">
        <w:rPr>
          <w:rFonts w:ascii="Times New Roman" w:hAnsi="Times New Roman" w:cs="Times New Roman"/>
          <w:color w:val="auto"/>
        </w:rPr>
        <w:t>3.6.1 Extraction and quality appraisal</w:t>
      </w:r>
      <w:bookmarkEnd w:id="65"/>
      <w:bookmarkEnd w:id="66"/>
    </w:p>
    <w:p w14:paraId="7D9F1ECD"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The relevant data was gathered using a structured Excel matrix, which included information on the author, the year of publication, the country of origin, the participant profile, the platform, the product category, the research design, the sample size, the credibility constructs and measures, the analysis method, the reported relationship and the limitations and relevance to UK Gen Z skincare. The authority, methodological clarity, sample suitability, construct validity, analytical transparency, risk of bias and contextual fit of each source were appraised. </w:t>
      </w:r>
      <w:proofErr w:type="spellStart"/>
      <w:r w:rsidRPr="00B7140C">
        <w:rPr>
          <w:rFonts w:ascii="Times New Roman" w:hAnsi="Times New Roman" w:cs="Times New Roman"/>
        </w:rPr>
        <w:t>Standardised</w:t>
      </w:r>
      <w:proofErr w:type="spellEnd"/>
      <w:r w:rsidRPr="00B7140C">
        <w:rPr>
          <w:rFonts w:ascii="Times New Roman" w:hAnsi="Times New Roman" w:cs="Times New Roman"/>
        </w:rPr>
        <w:t xml:space="preserve"> extraction enabled consistent comparison and a feasible auditable decision trail (Booth, Sutton and Papaioannou, 2016). More interpretive weight was placed on peer-reviewed results with clear designs than commercial summaries. The lack of a single mechanical score did not result in a decrease in the quality of the studies: a large sample study may have weak constructs, and a small qualitative study may be informative about explanation, but it may not have population inference.</w:t>
      </w:r>
    </w:p>
    <w:p w14:paraId="5C6D9502" w14:textId="77777777" w:rsidR="00A930E4" w:rsidRPr="00B7140C" w:rsidRDefault="00A930E4" w:rsidP="00A930E4">
      <w:pPr>
        <w:pStyle w:val="Heading3"/>
        <w:rPr>
          <w:rFonts w:ascii="Times New Roman" w:hAnsi="Times New Roman" w:cs="Times New Roman"/>
          <w:color w:val="auto"/>
        </w:rPr>
      </w:pPr>
      <w:bookmarkStart w:id="67" w:name="_Toc237130097"/>
      <w:bookmarkStart w:id="68" w:name="_Toc240238870"/>
      <w:r w:rsidRPr="00B7140C">
        <w:rPr>
          <w:rFonts w:ascii="Times New Roman" w:hAnsi="Times New Roman" w:cs="Times New Roman"/>
          <w:color w:val="auto"/>
        </w:rPr>
        <w:t>3.6.2 Directed thematic analysis and narrative synthesis</w:t>
      </w:r>
      <w:bookmarkEnd w:id="67"/>
      <w:bookmarkEnd w:id="68"/>
    </w:p>
    <w:p w14:paraId="72FA5559"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Directed thematic analysis began with the concepts of trustworthiness, expertise, attractiveness, authenticity, homophily, parasocial attachment, platform context and sponsorship disclosure. Coding remained open to emergent mechanisms, contradictory findings and boundary conditions (Braun and Clarke, 2006). Evidence was compared within each theme by definition, direction and consistency of relationships, research method, sample, platform, product category and geography. Direct UK skincare evidence was distinguished from transferable evidence from adjacent contexts. Incompatible findings were retained rather than averaged. A documented coding process and attention to disconfirming evidence strengthened the credibility and dependability of the interpretation (Nowell et al., 2017).</w:t>
      </w:r>
    </w:p>
    <w:p w14:paraId="08A93F8E"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Narrative synthesis was used because the constructs and outcome measures were too heterogeneous for defensible statistical pooling. Combining non-equivalent coefficients in a meta-analysis could create spurious precision. Narrative synthesis instead enabled systematic exploration of relationships within and between heterogeneous sources (Popay et al., 2006). Within-case analysis was then used to assemble the evidence for each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using the same Background -&gt; Challenge/Opportunity -&gt; Approach/Implementation -&gt; Outcomes </w:t>
      </w:r>
      <w:r w:rsidRPr="00B7140C">
        <w:rPr>
          <w:rFonts w:ascii="Times New Roman" w:hAnsi="Times New Roman" w:cs="Times New Roman"/>
        </w:rPr>
        <w:lastRenderedPageBreak/>
        <w:t>structure, and cross-case analysis compared recurring patterns, differences, mechanisms and evidence limits across the five cases. A common comparison matrix linked each source to codes, themes, case interpretations and conclusions, creating a transparent evidence trail from Chapter 3 to Chapters 4 and 5.</w:t>
      </w:r>
    </w:p>
    <w:p w14:paraId="5FF7E6C0" w14:textId="77777777" w:rsidR="00351715" w:rsidRPr="00B7140C" w:rsidRDefault="00682E2E" w:rsidP="0073628B">
      <w:pPr>
        <w:jc w:val="both"/>
        <w:rPr>
          <w:rFonts w:ascii="Times New Roman" w:hAnsi="Times New Roman" w:cs="Times New Roman"/>
          <w:bCs/>
        </w:rPr>
      </w:pPr>
      <w:r w:rsidRPr="00B7140C">
        <w:rPr>
          <w:rFonts w:ascii="Times New Roman" w:hAnsi="Times New Roman" w:cs="Times New Roman"/>
          <w:bCs/>
        </w:rPr>
        <w:t xml:space="preserve">After each evidence theme was </w:t>
      </w:r>
      <w:proofErr w:type="spellStart"/>
      <w:r w:rsidRPr="00B7140C">
        <w:rPr>
          <w:rFonts w:ascii="Times New Roman" w:hAnsi="Times New Roman" w:cs="Times New Roman"/>
          <w:bCs/>
        </w:rPr>
        <w:t>synthesised</w:t>
      </w:r>
      <w:proofErr w:type="spellEnd"/>
      <w:r w:rsidRPr="00B7140C">
        <w:rPr>
          <w:rFonts w:ascii="Times New Roman" w:hAnsi="Times New Roman" w:cs="Times New Roman"/>
          <w:bCs/>
        </w:rPr>
        <w:t xml:space="preserve">, the same questions were applied to The INKEY List, Pai Skincare, Revolution Skincare, No7 and Skin + Me: which credibility dimension was most relevant, what creator-product fit was required, what platform or disclosure condition mattered, and what outcome evidence was </w:t>
      </w:r>
      <w:r w:rsidR="0051472A" w:rsidRPr="00B7140C">
        <w:rPr>
          <w:rFonts w:ascii="Times New Roman" w:hAnsi="Times New Roman" w:cs="Times New Roman"/>
          <w:bCs/>
        </w:rPr>
        <w:t>available</w:t>
      </w:r>
      <w:r w:rsidRPr="00B7140C">
        <w:rPr>
          <w:rFonts w:ascii="Times New Roman" w:hAnsi="Times New Roman" w:cs="Times New Roman"/>
          <w:bCs/>
        </w:rPr>
        <w:t>. This common comparison reduced selective interpretation and provided a consistent basis for the cross-case synthesis reported in Chapters 4 and 5 (Saunders, Lewis and Thornhill, 2019).</w:t>
      </w:r>
    </w:p>
    <w:p w14:paraId="445C4E7C" w14:textId="77777777" w:rsidR="00A930E4" w:rsidRPr="00B7140C" w:rsidRDefault="00A930E4" w:rsidP="00A930E4">
      <w:pPr>
        <w:pStyle w:val="Heading2"/>
        <w:rPr>
          <w:rFonts w:ascii="Times New Roman" w:hAnsi="Times New Roman" w:cs="Times New Roman"/>
          <w:color w:val="auto"/>
        </w:rPr>
      </w:pPr>
      <w:bookmarkStart w:id="69" w:name="_Toc237130098"/>
      <w:bookmarkStart w:id="70" w:name="_Toc240238871"/>
      <w:r w:rsidRPr="00B7140C">
        <w:rPr>
          <w:rFonts w:ascii="Times New Roman" w:hAnsi="Times New Roman" w:cs="Times New Roman"/>
          <w:color w:val="auto"/>
        </w:rPr>
        <w:t xml:space="preserve">3.7 Research Quality and </w:t>
      </w:r>
      <w:proofErr w:type="spellStart"/>
      <w:r w:rsidRPr="00B7140C">
        <w:rPr>
          <w:rFonts w:ascii="Times New Roman" w:hAnsi="Times New Roman" w:cs="Times New Roman"/>
          <w:color w:val="auto"/>
        </w:rPr>
        <w:t>Rigour</w:t>
      </w:r>
      <w:bookmarkEnd w:id="69"/>
      <w:bookmarkEnd w:id="70"/>
      <w:proofErr w:type="spellEnd"/>
    </w:p>
    <w:p w14:paraId="243BB2C1"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The operational definitions from Chapter 2 and the separation of authenticity and homophily from traditional aspects of credibility provided support for construct validity. Triangulation across peer-reviewed studies, regulatory evidence and limited and judicious industry context increased credibility. One search log and consistent inclusion rules, along with a standard extraction matrix and recorded coding decisions, aided the dependability and reliability of the process and allowed another researcher to reproduce the procedure. Contradictory findings were kept; documentation of why sources were excluded and the connection between interpretation and extracted evidence was more prevalent, thus enhancing confirmability (Nowell et al., 2017).</w:t>
      </w:r>
    </w:p>
    <w:p w14:paraId="21456970"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The geographical boundaries, generational boundaries and product and platform boundaries were explicitly identified to address the issue of transferability. Conclusions were therefore analytically </w:t>
      </w:r>
      <w:proofErr w:type="spellStart"/>
      <w:r w:rsidRPr="00B7140C">
        <w:rPr>
          <w:rFonts w:ascii="Times New Roman" w:hAnsi="Times New Roman" w:cs="Times New Roman"/>
        </w:rPr>
        <w:t>generalised</w:t>
      </w:r>
      <w:proofErr w:type="spellEnd"/>
      <w:r w:rsidRPr="00B7140C">
        <w:rPr>
          <w:rFonts w:ascii="Times New Roman" w:hAnsi="Times New Roman" w:cs="Times New Roman"/>
        </w:rPr>
        <w:t xml:space="preserve"> to theory and managerial decision-making and not statistically </w:t>
      </w:r>
      <w:proofErr w:type="spellStart"/>
      <w:r w:rsidRPr="00B7140C">
        <w:rPr>
          <w:rFonts w:ascii="Times New Roman" w:hAnsi="Times New Roman" w:cs="Times New Roman"/>
        </w:rPr>
        <w:t>generalised</w:t>
      </w:r>
      <w:proofErr w:type="spellEnd"/>
      <w:r w:rsidRPr="00B7140C">
        <w:rPr>
          <w:rFonts w:ascii="Times New Roman" w:hAnsi="Times New Roman" w:cs="Times New Roman"/>
        </w:rPr>
        <w:t xml:space="preserve"> to all consumers in the UK in the Gen Z age group. There continued to be limitations of publication bias, inaccessible full texts, commercial self-presentation, and inconsistent measures and changing platform affordances. These did not prove to be preventable but were reduced by using source hierarchy, negative case attention and being careful in language. The transparency and trustworthiness of thematic analysis (Nowell et al., 2017) were also taken into account with reflexive checks, where the following was considered: did the Chapter 2 framework </w:t>
      </w:r>
      <w:proofErr w:type="spellStart"/>
      <w:r w:rsidRPr="00B7140C">
        <w:rPr>
          <w:rFonts w:ascii="Times New Roman" w:hAnsi="Times New Roman" w:cs="Times New Roman"/>
        </w:rPr>
        <w:t>overcode</w:t>
      </w:r>
      <w:proofErr w:type="spellEnd"/>
      <w:r w:rsidRPr="00B7140C">
        <w:rPr>
          <w:rFonts w:ascii="Times New Roman" w:hAnsi="Times New Roman" w:cs="Times New Roman"/>
        </w:rPr>
        <w:t xml:space="preserve"> expected themes?</w:t>
      </w:r>
    </w:p>
    <w:p w14:paraId="7EEAA08F" w14:textId="77777777" w:rsidR="00A930E4" w:rsidRPr="00B7140C" w:rsidRDefault="00A930E4" w:rsidP="00A930E4">
      <w:pPr>
        <w:pStyle w:val="Heading2"/>
        <w:rPr>
          <w:rFonts w:ascii="Times New Roman" w:hAnsi="Times New Roman" w:cs="Times New Roman"/>
          <w:color w:val="auto"/>
        </w:rPr>
      </w:pPr>
      <w:bookmarkStart w:id="71" w:name="_Toc237130099"/>
      <w:bookmarkStart w:id="72" w:name="_Toc240238872"/>
      <w:r w:rsidRPr="00B7140C">
        <w:rPr>
          <w:rFonts w:ascii="Times New Roman" w:hAnsi="Times New Roman" w:cs="Times New Roman"/>
          <w:color w:val="auto"/>
        </w:rPr>
        <w:lastRenderedPageBreak/>
        <w:t>3.8 Ethical Considerations and Data Management</w:t>
      </w:r>
      <w:bookmarkEnd w:id="71"/>
      <w:bookmarkEnd w:id="72"/>
    </w:p>
    <w:p w14:paraId="0A1E9AF8"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The study complied with the approved UWTSD secondary-data ethics application. No participants were recruited; therefore, informed consent, participant withdrawal and primary-data </w:t>
      </w:r>
      <w:proofErr w:type="spellStart"/>
      <w:r w:rsidRPr="00B7140C">
        <w:rPr>
          <w:rFonts w:ascii="Times New Roman" w:hAnsi="Times New Roman" w:cs="Times New Roman"/>
        </w:rPr>
        <w:t>anonymisation</w:t>
      </w:r>
      <w:proofErr w:type="spellEnd"/>
      <w:r w:rsidRPr="00B7140C">
        <w:rPr>
          <w:rFonts w:ascii="Times New Roman" w:hAnsi="Times New Roman" w:cs="Times New Roman"/>
        </w:rPr>
        <w:t xml:space="preserve"> were not applicable. No questionnaires, interviews, focus groups, observations or experiments were conducted, and no social-media data were scraped. The material </w:t>
      </w:r>
      <w:proofErr w:type="spellStart"/>
      <w:r w:rsidRPr="00B7140C">
        <w:rPr>
          <w:rFonts w:ascii="Times New Roman" w:hAnsi="Times New Roman" w:cs="Times New Roman"/>
        </w:rPr>
        <w:t>analysed</w:t>
      </w:r>
      <w:proofErr w:type="spellEnd"/>
      <w:r w:rsidRPr="00B7140C">
        <w:rPr>
          <w:rFonts w:ascii="Times New Roman" w:hAnsi="Times New Roman" w:cs="Times New Roman"/>
        </w:rPr>
        <w:t xml:space="preserve"> was publicly available or legitimately accessed secondary material, typically at an aggregate level, and no attempt was made to identify individuals behind online material. Sources were used with proper attribution and in accordance with copyright and database-</w:t>
      </w:r>
      <w:proofErr w:type="spellStart"/>
      <w:r w:rsidRPr="00B7140C">
        <w:rPr>
          <w:rFonts w:ascii="Times New Roman" w:hAnsi="Times New Roman" w:cs="Times New Roman"/>
        </w:rPr>
        <w:t>licence</w:t>
      </w:r>
      <w:proofErr w:type="spellEnd"/>
      <w:r w:rsidRPr="00B7140C">
        <w:rPr>
          <w:rFonts w:ascii="Times New Roman" w:hAnsi="Times New Roman" w:cs="Times New Roman"/>
        </w:rPr>
        <w:t xml:space="preserve"> requirements. These safeguards were consistent with the documentary secondary-data design (Saunders, Lewis and Thornhill, 2019). Public availability was not treated as permission to reproduce substantial copyrighted content.</w:t>
      </w:r>
    </w:p>
    <w:p w14:paraId="532BC9E0"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The search log, extraction matrix, appraisal record and coding framework were kept in password-protected, university-approved storage and used only for the research. Intellectual integrity was supported through accurate quotation, DOI/URL recording and complete attribution. Selective reporting was reduced by retaining </w:t>
      </w:r>
      <w:proofErr w:type="spellStart"/>
      <w:r w:rsidRPr="00B7140C">
        <w:rPr>
          <w:rFonts w:ascii="Times New Roman" w:hAnsi="Times New Roman" w:cs="Times New Roman"/>
        </w:rPr>
        <w:t>unfavourable</w:t>
      </w:r>
      <w:proofErr w:type="spellEnd"/>
      <w:r w:rsidRPr="00B7140C">
        <w:rPr>
          <w:rFonts w:ascii="Times New Roman" w:hAnsi="Times New Roman" w:cs="Times New Roman"/>
        </w:rPr>
        <w:t xml:space="preserve"> or inconsistent findings. Clear records and reporting of deviations support reproducibility (Page et al., 2021).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claims were presented proportionately and distinguished from peer-reviewed evidence because public company material can affect </w:t>
      </w:r>
      <w:proofErr w:type="spellStart"/>
      <w:r w:rsidRPr="00B7140C">
        <w:rPr>
          <w:rFonts w:ascii="Times New Roman" w:hAnsi="Times New Roman" w:cs="Times New Roman"/>
        </w:rPr>
        <w:t>organisational</w:t>
      </w:r>
      <w:proofErr w:type="spellEnd"/>
      <w:r w:rsidRPr="00B7140C">
        <w:rPr>
          <w:rFonts w:ascii="Times New Roman" w:hAnsi="Times New Roman" w:cs="Times New Roman"/>
        </w:rPr>
        <w:t xml:space="preserve"> reputation. Any later introduction of participants, social-media scraping or other primary methods would require an ethics amendment before data collection.</w:t>
      </w:r>
    </w:p>
    <w:p w14:paraId="51EC6F8A" w14:textId="77777777" w:rsidR="00A930E4" w:rsidRPr="00B7140C" w:rsidRDefault="00A930E4" w:rsidP="00A930E4">
      <w:pPr>
        <w:pStyle w:val="Heading2"/>
        <w:rPr>
          <w:rFonts w:ascii="Times New Roman" w:hAnsi="Times New Roman" w:cs="Times New Roman"/>
          <w:color w:val="auto"/>
        </w:rPr>
      </w:pPr>
      <w:bookmarkStart w:id="73" w:name="_Toc237130100"/>
      <w:bookmarkStart w:id="74" w:name="_Toc240238873"/>
      <w:r w:rsidRPr="00B7140C">
        <w:rPr>
          <w:rFonts w:ascii="Times New Roman" w:hAnsi="Times New Roman" w:cs="Times New Roman"/>
          <w:color w:val="auto"/>
        </w:rPr>
        <w:t>3.9 Chapter Summary</w:t>
      </w:r>
      <w:bookmarkEnd w:id="73"/>
      <w:bookmarkEnd w:id="74"/>
    </w:p>
    <w:p w14:paraId="767FE0D0" w14:textId="77777777" w:rsidR="00A930E4" w:rsidRPr="00B7140C" w:rsidRDefault="00A930E4" w:rsidP="00A930E4">
      <w:pPr>
        <w:jc w:val="both"/>
        <w:rPr>
          <w:rFonts w:ascii="Times New Roman" w:hAnsi="Times New Roman" w:cs="Times New Roman"/>
        </w:rPr>
      </w:pPr>
      <w:r w:rsidRPr="00B7140C">
        <w:rPr>
          <w:rFonts w:ascii="Times New Roman" w:hAnsi="Times New Roman" w:cs="Times New Roman"/>
        </w:rPr>
        <w:t xml:space="preserve">This chapter established a pragmatic, abductive and transparent secondary-data multiple-case methodology consistent with the approved ethics scope. Five UK skincare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were selected purposively, and evidence was gathered from academic, regulatory, company and reputable business sources. Structured searching, screening, extraction, quality appraisal, directed thematic analysis, within-case interpretation and cross-case narrative synthesis created a replicable evidence trail (Saunders, Lewis and Thornhill, 2019; Braun and Clarke, 2006; Popay et al., 2006). Chapter 4 applies this methodology through consistent case profiles and cross-case findings, while Chapter 5 compares those findings with the literature and refines the conceptual framework.</w:t>
      </w:r>
    </w:p>
    <w:p w14:paraId="22E08A0B" w14:textId="77777777" w:rsidR="00A40A85" w:rsidRPr="00B7140C" w:rsidRDefault="00A40A85" w:rsidP="00A40A85">
      <w:pPr>
        <w:pStyle w:val="Heading1"/>
        <w:pageBreakBefore/>
        <w:spacing w:before="280" w:after="100"/>
        <w:rPr>
          <w:rFonts w:ascii="Times New Roman" w:hAnsi="Times New Roman" w:cs="Times New Roman"/>
          <w:color w:val="auto"/>
        </w:rPr>
      </w:pPr>
      <w:bookmarkStart w:id="75" w:name="_Toc237130101"/>
      <w:bookmarkStart w:id="76" w:name="_Toc240238874"/>
      <w:bookmarkEnd w:id="75"/>
      <w:r w:rsidRPr="00B7140C">
        <w:rPr>
          <w:rFonts w:ascii="Times New Roman" w:hAnsi="Times New Roman" w:cs="Times New Roman"/>
          <w:color w:val="auto"/>
        </w:rPr>
        <w:lastRenderedPageBreak/>
        <w:t>Chapter 4: Findings and Cross-Case Analysis</w:t>
      </w:r>
      <w:bookmarkEnd w:id="76"/>
    </w:p>
    <w:p w14:paraId="1B1C92DA" w14:textId="77777777" w:rsidR="00A40A85" w:rsidRPr="00B7140C" w:rsidRDefault="00A40A85" w:rsidP="00A40A85">
      <w:pPr>
        <w:pStyle w:val="Heading2"/>
        <w:spacing w:after="100"/>
        <w:rPr>
          <w:rFonts w:ascii="Times New Roman" w:hAnsi="Times New Roman" w:cs="Times New Roman"/>
          <w:color w:val="auto"/>
        </w:rPr>
      </w:pPr>
      <w:bookmarkStart w:id="77" w:name="_Toc237130102"/>
      <w:bookmarkStart w:id="78" w:name="_Toc240238875"/>
      <w:bookmarkEnd w:id="77"/>
      <w:r w:rsidRPr="00B7140C">
        <w:rPr>
          <w:rFonts w:ascii="Times New Roman" w:hAnsi="Times New Roman" w:cs="Times New Roman"/>
          <w:color w:val="auto"/>
        </w:rPr>
        <w:t>4.1 Introduction</w:t>
      </w:r>
      <w:bookmarkEnd w:id="78"/>
    </w:p>
    <w:p w14:paraId="323A7A48" w14:textId="77777777" w:rsidR="0051472A" w:rsidRPr="00B7140C" w:rsidRDefault="0051472A" w:rsidP="0051472A">
      <w:pPr>
        <w:jc w:val="both"/>
        <w:rPr>
          <w:rFonts w:ascii="Times New Roman" w:hAnsi="Times New Roman" w:cs="Times New Roman"/>
        </w:rPr>
      </w:pPr>
      <w:r w:rsidRPr="00B7140C">
        <w:rPr>
          <w:rFonts w:ascii="Times New Roman" w:hAnsi="Times New Roman" w:cs="Times New Roman"/>
        </w:rPr>
        <w:t xml:space="preserve">The results of the secondary-data multiple-case procedure outlined in Chapter 3 are given in this chapter. It relies on the information from public companies, regulatory documents, academic research and reputable business reporting – no participants were recruited, and no social media comments, personal data or platform content were scraped. Five UK skincare brands were looked at: The INKEY List, Pai Skincare, Revolution Skincare, No7 and Skin + Me. They are ingredient-based, sensitive skin, mass-market, science-based and </w:t>
      </w:r>
      <w:proofErr w:type="spellStart"/>
      <w:r w:rsidRPr="00B7140C">
        <w:rPr>
          <w:rFonts w:ascii="Times New Roman" w:hAnsi="Times New Roman" w:cs="Times New Roman"/>
        </w:rPr>
        <w:t>personalised</w:t>
      </w:r>
      <w:proofErr w:type="spellEnd"/>
      <w:r w:rsidRPr="00B7140C">
        <w:rPr>
          <w:rFonts w:ascii="Times New Roman" w:hAnsi="Times New Roman" w:cs="Times New Roman"/>
        </w:rPr>
        <w:t xml:space="preserve"> digital models. The background, challenge/opportunity, approach and outcome are the same for each case. The chapter focuses on the research objective by reviewing the elements of credibility, authenticity, expertise, and parasocial connection and disclosure and how they can be applied to the purchase intention. It avoids the misuse of the sales or purchase </w:t>
      </w:r>
      <w:proofErr w:type="spellStart"/>
      <w:r w:rsidRPr="00B7140C">
        <w:rPr>
          <w:rFonts w:ascii="Times New Roman" w:hAnsi="Times New Roman" w:cs="Times New Roman"/>
        </w:rPr>
        <w:t>behaviour</w:t>
      </w:r>
      <w:proofErr w:type="spellEnd"/>
      <w:r w:rsidRPr="00B7140C">
        <w:rPr>
          <w:rFonts w:ascii="Times New Roman" w:hAnsi="Times New Roman" w:cs="Times New Roman"/>
        </w:rPr>
        <w:t xml:space="preserve"> as the result of influencer activity without valid proof. This means that public brand resources, product </w:t>
      </w:r>
      <w:proofErr w:type="spellStart"/>
      <w:r w:rsidRPr="00B7140C">
        <w:rPr>
          <w:rFonts w:ascii="Times New Roman" w:hAnsi="Times New Roman" w:cs="Times New Roman"/>
        </w:rPr>
        <w:t>programmes</w:t>
      </w:r>
      <w:proofErr w:type="spellEnd"/>
      <w:r w:rsidRPr="00B7140C">
        <w:rPr>
          <w:rFonts w:ascii="Times New Roman" w:hAnsi="Times New Roman" w:cs="Times New Roman"/>
        </w:rPr>
        <w:t xml:space="preserve"> and corporate results are used as secondary evidence (and not evidence of causation) from an influencer perspective (Saunders, Lewis and Thornhill 2019).</w:t>
      </w:r>
    </w:p>
    <w:p w14:paraId="0871E1C5" w14:textId="77777777" w:rsidR="00A40A85" w:rsidRPr="00B7140C" w:rsidRDefault="00A40A85" w:rsidP="00A40A85">
      <w:pPr>
        <w:pStyle w:val="Heading2"/>
        <w:spacing w:after="100"/>
        <w:rPr>
          <w:rFonts w:ascii="Times New Roman" w:hAnsi="Times New Roman" w:cs="Times New Roman"/>
          <w:color w:val="auto"/>
        </w:rPr>
      </w:pPr>
      <w:bookmarkStart w:id="79" w:name="_Toc237130103"/>
      <w:bookmarkStart w:id="80" w:name="_Toc240238876"/>
      <w:bookmarkEnd w:id="79"/>
      <w:r w:rsidRPr="00B7140C">
        <w:rPr>
          <w:rFonts w:ascii="Times New Roman" w:hAnsi="Times New Roman" w:cs="Times New Roman"/>
          <w:color w:val="auto"/>
        </w:rPr>
        <w:t>4.2 Case Study 1: The INKEY List</w:t>
      </w:r>
      <w:bookmarkEnd w:id="80"/>
    </w:p>
    <w:p w14:paraId="13EEEC3B" w14:textId="77777777" w:rsidR="00A40A85" w:rsidRPr="00B7140C" w:rsidRDefault="00A40A85" w:rsidP="00A40A85">
      <w:pPr>
        <w:pStyle w:val="Heading3"/>
        <w:spacing w:after="100"/>
        <w:rPr>
          <w:rFonts w:ascii="Times New Roman" w:hAnsi="Times New Roman" w:cs="Times New Roman"/>
          <w:color w:val="auto"/>
        </w:rPr>
      </w:pPr>
      <w:bookmarkStart w:id="81" w:name="_Toc237130104"/>
      <w:bookmarkStart w:id="82" w:name="_Toc240238877"/>
      <w:bookmarkEnd w:id="81"/>
      <w:r w:rsidRPr="00B7140C">
        <w:rPr>
          <w:rFonts w:ascii="Times New Roman" w:hAnsi="Times New Roman" w:cs="Times New Roman"/>
          <w:color w:val="auto"/>
        </w:rPr>
        <w:t>4.2.1 The INKEY List: Introduction and Background</w:t>
      </w:r>
      <w:bookmarkEnd w:id="82"/>
    </w:p>
    <w:p w14:paraId="4FE9469C" w14:textId="77777777" w:rsidR="0051472A" w:rsidRPr="00B7140C" w:rsidRDefault="0051472A" w:rsidP="0051472A">
      <w:pPr>
        <w:jc w:val="both"/>
        <w:rPr>
          <w:rFonts w:ascii="Times New Roman" w:hAnsi="Times New Roman" w:cs="Times New Roman"/>
        </w:rPr>
      </w:pPr>
      <w:r w:rsidRPr="00B7140C">
        <w:rPr>
          <w:rFonts w:ascii="Times New Roman" w:hAnsi="Times New Roman" w:cs="Times New Roman"/>
        </w:rPr>
        <w:t xml:space="preserve">The INKEY List is an ingredient-central skincare brand based in the UK that aims to bring skincare knowledge to the masses. Founded in 2018, it offers targeted products and extended its educational </w:t>
      </w:r>
      <w:proofErr w:type="spellStart"/>
      <w:r w:rsidRPr="00B7140C">
        <w:rPr>
          <w:rFonts w:ascii="Times New Roman" w:hAnsi="Times New Roman" w:cs="Times New Roman"/>
        </w:rPr>
        <w:t>programme</w:t>
      </w:r>
      <w:proofErr w:type="spellEnd"/>
      <w:r w:rsidRPr="00B7140C">
        <w:rPr>
          <w:rFonts w:ascii="Times New Roman" w:hAnsi="Times New Roman" w:cs="Times New Roman"/>
        </w:rPr>
        <w:t xml:space="preserve"> with an online tool: INKEY School (The INKEY List, 2026a; The INKEY List, 2026c). What is at stake is not heritage but the transparency of ingredient information when it comes to younger skin care users who may see multiple claims about skin care in the social media stream.</w:t>
      </w:r>
    </w:p>
    <w:p w14:paraId="4346AAD5" w14:textId="77777777" w:rsidR="00A40A85" w:rsidRPr="00B7140C" w:rsidRDefault="00A40A85" w:rsidP="00A40A85">
      <w:pPr>
        <w:pStyle w:val="Heading3"/>
        <w:spacing w:after="100"/>
        <w:rPr>
          <w:rFonts w:ascii="Times New Roman" w:hAnsi="Times New Roman" w:cs="Times New Roman"/>
          <w:color w:val="auto"/>
        </w:rPr>
      </w:pPr>
      <w:bookmarkStart w:id="83" w:name="_Toc237130105"/>
      <w:bookmarkStart w:id="84" w:name="_Toc240238878"/>
      <w:bookmarkEnd w:id="83"/>
      <w:r w:rsidRPr="00B7140C">
        <w:rPr>
          <w:rFonts w:ascii="Times New Roman" w:hAnsi="Times New Roman" w:cs="Times New Roman"/>
          <w:color w:val="auto"/>
        </w:rPr>
        <w:t>4.2.2 The INKEY List: The Challenge or Opportunity</w:t>
      </w:r>
      <w:bookmarkEnd w:id="84"/>
    </w:p>
    <w:p w14:paraId="09149742" w14:textId="77777777" w:rsidR="0051472A" w:rsidRPr="00B7140C" w:rsidRDefault="0051472A" w:rsidP="0051472A">
      <w:pPr>
        <w:jc w:val="both"/>
        <w:rPr>
          <w:rFonts w:ascii="Times New Roman" w:hAnsi="Times New Roman" w:cs="Times New Roman"/>
        </w:rPr>
      </w:pPr>
      <w:r w:rsidRPr="00B7140C">
        <w:rPr>
          <w:rFonts w:ascii="Times New Roman" w:hAnsi="Times New Roman" w:cs="Times New Roman"/>
        </w:rPr>
        <w:t xml:space="preserve">The problem was to get the information about the ingredients to the public in a relevant and believable manner, while keeping them from considering the information as a trick to make the product look expert. Uncertainty over skincare claims can occur prior to use; therefore, it is important to convey the truth and find the correct information when choosing a product (Lou and Yuan, 2019; </w:t>
      </w:r>
      <w:proofErr w:type="spellStart"/>
      <w:r w:rsidRPr="00B7140C">
        <w:rPr>
          <w:rFonts w:ascii="Times New Roman" w:hAnsi="Times New Roman" w:cs="Times New Roman"/>
        </w:rPr>
        <w:t>Belanche</w:t>
      </w:r>
      <w:proofErr w:type="spellEnd"/>
      <w:r w:rsidRPr="00B7140C">
        <w:rPr>
          <w:rFonts w:ascii="Times New Roman" w:hAnsi="Times New Roman" w:cs="Times New Roman"/>
        </w:rPr>
        <w:t xml:space="preserve"> et al., 2021). But if there's too much popularity and not a </w:t>
      </w:r>
      <w:r w:rsidRPr="00B7140C">
        <w:rPr>
          <w:rFonts w:ascii="Times New Roman" w:hAnsi="Times New Roman" w:cs="Times New Roman"/>
        </w:rPr>
        <w:lastRenderedPageBreak/>
        <w:t>solid explanation and commercial identification, then the brand's positioning based on knowledge may be compromised.</w:t>
      </w:r>
    </w:p>
    <w:p w14:paraId="75FB6556" w14:textId="77777777" w:rsidR="00A40A85" w:rsidRPr="00B7140C" w:rsidRDefault="00A40A85" w:rsidP="00A40A85">
      <w:pPr>
        <w:pStyle w:val="Heading3"/>
        <w:spacing w:after="100"/>
        <w:rPr>
          <w:rFonts w:ascii="Times New Roman" w:hAnsi="Times New Roman" w:cs="Times New Roman"/>
          <w:color w:val="auto"/>
        </w:rPr>
      </w:pPr>
      <w:bookmarkStart w:id="85" w:name="_Toc237130106"/>
      <w:bookmarkStart w:id="86" w:name="_Toc240238879"/>
      <w:bookmarkEnd w:id="85"/>
      <w:r w:rsidRPr="00B7140C">
        <w:rPr>
          <w:rFonts w:ascii="Times New Roman" w:hAnsi="Times New Roman" w:cs="Times New Roman"/>
          <w:color w:val="auto"/>
        </w:rPr>
        <w:t>4.2.3 The INKEY List: The Approach and Implementation</w:t>
      </w:r>
      <w:bookmarkEnd w:id="86"/>
    </w:p>
    <w:p w14:paraId="486B9472" w14:textId="77777777" w:rsidR="0051472A" w:rsidRPr="00B7140C" w:rsidRDefault="0051472A" w:rsidP="0051472A">
      <w:pPr>
        <w:jc w:val="both"/>
        <w:rPr>
          <w:rFonts w:ascii="Times New Roman" w:hAnsi="Times New Roman" w:cs="Times New Roman"/>
        </w:rPr>
      </w:pPr>
      <w:r w:rsidRPr="00B7140C">
        <w:rPr>
          <w:rFonts w:ascii="Times New Roman" w:hAnsi="Times New Roman" w:cs="Times New Roman"/>
        </w:rPr>
        <w:t>The INKEY List's public-facing strategy was to offer education, such as at INKEY School, which educated on ingredients, routines, and skin concerns, as well as the public's educational resources on informed skin care decisions (The INKEY List, 2026a; The INKEY List, 2026c). This is aligned with Lou and Yuan (2019), who concluded that the informational value and credibility of the source can assist in establishing trust in branded content. Hence, a creator-product fit would be a more defensible basis for selection than follower counts for a micro-influencer collaboration, as would an accurate ingredient description and advertising label. There was no independently audited micro-influencer campaign, Gen Z consumer sample or conversion metric disclosed from the public sources. As such, the case is amenable to communication capability analysis and not causal change in purchase intention.</w:t>
      </w:r>
    </w:p>
    <w:p w14:paraId="622AAB29" w14:textId="77777777" w:rsidR="00A40A85" w:rsidRPr="00B7140C" w:rsidRDefault="00A40A85" w:rsidP="00A40A85">
      <w:pPr>
        <w:pStyle w:val="Heading3"/>
        <w:spacing w:after="100"/>
        <w:rPr>
          <w:rFonts w:ascii="Times New Roman" w:hAnsi="Times New Roman" w:cs="Times New Roman"/>
          <w:color w:val="auto"/>
        </w:rPr>
      </w:pPr>
      <w:bookmarkStart w:id="87" w:name="_Toc237130107"/>
      <w:bookmarkStart w:id="88" w:name="_Toc240238880"/>
      <w:bookmarkEnd w:id="87"/>
      <w:r w:rsidRPr="00B7140C">
        <w:rPr>
          <w:rFonts w:ascii="Times New Roman" w:hAnsi="Times New Roman" w:cs="Times New Roman"/>
          <w:color w:val="auto"/>
        </w:rPr>
        <w:t>4.2.4 The INKEY List: Outcomes and Results</w:t>
      </w:r>
      <w:bookmarkEnd w:id="88"/>
    </w:p>
    <w:p w14:paraId="19F52441" w14:textId="77777777" w:rsidR="0051472A" w:rsidRPr="00B7140C" w:rsidRDefault="0051472A" w:rsidP="0051472A">
      <w:pPr>
        <w:jc w:val="both"/>
        <w:rPr>
          <w:rFonts w:ascii="Times New Roman" w:hAnsi="Times New Roman" w:cs="Times New Roman"/>
        </w:rPr>
      </w:pPr>
      <w:r w:rsidRPr="00B7140C">
        <w:rPr>
          <w:rFonts w:ascii="Times New Roman" w:hAnsi="Times New Roman" w:cs="Times New Roman"/>
        </w:rPr>
        <w:t>The INKEY List's public education resource (The INKEY List, 2026c) was the verifiable output for The INKEY List. It is in line with the expertise-based credibility pathway, but it is not a KPI of sales and purchase intention driven by influencers (Lou and Yuan, 2019). The case was highly contextually relevant for Objective 1, specifically the elements of expertise and trustworthiness, and had sparse evidence of outcomes. A future campaign assessment would need to evaluate campaign reach and engagement quality in isolation from general brand-site traffic and referral conversion and consumer-trust measures.</w:t>
      </w:r>
    </w:p>
    <w:p w14:paraId="6C7C9BB7" w14:textId="77777777" w:rsidR="0051472A" w:rsidRPr="00B7140C" w:rsidRDefault="0051472A" w:rsidP="00D248D6">
      <w:pPr>
        <w:jc w:val="both"/>
        <w:rPr>
          <w:rFonts w:ascii="Times New Roman" w:hAnsi="Times New Roman" w:cs="Times New Roman"/>
        </w:rPr>
      </w:pPr>
    </w:p>
    <w:p w14:paraId="036EADFA" w14:textId="77777777" w:rsidR="00D248D6" w:rsidRPr="00B7140C" w:rsidRDefault="00D248D6" w:rsidP="00A40A85">
      <w:pPr>
        <w:jc w:val="both"/>
        <w:rPr>
          <w:rFonts w:ascii="Times New Roman" w:hAnsi="Times New Roman" w:cs="Times New Roman"/>
          <w:sz w:val="22"/>
        </w:rPr>
      </w:pPr>
    </w:p>
    <w:p w14:paraId="4814F1EA" w14:textId="77777777" w:rsidR="00400A13" w:rsidRPr="00B7140C" w:rsidRDefault="00682E2E" w:rsidP="00D248D6">
      <w:pPr>
        <w:keepNext/>
        <w:spacing w:before="80" w:after="40"/>
        <w:jc w:val="center"/>
        <w:rPr>
          <w:rFonts w:ascii="Times New Roman" w:hAnsi="Times New Roman" w:cs="Times New Roman"/>
        </w:rPr>
      </w:pPr>
      <w:r w:rsidRPr="00B7140C">
        <w:rPr>
          <w:rFonts w:ascii="Times New Roman" w:hAnsi="Times New Roman" w:cs="Times New Roman"/>
          <w:noProof/>
        </w:rPr>
        <w:lastRenderedPageBreak/>
        <w:drawing>
          <wp:inline distT="0" distB="0" distL="0" distR="0" wp14:anchorId="54164850" wp14:editId="75E10D36">
            <wp:extent cx="5029200" cy="2984688"/>
            <wp:effectExtent l="0" t="0" r="0" b="0"/>
            <wp:docPr id="59435" name="The INKEY List INKEY School digital education webpage" descr="The INKEY List INKEY School digital education web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key-school-crop.png"/>
                    <pic:cNvPicPr/>
                  </pic:nvPicPr>
                  <pic:blipFill>
                    <a:blip r:embed="rId14"/>
                    <a:stretch>
                      <a:fillRect/>
                    </a:stretch>
                  </pic:blipFill>
                  <pic:spPr>
                    <a:xfrm>
                      <a:off x="0" y="0"/>
                      <a:ext cx="5029200" cy="2984688"/>
                    </a:xfrm>
                    <a:prstGeom prst="rect">
                      <a:avLst/>
                    </a:prstGeom>
                  </pic:spPr>
                </pic:pic>
              </a:graphicData>
            </a:graphic>
          </wp:inline>
        </w:drawing>
      </w:r>
    </w:p>
    <w:p w14:paraId="66916A48" w14:textId="77777777" w:rsidR="00400A13" w:rsidRPr="00B7140C" w:rsidRDefault="00682E2E" w:rsidP="00D248D6">
      <w:pPr>
        <w:keepNext/>
        <w:spacing w:after="40" w:line="240" w:lineRule="auto"/>
        <w:jc w:val="center"/>
        <w:rPr>
          <w:rFonts w:ascii="Times New Roman" w:hAnsi="Times New Roman" w:cs="Times New Roman"/>
        </w:rPr>
      </w:pPr>
      <w:r w:rsidRPr="00B7140C">
        <w:rPr>
          <w:rFonts w:ascii="Times New Roman" w:hAnsi="Times New Roman" w:cs="Times New Roman"/>
          <w:i/>
          <w:sz w:val="19"/>
        </w:rPr>
        <w:t>Figure 4.1: The INKEY List’s INKEY School digital education resource. Source: The INKEY List (2026b), company webpage screenshot (accessed 2 September 2026).</w:t>
      </w:r>
    </w:p>
    <w:p w14:paraId="73A748E9" w14:textId="77777777" w:rsidR="00400A13" w:rsidRPr="00B7140C" w:rsidRDefault="00682E2E" w:rsidP="00D248D6">
      <w:pPr>
        <w:spacing w:after="80" w:line="240" w:lineRule="auto"/>
        <w:jc w:val="center"/>
        <w:rPr>
          <w:rFonts w:ascii="Times New Roman" w:hAnsi="Times New Roman" w:cs="Times New Roman"/>
        </w:rPr>
      </w:pPr>
      <w:r w:rsidRPr="00B7140C">
        <w:rPr>
          <w:rFonts w:ascii="Times New Roman" w:hAnsi="Times New Roman" w:cs="Times New Roman"/>
          <w:b/>
          <w:sz w:val="19"/>
        </w:rPr>
        <w:t xml:space="preserve">Analytical relevance: </w:t>
      </w:r>
      <w:r w:rsidRPr="00B7140C">
        <w:rPr>
          <w:rFonts w:ascii="Times New Roman" w:hAnsi="Times New Roman" w:cs="Times New Roman"/>
          <w:sz w:val="19"/>
        </w:rPr>
        <w:t>The INKEY List’s visible education resource supports an expertise-led positioning; it does not demonstrate an influencer-caused purchase effect.</w:t>
      </w:r>
    </w:p>
    <w:p w14:paraId="73A4FD0A" w14:textId="77777777" w:rsidR="00A40A85" w:rsidRPr="00B7140C" w:rsidRDefault="00A40A85" w:rsidP="00A40A85">
      <w:pPr>
        <w:pStyle w:val="Heading2"/>
        <w:spacing w:after="100"/>
        <w:rPr>
          <w:rFonts w:ascii="Times New Roman" w:hAnsi="Times New Roman" w:cs="Times New Roman"/>
          <w:color w:val="auto"/>
        </w:rPr>
      </w:pPr>
      <w:bookmarkStart w:id="89" w:name="_Toc237130108"/>
      <w:bookmarkStart w:id="90" w:name="_Toc240238881"/>
      <w:bookmarkEnd w:id="89"/>
      <w:r w:rsidRPr="00B7140C">
        <w:rPr>
          <w:rFonts w:ascii="Times New Roman" w:hAnsi="Times New Roman" w:cs="Times New Roman"/>
          <w:color w:val="auto"/>
        </w:rPr>
        <w:t>4.3 Case Study 2: Pai Skincare</w:t>
      </w:r>
      <w:bookmarkEnd w:id="90"/>
    </w:p>
    <w:p w14:paraId="1B8C6624" w14:textId="77777777" w:rsidR="00A40A85" w:rsidRPr="00B7140C" w:rsidRDefault="00A40A85" w:rsidP="00A40A85">
      <w:pPr>
        <w:pStyle w:val="Heading3"/>
        <w:spacing w:after="100"/>
        <w:rPr>
          <w:rFonts w:ascii="Times New Roman" w:hAnsi="Times New Roman" w:cs="Times New Roman"/>
          <w:color w:val="auto"/>
        </w:rPr>
      </w:pPr>
      <w:bookmarkStart w:id="91" w:name="_Toc237130109"/>
      <w:bookmarkStart w:id="92" w:name="_Toc240238882"/>
      <w:bookmarkEnd w:id="91"/>
      <w:r w:rsidRPr="00B7140C">
        <w:rPr>
          <w:rFonts w:ascii="Times New Roman" w:hAnsi="Times New Roman" w:cs="Times New Roman"/>
          <w:color w:val="auto"/>
        </w:rPr>
        <w:t>4.3.1 Pai Skincare: Introduction and Background</w:t>
      </w:r>
      <w:bookmarkEnd w:id="92"/>
    </w:p>
    <w:p w14:paraId="74373024" w14:textId="73B88BC7" w:rsidR="00FA0AD6" w:rsidRDefault="00FA0AD6" w:rsidP="00FA0AD6">
      <w:pPr>
        <w:jc w:val="both"/>
        <w:rPr>
          <w:rFonts w:ascii="Times New Roman" w:hAnsi="Times New Roman" w:cs="Times New Roman"/>
        </w:rPr>
      </w:pPr>
      <w:r w:rsidRPr="00B7140C">
        <w:rPr>
          <w:rFonts w:ascii="Times New Roman" w:hAnsi="Times New Roman" w:cs="Times New Roman"/>
        </w:rPr>
        <w:t xml:space="preserve">Pai Skincare is a UK skincare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serving consumers with sensitive or reactive-skin concerns. It states that its products are natural-origin, science-backed and formulated for sensitive skin, with formulation activity linked to its London operations (Pai Skincare, 2026a; Pai Skincare, 2026b). Compared with a trend-led cosmetics brand, consumers may perceive greater functional risk when choosing products for irritation-prone skin; credibility therefore depends on personal relevance as well as defensible product information.</w:t>
      </w:r>
    </w:p>
    <w:p w14:paraId="09D73E78" w14:textId="77777777" w:rsidR="00E152BD" w:rsidRPr="00B7140C" w:rsidRDefault="00E152BD" w:rsidP="00FA0AD6">
      <w:pPr>
        <w:jc w:val="both"/>
        <w:rPr>
          <w:rFonts w:ascii="Times New Roman" w:hAnsi="Times New Roman" w:cs="Times New Roman"/>
        </w:rPr>
      </w:pPr>
    </w:p>
    <w:p w14:paraId="043ED6B5" w14:textId="77777777" w:rsidR="00A40A85" w:rsidRPr="00B7140C" w:rsidRDefault="00A40A85" w:rsidP="00A40A85">
      <w:pPr>
        <w:pStyle w:val="Heading3"/>
        <w:spacing w:after="100"/>
        <w:rPr>
          <w:rFonts w:ascii="Times New Roman" w:hAnsi="Times New Roman" w:cs="Times New Roman"/>
          <w:color w:val="auto"/>
        </w:rPr>
      </w:pPr>
      <w:bookmarkStart w:id="93" w:name="_Toc237130110"/>
      <w:bookmarkStart w:id="94" w:name="_Toc240238883"/>
      <w:bookmarkEnd w:id="93"/>
      <w:r w:rsidRPr="00B7140C">
        <w:rPr>
          <w:rFonts w:ascii="Times New Roman" w:hAnsi="Times New Roman" w:cs="Times New Roman"/>
          <w:color w:val="auto"/>
        </w:rPr>
        <w:t>4.3.2 Pai Skincare: The Challenge or Opportunity</w:t>
      </w:r>
      <w:bookmarkEnd w:id="94"/>
    </w:p>
    <w:p w14:paraId="79BF9A84" w14:textId="77777777" w:rsidR="00FA0AD6" w:rsidRPr="00B7140C" w:rsidRDefault="00FA0AD6" w:rsidP="00FA0AD6">
      <w:pPr>
        <w:jc w:val="both"/>
        <w:rPr>
          <w:rFonts w:ascii="Times New Roman" w:hAnsi="Times New Roman" w:cs="Times New Roman"/>
        </w:rPr>
      </w:pPr>
      <w:r w:rsidRPr="00B7140C">
        <w:rPr>
          <w:rFonts w:ascii="Times New Roman" w:hAnsi="Times New Roman" w:cs="Times New Roman"/>
        </w:rPr>
        <w:t xml:space="preserve">Pai Skincare's opportunity was to communicate in a relatable way without allowing familiarity to be mistaken for clinical competence. Sensitive-skin audiences may value peer experience and homophily, but a personal narrative alone cannot substantiate a product claim (Sokolova and </w:t>
      </w:r>
      <w:proofErr w:type="spellStart"/>
      <w:r w:rsidRPr="00B7140C">
        <w:rPr>
          <w:rFonts w:ascii="Times New Roman" w:hAnsi="Times New Roman" w:cs="Times New Roman"/>
        </w:rPr>
        <w:t>Kefi</w:t>
      </w:r>
      <w:proofErr w:type="spellEnd"/>
      <w:r w:rsidRPr="00B7140C">
        <w:rPr>
          <w:rFonts w:ascii="Times New Roman" w:hAnsi="Times New Roman" w:cs="Times New Roman"/>
        </w:rPr>
        <w:t>, 2020; De Cicco, Iacobucci and Pagliaro, 2021). The risk is that overstated claims or undisclosed commercial relationships could weaken the credibility of a specialist positioning. The challenge was therefore to combine empathy and accessibility with evidence, safety and transparency.</w:t>
      </w:r>
    </w:p>
    <w:p w14:paraId="4697C612" w14:textId="77777777" w:rsidR="00A40A85" w:rsidRPr="00B7140C" w:rsidRDefault="00A40A85" w:rsidP="00A40A85">
      <w:pPr>
        <w:pStyle w:val="Heading3"/>
        <w:spacing w:after="100"/>
        <w:rPr>
          <w:rFonts w:ascii="Times New Roman" w:hAnsi="Times New Roman" w:cs="Times New Roman"/>
          <w:color w:val="auto"/>
        </w:rPr>
      </w:pPr>
      <w:bookmarkStart w:id="95" w:name="_Toc237130111"/>
      <w:bookmarkStart w:id="96" w:name="_Toc240238884"/>
      <w:bookmarkEnd w:id="95"/>
      <w:r w:rsidRPr="00B7140C">
        <w:rPr>
          <w:rFonts w:ascii="Times New Roman" w:hAnsi="Times New Roman" w:cs="Times New Roman"/>
          <w:color w:val="auto"/>
        </w:rPr>
        <w:lastRenderedPageBreak/>
        <w:t>4.3.3 Pai Skincare: The Approach and Implementation</w:t>
      </w:r>
      <w:bookmarkEnd w:id="96"/>
    </w:p>
    <w:p w14:paraId="47966DCA" w14:textId="77777777" w:rsidR="00DB6F2A" w:rsidRPr="00B7140C" w:rsidRDefault="00DB6F2A" w:rsidP="00DB6F2A">
      <w:pPr>
        <w:jc w:val="both"/>
        <w:rPr>
          <w:rFonts w:ascii="Times New Roman" w:hAnsi="Times New Roman" w:cs="Times New Roman"/>
        </w:rPr>
      </w:pPr>
      <w:r w:rsidRPr="00B7140C">
        <w:rPr>
          <w:rFonts w:ascii="Times New Roman" w:hAnsi="Times New Roman" w:cs="Times New Roman"/>
        </w:rPr>
        <w:t xml:space="preserve">Pai Skincare's public messaging aligned with natural-origin attributes and science-backed and sensitive-skin language (Pai Skincare, 2026a). Analytically, such positioning suggests that product content should connect lived experience with actual product information but not suggest a parasocial relationship as evidence. A cross-sectional study by Sokolova and </w:t>
      </w:r>
      <w:proofErr w:type="spellStart"/>
      <w:r w:rsidRPr="00B7140C">
        <w:rPr>
          <w:rFonts w:ascii="Times New Roman" w:hAnsi="Times New Roman" w:cs="Times New Roman"/>
        </w:rPr>
        <w:t>Kefi</w:t>
      </w:r>
      <w:proofErr w:type="spellEnd"/>
      <w:r w:rsidRPr="00B7140C">
        <w:rPr>
          <w:rFonts w:ascii="Times New Roman" w:hAnsi="Times New Roman" w:cs="Times New Roman"/>
        </w:rPr>
        <w:t xml:space="preserve"> (2020) revealed a relationship between source credibility, parasocial interaction and purchase intention, although their research did not establish a causal link or a relationship unique to skincare products. This limitation was significant for Pai Skincare, where an appropriate micro-influencer could help make information feel pertinent, and qualified expertise, proper claims and an evident ad label could help protect the brand's specialist positioning. Public material showed no indication of a campaign dataset nor of an independently verified outcome for the campaign and therefore was not used to establish a campaign outcome but rather to establish conditions for credible implementation.</w:t>
      </w:r>
    </w:p>
    <w:p w14:paraId="70FEC2A2" w14:textId="77777777" w:rsidR="00A40A85" w:rsidRPr="00B7140C" w:rsidRDefault="00A40A85" w:rsidP="00A40A85">
      <w:pPr>
        <w:pStyle w:val="Heading3"/>
        <w:spacing w:after="100"/>
        <w:rPr>
          <w:rFonts w:ascii="Times New Roman" w:hAnsi="Times New Roman" w:cs="Times New Roman"/>
          <w:color w:val="auto"/>
        </w:rPr>
      </w:pPr>
      <w:bookmarkStart w:id="97" w:name="_Toc237130112"/>
      <w:bookmarkStart w:id="98" w:name="_Toc240238885"/>
      <w:bookmarkEnd w:id="97"/>
      <w:r w:rsidRPr="00B7140C">
        <w:rPr>
          <w:rFonts w:ascii="Times New Roman" w:hAnsi="Times New Roman" w:cs="Times New Roman"/>
          <w:color w:val="auto"/>
        </w:rPr>
        <w:t>4.3.4 Pai Skincare: Outcomes and Results</w:t>
      </w:r>
      <w:bookmarkEnd w:id="98"/>
    </w:p>
    <w:p w14:paraId="787DC266" w14:textId="77777777" w:rsidR="00DB6F2A" w:rsidRPr="00B7140C" w:rsidRDefault="00DB6F2A" w:rsidP="00DB6F2A">
      <w:pPr>
        <w:jc w:val="both"/>
        <w:rPr>
          <w:rFonts w:ascii="Times New Roman" w:hAnsi="Times New Roman" w:cs="Times New Roman"/>
        </w:rPr>
      </w:pPr>
      <w:r w:rsidRPr="00B7140C">
        <w:rPr>
          <w:rFonts w:ascii="Times New Roman" w:hAnsi="Times New Roman" w:cs="Times New Roman"/>
        </w:rPr>
        <w:t xml:space="preserve">Pai Skincare's publicly verifiable result was a clear specialist positioning around sensitive-skin and science-supported claims (Pai Skincare, 2026a). The available evidence did not allow the effect of influencer activity on purchase intention to be measured. The case nevertheless highlighted the relevance of authenticity and homophily for a higher-involvement skincare context. For Objective 2, it suggested that creator closeness can make information personally meaningful, but commercial transparency and claim substantiation remain important boundary conditions (Sokolova and </w:t>
      </w:r>
      <w:proofErr w:type="spellStart"/>
      <w:r w:rsidRPr="00B7140C">
        <w:rPr>
          <w:rFonts w:ascii="Times New Roman" w:hAnsi="Times New Roman" w:cs="Times New Roman"/>
        </w:rPr>
        <w:t>Kefi</w:t>
      </w:r>
      <w:proofErr w:type="spellEnd"/>
      <w:r w:rsidRPr="00B7140C">
        <w:rPr>
          <w:rFonts w:ascii="Times New Roman" w:hAnsi="Times New Roman" w:cs="Times New Roman"/>
        </w:rPr>
        <w:t>, 2020; De Cicco, Iacobucci and Pagliaro, 2021).</w:t>
      </w:r>
    </w:p>
    <w:p w14:paraId="0B97C582" w14:textId="77777777" w:rsidR="00DB6F2A" w:rsidRPr="00B7140C" w:rsidRDefault="00DB6F2A" w:rsidP="00A40A85">
      <w:pPr>
        <w:jc w:val="both"/>
        <w:rPr>
          <w:rFonts w:ascii="Times New Roman" w:hAnsi="Times New Roman" w:cs="Times New Roman"/>
          <w:sz w:val="22"/>
        </w:rPr>
      </w:pPr>
    </w:p>
    <w:p w14:paraId="5880C8D8" w14:textId="77777777" w:rsidR="00400A13" w:rsidRPr="00B7140C" w:rsidRDefault="00682E2E" w:rsidP="00DB6F2A">
      <w:pPr>
        <w:keepNext/>
        <w:spacing w:before="80" w:after="40"/>
        <w:jc w:val="center"/>
        <w:rPr>
          <w:rFonts w:ascii="Times New Roman" w:hAnsi="Times New Roman" w:cs="Times New Roman"/>
        </w:rPr>
      </w:pPr>
      <w:r w:rsidRPr="00B7140C">
        <w:rPr>
          <w:rFonts w:ascii="Times New Roman" w:hAnsi="Times New Roman" w:cs="Times New Roman"/>
          <w:noProof/>
        </w:rPr>
        <w:lastRenderedPageBreak/>
        <w:drawing>
          <wp:inline distT="0" distB="0" distL="0" distR="0" wp14:anchorId="55C4BCE3" wp14:editId="778F3C6F">
            <wp:extent cx="5029200" cy="2611602"/>
            <wp:effectExtent l="0" t="0" r="0" b="0"/>
            <wp:docPr id="59436" name="Pai Skincare sensitive skin product communication webpage" descr="Pai Skincare sensitive skin product communication web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i-skincare-crop.png"/>
                    <pic:cNvPicPr/>
                  </pic:nvPicPr>
                  <pic:blipFill>
                    <a:blip r:embed="rId15"/>
                    <a:stretch>
                      <a:fillRect/>
                    </a:stretch>
                  </pic:blipFill>
                  <pic:spPr>
                    <a:xfrm>
                      <a:off x="0" y="0"/>
                      <a:ext cx="5029200" cy="2611602"/>
                    </a:xfrm>
                    <a:prstGeom prst="rect">
                      <a:avLst/>
                    </a:prstGeom>
                  </pic:spPr>
                </pic:pic>
              </a:graphicData>
            </a:graphic>
          </wp:inline>
        </w:drawing>
      </w:r>
    </w:p>
    <w:p w14:paraId="5FA5DE48" w14:textId="77777777" w:rsidR="00400A13" w:rsidRPr="00B7140C" w:rsidRDefault="00682E2E" w:rsidP="00DB6F2A">
      <w:pPr>
        <w:keepNext/>
        <w:spacing w:after="40" w:line="240" w:lineRule="auto"/>
        <w:jc w:val="center"/>
        <w:rPr>
          <w:rFonts w:ascii="Times New Roman" w:hAnsi="Times New Roman" w:cs="Times New Roman"/>
        </w:rPr>
      </w:pPr>
      <w:r w:rsidRPr="00B7140C">
        <w:rPr>
          <w:rFonts w:ascii="Times New Roman" w:hAnsi="Times New Roman" w:cs="Times New Roman"/>
          <w:i/>
          <w:sz w:val="19"/>
        </w:rPr>
        <w:t>Figure 4.2: Pai Skincare’s sensitive-skin product communication. Source: Pai Skincare (2026), company webpage screenshot (accessed 2 September 2026).</w:t>
      </w:r>
    </w:p>
    <w:p w14:paraId="794D6BDC" w14:textId="77777777" w:rsidR="00400A13" w:rsidRPr="00B7140C" w:rsidRDefault="00682E2E" w:rsidP="00DB6F2A">
      <w:pPr>
        <w:spacing w:after="80" w:line="240" w:lineRule="auto"/>
        <w:jc w:val="center"/>
        <w:rPr>
          <w:rFonts w:ascii="Times New Roman" w:hAnsi="Times New Roman" w:cs="Times New Roman"/>
        </w:rPr>
      </w:pPr>
      <w:r w:rsidRPr="00B7140C">
        <w:rPr>
          <w:rFonts w:ascii="Times New Roman" w:hAnsi="Times New Roman" w:cs="Times New Roman"/>
          <w:b/>
          <w:sz w:val="19"/>
        </w:rPr>
        <w:t xml:space="preserve">Analytical relevance: </w:t>
      </w:r>
      <w:r w:rsidRPr="00B7140C">
        <w:rPr>
          <w:rFonts w:ascii="Times New Roman" w:hAnsi="Times New Roman" w:cs="Times New Roman"/>
          <w:sz w:val="19"/>
        </w:rPr>
        <w:t>Pai Skincare’s sensitive-skin positioning frames the importance of evidence, authenticity and clear claims; it is not independent efficacy evidence.</w:t>
      </w:r>
    </w:p>
    <w:p w14:paraId="2A2FD2DB" w14:textId="77777777" w:rsidR="00A40A85" w:rsidRPr="00B7140C" w:rsidRDefault="00A40A85" w:rsidP="00A40A85">
      <w:pPr>
        <w:pStyle w:val="Heading2"/>
        <w:spacing w:after="100"/>
        <w:rPr>
          <w:rFonts w:ascii="Times New Roman" w:hAnsi="Times New Roman" w:cs="Times New Roman"/>
          <w:color w:val="auto"/>
        </w:rPr>
      </w:pPr>
      <w:bookmarkStart w:id="99" w:name="_Toc237130113"/>
      <w:bookmarkStart w:id="100" w:name="_Toc240238886"/>
      <w:bookmarkEnd w:id="99"/>
      <w:r w:rsidRPr="00B7140C">
        <w:rPr>
          <w:rFonts w:ascii="Times New Roman" w:hAnsi="Times New Roman" w:cs="Times New Roman"/>
          <w:color w:val="auto"/>
        </w:rPr>
        <w:t>4.4 Case Study 3: Revolution Skincare</w:t>
      </w:r>
      <w:bookmarkEnd w:id="100"/>
    </w:p>
    <w:p w14:paraId="07B8DFD2" w14:textId="77777777" w:rsidR="00A40A85" w:rsidRPr="00B7140C" w:rsidRDefault="00A40A85" w:rsidP="00A40A85">
      <w:pPr>
        <w:pStyle w:val="Heading3"/>
        <w:spacing w:after="100"/>
        <w:rPr>
          <w:rFonts w:ascii="Times New Roman" w:hAnsi="Times New Roman" w:cs="Times New Roman"/>
          <w:color w:val="auto"/>
        </w:rPr>
      </w:pPr>
      <w:bookmarkStart w:id="101" w:name="_Toc237130114"/>
      <w:bookmarkStart w:id="102" w:name="_Toc240238887"/>
      <w:bookmarkEnd w:id="101"/>
      <w:r w:rsidRPr="00B7140C">
        <w:rPr>
          <w:rFonts w:ascii="Times New Roman" w:hAnsi="Times New Roman" w:cs="Times New Roman"/>
          <w:color w:val="auto"/>
        </w:rPr>
        <w:t>4.4.1 Revolution Skincare: Introduction and Background</w:t>
      </w:r>
      <w:bookmarkEnd w:id="102"/>
    </w:p>
    <w:p w14:paraId="5A6F40F9" w14:textId="77777777" w:rsidR="003F732F" w:rsidRPr="00B7140C" w:rsidRDefault="003F732F" w:rsidP="003F732F">
      <w:pPr>
        <w:jc w:val="both"/>
        <w:rPr>
          <w:rFonts w:ascii="Times New Roman" w:hAnsi="Times New Roman" w:cs="Times New Roman"/>
        </w:rPr>
      </w:pPr>
      <w:r w:rsidRPr="00B7140C">
        <w:rPr>
          <w:rFonts w:ascii="Times New Roman" w:hAnsi="Times New Roman" w:cs="Times New Roman"/>
        </w:rPr>
        <w:t xml:space="preserve">Revolution Skincare is part of Revolution Beauty's accessible and trend-responsive beauty portfolio. Revolution Beauty operates across multiple markets and </w:t>
      </w:r>
      <w:proofErr w:type="spellStart"/>
      <w:r w:rsidRPr="00B7140C">
        <w:rPr>
          <w:rFonts w:ascii="Times New Roman" w:hAnsi="Times New Roman" w:cs="Times New Roman"/>
        </w:rPr>
        <w:t>recognises</w:t>
      </w:r>
      <w:proofErr w:type="spellEnd"/>
      <w:r w:rsidRPr="00B7140C">
        <w:rPr>
          <w:rFonts w:ascii="Times New Roman" w:hAnsi="Times New Roman" w:cs="Times New Roman"/>
        </w:rPr>
        <w:t xml:space="preserve"> the importance of digital channels in connecting with customers (Revolution Beauty Group plc, 2026a). In this dissertation, Revolution Skincare contrasts with specialist brands because product discovery can be rapid and visual, while credibility remains important when communicating skincare efficacy. Maintaining consumer trust is therefore more important than gaining short-lived visibility.</w:t>
      </w:r>
    </w:p>
    <w:p w14:paraId="791C6772" w14:textId="77777777" w:rsidR="00A40A85" w:rsidRPr="00B7140C" w:rsidRDefault="00A40A85" w:rsidP="00A40A85">
      <w:pPr>
        <w:pStyle w:val="Heading3"/>
        <w:spacing w:after="100"/>
        <w:rPr>
          <w:rFonts w:ascii="Times New Roman" w:hAnsi="Times New Roman" w:cs="Times New Roman"/>
          <w:color w:val="auto"/>
        </w:rPr>
      </w:pPr>
      <w:bookmarkStart w:id="103" w:name="_Toc237130115"/>
      <w:bookmarkStart w:id="104" w:name="_Toc240238888"/>
      <w:bookmarkEnd w:id="103"/>
      <w:r w:rsidRPr="00B7140C">
        <w:rPr>
          <w:rFonts w:ascii="Times New Roman" w:hAnsi="Times New Roman" w:cs="Times New Roman"/>
          <w:color w:val="auto"/>
        </w:rPr>
        <w:t>4.4.2 Revolution Skincare: The Challenge or Opportunity</w:t>
      </w:r>
      <w:bookmarkEnd w:id="104"/>
    </w:p>
    <w:p w14:paraId="51B97C32" w14:textId="77777777" w:rsidR="003F732F" w:rsidRPr="00B7140C" w:rsidRDefault="003F732F" w:rsidP="003F732F">
      <w:pPr>
        <w:jc w:val="both"/>
        <w:rPr>
          <w:rFonts w:ascii="Times New Roman" w:hAnsi="Times New Roman" w:cs="Times New Roman"/>
        </w:rPr>
      </w:pPr>
      <w:r w:rsidRPr="00B7140C">
        <w:rPr>
          <w:rFonts w:ascii="Times New Roman" w:hAnsi="Times New Roman" w:cs="Times New Roman"/>
        </w:rPr>
        <w:t>The challenge was for Revolution Skincare to connect with younger, platform-oriented consumers during a difficult wider commercial period. Revolution Beauty's restructuring and market pressures were associated with a 26% drop in FY2025 revenue (Jobe, 2025). Effective communication remained important, but a high-volume, trend-led strategy could generate discovery without demonstrating purchase effects. Unsubstantiated claims, weak creator fit or sponsorship ambiguity could also weaken trust. Social-media reactions were therefore not treated as a proxy for skincare purchase outcomes.</w:t>
      </w:r>
    </w:p>
    <w:p w14:paraId="53DE66B3" w14:textId="77777777" w:rsidR="00A40A85" w:rsidRPr="00B7140C" w:rsidRDefault="00A40A85" w:rsidP="00A40A85">
      <w:pPr>
        <w:pStyle w:val="Heading3"/>
        <w:spacing w:after="100"/>
        <w:rPr>
          <w:rFonts w:ascii="Times New Roman" w:hAnsi="Times New Roman" w:cs="Times New Roman"/>
          <w:color w:val="auto"/>
        </w:rPr>
      </w:pPr>
      <w:bookmarkStart w:id="105" w:name="_Toc237130116"/>
      <w:bookmarkStart w:id="106" w:name="_Toc240238889"/>
      <w:bookmarkEnd w:id="105"/>
      <w:r w:rsidRPr="00B7140C">
        <w:rPr>
          <w:rFonts w:ascii="Times New Roman" w:hAnsi="Times New Roman" w:cs="Times New Roman"/>
          <w:color w:val="auto"/>
        </w:rPr>
        <w:lastRenderedPageBreak/>
        <w:t>4.4.3 Revolution Skincare: The Approach and Implementation</w:t>
      </w:r>
      <w:bookmarkEnd w:id="106"/>
    </w:p>
    <w:p w14:paraId="1616C762" w14:textId="77777777" w:rsidR="003F732F" w:rsidRPr="00B7140C" w:rsidRDefault="003F732F" w:rsidP="003F732F">
      <w:pPr>
        <w:jc w:val="both"/>
        <w:rPr>
          <w:rFonts w:ascii="Times New Roman" w:hAnsi="Times New Roman" w:cs="Times New Roman"/>
        </w:rPr>
      </w:pPr>
      <w:r w:rsidRPr="00B7140C">
        <w:rPr>
          <w:rFonts w:ascii="Times New Roman" w:hAnsi="Times New Roman" w:cs="Times New Roman"/>
        </w:rPr>
        <w:t xml:space="preserve">Revolution Beauty's public reporting of the </w:t>
      </w:r>
      <w:proofErr w:type="spellStart"/>
      <w:r w:rsidRPr="00B7140C">
        <w:rPr>
          <w:rFonts w:ascii="Times New Roman" w:hAnsi="Times New Roman" w:cs="Times New Roman"/>
        </w:rPr>
        <w:t>programme</w:t>
      </w:r>
      <w:proofErr w:type="spellEnd"/>
      <w:r w:rsidRPr="00B7140C">
        <w:rPr>
          <w:rFonts w:ascii="Times New Roman" w:hAnsi="Times New Roman" w:cs="Times New Roman"/>
        </w:rPr>
        <w:t xml:space="preserve"> was not a micro-influencer intervention but rather a </w:t>
      </w:r>
      <w:proofErr w:type="spellStart"/>
      <w:r w:rsidRPr="00B7140C">
        <w:rPr>
          <w:rFonts w:ascii="Times New Roman" w:hAnsi="Times New Roman" w:cs="Times New Roman"/>
        </w:rPr>
        <w:t>programme</w:t>
      </w:r>
      <w:proofErr w:type="spellEnd"/>
      <w:r w:rsidRPr="00B7140C">
        <w:rPr>
          <w:rFonts w:ascii="Times New Roman" w:hAnsi="Times New Roman" w:cs="Times New Roman"/>
        </w:rPr>
        <w:t xml:space="preserve"> of portfolio and operational reset, as well as a strategic shift to focus on new products and customers (Revolution Beauty Group plc, 2026b). The Revolution Skincare case was therefore examined as a context where creator content would need to convert rapid discovery into credible consideration. Although </w:t>
      </w:r>
      <w:proofErr w:type="spellStart"/>
      <w:r w:rsidRPr="00B7140C">
        <w:rPr>
          <w:rFonts w:ascii="Times New Roman" w:hAnsi="Times New Roman" w:cs="Times New Roman"/>
        </w:rPr>
        <w:t>Djafarova</w:t>
      </w:r>
      <w:proofErr w:type="spellEnd"/>
      <w:r w:rsidRPr="00B7140C">
        <w:rPr>
          <w:rFonts w:ascii="Times New Roman" w:hAnsi="Times New Roman" w:cs="Times New Roman"/>
        </w:rPr>
        <w:t xml:space="preserve"> and Bowes (2021) demonstrated that Instagram marketing could influence the purchase process of UK Gen Z, the study discussed fashion products and did not create an effect or link the </w:t>
      </w:r>
      <w:proofErr w:type="spellStart"/>
      <w:r w:rsidRPr="00B7140C">
        <w:rPr>
          <w:rFonts w:ascii="Times New Roman" w:hAnsi="Times New Roman" w:cs="Times New Roman"/>
        </w:rPr>
        <w:t>behaviour</w:t>
      </w:r>
      <w:proofErr w:type="spellEnd"/>
      <w:r w:rsidRPr="00B7140C">
        <w:rPr>
          <w:rFonts w:ascii="Times New Roman" w:hAnsi="Times New Roman" w:cs="Times New Roman"/>
        </w:rPr>
        <w:t xml:space="preserve"> to a specific company's skincare products. Platform-native content, creator-product congruence and explicit disclosure would be reasonable implementation requirements for Revolution Skincare but cannot be treated as achieved results in a public campaign KPI. This case distinguished between a group-level business response and any influence mechanism that has not been confirmed.</w:t>
      </w:r>
    </w:p>
    <w:p w14:paraId="02EBB2BA" w14:textId="77777777" w:rsidR="00A40A85" w:rsidRPr="00B7140C" w:rsidRDefault="00A40A85" w:rsidP="00A40A85">
      <w:pPr>
        <w:pStyle w:val="Heading3"/>
        <w:spacing w:after="100"/>
        <w:rPr>
          <w:rFonts w:ascii="Times New Roman" w:hAnsi="Times New Roman" w:cs="Times New Roman"/>
          <w:color w:val="auto"/>
        </w:rPr>
      </w:pPr>
      <w:bookmarkStart w:id="107" w:name="_Toc237130117"/>
      <w:bookmarkStart w:id="108" w:name="_Toc240238890"/>
      <w:bookmarkEnd w:id="107"/>
      <w:r w:rsidRPr="00B7140C">
        <w:rPr>
          <w:rFonts w:ascii="Times New Roman" w:hAnsi="Times New Roman" w:cs="Times New Roman"/>
          <w:color w:val="auto"/>
        </w:rPr>
        <w:t>4.4.4 Revolution Skincare: Outcomes and Results</w:t>
      </w:r>
      <w:bookmarkEnd w:id="108"/>
    </w:p>
    <w:p w14:paraId="27343EEC" w14:textId="77777777" w:rsidR="003F732F" w:rsidRPr="00B7140C" w:rsidRDefault="003F732F" w:rsidP="003F732F">
      <w:pPr>
        <w:jc w:val="both"/>
        <w:rPr>
          <w:rFonts w:ascii="Times New Roman" w:hAnsi="Times New Roman" w:cs="Times New Roman"/>
        </w:rPr>
      </w:pPr>
      <w:r w:rsidRPr="00B7140C">
        <w:rPr>
          <w:rFonts w:ascii="Times New Roman" w:hAnsi="Times New Roman" w:cs="Times New Roman"/>
        </w:rPr>
        <w:t>Although the FY2025 revenue decline was a measurable business result, it could not be attributed to Revolution Skincare communication or influencer activity (Jobe, 2025). Its analytical value was therefore mainly cautionary: aggregate commercial data cannot demonstrate that a specific credibility tactic caused an outcome. Revolution Skincare adds an important qualification to the research question: trend relevance can generate exposure, but credible product explanation, disclosure and campaign-level measurement are needed before purchase-intention claims can be supported.</w:t>
      </w:r>
    </w:p>
    <w:p w14:paraId="1A5EA3CE" w14:textId="77777777" w:rsidR="003F732F" w:rsidRPr="00B7140C" w:rsidRDefault="003F732F" w:rsidP="00A40A85">
      <w:pPr>
        <w:jc w:val="both"/>
        <w:rPr>
          <w:rFonts w:ascii="Times New Roman" w:hAnsi="Times New Roman" w:cs="Times New Roman"/>
          <w:sz w:val="22"/>
        </w:rPr>
      </w:pPr>
    </w:p>
    <w:p w14:paraId="3BBEC591" w14:textId="77777777" w:rsidR="00400A13" w:rsidRPr="00B7140C" w:rsidRDefault="00682E2E" w:rsidP="003F732F">
      <w:pPr>
        <w:keepNext/>
        <w:spacing w:before="80" w:after="40"/>
        <w:jc w:val="center"/>
        <w:rPr>
          <w:rFonts w:ascii="Times New Roman" w:hAnsi="Times New Roman" w:cs="Times New Roman"/>
        </w:rPr>
      </w:pPr>
      <w:r w:rsidRPr="00B7140C">
        <w:rPr>
          <w:rFonts w:ascii="Times New Roman" w:hAnsi="Times New Roman" w:cs="Times New Roman"/>
          <w:noProof/>
        </w:rPr>
        <w:lastRenderedPageBreak/>
        <w:drawing>
          <wp:inline distT="0" distB="0" distL="0" distR="0" wp14:anchorId="4D0E64B6" wp14:editId="3C3A73A8">
            <wp:extent cx="5029200" cy="2462368"/>
            <wp:effectExtent l="0" t="0" r="0" b="0"/>
            <wp:docPr id="59437" name="Revolution Beauty Group public scale indicators webpage" descr="Revolution Beauty Group public scale indicators web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volution-beauty-crop.png"/>
                    <pic:cNvPicPr/>
                  </pic:nvPicPr>
                  <pic:blipFill>
                    <a:blip r:embed="rId16"/>
                    <a:stretch>
                      <a:fillRect/>
                    </a:stretch>
                  </pic:blipFill>
                  <pic:spPr>
                    <a:xfrm>
                      <a:off x="0" y="0"/>
                      <a:ext cx="5029200" cy="2462368"/>
                    </a:xfrm>
                    <a:prstGeom prst="rect">
                      <a:avLst/>
                    </a:prstGeom>
                  </pic:spPr>
                </pic:pic>
              </a:graphicData>
            </a:graphic>
          </wp:inline>
        </w:drawing>
      </w:r>
    </w:p>
    <w:p w14:paraId="20AE1A34" w14:textId="77777777" w:rsidR="00400A13" w:rsidRPr="00B7140C" w:rsidRDefault="00682E2E" w:rsidP="003F732F">
      <w:pPr>
        <w:keepNext/>
        <w:spacing w:after="40" w:line="240" w:lineRule="auto"/>
        <w:jc w:val="center"/>
        <w:rPr>
          <w:rFonts w:ascii="Times New Roman" w:hAnsi="Times New Roman" w:cs="Times New Roman"/>
        </w:rPr>
      </w:pPr>
      <w:r w:rsidRPr="00B7140C">
        <w:rPr>
          <w:rFonts w:ascii="Times New Roman" w:hAnsi="Times New Roman" w:cs="Times New Roman"/>
          <w:i/>
          <w:sz w:val="19"/>
        </w:rPr>
        <w:t>Figure 4.3: Revolution Beauty Group’s public scale indicators. Source: Revolution Beauty Group plc (2026a), company webpage screenshot (accessed 2 September 2026).</w:t>
      </w:r>
    </w:p>
    <w:p w14:paraId="522FFE27" w14:textId="77777777" w:rsidR="00400A13" w:rsidRPr="00B7140C" w:rsidRDefault="00682E2E" w:rsidP="003F732F">
      <w:pPr>
        <w:spacing w:after="80" w:line="240" w:lineRule="auto"/>
        <w:jc w:val="center"/>
        <w:rPr>
          <w:rFonts w:ascii="Times New Roman" w:hAnsi="Times New Roman" w:cs="Times New Roman"/>
        </w:rPr>
      </w:pPr>
      <w:r w:rsidRPr="00B7140C">
        <w:rPr>
          <w:rFonts w:ascii="Times New Roman" w:hAnsi="Times New Roman" w:cs="Times New Roman"/>
          <w:b/>
          <w:sz w:val="19"/>
        </w:rPr>
        <w:t xml:space="preserve">Analytical relevance: </w:t>
      </w:r>
      <w:r w:rsidRPr="00B7140C">
        <w:rPr>
          <w:rFonts w:ascii="Times New Roman" w:hAnsi="Times New Roman" w:cs="Times New Roman"/>
          <w:sz w:val="19"/>
        </w:rPr>
        <w:t xml:space="preserve">The corporate scale indicators </w:t>
      </w:r>
      <w:proofErr w:type="spellStart"/>
      <w:r w:rsidRPr="00B7140C">
        <w:rPr>
          <w:rFonts w:ascii="Times New Roman" w:hAnsi="Times New Roman" w:cs="Times New Roman"/>
          <w:sz w:val="19"/>
        </w:rPr>
        <w:t>contextualise</w:t>
      </w:r>
      <w:proofErr w:type="spellEnd"/>
      <w:r w:rsidRPr="00B7140C">
        <w:rPr>
          <w:rFonts w:ascii="Times New Roman" w:hAnsi="Times New Roman" w:cs="Times New Roman"/>
          <w:sz w:val="19"/>
        </w:rPr>
        <w:t xml:space="preserve"> Revolution Skincare’s mass-market reach; they do not attribute income or purchase </w:t>
      </w:r>
      <w:proofErr w:type="spellStart"/>
      <w:r w:rsidRPr="00B7140C">
        <w:rPr>
          <w:rFonts w:ascii="Times New Roman" w:hAnsi="Times New Roman" w:cs="Times New Roman"/>
          <w:sz w:val="19"/>
        </w:rPr>
        <w:t>behaviour</w:t>
      </w:r>
      <w:proofErr w:type="spellEnd"/>
      <w:r w:rsidRPr="00B7140C">
        <w:rPr>
          <w:rFonts w:ascii="Times New Roman" w:hAnsi="Times New Roman" w:cs="Times New Roman"/>
          <w:sz w:val="19"/>
        </w:rPr>
        <w:t xml:space="preserve"> to influencer activity.</w:t>
      </w:r>
    </w:p>
    <w:p w14:paraId="16360007" w14:textId="77777777" w:rsidR="00351715" w:rsidRPr="00B7140C" w:rsidRDefault="00351715" w:rsidP="0073628B">
      <w:pPr>
        <w:jc w:val="both"/>
        <w:rPr>
          <w:rFonts w:ascii="Times New Roman" w:hAnsi="Times New Roman" w:cs="Times New Roman"/>
        </w:rPr>
      </w:pPr>
    </w:p>
    <w:p w14:paraId="30ABC890" w14:textId="77777777" w:rsidR="00A40A85" w:rsidRPr="00B7140C" w:rsidRDefault="00A40A85" w:rsidP="00A40A85">
      <w:pPr>
        <w:pStyle w:val="Heading2"/>
        <w:spacing w:after="100"/>
        <w:rPr>
          <w:rFonts w:ascii="Times New Roman" w:hAnsi="Times New Roman" w:cs="Times New Roman"/>
          <w:color w:val="auto"/>
        </w:rPr>
      </w:pPr>
      <w:bookmarkStart w:id="109" w:name="_Toc237130118"/>
      <w:bookmarkStart w:id="110" w:name="_Toc240238891"/>
      <w:bookmarkEnd w:id="109"/>
      <w:r w:rsidRPr="00B7140C">
        <w:rPr>
          <w:rFonts w:ascii="Times New Roman" w:hAnsi="Times New Roman" w:cs="Times New Roman"/>
          <w:color w:val="auto"/>
        </w:rPr>
        <w:t>4.5 Case Study 4: No7</w:t>
      </w:r>
      <w:bookmarkEnd w:id="110"/>
    </w:p>
    <w:p w14:paraId="493A02BF" w14:textId="77777777" w:rsidR="00A40A85" w:rsidRPr="00B7140C" w:rsidRDefault="00A40A85" w:rsidP="00A40A85">
      <w:pPr>
        <w:pStyle w:val="Heading3"/>
        <w:spacing w:after="100"/>
        <w:rPr>
          <w:rFonts w:ascii="Times New Roman" w:hAnsi="Times New Roman" w:cs="Times New Roman"/>
          <w:color w:val="auto"/>
        </w:rPr>
      </w:pPr>
      <w:bookmarkStart w:id="111" w:name="_Toc237130119"/>
      <w:bookmarkStart w:id="112" w:name="_Toc240238892"/>
      <w:bookmarkEnd w:id="111"/>
      <w:r w:rsidRPr="00B7140C">
        <w:rPr>
          <w:rFonts w:ascii="Times New Roman" w:hAnsi="Times New Roman" w:cs="Times New Roman"/>
          <w:color w:val="auto"/>
        </w:rPr>
        <w:t>4.5.1 No7: Introduction and Background</w:t>
      </w:r>
      <w:bookmarkEnd w:id="112"/>
    </w:p>
    <w:p w14:paraId="49879624" w14:textId="22008EB9" w:rsidR="002B7592" w:rsidRPr="00B7140C" w:rsidRDefault="002B7592" w:rsidP="003F732F">
      <w:pPr>
        <w:jc w:val="both"/>
        <w:rPr>
          <w:rFonts w:ascii="Times New Roman" w:hAnsi="Times New Roman" w:cs="Times New Roman"/>
        </w:rPr>
      </w:pPr>
      <w:r w:rsidRPr="002B7592">
        <w:rPr>
          <w:rFonts w:ascii="Times New Roman" w:hAnsi="Times New Roman" w:cs="Times New Roman"/>
        </w:rPr>
        <w:t xml:space="preserve">No7 is a UK skincare company with a long history of association with Boots and pharmacy retail. It was introduced as a science-led innovation using its Future Renew range, and the No7 Beauty Company (2023) and the University of Manchester (2026) report that there is a significant </w:t>
      </w:r>
      <w:proofErr w:type="spellStart"/>
      <w:r w:rsidRPr="002B7592">
        <w:rPr>
          <w:rFonts w:ascii="Times New Roman" w:hAnsi="Times New Roman" w:cs="Times New Roman"/>
        </w:rPr>
        <w:t>programme</w:t>
      </w:r>
      <w:proofErr w:type="spellEnd"/>
      <w:r w:rsidRPr="002B7592">
        <w:rPr>
          <w:rFonts w:ascii="Times New Roman" w:hAnsi="Times New Roman" w:cs="Times New Roman"/>
        </w:rPr>
        <w:t xml:space="preserve"> of supporting studies with thousands of people. The contrasts in No7's approach to using evidence-based skin care research and its efforts to find relevance with younger digital consumers are evident. It competes with established skin care companies and the more recent DTC (direct to consumer) companies that are visible to their creators.</w:t>
      </w:r>
    </w:p>
    <w:p w14:paraId="6FA69AD0" w14:textId="77777777" w:rsidR="00A40A85" w:rsidRPr="00B7140C" w:rsidRDefault="00A40A85" w:rsidP="00A40A85">
      <w:pPr>
        <w:pStyle w:val="Heading3"/>
        <w:spacing w:after="100"/>
        <w:rPr>
          <w:rFonts w:ascii="Times New Roman" w:hAnsi="Times New Roman" w:cs="Times New Roman"/>
          <w:color w:val="auto"/>
        </w:rPr>
      </w:pPr>
      <w:bookmarkStart w:id="113" w:name="_Toc237130120"/>
      <w:bookmarkStart w:id="114" w:name="_Toc240238893"/>
      <w:bookmarkEnd w:id="113"/>
      <w:r w:rsidRPr="00B7140C">
        <w:rPr>
          <w:rFonts w:ascii="Times New Roman" w:hAnsi="Times New Roman" w:cs="Times New Roman"/>
          <w:color w:val="auto"/>
        </w:rPr>
        <w:t>4.5.2 No7: The Challenge or Opportunity</w:t>
      </w:r>
      <w:bookmarkEnd w:id="114"/>
    </w:p>
    <w:p w14:paraId="072C395A" w14:textId="49017CD5" w:rsidR="002B7592" w:rsidRPr="00B7140C" w:rsidRDefault="002B7592" w:rsidP="003F732F">
      <w:pPr>
        <w:jc w:val="both"/>
        <w:rPr>
          <w:rFonts w:ascii="Times New Roman" w:hAnsi="Times New Roman" w:cs="Times New Roman"/>
        </w:rPr>
      </w:pPr>
      <w:r w:rsidRPr="002B7592">
        <w:rPr>
          <w:rFonts w:ascii="Times New Roman" w:hAnsi="Times New Roman" w:cs="Times New Roman"/>
        </w:rPr>
        <w:t>The task No. 7 had to complete was to provide scientific substantiation in a creator-friendly way without being too young or inaccurate. Heritage and research investment can provide expertise but not necessarily authenticity for audiences of Gen Z. But creator endorsement is a way of simplifying the evidence, which may reduce the scientific distinction that makes the proposition credible. It was therefore a challenge to translate product research into clear, comprehensible and suitably qualified messages (Lee and Eastin, 2021; No7 Beauty Company, 2023; University of Manchester, 2026).</w:t>
      </w:r>
    </w:p>
    <w:p w14:paraId="1350310C" w14:textId="77777777" w:rsidR="00A40A85" w:rsidRPr="00B7140C" w:rsidRDefault="00A40A85" w:rsidP="00A40A85">
      <w:pPr>
        <w:pStyle w:val="Heading3"/>
        <w:spacing w:after="100"/>
        <w:rPr>
          <w:rFonts w:ascii="Times New Roman" w:hAnsi="Times New Roman" w:cs="Times New Roman"/>
          <w:color w:val="auto"/>
        </w:rPr>
      </w:pPr>
      <w:bookmarkStart w:id="115" w:name="_Toc237130121"/>
      <w:bookmarkStart w:id="116" w:name="_Toc240238894"/>
      <w:bookmarkEnd w:id="115"/>
      <w:r w:rsidRPr="00B7140C">
        <w:rPr>
          <w:rFonts w:ascii="Times New Roman" w:hAnsi="Times New Roman" w:cs="Times New Roman"/>
          <w:color w:val="auto"/>
        </w:rPr>
        <w:lastRenderedPageBreak/>
        <w:t>4.5.3 No7: The Approach and Implementation</w:t>
      </w:r>
      <w:bookmarkEnd w:id="116"/>
    </w:p>
    <w:p w14:paraId="63451BC4" w14:textId="28475D0C" w:rsidR="00E339C8" w:rsidRPr="00B7140C" w:rsidRDefault="00E339C8" w:rsidP="003F732F">
      <w:pPr>
        <w:jc w:val="both"/>
        <w:rPr>
          <w:rFonts w:ascii="Times New Roman" w:hAnsi="Times New Roman" w:cs="Times New Roman"/>
        </w:rPr>
      </w:pPr>
      <w:r w:rsidRPr="00E339C8">
        <w:rPr>
          <w:rFonts w:ascii="Times New Roman" w:hAnsi="Times New Roman" w:cs="Times New Roman"/>
        </w:rPr>
        <w:t>No7 created a research-based range, backed by public information about their product testing policy as well as information from the University of Manchester on the research behind skin ageing (No7 Beauty Company, 2023; University of Manchester, 2026). In this instance, it is not the micro-influencer's responsibility to replace that evidence; it is theirs to communicate. The concept of multidimensional authenticity brought up by Lee and Eastin (2021) is applicable because of the authenticity of creator content, which should be believable and consistent with the message substantiated. But not participating in product research is not an influencer campaign, and it doesn't equate to Gen Z purchase intention. The evidence for implementation is therefore good for a scientific substantiation but not for estimating a creator effect.</w:t>
      </w:r>
    </w:p>
    <w:p w14:paraId="0309E3F2" w14:textId="77777777" w:rsidR="00A40A85" w:rsidRPr="00B7140C" w:rsidRDefault="00A40A85" w:rsidP="00A40A85">
      <w:pPr>
        <w:pStyle w:val="Heading3"/>
        <w:spacing w:after="100"/>
        <w:rPr>
          <w:rFonts w:ascii="Times New Roman" w:hAnsi="Times New Roman" w:cs="Times New Roman"/>
          <w:color w:val="auto"/>
        </w:rPr>
      </w:pPr>
      <w:bookmarkStart w:id="117" w:name="_Toc237130122"/>
      <w:bookmarkStart w:id="118" w:name="_Toc240238895"/>
      <w:bookmarkEnd w:id="117"/>
      <w:r w:rsidRPr="00B7140C">
        <w:rPr>
          <w:rFonts w:ascii="Times New Roman" w:hAnsi="Times New Roman" w:cs="Times New Roman"/>
          <w:color w:val="auto"/>
        </w:rPr>
        <w:t>4.5.4 No7: Outcomes and Results</w:t>
      </w:r>
      <w:bookmarkEnd w:id="118"/>
    </w:p>
    <w:p w14:paraId="455F6B50" w14:textId="26024A84" w:rsidR="002515F1" w:rsidRPr="00B7140C" w:rsidRDefault="002515F1" w:rsidP="003F732F">
      <w:pPr>
        <w:jc w:val="both"/>
        <w:rPr>
          <w:rFonts w:ascii="Times New Roman" w:hAnsi="Times New Roman" w:cs="Times New Roman"/>
        </w:rPr>
      </w:pPr>
      <w:r w:rsidRPr="002515F1">
        <w:rPr>
          <w:rFonts w:ascii="Times New Roman" w:hAnsi="Times New Roman" w:cs="Times New Roman"/>
        </w:rPr>
        <w:t>The outcome that was reported was not a verified influencer-performance KPI but rather a documented scientific evidence base for Future Renew (No7 Beauty Company, 2023; University of Manchester, 2026). This supports the validity of product claims but isn't proof of an increased purchase intention because of the creator activity. Thus, No7 is a good example of an expert as a brand asset and a test of authenticity as a communication. Records of creator selection, disclosure compliance, conversion or trust scores would give more definitive evidence.</w:t>
      </w:r>
    </w:p>
    <w:p w14:paraId="4B76F4AF" w14:textId="77777777" w:rsidR="00400A13" w:rsidRPr="00B7140C" w:rsidRDefault="00682E2E" w:rsidP="003F732F">
      <w:pPr>
        <w:keepNext/>
        <w:spacing w:before="80" w:after="40"/>
        <w:jc w:val="center"/>
        <w:rPr>
          <w:rFonts w:ascii="Times New Roman" w:hAnsi="Times New Roman" w:cs="Times New Roman"/>
        </w:rPr>
      </w:pPr>
      <w:r w:rsidRPr="00B7140C">
        <w:rPr>
          <w:rFonts w:ascii="Times New Roman" w:hAnsi="Times New Roman" w:cs="Times New Roman"/>
          <w:noProof/>
        </w:rPr>
        <w:drawing>
          <wp:inline distT="0" distB="0" distL="0" distR="0" wp14:anchorId="2973D032" wp14:editId="5B06D1AC">
            <wp:extent cx="5029200" cy="1216742"/>
            <wp:effectExtent l="0" t="0" r="0" b="0"/>
            <wp:docPr id="59438" name="No7 Future Renew product-testing evidence webpage extract" descr="No7 Future Renew product-testing evidence webpage ex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7-future-renew-crop.png"/>
                    <pic:cNvPicPr/>
                  </pic:nvPicPr>
                  <pic:blipFill>
                    <a:blip r:embed="rId17"/>
                    <a:stretch>
                      <a:fillRect/>
                    </a:stretch>
                  </pic:blipFill>
                  <pic:spPr>
                    <a:xfrm>
                      <a:off x="0" y="0"/>
                      <a:ext cx="5029200" cy="1216742"/>
                    </a:xfrm>
                    <a:prstGeom prst="rect">
                      <a:avLst/>
                    </a:prstGeom>
                  </pic:spPr>
                </pic:pic>
              </a:graphicData>
            </a:graphic>
          </wp:inline>
        </w:drawing>
      </w:r>
    </w:p>
    <w:p w14:paraId="2D95C880" w14:textId="77777777" w:rsidR="00400A13" w:rsidRPr="00B7140C" w:rsidRDefault="00682E2E" w:rsidP="003F732F">
      <w:pPr>
        <w:keepNext/>
        <w:spacing w:after="40" w:line="240" w:lineRule="auto"/>
        <w:jc w:val="center"/>
        <w:rPr>
          <w:rFonts w:ascii="Times New Roman" w:hAnsi="Times New Roman" w:cs="Times New Roman"/>
        </w:rPr>
      </w:pPr>
      <w:r w:rsidRPr="00B7140C">
        <w:rPr>
          <w:rFonts w:ascii="Times New Roman" w:hAnsi="Times New Roman" w:cs="Times New Roman"/>
          <w:i/>
          <w:sz w:val="19"/>
        </w:rPr>
        <w:t>Figure 4.4: No7 Future Renew product-testing webpage extract. Source: No7 Beauty Company (2023), company webpage screenshot (accessed 2 September 2026).</w:t>
      </w:r>
    </w:p>
    <w:p w14:paraId="663991B1" w14:textId="77777777" w:rsidR="00400A13" w:rsidRPr="00B7140C" w:rsidRDefault="00682E2E" w:rsidP="003F732F">
      <w:pPr>
        <w:spacing w:after="80" w:line="240" w:lineRule="auto"/>
        <w:jc w:val="center"/>
        <w:rPr>
          <w:rFonts w:ascii="Times New Roman" w:hAnsi="Times New Roman" w:cs="Times New Roman"/>
        </w:rPr>
      </w:pPr>
      <w:r w:rsidRPr="00B7140C">
        <w:rPr>
          <w:rFonts w:ascii="Times New Roman" w:hAnsi="Times New Roman" w:cs="Times New Roman"/>
          <w:b/>
          <w:sz w:val="19"/>
        </w:rPr>
        <w:t>Analytical relevance: The No7 webpage records product-testing claims; this supports the case’s substantiation context, not a Gen Z creator-conversion result.</w:t>
      </w:r>
    </w:p>
    <w:p w14:paraId="4997202C" w14:textId="77777777" w:rsidR="00351715" w:rsidRPr="00B7140C" w:rsidRDefault="00351715" w:rsidP="0073628B">
      <w:pPr>
        <w:jc w:val="both"/>
        <w:rPr>
          <w:rFonts w:ascii="Times New Roman" w:hAnsi="Times New Roman" w:cs="Times New Roman"/>
        </w:rPr>
      </w:pPr>
    </w:p>
    <w:p w14:paraId="45BA0EE7" w14:textId="77777777" w:rsidR="00A40A85" w:rsidRPr="00B7140C" w:rsidRDefault="00A40A85" w:rsidP="00A40A85">
      <w:pPr>
        <w:pStyle w:val="Heading2"/>
        <w:spacing w:after="100"/>
        <w:rPr>
          <w:rFonts w:ascii="Times New Roman" w:hAnsi="Times New Roman" w:cs="Times New Roman"/>
          <w:color w:val="auto"/>
        </w:rPr>
      </w:pPr>
      <w:bookmarkStart w:id="119" w:name="_Toc237130123"/>
      <w:bookmarkStart w:id="120" w:name="_Toc240238896"/>
      <w:bookmarkEnd w:id="119"/>
      <w:r w:rsidRPr="00B7140C">
        <w:rPr>
          <w:rFonts w:ascii="Times New Roman" w:hAnsi="Times New Roman" w:cs="Times New Roman"/>
          <w:color w:val="auto"/>
        </w:rPr>
        <w:t>4.6 Case Study 5: Skin + Me</w:t>
      </w:r>
      <w:bookmarkEnd w:id="120"/>
    </w:p>
    <w:p w14:paraId="0DDA825F" w14:textId="77777777" w:rsidR="00A40A85" w:rsidRPr="00B7140C" w:rsidRDefault="00A40A85" w:rsidP="00A40A85">
      <w:pPr>
        <w:pStyle w:val="Heading3"/>
        <w:spacing w:after="100"/>
        <w:rPr>
          <w:rFonts w:ascii="Times New Roman" w:hAnsi="Times New Roman" w:cs="Times New Roman"/>
          <w:color w:val="auto"/>
        </w:rPr>
      </w:pPr>
      <w:bookmarkStart w:id="121" w:name="_Toc237130124"/>
      <w:bookmarkStart w:id="122" w:name="_Toc240238897"/>
      <w:bookmarkEnd w:id="121"/>
      <w:r w:rsidRPr="00B7140C">
        <w:rPr>
          <w:rFonts w:ascii="Times New Roman" w:hAnsi="Times New Roman" w:cs="Times New Roman"/>
          <w:color w:val="auto"/>
        </w:rPr>
        <w:t>4.6.1 Skin + Me: Introduction and Background</w:t>
      </w:r>
      <w:bookmarkEnd w:id="122"/>
    </w:p>
    <w:p w14:paraId="0C3B355B" w14:textId="43BC5B13" w:rsidR="0081181C" w:rsidRPr="00B7140C" w:rsidRDefault="0081181C" w:rsidP="00D30017">
      <w:pPr>
        <w:jc w:val="both"/>
        <w:rPr>
          <w:rFonts w:ascii="Times New Roman" w:hAnsi="Times New Roman" w:cs="Times New Roman"/>
        </w:rPr>
      </w:pPr>
      <w:r w:rsidRPr="0081181C">
        <w:rPr>
          <w:rFonts w:ascii="Times New Roman" w:hAnsi="Times New Roman" w:cs="Times New Roman"/>
        </w:rPr>
        <w:t xml:space="preserve">Skin + Me is a UK digital skincare company offering </w:t>
      </w:r>
      <w:proofErr w:type="spellStart"/>
      <w:r w:rsidRPr="0081181C">
        <w:rPr>
          <w:rFonts w:ascii="Times New Roman" w:hAnsi="Times New Roman" w:cs="Times New Roman"/>
        </w:rPr>
        <w:t>personalised</w:t>
      </w:r>
      <w:proofErr w:type="spellEnd"/>
      <w:r w:rsidRPr="0081181C">
        <w:rPr>
          <w:rFonts w:ascii="Times New Roman" w:hAnsi="Times New Roman" w:cs="Times New Roman"/>
        </w:rPr>
        <w:t xml:space="preserve"> skincare via their online service, </w:t>
      </w:r>
      <w:proofErr w:type="spellStart"/>
      <w:r w:rsidRPr="0081181C">
        <w:rPr>
          <w:rFonts w:ascii="Times New Roman" w:hAnsi="Times New Roman" w:cs="Times New Roman"/>
        </w:rPr>
        <w:t>utilising</w:t>
      </w:r>
      <w:proofErr w:type="spellEnd"/>
      <w:r w:rsidRPr="0081181C">
        <w:rPr>
          <w:rFonts w:ascii="Times New Roman" w:hAnsi="Times New Roman" w:cs="Times New Roman"/>
        </w:rPr>
        <w:t xml:space="preserve"> clinical input. It has developed skin care routines based on personal skin </w:t>
      </w:r>
      <w:r w:rsidRPr="0081181C">
        <w:rPr>
          <w:rFonts w:ascii="Times New Roman" w:hAnsi="Times New Roman" w:cs="Times New Roman"/>
        </w:rPr>
        <w:lastRenderedPageBreak/>
        <w:t xml:space="preserve">issues (Skin + Me, 2026a; Skin + Me, 2026b). Unlike the more traditional retail cases, Skin + Me is a continual, </w:t>
      </w:r>
      <w:proofErr w:type="spellStart"/>
      <w:r w:rsidRPr="0081181C">
        <w:rPr>
          <w:rFonts w:ascii="Times New Roman" w:hAnsi="Times New Roman" w:cs="Times New Roman"/>
        </w:rPr>
        <w:t>personalised</w:t>
      </w:r>
      <w:proofErr w:type="spellEnd"/>
      <w:r w:rsidRPr="0081181C">
        <w:rPr>
          <w:rFonts w:ascii="Times New Roman" w:hAnsi="Times New Roman" w:cs="Times New Roman"/>
        </w:rPr>
        <w:t>, digital service. This makes trust even more significant, as consumers have to evaluate both distance advice and the subsequent product interaction once they have bought it.</w:t>
      </w:r>
    </w:p>
    <w:p w14:paraId="250534D1" w14:textId="77777777" w:rsidR="00A40A85" w:rsidRPr="00B7140C" w:rsidRDefault="00A40A85" w:rsidP="00A40A85">
      <w:pPr>
        <w:pStyle w:val="Heading3"/>
        <w:spacing w:after="100"/>
        <w:rPr>
          <w:rFonts w:ascii="Times New Roman" w:hAnsi="Times New Roman" w:cs="Times New Roman"/>
          <w:color w:val="auto"/>
        </w:rPr>
      </w:pPr>
      <w:bookmarkStart w:id="123" w:name="_Toc237130125"/>
      <w:bookmarkStart w:id="124" w:name="_Toc240238898"/>
      <w:bookmarkEnd w:id="123"/>
      <w:r w:rsidRPr="00B7140C">
        <w:rPr>
          <w:rFonts w:ascii="Times New Roman" w:hAnsi="Times New Roman" w:cs="Times New Roman"/>
          <w:color w:val="auto"/>
        </w:rPr>
        <w:t>4.6.2 Skin + Me: The Challenge or Opportunity</w:t>
      </w:r>
      <w:bookmarkEnd w:id="124"/>
    </w:p>
    <w:p w14:paraId="64CC052E" w14:textId="263B10E5" w:rsidR="0081181C" w:rsidRPr="00B7140C" w:rsidRDefault="0081181C" w:rsidP="00D30017">
      <w:pPr>
        <w:jc w:val="both"/>
        <w:rPr>
          <w:rFonts w:ascii="Times New Roman" w:hAnsi="Times New Roman" w:cs="Times New Roman"/>
        </w:rPr>
      </w:pPr>
      <w:r w:rsidRPr="0081181C">
        <w:rPr>
          <w:rFonts w:ascii="Times New Roman" w:hAnsi="Times New Roman" w:cs="Times New Roman"/>
        </w:rPr>
        <w:t xml:space="preserve">Skin's challenge was to make </w:t>
      </w:r>
      <w:proofErr w:type="spellStart"/>
      <w:r w:rsidRPr="0081181C">
        <w:rPr>
          <w:rFonts w:ascii="Times New Roman" w:hAnsi="Times New Roman" w:cs="Times New Roman"/>
        </w:rPr>
        <w:t>personalised</w:t>
      </w:r>
      <w:proofErr w:type="spellEnd"/>
      <w:r w:rsidRPr="0081181C">
        <w:rPr>
          <w:rFonts w:ascii="Times New Roman" w:hAnsi="Times New Roman" w:cs="Times New Roman"/>
        </w:rPr>
        <w:t xml:space="preserve"> skincare accessible and authentic to Gen Z, who have been inundated with creator recommendations. There was a danger of confusing personal experience, professional knowledge and advertising due to perceived creator intimacy. In a </w:t>
      </w:r>
      <w:proofErr w:type="spellStart"/>
      <w:r w:rsidRPr="0081181C">
        <w:rPr>
          <w:rFonts w:ascii="Times New Roman" w:hAnsi="Times New Roman" w:cs="Times New Roman"/>
        </w:rPr>
        <w:t>personalised</w:t>
      </w:r>
      <w:proofErr w:type="spellEnd"/>
      <w:r w:rsidRPr="0081181C">
        <w:rPr>
          <w:rFonts w:ascii="Times New Roman" w:hAnsi="Times New Roman" w:cs="Times New Roman"/>
        </w:rPr>
        <w:t xml:space="preserve"> service, the role of a good testimonial is to catch the interest, but it doesn't necessarily prove suitability or evidence (Sokolova and </w:t>
      </w:r>
      <w:proofErr w:type="spellStart"/>
      <w:r w:rsidRPr="0081181C">
        <w:rPr>
          <w:rFonts w:ascii="Times New Roman" w:hAnsi="Times New Roman" w:cs="Times New Roman"/>
        </w:rPr>
        <w:t>Kefi</w:t>
      </w:r>
      <w:proofErr w:type="spellEnd"/>
      <w:r w:rsidRPr="0081181C">
        <w:rPr>
          <w:rFonts w:ascii="Times New Roman" w:hAnsi="Times New Roman" w:cs="Times New Roman"/>
        </w:rPr>
        <w:t>, 2020; Reinikainen et al., 2020). Skin + Me thus offers a compelling argument for considering transparency as an element of credibility, not a compliance requirement.</w:t>
      </w:r>
    </w:p>
    <w:p w14:paraId="388B37FE" w14:textId="77777777" w:rsidR="00A40A85" w:rsidRPr="00B7140C" w:rsidRDefault="00A40A85" w:rsidP="00A40A85">
      <w:pPr>
        <w:pStyle w:val="Heading3"/>
        <w:spacing w:after="100"/>
        <w:rPr>
          <w:rFonts w:ascii="Times New Roman" w:hAnsi="Times New Roman" w:cs="Times New Roman"/>
          <w:color w:val="auto"/>
        </w:rPr>
      </w:pPr>
      <w:bookmarkStart w:id="125" w:name="_Toc237130126"/>
      <w:bookmarkStart w:id="126" w:name="_Toc240238899"/>
      <w:bookmarkEnd w:id="125"/>
      <w:r w:rsidRPr="00B7140C">
        <w:rPr>
          <w:rFonts w:ascii="Times New Roman" w:hAnsi="Times New Roman" w:cs="Times New Roman"/>
          <w:color w:val="auto"/>
        </w:rPr>
        <w:t>4.6.3 Skin + Me: The Approach and Implementation</w:t>
      </w:r>
      <w:bookmarkEnd w:id="126"/>
    </w:p>
    <w:p w14:paraId="08275196" w14:textId="2857049A" w:rsidR="0081181C" w:rsidRPr="00B7140C" w:rsidRDefault="0081181C" w:rsidP="00D30017">
      <w:pPr>
        <w:jc w:val="both"/>
        <w:rPr>
          <w:rFonts w:ascii="Times New Roman" w:hAnsi="Times New Roman" w:cs="Times New Roman"/>
        </w:rPr>
      </w:pPr>
      <w:r w:rsidRPr="0081181C">
        <w:rPr>
          <w:rFonts w:ascii="Times New Roman" w:hAnsi="Times New Roman" w:cs="Times New Roman"/>
        </w:rPr>
        <w:t xml:space="preserve">Clinically informed skincare, direct delivery, and </w:t>
      </w:r>
      <w:proofErr w:type="spellStart"/>
      <w:r w:rsidRPr="0081181C">
        <w:rPr>
          <w:rFonts w:ascii="Times New Roman" w:hAnsi="Times New Roman" w:cs="Times New Roman"/>
        </w:rPr>
        <w:t>personalisation</w:t>
      </w:r>
      <w:proofErr w:type="spellEnd"/>
      <w:r w:rsidRPr="0081181C">
        <w:rPr>
          <w:rFonts w:ascii="Times New Roman" w:hAnsi="Times New Roman" w:cs="Times New Roman"/>
        </w:rPr>
        <w:t xml:space="preserve"> are at the heart of the public proposition of Skin + Me (Skin + Me, 2026a; Skin + Me, 2026b). In a creator context, it's crucial to differentiate between a customer story and professionally written information and advertising. ASA monitoring has revealed ongoing disclosure issues regarding influencer advertising, and CAP guidance states that marketing communications must be identifiable as an advertisement (Advertising Standards Authority, 2025a; Advertising Standards Authority, 2025b; Committee of Advertising Practice, 2026a; Committee of Advertising Practice, 2026b). Boerman (2020) and Kay, Mulcahy and Parkinson (2020) also demonstrate disclosure can trigger persuasion knowledge and not elicit the same consumer response. </w:t>
      </w:r>
      <w:proofErr w:type="gramStart"/>
      <w:r w:rsidRPr="0081181C">
        <w:rPr>
          <w:rFonts w:ascii="Times New Roman" w:hAnsi="Times New Roman" w:cs="Times New Roman"/>
        </w:rPr>
        <w:t>Thus</w:t>
      </w:r>
      <w:proofErr w:type="gramEnd"/>
      <w:r w:rsidRPr="0081181C">
        <w:rPr>
          <w:rFonts w:ascii="Times New Roman" w:hAnsi="Times New Roman" w:cs="Times New Roman"/>
        </w:rPr>
        <w:t xml:space="preserve"> the approach was evaluated as an ethical and credibility obligation and not a proven sales strategy, as there was no publicly available Skin + Me dataset that correlated disclosure with parasocial interaction and purchase intention.</w:t>
      </w:r>
    </w:p>
    <w:p w14:paraId="42D068B7" w14:textId="77777777" w:rsidR="00A40A85" w:rsidRPr="00B7140C" w:rsidRDefault="00A40A85" w:rsidP="00A40A85">
      <w:pPr>
        <w:pStyle w:val="Heading3"/>
        <w:spacing w:after="100"/>
        <w:rPr>
          <w:rFonts w:ascii="Times New Roman" w:hAnsi="Times New Roman" w:cs="Times New Roman"/>
          <w:color w:val="auto"/>
        </w:rPr>
      </w:pPr>
      <w:bookmarkStart w:id="127" w:name="_Toc237130127"/>
      <w:bookmarkStart w:id="128" w:name="_Toc240238900"/>
      <w:bookmarkEnd w:id="127"/>
      <w:r w:rsidRPr="00B7140C">
        <w:rPr>
          <w:rFonts w:ascii="Times New Roman" w:hAnsi="Times New Roman" w:cs="Times New Roman"/>
          <w:color w:val="auto"/>
        </w:rPr>
        <w:t>4.6.4 Skin + Me: Outcomes and Results</w:t>
      </w:r>
      <w:bookmarkEnd w:id="128"/>
    </w:p>
    <w:p w14:paraId="504E0002"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t xml:space="preserve">The verifiable outcome for Skin + Me was the availability of its </w:t>
      </w:r>
      <w:proofErr w:type="spellStart"/>
      <w:r w:rsidRPr="00B7140C">
        <w:rPr>
          <w:rFonts w:ascii="Times New Roman" w:hAnsi="Times New Roman" w:cs="Times New Roman"/>
        </w:rPr>
        <w:t>personalised</w:t>
      </w:r>
      <w:proofErr w:type="spellEnd"/>
      <w:r w:rsidRPr="00B7140C">
        <w:rPr>
          <w:rFonts w:ascii="Times New Roman" w:hAnsi="Times New Roman" w:cs="Times New Roman"/>
        </w:rPr>
        <w:t xml:space="preserve"> skincare service model rather than a published influencer-attribution result (Skin + Me, 2026a). The case suggests that transparency can become more important in an ongoing digital relationship, but it does not show that parasocial attachment causes purchase. Platform context, relational continuity and disclosure therefore contribute most directly to Objective 2. The absence of </w:t>
      </w:r>
      <w:r w:rsidRPr="00B7140C">
        <w:rPr>
          <w:rFonts w:ascii="Times New Roman" w:hAnsi="Times New Roman" w:cs="Times New Roman"/>
        </w:rPr>
        <w:lastRenderedPageBreak/>
        <w:t>publicly visible campaign KPIs limits any independent assessment of influencer effectiveness.</w:t>
      </w:r>
    </w:p>
    <w:p w14:paraId="5B632A29" w14:textId="77777777" w:rsidR="00400A13" w:rsidRPr="00B7140C" w:rsidRDefault="00682E2E" w:rsidP="00D30017">
      <w:pPr>
        <w:keepNext/>
        <w:spacing w:before="80" w:after="40"/>
        <w:jc w:val="center"/>
        <w:rPr>
          <w:rFonts w:ascii="Times New Roman" w:hAnsi="Times New Roman" w:cs="Times New Roman"/>
        </w:rPr>
      </w:pPr>
      <w:r w:rsidRPr="00B7140C">
        <w:rPr>
          <w:rFonts w:ascii="Times New Roman" w:hAnsi="Times New Roman" w:cs="Times New Roman"/>
          <w:noProof/>
        </w:rPr>
        <w:drawing>
          <wp:inline distT="0" distB="0" distL="0" distR="0" wp14:anchorId="2FA6A693" wp14:editId="27512F3E">
            <wp:extent cx="5029200" cy="2462368"/>
            <wp:effectExtent l="0" t="0" r="0" b="0"/>
            <wp:docPr id="59439" name="Skin and Me personalised dermatology consultation webpage" descr="Skin and Me personalised dermatology consultation web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inandme-crop.png"/>
                    <pic:cNvPicPr/>
                  </pic:nvPicPr>
                  <pic:blipFill>
                    <a:blip r:embed="rId18"/>
                    <a:stretch>
                      <a:fillRect/>
                    </a:stretch>
                  </pic:blipFill>
                  <pic:spPr>
                    <a:xfrm>
                      <a:off x="0" y="0"/>
                      <a:ext cx="5029200" cy="2462368"/>
                    </a:xfrm>
                    <a:prstGeom prst="rect">
                      <a:avLst/>
                    </a:prstGeom>
                  </pic:spPr>
                </pic:pic>
              </a:graphicData>
            </a:graphic>
          </wp:inline>
        </w:drawing>
      </w:r>
    </w:p>
    <w:p w14:paraId="06555425" w14:textId="77777777" w:rsidR="00400A13" w:rsidRPr="00B7140C" w:rsidRDefault="00682E2E" w:rsidP="00D30017">
      <w:pPr>
        <w:keepNext/>
        <w:spacing w:after="40"/>
        <w:jc w:val="center"/>
        <w:rPr>
          <w:rFonts w:ascii="Times New Roman" w:hAnsi="Times New Roman" w:cs="Times New Roman"/>
        </w:rPr>
      </w:pPr>
      <w:r w:rsidRPr="00B7140C">
        <w:rPr>
          <w:rFonts w:ascii="Times New Roman" w:hAnsi="Times New Roman" w:cs="Times New Roman"/>
          <w:i/>
          <w:sz w:val="19"/>
        </w:rPr>
        <w:t xml:space="preserve">Figure 4.5: Skin + Me’s </w:t>
      </w:r>
      <w:proofErr w:type="spellStart"/>
      <w:r w:rsidRPr="00B7140C">
        <w:rPr>
          <w:rFonts w:ascii="Times New Roman" w:hAnsi="Times New Roman" w:cs="Times New Roman"/>
          <w:i/>
          <w:sz w:val="19"/>
        </w:rPr>
        <w:t>personalised</w:t>
      </w:r>
      <w:proofErr w:type="spellEnd"/>
      <w:r w:rsidRPr="00B7140C">
        <w:rPr>
          <w:rFonts w:ascii="Times New Roman" w:hAnsi="Times New Roman" w:cs="Times New Roman"/>
          <w:i/>
          <w:sz w:val="19"/>
        </w:rPr>
        <w:t xml:space="preserve"> skincare consultation proposition. Source: Skin + Me (2026a), company webpage screenshot (accessed 2 September 2026).</w:t>
      </w:r>
    </w:p>
    <w:p w14:paraId="1289BC7A" w14:textId="77777777" w:rsidR="00400A13" w:rsidRPr="00B7140C" w:rsidRDefault="00682E2E" w:rsidP="00D30017">
      <w:pPr>
        <w:spacing w:after="80"/>
        <w:jc w:val="center"/>
        <w:rPr>
          <w:rFonts w:ascii="Times New Roman" w:hAnsi="Times New Roman" w:cs="Times New Roman"/>
        </w:rPr>
      </w:pPr>
      <w:r w:rsidRPr="00B7140C">
        <w:rPr>
          <w:rFonts w:ascii="Times New Roman" w:hAnsi="Times New Roman" w:cs="Times New Roman"/>
          <w:b/>
          <w:sz w:val="19"/>
        </w:rPr>
        <w:t xml:space="preserve">Analytical relevance: </w:t>
      </w:r>
      <w:r w:rsidRPr="00B7140C">
        <w:rPr>
          <w:rFonts w:ascii="Times New Roman" w:hAnsi="Times New Roman" w:cs="Times New Roman"/>
          <w:sz w:val="19"/>
        </w:rPr>
        <w:t>Skin + Me’s consultation proposition shows why professional guidance, testimonials and paid content must remain distinguishable; it does not demonstrate conversion.</w:t>
      </w:r>
    </w:p>
    <w:p w14:paraId="49104E2A" w14:textId="77777777" w:rsidR="00A40A85" w:rsidRPr="00B7140C" w:rsidRDefault="00A40A85" w:rsidP="00A40A85">
      <w:pPr>
        <w:keepLines/>
        <w:spacing w:before="120" w:after="60"/>
        <w:jc w:val="center"/>
        <w:rPr>
          <w:rFonts w:ascii="Times New Roman" w:hAnsi="Times New Roman" w:cs="Times New Roman"/>
        </w:rPr>
      </w:pPr>
      <w:r w:rsidRPr="00B7140C">
        <w:rPr>
          <w:rFonts w:ascii="Times New Roman" w:hAnsi="Times New Roman" w:cs="Times New Roman"/>
        </w:rPr>
        <w:t xml:space="preserve">Table 4.1: Profile of the five UK skincare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w:t>
      </w:r>
    </w:p>
    <w:tbl>
      <w:tblPr>
        <w:tblW w:w="8150" w:type="dxa"/>
        <w:jc w:val="center"/>
        <w:tblLayout w:type="fixed"/>
        <w:tblLook w:val="04A0" w:firstRow="1" w:lastRow="0" w:firstColumn="1" w:lastColumn="0" w:noHBand="0" w:noVBand="1"/>
      </w:tblPr>
      <w:tblGrid>
        <w:gridCol w:w="750"/>
        <w:gridCol w:w="2100"/>
        <w:gridCol w:w="2750"/>
        <w:gridCol w:w="2550"/>
      </w:tblGrid>
      <w:tr w:rsidR="00A12B69" w:rsidRPr="00B7140C" w14:paraId="18C473EA" w14:textId="77777777" w:rsidTr="00787FA3">
        <w:trPr>
          <w:tblHeader/>
          <w:jc w:val="center"/>
        </w:trPr>
        <w:tc>
          <w:tcPr>
            <w:tcW w:w="750" w:type="dxa"/>
            <w:shd w:val="clear" w:color="auto" w:fill="D9EAD3"/>
            <w:tcMar>
              <w:top w:w="70" w:type="dxa"/>
              <w:left w:w="90" w:type="dxa"/>
              <w:bottom w:w="70" w:type="dxa"/>
              <w:right w:w="90" w:type="dxa"/>
            </w:tcMar>
            <w:vAlign w:val="center"/>
          </w:tcPr>
          <w:p w14:paraId="119383CB"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7"/>
              </w:rPr>
              <w:t>Case study</w:t>
            </w:r>
          </w:p>
        </w:tc>
        <w:tc>
          <w:tcPr>
            <w:tcW w:w="2100" w:type="dxa"/>
            <w:shd w:val="clear" w:color="auto" w:fill="D9EAD3"/>
            <w:tcMar>
              <w:top w:w="70" w:type="dxa"/>
              <w:left w:w="90" w:type="dxa"/>
              <w:bottom w:w="70" w:type="dxa"/>
              <w:right w:w="90" w:type="dxa"/>
            </w:tcMar>
            <w:vAlign w:val="center"/>
          </w:tcPr>
          <w:p w14:paraId="6333B0C0" w14:textId="77777777" w:rsidR="00AE0283" w:rsidRPr="00B7140C" w:rsidRDefault="00682E2E">
            <w:pPr>
              <w:spacing w:after="0"/>
              <w:rPr>
                <w:rFonts w:ascii="Times New Roman" w:hAnsi="Times New Roman" w:cs="Times New Roman"/>
              </w:rPr>
            </w:pPr>
            <w:proofErr w:type="spellStart"/>
            <w:r w:rsidRPr="00B7140C">
              <w:rPr>
                <w:rFonts w:ascii="Times New Roman" w:hAnsi="Times New Roman" w:cs="Times New Roman"/>
                <w:b/>
                <w:sz w:val="17"/>
              </w:rPr>
              <w:t>Organisation</w:t>
            </w:r>
            <w:proofErr w:type="spellEnd"/>
            <w:r w:rsidRPr="00B7140C">
              <w:rPr>
                <w:rFonts w:ascii="Times New Roman" w:hAnsi="Times New Roman" w:cs="Times New Roman"/>
                <w:b/>
                <w:sz w:val="17"/>
              </w:rPr>
              <w:t xml:space="preserve"> context</w:t>
            </w:r>
          </w:p>
        </w:tc>
        <w:tc>
          <w:tcPr>
            <w:tcW w:w="2750" w:type="dxa"/>
            <w:shd w:val="clear" w:color="auto" w:fill="D9EAD3"/>
            <w:tcMar>
              <w:top w:w="70" w:type="dxa"/>
              <w:left w:w="90" w:type="dxa"/>
              <w:bottom w:w="70" w:type="dxa"/>
              <w:right w:w="90" w:type="dxa"/>
            </w:tcMar>
            <w:vAlign w:val="center"/>
          </w:tcPr>
          <w:p w14:paraId="5110A3D2"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7"/>
              </w:rPr>
              <w:t>Communication challenge / approach</w:t>
            </w:r>
          </w:p>
        </w:tc>
        <w:tc>
          <w:tcPr>
            <w:tcW w:w="2550" w:type="dxa"/>
            <w:shd w:val="clear" w:color="auto" w:fill="D9EAD3"/>
            <w:tcMar>
              <w:top w:w="70" w:type="dxa"/>
              <w:left w:w="90" w:type="dxa"/>
              <w:bottom w:w="70" w:type="dxa"/>
              <w:right w:w="90" w:type="dxa"/>
            </w:tcMar>
            <w:vAlign w:val="center"/>
          </w:tcPr>
          <w:p w14:paraId="0669829D"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7"/>
              </w:rPr>
              <w:t>Evidence outcome and limitation</w:t>
            </w:r>
          </w:p>
        </w:tc>
      </w:tr>
      <w:tr w:rsidR="00A12B69" w:rsidRPr="00B7140C" w14:paraId="41A3EF08" w14:textId="77777777" w:rsidTr="00787FA3">
        <w:trPr>
          <w:jc w:val="center"/>
        </w:trPr>
        <w:tc>
          <w:tcPr>
            <w:tcW w:w="750" w:type="dxa"/>
            <w:shd w:val="clear" w:color="auto" w:fill="EAF1F5"/>
            <w:tcMar>
              <w:top w:w="70" w:type="dxa"/>
              <w:left w:w="90" w:type="dxa"/>
              <w:bottom w:w="70" w:type="dxa"/>
              <w:right w:w="90" w:type="dxa"/>
            </w:tcMar>
            <w:vAlign w:val="center"/>
          </w:tcPr>
          <w:p w14:paraId="439F984C"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1</w:t>
            </w:r>
          </w:p>
        </w:tc>
        <w:tc>
          <w:tcPr>
            <w:tcW w:w="2100" w:type="dxa"/>
            <w:shd w:val="clear" w:color="auto" w:fill="EAF1F5"/>
            <w:tcMar>
              <w:top w:w="70" w:type="dxa"/>
              <w:left w:w="90" w:type="dxa"/>
              <w:bottom w:w="70" w:type="dxa"/>
              <w:right w:w="90" w:type="dxa"/>
            </w:tcMar>
            <w:vAlign w:val="center"/>
          </w:tcPr>
          <w:p w14:paraId="5CA26F9A"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The INKEY List: ingredient-led education</w:t>
            </w:r>
          </w:p>
        </w:tc>
        <w:tc>
          <w:tcPr>
            <w:tcW w:w="2750" w:type="dxa"/>
            <w:shd w:val="clear" w:color="auto" w:fill="EAF1F5"/>
            <w:tcMar>
              <w:top w:w="70" w:type="dxa"/>
              <w:left w:w="90" w:type="dxa"/>
              <w:bottom w:w="70" w:type="dxa"/>
              <w:right w:w="90" w:type="dxa"/>
            </w:tcMar>
            <w:vAlign w:val="center"/>
          </w:tcPr>
          <w:p w14:paraId="5EA05889"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Make ingredient information understandable; use expertise, fit and clear disclosure.</w:t>
            </w:r>
          </w:p>
        </w:tc>
        <w:tc>
          <w:tcPr>
            <w:tcW w:w="2550" w:type="dxa"/>
            <w:shd w:val="clear" w:color="auto" w:fill="EAF1F5"/>
            <w:tcMar>
              <w:top w:w="70" w:type="dxa"/>
              <w:left w:w="90" w:type="dxa"/>
              <w:bottom w:w="70" w:type="dxa"/>
              <w:right w:w="90" w:type="dxa"/>
            </w:tcMar>
            <w:vAlign w:val="center"/>
          </w:tcPr>
          <w:p w14:paraId="487167B2"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INKEY School is publicly available; no audited influencer KPI.</w:t>
            </w:r>
          </w:p>
        </w:tc>
      </w:tr>
      <w:tr w:rsidR="00A12B69" w:rsidRPr="00B7140C" w14:paraId="18FCA585" w14:textId="77777777" w:rsidTr="00787FA3">
        <w:trPr>
          <w:jc w:val="center"/>
        </w:trPr>
        <w:tc>
          <w:tcPr>
            <w:tcW w:w="750" w:type="dxa"/>
            <w:shd w:val="clear" w:color="auto" w:fill="FFFFFF"/>
            <w:tcMar>
              <w:top w:w="70" w:type="dxa"/>
              <w:left w:w="90" w:type="dxa"/>
              <w:bottom w:w="70" w:type="dxa"/>
              <w:right w:w="90" w:type="dxa"/>
            </w:tcMar>
            <w:vAlign w:val="center"/>
          </w:tcPr>
          <w:p w14:paraId="4915D7C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2</w:t>
            </w:r>
          </w:p>
        </w:tc>
        <w:tc>
          <w:tcPr>
            <w:tcW w:w="2100" w:type="dxa"/>
            <w:shd w:val="clear" w:color="auto" w:fill="FFFFFF"/>
            <w:tcMar>
              <w:top w:w="70" w:type="dxa"/>
              <w:left w:w="90" w:type="dxa"/>
              <w:bottom w:w="70" w:type="dxa"/>
              <w:right w:w="90" w:type="dxa"/>
            </w:tcMar>
            <w:vAlign w:val="center"/>
          </w:tcPr>
          <w:p w14:paraId="6604C1C4"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Pai Skincare: sensitive-skin specialist</w:t>
            </w:r>
          </w:p>
        </w:tc>
        <w:tc>
          <w:tcPr>
            <w:tcW w:w="2750" w:type="dxa"/>
            <w:shd w:val="clear" w:color="auto" w:fill="FFFFFF"/>
            <w:tcMar>
              <w:top w:w="70" w:type="dxa"/>
              <w:left w:w="90" w:type="dxa"/>
              <w:bottom w:w="70" w:type="dxa"/>
              <w:right w:w="90" w:type="dxa"/>
            </w:tcMar>
            <w:vAlign w:val="center"/>
          </w:tcPr>
          <w:p w14:paraId="5F8A646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Combine personal relevance with substantiated, transparent claims.</w:t>
            </w:r>
          </w:p>
        </w:tc>
        <w:tc>
          <w:tcPr>
            <w:tcW w:w="2550" w:type="dxa"/>
            <w:shd w:val="clear" w:color="auto" w:fill="FFFFFF"/>
            <w:tcMar>
              <w:top w:w="70" w:type="dxa"/>
              <w:left w:w="90" w:type="dxa"/>
              <w:bottom w:w="70" w:type="dxa"/>
              <w:right w:w="90" w:type="dxa"/>
            </w:tcMar>
            <w:vAlign w:val="center"/>
          </w:tcPr>
          <w:p w14:paraId="5B3B9CD6"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Specialist positioning is public; no attributable campaign result.</w:t>
            </w:r>
          </w:p>
        </w:tc>
      </w:tr>
      <w:tr w:rsidR="00A12B69" w:rsidRPr="00B7140C" w14:paraId="7518529E" w14:textId="77777777" w:rsidTr="00787FA3">
        <w:trPr>
          <w:jc w:val="center"/>
        </w:trPr>
        <w:tc>
          <w:tcPr>
            <w:tcW w:w="750" w:type="dxa"/>
            <w:shd w:val="clear" w:color="auto" w:fill="EAF1F5"/>
            <w:tcMar>
              <w:top w:w="70" w:type="dxa"/>
              <w:left w:w="90" w:type="dxa"/>
              <w:bottom w:w="70" w:type="dxa"/>
              <w:right w:w="90" w:type="dxa"/>
            </w:tcMar>
            <w:vAlign w:val="center"/>
          </w:tcPr>
          <w:p w14:paraId="2F66A8BF"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3</w:t>
            </w:r>
          </w:p>
        </w:tc>
        <w:tc>
          <w:tcPr>
            <w:tcW w:w="2100" w:type="dxa"/>
            <w:shd w:val="clear" w:color="auto" w:fill="EAF1F5"/>
            <w:tcMar>
              <w:top w:w="70" w:type="dxa"/>
              <w:left w:w="90" w:type="dxa"/>
              <w:bottom w:w="70" w:type="dxa"/>
              <w:right w:w="90" w:type="dxa"/>
            </w:tcMar>
            <w:vAlign w:val="center"/>
          </w:tcPr>
          <w:p w14:paraId="1064818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Revolution Skincare: mass-market discovery</w:t>
            </w:r>
          </w:p>
        </w:tc>
        <w:tc>
          <w:tcPr>
            <w:tcW w:w="2750" w:type="dxa"/>
            <w:shd w:val="clear" w:color="auto" w:fill="EAF1F5"/>
            <w:tcMar>
              <w:top w:w="70" w:type="dxa"/>
              <w:left w:w="90" w:type="dxa"/>
              <w:bottom w:w="70" w:type="dxa"/>
              <w:right w:w="90" w:type="dxa"/>
            </w:tcMar>
            <w:vAlign w:val="center"/>
          </w:tcPr>
          <w:p w14:paraId="7AC9DF39"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Translate fast platform discovery into credible consideration.</w:t>
            </w:r>
          </w:p>
        </w:tc>
        <w:tc>
          <w:tcPr>
            <w:tcW w:w="2550" w:type="dxa"/>
            <w:shd w:val="clear" w:color="auto" w:fill="EAF1F5"/>
            <w:tcMar>
              <w:top w:w="70" w:type="dxa"/>
              <w:left w:w="90" w:type="dxa"/>
              <w:bottom w:w="70" w:type="dxa"/>
              <w:right w:w="90" w:type="dxa"/>
            </w:tcMar>
            <w:vAlign w:val="center"/>
          </w:tcPr>
          <w:p w14:paraId="2D857CFA"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Group revenue data exist but cannot prove influencer impact.</w:t>
            </w:r>
          </w:p>
        </w:tc>
      </w:tr>
      <w:tr w:rsidR="00A12B69" w:rsidRPr="00B7140C" w14:paraId="275293BE" w14:textId="77777777" w:rsidTr="00787FA3">
        <w:trPr>
          <w:jc w:val="center"/>
        </w:trPr>
        <w:tc>
          <w:tcPr>
            <w:tcW w:w="750" w:type="dxa"/>
            <w:shd w:val="clear" w:color="auto" w:fill="FFFFFF"/>
            <w:tcMar>
              <w:top w:w="70" w:type="dxa"/>
              <w:left w:w="90" w:type="dxa"/>
              <w:bottom w:w="70" w:type="dxa"/>
              <w:right w:w="90" w:type="dxa"/>
            </w:tcMar>
            <w:vAlign w:val="center"/>
          </w:tcPr>
          <w:p w14:paraId="41266265"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4</w:t>
            </w:r>
          </w:p>
        </w:tc>
        <w:tc>
          <w:tcPr>
            <w:tcW w:w="2100" w:type="dxa"/>
            <w:shd w:val="clear" w:color="auto" w:fill="FFFFFF"/>
            <w:tcMar>
              <w:top w:w="70" w:type="dxa"/>
              <w:left w:w="90" w:type="dxa"/>
              <w:bottom w:w="70" w:type="dxa"/>
              <w:right w:w="90" w:type="dxa"/>
            </w:tcMar>
            <w:vAlign w:val="center"/>
          </w:tcPr>
          <w:p w14:paraId="7899A53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No7: science-led heritage</w:t>
            </w:r>
          </w:p>
        </w:tc>
        <w:tc>
          <w:tcPr>
            <w:tcW w:w="2750" w:type="dxa"/>
            <w:shd w:val="clear" w:color="auto" w:fill="FFFFFF"/>
            <w:tcMar>
              <w:top w:w="70" w:type="dxa"/>
              <w:left w:w="90" w:type="dxa"/>
              <w:bottom w:w="70" w:type="dxa"/>
              <w:right w:w="90" w:type="dxa"/>
            </w:tcMar>
            <w:vAlign w:val="center"/>
          </w:tcPr>
          <w:p w14:paraId="396417BB"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Translate product research into authentic creator communication.</w:t>
            </w:r>
          </w:p>
        </w:tc>
        <w:tc>
          <w:tcPr>
            <w:tcW w:w="2550" w:type="dxa"/>
            <w:shd w:val="clear" w:color="auto" w:fill="FFFFFF"/>
            <w:tcMar>
              <w:top w:w="70" w:type="dxa"/>
              <w:left w:w="90" w:type="dxa"/>
              <w:bottom w:w="70" w:type="dxa"/>
              <w:right w:w="90" w:type="dxa"/>
            </w:tcMar>
            <w:vAlign w:val="center"/>
          </w:tcPr>
          <w:p w14:paraId="4FEF3860"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Future Renew research is reported; no creator conversion measure.</w:t>
            </w:r>
          </w:p>
        </w:tc>
      </w:tr>
      <w:tr w:rsidR="00A12B69" w:rsidRPr="00B7140C" w14:paraId="4836A0A4" w14:textId="77777777" w:rsidTr="00787FA3">
        <w:trPr>
          <w:jc w:val="center"/>
        </w:trPr>
        <w:tc>
          <w:tcPr>
            <w:tcW w:w="750" w:type="dxa"/>
            <w:shd w:val="clear" w:color="auto" w:fill="EAF1F5"/>
            <w:tcMar>
              <w:top w:w="70" w:type="dxa"/>
              <w:left w:w="90" w:type="dxa"/>
              <w:bottom w:w="70" w:type="dxa"/>
              <w:right w:w="90" w:type="dxa"/>
            </w:tcMar>
            <w:vAlign w:val="center"/>
          </w:tcPr>
          <w:p w14:paraId="25FAA3D6"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5</w:t>
            </w:r>
          </w:p>
        </w:tc>
        <w:tc>
          <w:tcPr>
            <w:tcW w:w="2100" w:type="dxa"/>
            <w:shd w:val="clear" w:color="auto" w:fill="EAF1F5"/>
            <w:tcMar>
              <w:top w:w="70" w:type="dxa"/>
              <w:left w:w="90" w:type="dxa"/>
              <w:bottom w:w="70" w:type="dxa"/>
              <w:right w:w="90" w:type="dxa"/>
            </w:tcMar>
            <w:vAlign w:val="center"/>
          </w:tcPr>
          <w:p w14:paraId="1B6C0AFB"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 xml:space="preserve">Skin + Me: </w:t>
            </w:r>
            <w:proofErr w:type="spellStart"/>
            <w:r w:rsidRPr="00B7140C">
              <w:rPr>
                <w:rFonts w:ascii="Times New Roman" w:hAnsi="Times New Roman" w:cs="Times New Roman"/>
                <w:sz w:val="17"/>
              </w:rPr>
              <w:t>personalised</w:t>
            </w:r>
            <w:proofErr w:type="spellEnd"/>
            <w:r w:rsidRPr="00B7140C">
              <w:rPr>
                <w:rFonts w:ascii="Times New Roman" w:hAnsi="Times New Roman" w:cs="Times New Roman"/>
                <w:sz w:val="17"/>
              </w:rPr>
              <w:t xml:space="preserve"> digital service</w:t>
            </w:r>
          </w:p>
        </w:tc>
        <w:tc>
          <w:tcPr>
            <w:tcW w:w="2750" w:type="dxa"/>
            <w:shd w:val="clear" w:color="auto" w:fill="EAF1F5"/>
            <w:tcMar>
              <w:top w:w="70" w:type="dxa"/>
              <w:left w:w="90" w:type="dxa"/>
              <w:bottom w:w="70" w:type="dxa"/>
              <w:right w:w="90" w:type="dxa"/>
            </w:tcMar>
            <w:vAlign w:val="center"/>
          </w:tcPr>
          <w:p w14:paraId="1AEE088A"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7"/>
              </w:rPr>
              <w:t>Separate personal testimony, expertise and paid promotion clearly.</w:t>
            </w:r>
          </w:p>
        </w:tc>
        <w:tc>
          <w:tcPr>
            <w:tcW w:w="2550" w:type="dxa"/>
            <w:shd w:val="clear" w:color="auto" w:fill="EAF1F5"/>
            <w:tcMar>
              <w:top w:w="70" w:type="dxa"/>
              <w:left w:w="90" w:type="dxa"/>
              <w:bottom w:w="70" w:type="dxa"/>
              <w:right w:w="90" w:type="dxa"/>
            </w:tcMar>
            <w:vAlign w:val="center"/>
          </w:tcPr>
          <w:p w14:paraId="38CA694E" w14:textId="77777777" w:rsidR="00AE0283" w:rsidRPr="00B7140C" w:rsidRDefault="00682E2E">
            <w:pPr>
              <w:spacing w:after="0"/>
              <w:rPr>
                <w:rFonts w:ascii="Times New Roman" w:hAnsi="Times New Roman" w:cs="Times New Roman"/>
              </w:rPr>
            </w:pPr>
            <w:proofErr w:type="spellStart"/>
            <w:r w:rsidRPr="00B7140C">
              <w:rPr>
                <w:rFonts w:ascii="Times New Roman" w:hAnsi="Times New Roman" w:cs="Times New Roman"/>
                <w:sz w:val="17"/>
              </w:rPr>
              <w:t>Personalised</w:t>
            </w:r>
            <w:proofErr w:type="spellEnd"/>
            <w:r w:rsidRPr="00B7140C">
              <w:rPr>
                <w:rFonts w:ascii="Times New Roman" w:hAnsi="Times New Roman" w:cs="Times New Roman"/>
                <w:sz w:val="17"/>
              </w:rPr>
              <w:t xml:space="preserve"> service model is public; no disclosure-to-sales KPI.</w:t>
            </w:r>
          </w:p>
        </w:tc>
      </w:tr>
    </w:tbl>
    <w:p w14:paraId="72BD7C1B" w14:textId="77777777" w:rsidR="00A40A85" w:rsidRPr="00B7140C" w:rsidRDefault="00A40A85" w:rsidP="00A40A85">
      <w:pPr>
        <w:spacing w:after="160"/>
        <w:jc w:val="center"/>
        <w:rPr>
          <w:rFonts w:ascii="Times New Roman" w:hAnsi="Times New Roman" w:cs="Times New Roman"/>
        </w:rPr>
      </w:pPr>
      <w:r w:rsidRPr="00B7140C">
        <w:rPr>
          <w:rFonts w:ascii="Times New Roman" w:hAnsi="Times New Roman" w:cs="Times New Roman"/>
        </w:rPr>
        <w:t>Source: Author-developed synthesis from company, regulatory and academic secondary sources.</w:t>
      </w:r>
    </w:p>
    <w:p w14:paraId="6A4F116A" w14:textId="77777777" w:rsidR="00A40A85" w:rsidRPr="00B7140C" w:rsidRDefault="00A40A85" w:rsidP="00A40A85">
      <w:pPr>
        <w:pStyle w:val="Heading2"/>
        <w:spacing w:after="100"/>
        <w:rPr>
          <w:rFonts w:ascii="Times New Roman" w:hAnsi="Times New Roman" w:cs="Times New Roman"/>
          <w:color w:val="auto"/>
        </w:rPr>
      </w:pPr>
      <w:bookmarkStart w:id="129" w:name="_Toc237130128"/>
      <w:bookmarkStart w:id="130" w:name="_Toc240238901"/>
      <w:bookmarkEnd w:id="129"/>
      <w:r w:rsidRPr="00B7140C">
        <w:rPr>
          <w:rFonts w:ascii="Times New Roman" w:hAnsi="Times New Roman" w:cs="Times New Roman"/>
          <w:color w:val="auto"/>
        </w:rPr>
        <w:lastRenderedPageBreak/>
        <w:t>4.7 Summary of Cross-Case Analysis</w:t>
      </w:r>
      <w:bookmarkEnd w:id="130"/>
    </w:p>
    <w:p w14:paraId="765C0837" w14:textId="77777777" w:rsidR="00A40A85" w:rsidRPr="00B7140C" w:rsidRDefault="00A40A85" w:rsidP="00A40A85">
      <w:pPr>
        <w:pStyle w:val="Heading3"/>
        <w:spacing w:after="100"/>
        <w:rPr>
          <w:rFonts w:ascii="Times New Roman" w:hAnsi="Times New Roman" w:cs="Times New Roman"/>
          <w:color w:val="auto"/>
        </w:rPr>
      </w:pPr>
      <w:bookmarkStart w:id="131" w:name="_Toc237130129"/>
      <w:bookmarkStart w:id="132" w:name="_Toc240238902"/>
      <w:bookmarkEnd w:id="131"/>
      <w:r w:rsidRPr="00B7140C">
        <w:rPr>
          <w:rFonts w:ascii="Times New Roman" w:hAnsi="Times New Roman" w:cs="Times New Roman"/>
          <w:color w:val="auto"/>
        </w:rPr>
        <w:t xml:space="preserve">4.7.1 Recurring Triggers Across the </w:t>
      </w:r>
      <w:proofErr w:type="spellStart"/>
      <w:r w:rsidRPr="00B7140C">
        <w:rPr>
          <w:rFonts w:ascii="Times New Roman" w:hAnsi="Times New Roman" w:cs="Times New Roman"/>
          <w:color w:val="auto"/>
        </w:rPr>
        <w:t>Organisation</w:t>
      </w:r>
      <w:proofErr w:type="spellEnd"/>
      <w:r w:rsidRPr="00B7140C">
        <w:rPr>
          <w:rFonts w:ascii="Times New Roman" w:hAnsi="Times New Roman" w:cs="Times New Roman"/>
          <w:color w:val="auto"/>
        </w:rPr>
        <w:t xml:space="preserve"> Cases</w:t>
      </w:r>
      <w:bookmarkEnd w:id="132"/>
    </w:p>
    <w:p w14:paraId="43B417B9"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t xml:space="preserve">Across The INKEY List, Pai Skincare, Revolution Skincare, No7 and Skin + Me, a recurring trigger was the need to make credible claims in a saturated digital environment. Consumer uncertainty was especially relevant where ingredients, sensitive-skin needs, science or </w:t>
      </w:r>
      <w:proofErr w:type="spellStart"/>
      <w:r w:rsidRPr="00B7140C">
        <w:rPr>
          <w:rFonts w:ascii="Times New Roman" w:hAnsi="Times New Roman" w:cs="Times New Roman"/>
        </w:rPr>
        <w:t>personalisation</w:t>
      </w:r>
      <w:proofErr w:type="spellEnd"/>
      <w:r w:rsidRPr="00B7140C">
        <w:rPr>
          <w:rFonts w:ascii="Times New Roman" w:hAnsi="Times New Roman" w:cs="Times New Roman"/>
        </w:rPr>
        <w:t xml:space="preserve"> were difficult to evaluate before use (Lou and Yuan, 2019; </w:t>
      </w:r>
      <w:proofErr w:type="spellStart"/>
      <w:r w:rsidRPr="00B7140C">
        <w:rPr>
          <w:rFonts w:ascii="Times New Roman" w:hAnsi="Times New Roman" w:cs="Times New Roman"/>
        </w:rPr>
        <w:t>Belanche</w:t>
      </w:r>
      <w:proofErr w:type="spellEnd"/>
      <w:r w:rsidRPr="00B7140C">
        <w:rPr>
          <w:rFonts w:ascii="Times New Roman" w:hAnsi="Times New Roman" w:cs="Times New Roman"/>
        </w:rPr>
        <w:t xml:space="preserve"> et al., 2021).</w:t>
      </w:r>
    </w:p>
    <w:p w14:paraId="6EFEE3DA" w14:textId="77777777" w:rsidR="00A40A85" w:rsidRPr="00B7140C" w:rsidRDefault="00A40A85" w:rsidP="00A40A85">
      <w:pPr>
        <w:pStyle w:val="Heading3"/>
        <w:spacing w:after="100"/>
        <w:rPr>
          <w:rFonts w:ascii="Times New Roman" w:hAnsi="Times New Roman" w:cs="Times New Roman"/>
          <w:color w:val="auto"/>
        </w:rPr>
      </w:pPr>
      <w:bookmarkStart w:id="133" w:name="_Toc237130130"/>
      <w:bookmarkStart w:id="134" w:name="_Toc240238903"/>
      <w:bookmarkEnd w:id="133"/>
      <w:r w:rsidRPr="00B7140C">
        <w:rPr>
          <w:rFonts w:ascii="Times New Roman" w:hAnsi="Times New Roman" w:cs="Times New Roman"/>
          <w:color w:val="auto"/>
        </w:rPr>
        <w:t>4.7.2 Common Response Patterns</w:t>
      </w:r>
      <w:bookmarkEnd w:id="134"/>
    </w:p>
    <w:p w14:paraId="4378259F"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t xml:space="preserve">There was no single shared influencer campaign across the five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instead, their public-facing approaches showed different information capabilities. The INKEY List </w:t>
      </w:r>
      <w:proofErr w:type="spellStart"/>
      <w:r w:rsidRPr="00B7140C">
        <w:rPr>
          <w:rFonts w:ascii="Times New Roman" w:hAnsi="Times New Roman" w:cs="Times New Roman"/>
        </w:rPr>
        <w:t>emphasised</w:t>
      </w:r>
      <w:proofErr w:type="spellEnd"/>
      <w:r w:rsidRPr="00B7140C">
        <w:rPr>
          <w:rFonts w:ascii="Times New Roman" w:hAnsi="Times New Roman" w:cs="Times New Roman"/>
        </w:rPr>
        <w:t xml:space="preserve"> education, Pai Skincare specialist reassurance, Revolution Skincare digital reach, No7 scientific substantiation and Skin + Me </w:t>
      </w:r>
      <w:proofErr w:type="spellStart"/>
      <w:r w:rsidRPr="00B7140C">
        <w:rPr>
          <w:rFonts w:ascii="Times New Roman" w:hAnsi="Times New Roman" w:cs="Times New Roman"/>
        </w:rPr>
        <w:t>personalised</w:t>
      </w:r>
      <w:proofErr w:type="spellEnd"/>
      <w:r w:rsidRPr="00B7140C">
        <w:rPr>
          <w:rFonts w:ascii="Times New Roman" w:hAnsi="Times New Roman" w:cs="Times New Roman"/>
        </w:rPr>
        <w:t xml:space="preserve"> guidance. Across the cases, creator fit, expertise and disclosure emerged as important conditions for moving from attention toward justified trust (The INKEY List, 2026c; Pai Skincare, 2026a; Revolution Beauty, 2026; No7 Beauty Company, 2023; Skin + Me, 2026a).</w:t>
      </w:r>
    </w:p>
    <w:p w14:paraId="73480F50" w14:textId="77777777" w:rsidR="00A40A85" w:rsidRPr="00B7140C" w:rsidRDefault="00A40A85" w:rsidP="00A40A85">
      <w:pPr>
        <w:pStyle w:val="Heading3"/>
        <w:spacing w:after="100"/>
        <w:rPr>
          <w:rFonts w:ascii="Times New Roman" w:hAnsi="Times New Roman" w:cs="Times New Roman"/>
          <w:color w:val="auto"/>
        </w:rPr>
      </w:pPr>
      <w:bookmarkStart w:id="135" w:name="_Toc237130131"/>
      <w:bookmarkStart w:id="136" w:name="_Toc240238904"/>
      <w:bookmarkEnd w:id="135"/>
      <w:r w:rsidRPr="00B7140C">
        <w:rPr>
          <w:rFonts w:ascii="Times New Roman" w:hAnsi="Times New Roman" w:cs="Times New Roman"/>
          <w:color w:val="auto"/>
        </w:rPr>
        <w:t xml:space="preserve">4.7.3 Major Differences Between the </w:t>
      </w:r>
      <w:proofErr w:type="spellStart"/>
      <w:r w:rsidRPr="00B7140C">
        <w:rPr>
          <w:rFonts w:ascii="Times New Roman" w:hAnsi="Times New Roman" w:cs="Times New Roman"/>
          <w:color w:val="auto"/>
        </w:rPr>
        <w:t>Organisation</w:t>
      </w:r>
      <w:proofErr w:type="spellEnd"/>
      <w:r w:rsidRPr="00B7140C">
        <w:rPr>
          <w:rFonts w:ascii="Times New Roman" w:hAnsi="Times New Roman" w:cs="Times New Roman"/>
          <w:color w:val="auto"/>
        </w:rPr>
        <w:t xml:space="preserve"> Cases</w:t>
      </w:r>
      <w:bookmarkEnd w:id="136"/>
    </w:p>
    <w:p w14:paraId="2E806600"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t xml:space="preserve">The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differed in scale, route to market and available public evidence. Revolution Beauty provided group-level commercial indicators, No7 provided product-research evidence, while the other cases mainly provided positioning, education or service information. Because these evidence types are not equivalent, the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were not ranked on overall performance (Jobe, 2025; No7 Beauty Company, 2023).</w:t>
      </w:r>
    </w:p>
    <w:p w14:paraId="0ED5E43F" w14:textId="77777777" w:rsidR="00A40A85" w:rsidRPr="00B7140C" w:rsidRDefault="00A40A85" w:rsidP="00A40A85">
      <w:pPr>
        <w:pStyle w:val="Heading3"/>
        <w:spacing w:after="100"/>
        <w:rPr>
          <w:rFonts w:ascii="Times New Roman" w:hAnsi="Times New Roman" w:cs="Times New Roman"/>
          <w:color w:val="auto"/>
        </w:rPr>
      </w:pPr>
      <w:bookmarkStart w:id="137" w:name="_Toc237130132"/>
      <w:bookmarkStart w:id="138" w:name="_Toc240238905"/>
      <w:bookmarkEnd w:id="137"/>
      <w:r w:rsidRPr="00B7140C">
        <w:rPr>
          <w:rFonts w:ascii="Times New Roman" w:hAnsi="Times New Roman" w:cs="Times New Roman"/>
          <w:color w:val="auto"/>
        </w:rPr>
        <w:t>4.7.4 Emerging Relationship Between Execution and Results</w:t>
      </w:r>
      <w:bookmarkEnd w:id="138"/>
    </w:p>
    <w:p w14:paraId="3EA1FAFC"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t xml:space="preserve">The strongest cases linked implementation to a relevant indicator, but none provided a complete causal chain from influencer activity to purchase intention. No7 linked its proposition to research evidence, while Revolution Beauty reported wider business performance; neither constitutes influencer-marketing attribution. Across the five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 interpreted alongside the secondary literature, the answer to RQ1 is therefore conditional: credible expertise, product-creator fit and transparent disclosure are important, but a purchase-intention effect cannot be established without campaign-level evidence (Lou and Yuan, 2019; Schouten, Janssen and </w:t>
      </w:r>
      <w:proofErr w:type="spellStart"/>
      <w:r w:rsidRPr="00B7140C">
        <w:rPr>
          <w:rFonts w:ascii="Times New Roman" w:hAnsi="Times New Roman" w:cs="Times New Roman"/>
        </w:rPr>
        <w:t>Verspaget</w:t>
      </w:r>
      <w:proofErr w:type="spellEnd"/>
      <w:r w:rsidRPr="00B7140C">
        <w:rPr>
          <w:rFonts w:ascii="Times New Roman" w:hAnsi="Times New Roman" w:cs="Times New Roman"/>
        </w:rPr>
        <w:t>, 2020).</w:t>
      </w:r>
    </w:p>
    <w:p w14:paraId="672674EE" w14:textId="77777777" w:rsidR="00D30017" w:rsidRPr="00B7140C" w:rsidRDefault="00D30017" w:rsidP="00D30017">
      <w:pPr>
        <w:jc w:val="both"/>
        <w:rPr>
          <w:rFonts w:ascii="Times New Roman" w:hAnsi="Times New Roman" w:cs="Times New Roman"/>
        </w:rPr>
      </w:pPr>
      <w:r w:rsidRPr="00B7140C">
        <w:rPr>
          <w:rFonts w:ascii="Times New Roman" w:hAnsi="Times New Roman" w:cs="Times New Roman"/>
        </w:rPr>
        <w:lastRenderedPageBreak/>
        <w:t xml:space="preserve">The cross-case comparison is </w:t>
      </w:r>
      <w:proofErr w:type="spellStart"/>
      <w:r w:rsidRPr="00B7140C">
        <w:rPr>
          <w:rFonts w:ascii="Times New Roman" w:hAnsi="Times New Roman" w:cs="Times New Roman"/>
        </w:rPr>
        <w:t>summarised</w:t>
      </w:r>
      <w:proofErr w:type="spellEnd"/>
      <w:r w:rsidRPr="00B7140C">
        <w:rPr>
          <w:rFonts w:ascii="Times New Roman" w:hAnsi="Times New Roman" w:cs="Times New Roman"/>
        </w:rPr>
        <w:t xml:space="preserve"> in Table 4.2. It links each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trigger, response pattern, contextual difference, and outcome limit to the research aim, objectives, and research question.</w:t>
      </w:r>
    </w:p>
    <w:p w14:paraId="4960B111" w14:textId="77777777" w:rsidR="00A40A85" w:rsidRPr="00B7140C" w:rsidRDefault="00A40A85" w:rsidP="00A40A85">
      <w:pPr>
        <w:keepNext/>
        <w:jc w:val="center"/>
        <w:rPr>
          <w:rFonts w:ascii="Times New Roman" w:hAnsi="Times New Roman" w:cs="Times New Roman"/>
        </w:rPr>
      </w:pPr>
      <w:r w:rsidRPr="00B7140C">
        <w:rPr>
          <w:rFonts w:ascii="Times New Roman" w:hAnsi="Times New Roman" w:cs="Times New Roman"/>
          <w:noProof/>
        </w:rPr>
        <w:drawing>
          <wp:inline distT="0" distB="0" distL="0" distR="0" wp14:anchorId="708E2F31" wp14:editId="19B56A8E">
            <wp:extent cx="5486400" cy="3010000"/>
            <wp:effectExtent l="0" t="0" r="0" b="0"/>
            <wp:docPr id="901" name="Chart 1" descr="Editable column chart showing ASA monitoring results: 57 percent compliant, 9 percent unclear label, and 34 percent no disclosure." title="Editable 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D75B484" w14:textId="77777777" w:rsidR="00A40A85" w:rsidRPr="00B7140C" w:rsidRDefault="00A40A85" w:rsidP="00A40A85">
      <w:pPr>
        <w:keepLines/>
        <w:spacing w:after="40"/>
        <w:jc w:val="center"/>
        <w:rPr>
          <w:rFonts w:ascii="Times New Roman" w:hAnsi="Times New Roman" w:cs="Times New Roman"/>
        </w:rPr>
      </w:pPr>
      <w:r w:rsidRPr="00B7140C">
        <w:rPr>
          <w:rFonts w:ascii="Times New Roman" w:hAnsi="Times New Roman" w:cs="Times New Roman"/>
          <w:sz w:val="20"/>
        </w:rPr>
        <w:t>Figure 4.6: UK influencer-ad disclosure observed by ASA monitoring</w:t>
      </w:r>
    </w:p>
    <w:p w14:paraId="479AEF8A" w14:textId="77777777" w:rsidR="00A40A85" w:rsidRPr="00B7140C" w:rsidRDefault="00A40A85" w:rsidP="00A40A85">
      <w:pPr>
        <w:spacing w:after="160"/>
        <w:jc w:val="center"/>
        <w:rPr>
          <w:rFonts w:ascii="Times New Roman" w:hAnsi="Times New Roman" w:cs="Times New Roman"/>
        </w:rPr>
      </w:pPr>
      <w:r w:rsidRPr="00B7140C">
        <w:rPr>
          <w:rFonts w:ascii="Times New Roman" w:hAnsi="Times New Roman" w:cs="Times New Roman"/>
        </w:rPr>
        <w:t>Source: Author-developed editable chart from Advertising Standards Authority (2025a): compliant 57%, unclear label 9%, no disclosure 34%.</w:t>
      </w:r>
    </w:p>
    <w:p w14:paraId="1DE454D5" w14:textId="77777777" w:rsidR="00A40A85" w:rsidRPr="00B7140C" w:rsidRDefault="00A40A85" w:rsidP="00A40A85">
      <w:pPr>
        <w:keepNext/>
        <w:jc w:val="center"/>
        <w:rPr>
          <w:rFonts w:ascii="Times New Roman" w:hAnsi="Times New Roman" w:cs="Times New Roman"/>
        </w:rPr>
      </w:pPr>
      <w:r w:rsidRPr="00B7140C">
        <w:rPr>
          <w:rFonts w:ascii="Times New Roman" w:hAnsi="Times New Roman" w:cs="Times New Roman"/>
          <w:noProof/>
        </w:rPr>
        <w:drawing>
          <wp:inline distT="0" distB="0" distL="0" distR="0" wp14:anchorId="5FC597E2" wp14:editId="3A60B230">
            <wp:extent cx="5486400" cy="3010000"/>
            <wp:effectExtent l="0" t="0" r="0" b="0"/>
            <wp:docPr id="902" name="Chart 2" descr="Editable ordinal column chart showing evidence confidence by credibility theme, from limited or inconsistent to high." title="Editable chart"/>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B971EBB" w14:textId="77777777" w:rsidR="00A40A85" w:rsidRPr="00B7140C" w:rsidRDefault="00A40A85" w:rsidP="00A40A85">
      <w:pPr>
        <w:keepLines/>
        <w:spacing w:after="40"/>
        <w:jc w:val="center"/>
        <w:rPr>
          <w:rFonts w:ascii="Times New Roman" w:hAnsi="Times New Roman" w:cs="Times New Roman"/>
        </w:rPr>
      </w:pPr>
      <w:r w:rsidRPr="00B7140C">
        <w:rPr>
          <w:rFonts w:ascii="Times New Roman" w:hAnsi="Times New Roman" w:cs="Times New Roman"/>
          <w:sz w:val="20"/>
        </w:rPr>
        <w:t>Figure 4.7: Evidence-weighted strength of the cross-case themes</w:t>
      </w:r>
    </w:p>
    <w:p w14:paraId="4F82E458" w14:textId="77777777" w:rsidR="00A40A85" w:rsidRPr="00B7140C" w:rsidRDefault="00A40A85" w:rsidP="002B2A89">
      <w:pPr>
        <w:spacing w:after="160"/>
        <w:jc w:val="center"/>
        <w:rPr>
          <w:rFonts w:ascii="Times New Roman" w:hAnsi="Times New Roman" w:cs="Times New Roman"/>
        </w:rPr>
      </w:pPr>
      <w:r w:rsidRPr="00B7140C">
        <w:rPr>
          <w:rFonts w:ascii="Times New Roman" w:hAnsi="Times New Roman" w:cs="Times New Roman"/>
        </w:rPr>
        <w:t xml:space="preserve">Note: High=3, moderate=2 and limited/inconsistent=1. Scores indicate synthesis confidence, not effect size or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performance.</w:t>
      </w:r>
    </w:p>
    <w:p w14:paraId="6B7ED9D6" w14:textId="77777777" w:rsidR="00A40A85" w:rsidRPr="00B7140C" w:rsidRDefault="00A40A85" w:rsidP="00A40A85">
      <w:pPr>
        <w:keepLines/>
        <w:spacing w:before="100" w:after="60"/>
        <w:jc w:val="center"/>
        <w:rPr>
          <w:rFonts w:ascii="Times New Roman" w:hAnsi="Times New Roman" w:cs="Times New Roman"/>
        </w:rPr>
      </w:pPr>
      <w:r w:rsidRPr="00B7140C">
        <w:rPr>
          <w:rFonts w:ascii="Times New Roman" w:hAnsi="Times New Roman" w:cs="Times New Roman"/>
        </w:rPr>
        <w:lastRenderedPageBreak/>
        <w:t xml:space="preserve">Table 4.2: Cross-case comparison of the five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w:t>
      </w:r>
    </w:p>
    <w:tbl>
      <w:tblPr>
        <w:tblW w:w="9100" w:type="dxa"/>
        <w:jc w:val="center"/>
        <w:tblLayout w:type="fixed"/>
        <w:tblLook w:val="04A0" w:firstRow="1" w:lastRow="0" w:firstColumn="1" w:lastColumn="0" w:noHBand="0" w:noVBand="1"/>
      </w:tblPr>
      <w:tblGrid>
        <w:gridCol w:w="1350"/>
        <w:gridCol w:w="1850"/>
        <w:gridCol w:w="1850"/>
        <w:gridCol w:w="2050"/>
        <w:gridCol w:w="2000"/>
      </w:tblGrid>
      <w:tr w:rsidR="00A12B69" w:rsidRPr="00B7140C" w14:paraId="7E9B40D8" w14:textId="77777777" w:rsidTr="00787FA3">
        <w:trPr>
          <w:tblHeader/>
          <w:jc w:val="center"/>
        </w:trPr>
        <w:tc>
          <w:tcPr>
            <w:tcW w:w="1350" w:type="dxa"/>
            <w:shd w:val="clear" w:color="auto" w:fill="D9EAD3"/>
            <w:tcMar>
              <w:top w:w="70" w:type="dxa"/>
              <w:left w:w="90" w:type="dxa"/>
              <w:bottom w:w="70" w:type="dxa"/>
              <w:right w:w="90" w:type="dxa"/>
            </w:tcMar>
            <w:vAlign w:val="center"/>
          </w:tcPr>
          <w:p w14:paraId="7C77C6B9"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6"/>
              </w:rPr>
              <w:t>Case</w:t>
            </w:r>
          </w:p>
        </w:tc>
        <w:tc>
          <w:tcPr>
            <w:tcW w:w="1850" w:type="dxa"/>
            <w:shd w:val="clear" w:color="auto" w:fill="D9EAD3"/>
            <w:tcMar>
              <w:top w:w="70" w:type="dxa"/>
              <w:left w:w="90" w:type="dxa"/>
              <w:bottom w:w="70" w:type="dxa"/>
              <w:right w:w="90" w:type="dxa"/>
            </w:tcMar>
            <w:vAlign w:val="center"/>
          </w:tcPr>
          <w:p w14:paraId="1A0F9B46"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6"/>
              </w:rPr>
              <w:t>Recurring trigger (4.7.1)</w:t>
            </w:r>
          </w:p>
        </w:tc>
        <w:tc>
          <w:tcPr>
            <w:tcW w:w="1850" w:type="dxa"/>
            <w:shd w:val="clear" w:color="auto" w:fill="D9EAD3"/>
            <w:tcMar>
              <w:top w:w="70" w:type="dxa"/>
              <w:left w:w="90" w:type="dxa"/>
              <w:bottom w:w="70" w:type="dxa"/>
              <w:right w:w="90" w:type="dxa"/>
            </w:tcMar>
            <w:vAlign w:val="center"/>
          </w:tcPr>
          <w:p w14:paraId="63C48DD7"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6"/>
              </w:rPr>
              <w:t>Response pattern (4.7.2)</w:t>
            </w:r>
          </w:p>
        </w:tc>
        <w:tc>
          <w:tcPr>
            <w:tcW w:w="2050" w:type="dxa"/>
            <w:shd w:val="clear" w:color="auto" w:fill="D9EAD3"/>
            <w:tcMar>
              <w:top w:w="70" w:type="dxa"/>
              <w:left w:w="90" w:type="dxa"/>
              <w:bottom w:w="70" w:type="dxa"/>
              <w:right w:w="90" w:type="dxa"/>
            </w:tcMar>
            <w:vAlign w:val="center"/>
          </w:tcPr>
          <w:p w14:paraId="068260E7"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6"/>
              </w:rPr>
              <w:t>Contextual difference (4.7.3)</w:t>
            </w:r>
          </w:p>
        </w:tc>
        <w:tc>
          <w:tcPr>
            <w:tcW w:w="2000" w:type="dxa"/>
            <w:shd w:val="clear" w:color="auto" w:fill="D9EAD3"/>
            <w:vAlign w:val="center"/>
          </w:tcPr>
          <w:p w14:paraId="52CC31B1" w14:textId="77777777" w:rsidR="00AE0283" w:rsidRPr="00B7140C" w:rsidRDefault="00682E2E">
            <w:pPr>
              <w:spacing w:after="0"/>
              <w:rPr>
                <w:rFonts w:ascii="Times New Roman" w:hAnsi="Times New Roman" w:cs="Times New Roman"/>
              </w:rPr>
            </w:pPr>
            <w:r w:rsidRPr="00B7140C">
              <w:rPr>
                <w:rFonts w:ascii="Times New Roman" w:hAnsi="Times New Roman" w:cs="Times New Roman"/>
                <w:b/>
                <w:sz w:val="16"/>
              </w:rPr>
              <w:t>Outcome / evidence limit (4.7.4)</w:t>
            </w:r>
          </w:p>
        </w:tc>
      </w:tr>
      <w:tr w:rsidR="00A12B69" w:rsidRPr="00B7140C" w14:paraId="3A4DF0C1" w14:textId="77777777" w:rsidTr="00787FA3">
        <w:trPr>
          <w:jc w:val="center"/>
        </w:trPr>
        <w:tc>
          <w:tcPr>
            <w:tcW w:w="1350" w:type="dxa"/>
            <w:shd w:val="clear" w:color="auto" w:fill="EAF1F5"/>
            <w:tcMar>
              <w:top w:w="70" w:type="dxa"/>
              <w:left w:w="90" w:type="dxa"/>
              <w:bottom w:w="70" w:type="dxa"/>
              <w:right w:w="90" w:type="dxa"/>
            </w:tcMar>
            <w:vAlign w:val="center"/>
          </w:tcPr>
          <w:p w14:paraId="25138DB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1. The INKEY List</w:t>
            </w:r>
          </w:p>
        </w:tc>
        <w:tc>
          <w:tcPr>
            <w:tcW w:w="1850" w:type="dxa"/>
            <w:shd w:val="clear" w:color="auto" w:fill="EAF1F5"/>
            <w:tcMar>
              <w:top w:w="70" w:type="dxa"/>
              <w:left w:w="90" w:type="dxa"/>
              <w:bottom w:w="70" w:type="dxa"/>
              <w:right w:w="90" w:type="dxa"/>
            </w:tcMar>
            <w:vAlign w:val="center"/>
          </w:tcPr>
          <w:p w14:paraId="7A315B75"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Ingredient uncertainty</w:t>
            </w:r>
          </w:p>
        </w:tc>
        <w:tc>
          <w:tcPr>
            <w:tcW w:w="1850" w:type="dxa"/>
            <w:shd w:val="clear" w:color="auto" w:fill="EAF1F5"/>
            <w:tcMar>
              <w:top w:w="70" w:type="dxa"/>
              <w:left w:w="90" w:type="dxa"/>
              <w:bottom w:w="70" w:type="dxa"/>
              <w:right w:w="90" w:type="dxa"/>
            </w:tcMar>
            <w:vAlign w:val="center"/>
          </w:tcPr>
          <w:p w14:paraId="528E8280"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Consumer education</w:t>
            </w:r>
          </w:p>
        </w:tc>
        <w:tc>
          <w:tcPr>
            <w:tcW w:w="2050" w:type="dxa"/>
            <w:shd w:val="clear" w:color="auto" w:fill="EAF1F5"/>
            <w:tcMar>
              <w:top w:w="70" w:type="dxa"/>
              <w:left w:w="90" w:type="dxa"/>
              <w:bottom w:w="70" w:type="dxa"/>
              <w:right w:w="90" w:type="dxa"/>
            </w:tcMar>
            <w:vAlign w:val="center"/>
          </w:tcPr>
          <w:p w14:paraId="40315106"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Affordable ingredient-led model</w:t>
            </w:r>
          </w:p>
        </w:tc>
        <w:tc>
          <w:tcPr>
            <w:tcW w:w="2000" w:type="dxa"/>
            <w:vAlign w:val="center"/>
          </w:tcPr>
          <w:p w14:paraId="3EFE3BEE"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Resource exists; no influencer KPI</w:t>
            </w:r>
          </w:p>
        </w:tc>
      </w:tr>
      <w:tr w:rsidR="00A12B69" w:rsidRPr="00B7140C" w14:paraId="1D5DD584" w14:textId="77777777" w:rsidTr="00787FA3">
        <w:trPr>
          <w:jc w:val="center"/>
        </w:trPr>
        <w:tc>
          <w:tcPr>
            <w:tcW w:w="1350" w:type="dxa"/>
            <w:shd w:val="clear" w:color="auto" w:fill="FFFFFF"/>
            <w:tcMar>
              <w:top w:w="70" w:type="dxa"/>
              <w:left w:w="90" w:type="dxa"/>
              <w:bottom w:w="70" w:type="dxa"/>
              <w:right w:w="90" w:type="dxa"/>
            </w:tcMar>
            <w:vAlign w:val="center"/>
          </w:tcPr>
          <w:p w14:paraId="5B19E70A"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2. Pai Skincare</w:t>
            </w:r>
          </w:p>
        </w:tc>
        <w:tc>
          <w:tcPr>
            <w:tcW w:w="1850" w:type="dxa"/>
            <w:shd w:val="clear" w:color="auto" w:fill="FFFFFF"/>
            <w:tcMar>
              <w:top w:w="70" w:type="dxa"/>
              <w:left w:w="90" w:type="dxa"/>
              <w:bottom w:w="70" w:type="dxa"/>
              <w:right w:w="90" w:type="dxa"/>
            </w:tcMar>
            <w:vAlign w:val="center"/>
          </w:tcPr>
          <w:p w14:paraId="0BC15D0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Sensitive-skin trust</w:t>
            </w:r>
          </w:p>
        </w:tc>
        <w:tc>
          <w:tcPr>
            <w:tcW w:w="1850" w:type="dxa"/>
            <w:shd w:val="clear" w:color="auto" w:fill="FFFFFF"/>
            <w:tcMar>
              <w:top w:w="70" w:type="dxa"/>
              <w:left w:w="90" w:type="dxa"/>
              <w:bottom w:w="70" w:type="dxa"/>
              <w:right w:w="90" w:type="dxa"/>
            </w:tcMar>
            <w:vAlign w:val="center"/>
          </w:tcPr>
          <w:p w14:paraId="141B7D3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Specialist reassurance</w:t>
            </w:r>
          </w:p>
        </w:tc>
        <w:tc>
          <w:tcPr>
            <w:tcW w:w="2050" w:type="dxa"/>
            <w:shd w:val="clear" w:color="auto" w:fill="FFFFFF"/>
            <w:tcMar>
              <w:top w:w="70" w:type="dxa"/>
              <w:left w:w="90" w:type="dxa"/>
              <w:bottom w:w="70" w:type="dxa"/>
              <w:right w:w="90" w:type="dxa"/>
            </w:tcMar>
            <w:vAlign w:val="center"/>
          </w:tcPr>
          <w:p w14:paraId="7D9F5103"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Higher perceived functional risk</w:t>
            </w:r>
          </w:p>
        </w:tc>
        <w:tc>
          <w:tcPr>
            <w:tcW w:w="2000" w:type="dxa"/>
            <w:vAlign w:val="center"/>
          </w:tcPr>
          <w:p w14:paraId="63F3DC78"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Positioning only; no attribution</w:t>
            </w:r>
          </w:p>
        </w:tc>
      </w:tr>
      <w:tr w:rsidR="00A12B69" w:rsidRPr="00B7140C" w14:paraId="0389457C" w14:textId="77777777" w:rsidTr="00787FA3">
        <w:trPr>
          <w:jc w:val="center"/>
        </w:trPr>
        <w:tc>
          <w:tcPr>
            <w:tcW w:w="1350" w:type="dxa"/>
            <w:shd w:val="clear" w:color="auto" w:fill="EAF1F5"/>
            <w:tcMar>
              <w:top w:w="70" w:type="dxa"/>
              <w:left w:w="90" w:type="dxa"/>
              <w:bottom w:w="70" w:type="dxa"/>
              <w:right w:w="90" w:type="dxa"/>
            </w:tcMar>
            <w:vAlign w:val="center"/>
          </w:tcPr>
          <w:p w14:paraId="33D4EE56"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3. Revolution Skincare</w:t>
            </w:r>
          </w:p>
        </w:tc>
        <w:tc>
          <w:tcPr>
            <w:tcW w:w="1850" w:type="dxa"/>
            <w:shd w:val="clear" w:color="auto" w:fill="EAF1F5"/>
            <w:tcMar>
              <w:top w:w="70" w:type="dxa"/>
              <w:left w:w="90" w:type="dxa"/>
              <w:bottom w:w="70" w:type="dxa"/>
              <w:right w:w="90" w:type="dxa"/>
            </w:tcMar>
            <w:vAlign w:val="center"/>
          </w:tcPr>
          <w:p w14:paraId="0AC83ABA"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Fast discovery and pressure</w:t>
            </w:r>
          </w:p>
        </w:tc>
        <w:tc>
          <w:tcPr>
            <w:tcW w:w="1850" w:type="dxa"/>
            <w:shd w:val="clear" w:color="auto" w:fill="EAF1F5"/>
            <w:tcMar>
              <w:top w:w="70" w:type="dxa"/>
              <w:left w:w="90" w:type="dxa"/>
              <w:bottom w:w="70" w:type="dxa"/>
              <w:right w:w="90" w:type="dxa"/>
            </w:tcMar>
            <w:vAlign w:val="center"/>
          </w:tcPr>
          <w:p w14:paraId="3E81B11C"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Digital/portfolio reset</w:t>
            </w:r>
          </w:p>
        </w:tc>
        <w:tc>
          <w:tcPr>
            <w:tcW w:w="2050" w:type="dxa"/>
            <w:shd w:val="clear" w:color="auto" w:fill="EAF1F5"/>
            <w:tcMar>
              <w:top w:w="70" w:type="dxa"/>
              <w:left w:w="90" w:type="dxa"/>
              <w:bottom w:w="70" w:type="dxa"/>
              <w:right w:w="90" w:type="dxa"/>
            </w:tcMar>
            <w:vAlign w:val="center"/>
          </w:tcPr>
          <w:p w14:paraId="10745A3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Mass-market scale and corporate restructuring</w:t>
            </w:r>
          </w:p>
        </w:tc>
        <w:tc>
          <w:tcPr>
            <w:tcW w:w="2000" w:type="dxa"/>
            <w:vAlign w:val="center"/>
          </w:tcPr>
          <w:p w14:paraId="5AB597B1"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Revenue is not campaign causality</w:t>
            </w:r>
          </w:p>
        </w:tc>
      </w:tr>
      <w:tr w:rsidR="00A12B69" w:rsidRPr="00B7140C" w14:paraId="472AA413" w14:textId="77777777" w:rsidTr="00787FA3">
        <w:trPr>
          <w:jc w:val="center"/>
        </w:trPr>
        <w:tc>
          <w:tcPr>
            <w:tcW w:w="1350" w:type="dxa"/>
            <w:shd w:val="clear" w:color="auto" w:fill="FFFFFF"/>
            <w:tcMar>
              <w:top w:w="70" w:type="dxa"/>
              <w:left w:w="90" w:type="dxa"/>
              <w:bottom w:w="70" w:type="dxa"/>
              <w:right w:w="90" w:type="dxa"/>
            </w:tcMar>
            <w:vAlign w:val="center"/>
          </w:tcPr>
          <w:p w14:paraId="443B53E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4. No7</w:t>
            </w:r>
          </w:p>
        </w:tc>
        <w:tc>
          <w:tcPr>
            <w:tcW w:w="1850" w:type="dxa"/>
            <w:shd w:val="clear" w:color="auto" w:fill="FFFFFF"/>
            <w:tcMar>
              <w:top w:w="70" w:type="dxa"/>
              <w:left w:w="90" w:type="dxa"/>
              <w:bottom w:w="70" w:type="dxa"/>
              <w:right w:w="90" w:type="dxa"/>
            </w:tcMar>
            <w:vAlign w:val="center"/>
          </w:tcPr>
          <w:p w14:paraId="330EA50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Translate science to Gen-Z</w:t>
            </w:r>
          </w:p>
        </w:tc>
        <w:tc>
          <w:tcPr>
            <w:tcW w:w="1850" w:type="dxa"/>
            <w:shd w:val="clear" w:color="auto" w:fill="FFFFFF"/>
            <w:tcMar>
              <w:top w:w="70" w:type="dxa"/>
              <w:left w:w="90" w:type="dxa"/>
              <w:bottom w:w="70" w:type="dxa"/>
              <w:right w:w="90" w:type="dxa"/>
            </w:tcMar>
            <w:vAlign w:val="center"/>
          </w:tcPr>
          <w:p w14:paraId="53DEBF49"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Research-backed proposition</w:t>
            </w:r>
          </w:p>
        </w:tc>
        <w:tc>
          <w:tcPr>
            <w:tcW w:w="2050" w:type="dxa"/>
            <w:shd w:val="clear" w:color="auto" w:fill="FFFFFF"/>
            <w:tcMar>
              <w:top w:w="70" w:type="dxa"/>
              <w:left w:w="90" w:type="dxa"/>
              <w:bottom w:w="70" w:type="dxa"/>
              <w:right w:w="90" w:type="dxa"/>
            </w:tcMar>
            <w:vAlign w:val="center"/>
          </w:tcPr>
          <w:p w14:paraId="235D2C03"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Heritage pharmacy brand</w:t>
            </w:r>
          </w:p>
        </w:tc>
        <w:tc>
          <w:tcPr>
            <w:tcW w:w="2000" w:type="dxa"/>
            <w:vAlign w:val="center"/>
          </w:tcPr>
          <w:p w14:paraId="486E366C"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Product studies, not creator conversion</w:t>
            </w:r>
          </w:p>
        </w:tc>
      </w:tr>
      <w:tr w:rsidR="00A12B69" w:rsidRPr="00B7140C" w14:paraId="7C5DC2EB" w14:textId="77777777" w:rsidTr="00787FA3">
        <w:trPr>
          <w:jc w:val="center"/>
        </w:trPr>
        <w:tc>
          <w:tcPr>
            <w:tcW w:w="1350" w:type="dxa"/>
            <w:shd w:val="clear" w:color="auto" w:fill="EAF1F5"/>
            <w:tcMar>
              <w:top w:w="70" w:type="dxa"/>
              <w:left w:w="90" w:type="dxa"/>
              <w:bottom w:w="70" w:type="dxa"/>
              <w:right w:w="90" w:type="dxa"/>
            </w:tcMar>
            <w:vAlign w:val="center"/>
          </w:tcPr>
          <w:p w14:paraId="49E55ABF"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5. Skin + Me</w:t>
            </w:r>
          </w:p>
        </w:tc>
        <w:tc>
          <w:tcPr>
            <w:tcW w:w="1850" w:type="dxa"/>
            <w:shd w:val="clear" w:color="auto" w:fill="EAF1F5"/>
            <w:tcMar>
              <w:top w:w="70" w:type="dxa"/>
              <w:left w:w="90" w:type="dxa"/>
              <w:bottom w:w="70" w:type="dxa"/>
              <w:right w:w="90" w:type="dxa"/>
            </w:tcMar>
            <w:vAlign w:val="center"/>
          </w:tcPr>
          <w:p w14:paraId="7ED73629"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 xml:space="preserve">Trust in </w:t>
            </w:r>
            <w:proofErr w:type="spellStart"/>
            <w:r w:rsidRPr="00B7140C">
              <w:rPr>
                <w:rFonts w:ascii="Times New Roman" w:hAnsi="Times New Roman" w:cs="Times New Roman"/>
                <w:sz w:val="16"/>
              </w:rPr>
              <w:t>personalisation</w:t>
            </w:r>
            <w:proofErr w:type="spellEnd"/>
          </w:p>
        </w:tc>
        <w:tc>
          <w:tcPr>
            <w:tcW w:w="1850" w:type="dxa"/>
            <w:shd w:val="clear" w:color="auto" w:fill="EAF1F5"/>
            <w:tcMar>
              <w:top w:w="70" w:type="dxa"/>
              <w:left w:w="90" w:type="dxa"/>
              <w:bottom w:w="70" w:type="dxa"/>
              <w:right w:w="90" w:type="dxa"/>
            </w:tcMar>
            <w:vAlign w:val="center"/>
          </w:tcPr>
          <w:p w14:paraId="2145CEDD"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Digital guided routine</w:t>
            </w:r>
          </w:p>
        </w:tc>
        <w:tc>
          <w:tcPr>
            <w:tcW w:w="2050" w:type="dxa"/>
            <w:shd w:val="clear" w:color="auto" w:fill="EAF1F5"/>
            <w:tcMar>
              <w:top w:w="70" w:type="dxa"/>
              <w:left w:w="90" w:type="dxa"/>
              <w:bottom w:w="70" w:type="dxa"/>
              <w:right w:w="90" w:type="dxa"/>
            </w:tcMar>
            <w:vAlign w:val="center"/>
          </w:tcPr>
          <w:p w14:paraId="0E1DB374"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Recurring DTC service</w:t>
            </w:r>
          </w:p>
        </w:tc>
        <w:tc>
          <w:tcPr>
            <w:tcW w:w="2000" w:type="dxa"/>
            <w:vAlign w:val="center"/>
          </w:tcPr>
          <w:p w14:paraId="247A2157" w14:textId="77777777" w:rsidR="00AE0283" w:rsidRPr="00B7140C" w:rsidRDefault="00682E2E">
            <w:pPr>
              <w:spacing w:after="0"/>
              <w:rPr>
                <w:rFonts w:ascii="Times New Roman" w:hAnsi="Times New Roman" w:cs="Times New Roman"/>
              </w:rPr>
            </w:pPr>
            <w:r w:rsidRPr="00B7140C">
              <w:rPr>
                <w:rFonts w:ascii="Times New Roman" w:hAnsi="Times New Roman" w:cs="Times New Roman"/>
                <w:sz w:val="16"/>
              </w:rPr>
              <w:t>No public disclosure-to-sales chain</w:t>
            </w:r>
          </w:p>
        </w:tc>
      </w:tr>
    </w:tbl>
    <w:p w14:paraId="340BBA0B" w14:textId="77777777" w:rsidR="00A40A85" w:rsidRPr="00B7140C" w:rsidRDefault="00A40A85" w:rsidP="00A40A85">
      <w:pPr>
        <w:spacing w:after="160"/>
        <w:jc w:val="center"/>
        <w:rPr>
          <w:rFonts w:ascii="Times New Roman" w:hAnsi="Times New Roman" w:cs="Times New Roman"/>
        </w:rPr>
      </w:pPr>
      <w:r w:rsidRPr="00B7140C">
        <w:rPr>
          <w:rFonts w:ascii="Times New Roman" w:hAnsi="Times New Roman" w:cs="Times New Roman"/>
        </w:rPr>
        <w:t>Source: Author-developed cross-case analysis from verifiable secondary data.</w:t>
      </w:r>
    </w:p>
    <w:p w14:paraId="40ECF776" w14:textId="77777777" w:rsidR="00A40A85" w:rsidRPr="00B7140C" w:rsidRDefault="00A40A85" w:rsidP="00A40A85">
      <w:pPr>
        <w:pStyle w:val="Heading2"/>
        <w:spacing w:after="100"/>
        <w:rPr>
          <w:rFonts w:ascii="Times New Roman" w:hAnsi="Times New Roman" w:cs="Times New Roman"/>
          <w:color w:val="auto"/>
        </w:rPr>
      </w:pPr>
      <w:bookmarkStart w:id="139" w:name="_Toc237130133"/>
      <w:bookmarkStart w:id="140" w:name="_Toc240238906"/>
      <w:bookmarkEnd w:id="139"/>
      <w:r w:rsidRPr="00B7140C">
        <w:rPr>
          <w:rFonts w:ascii="Times New Roman" w:hAnsi="Times New Roman" w:cs="Times New Roman"/>
          <w:color w:val="auto"/>
        </w:rPr>
        <w:t>4.8 Chapter Summary</w:t>
      </w:r>
      <w:bookmarkEnd w:id="140"/>
    </w:p>
    <w:p w14:paraId="5DDE3DEF" w14:textId="77777777" w:rsidR="002B2A89" w:rsidRPr="00B7140C" w:rsidRDefault="002B2A89" w:rsidP="002B2A89">
      <w:pPr>
        <w:jc w:val="both"/>
        <w:rPr>
          <w:rFonts w:ascii="Times New Roman" w:hAnsi="Times New Roman" w:cs="Times New Roman"/>
        </w:rPr>
      </w:pPr>
      <w:r w:rsidRPr="00B7140C">
        <w:rPr>
          <w:rFonts w:ascii="Times New Roman" w:hAnsi="Times New Roman" w:cs="Times New Roman"/>
        </w:rPr>
        <w:t xml:space="preserve">Five UK skincare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cases were </w:t>
      </w:r>
      <w:proofErr w:type="spellStart"/>
      <w:r w:rsidRPr="00B7140C">
        <w:rPr>
          <w:rFonts w:ascii="Times New Roman" w:hAnsi="Times New Roman" w:cs="Times New Roman"/>
        </w:rPr>
        <w:t>analysed</w:t>
      </w:r>
      <w:proofErr w:type="spellEnd"/>
      <w:r w:rsidRPr="00B7140C">
        <w:rPr>
          <w:rFonts w:ascii="Times New Roman" w:hAnsi="Times New Roman" w:cs="Times New Roman"/>
        </w:rPr>
        <w:t xml:space="preserve"> using secondary data in this chapter. Across The INKEY List, Pai Skincare, Revolution Skincare, No7 and Skin + Me, expertise, trustworthiness, authenticity, platform context, parasocial relevance and disclosure provided different pathways through which credibility may relate to purchase intention. The evidence did not support a claim that any </w:t>
      </w:r>
      <w:proofErr w:type="spellStart"/>
      <w:r w:rsidRPr="00B7140C">
        <w:rPr>
          <w:rFonts w:ascii="Times New Roman" w:hAnsi="Times New Roman" w:cs="Times New Roman"/>
        </w:rPr>
        <w:t>organisation's</w:t>
      </w:r>
      <w:proofErr w:type="spellEnd"/>
      <w:r w:rsidRPr="00B7140C">
        <w:rPr>
          <w:rFonts w:ascii="Times New Roman" w:hAnsi="Times New Roman" w:cs="Times New Roman"/>
        </w:rPr>
        <w:t xml:space="preserve"> micro-influencer campaign caused purchases. Instead, the cases showed the importance of defensible creator-product fit, accurate explanation, clear commercial transparency and outcome evidence that is separate from general corporate or product indicators (</w:t>
      </w:r>
      <w:proofErr w:type="spellStart"/>
      <w:r w:rsidRPr="00B7140C">
        <w:rPr>
          <w:rFonts w:ascii="Times New Roman" w:hAnsi="Times New Roman" w:cs="Times New Roman"/>
        </w:rPr>
        <w:t>Vrontis</w:t>
      </w:r>
      <w:proofErr w:type="spellEnd"/>
      <w:r w:rsidRPr="00B7140C">
        <w:rPr>
          <w:rFonts w:ascii="Times New Roman" w:hAnsi="Times New Roman" w:cs="Times New Roman"/>
        </w:rPr>
        <w:t xml:space="preserve"> et al., 2021; </w:t>
      </w:r>
      <w:proofErr w:type="spellStart"/>
      <w:r w:rsidRPr="00B7140C">
        <w:rPr>
          <w:rFonts w:ascii="Times New Roman" w:hAnsi="Times New Roman" w:cs="Times New Roman"/>
        </w:rPr>
        <w:t>Hudders</w:t>
      </w:r>
      <w:proofErr w:type="spellEnd"/>
      <w:r w:rsidRPr="00B7140C">
        <w:rPr>
          <w:rFonts w:ascii="Times New Roman" w:hAnsi="Times New Roman" w:cs="Times New Roman"/>
        </w:rPr>
        <w:t xml:space="preserve">, De Jans and De </w:t>
      </w:r>
      <w:proofErr w:type="spellStart"/>
      <w:r w:rsidRPr="00B7140C">
        <w:rPr>
          <w:rFonts w:ascii="Times New Roman" w:hAnsi="Times New Roman" w:cs="Times New Roman"/>
        </w:rPr>
        <w:t>Veirman</w:t>
      </w:r>
      <w:proofErr w:type="spellEnd"/>
      <w:r w:rsidRPr="00B7140C">
        <w:rPr>
          <w:rFonts w:ascii="Times New Roman" w:hAnsi="Times New Roman" w:cs="Times New Roman"/>
        </w:rPr>
        <w:t>, 2021). These cross-case findings provide the evidence base for Chapter 5, which compares them with the literature and develops the theoretical and managerial implications.</w:t>
      </w:r>
    </w:p>
    <w:p w14:paraId="31FAF263" w14:textId="77777777" w:rsidR="002B2A89" w:rsidRPr="00B7140C" w:rsidRDefault="002B2A89" w:rsidP="00A40A85">
      <w:pPr>
        <w:jc w:val="both"/>
        <w:rPr>
          <w:rFonts w:ascii="Times New Roman" w:hAnsi="Times New Roman" w:cs="Times New Roman"/>
          <w:sz w:val="22"/>
        </w:rPr>
      </w:pPr>
    </w:p>
    <w:p w14:paraId="03317D69" w14:textId="77777777" w:rsidR="00A40A85" w:rsidRPr="00B7140C" w:rsidRDefault="00A40A85" w:rsidP="00A40A85">
      <w:pPr>
        <w:jc w:val="both"/>
        <w:rPr>
          <w:rFonts w:ascii="Times New Roman" w:hAnsi="Times New Roman" w:cs="Times New Roman"/>
        </w:rPr>
      </w:pPr>
    </w:p>
    <w:p w14:paraId="1CA4D686" w14:textId="77777777" w:rsidR="00A40A85" w:rsidRPr="00B7140C" w:rsidRDefault="00A40A85" w:rsidP="00A40A85">
      <w:pPr>
        <w:jc w:val="both"/>
        <w:rPr>
          <w:rFonts w:ascii="Times New Roman" w:hAnsi="Times New Roman" w:cs="Times New Roman"/>
        </w:rPr>
      </w:pPr>
    </w:p>
    <w:p w14:paraId="7AC6A10E" w14:textId="77777777" w:rsidR="00A40A85" w:rsidRPr="00B7140C" w:rsidRDefault="00A40A85" w:rsidP="00A40A85">
      <w:pPr>
        <w:jc w:val="both"/>
        <w:rPr>
          <w:rFonts w:ascii="Times New Roman" w:hAnsi="Times New Roman" w:cs="Times New Roman"/>
        </w:rPr>
      </w:pPr>
    </w:p>
    <w:p w14:paraId="311D86C8" w14:textId="77777777" w:rsidR="00A40A85" w:rsidRPr="00B7140C" w:rsidRDefault="00A40A85" w:rsidP="00A40A85">
      <w:pPr>
        <w:jc w:val="both"/>
        <w:rPr>
          <w:rFonts w:ascii="Times New Roman" w:hAnsi="Times New Roman" w:cs="Times New Roman"/>
        </w:rPr>
      </w:pPr>
    </w:p>
    <w:p w14:paraId="54C86153" w14:textId="77777777" w:rsidR="00A40A85" w:rsidRPr="00B7140C" w:rsidRDefault="00A40A85" w:rsidP="00A40A85">
      <w:pPr>
        <w:jc w:val="both"/>
        <w:rPr>
          <w:rFonts w:ascii="Times New Roman" w:hAnsi="Times New Roman" w:cs="Times New Roman"/>
        </w:rPr>
      </w:pPr>
    </w:p>
    <w:p w14:paraId="264A8F9C" w14:textId="77777777" w:rsidR="00AE0283" w:rsidRPr="00B7140C" w:rsidRDefault="00682E2E" w:rsidP="008C31BF">
      <w:pPr>
        <w:pStyle w:val="Heading1"/>
        <w:rPr>
          <w:rFonts w:ascii="Times New Roman" w:hAnsi="Times New Roman" w:cs="Times New Roman"/>
          <w:color w:val="auto"/>
        </w:rPr>
      </w:pPr>
      <w:bookmarkStart w:id="141" w:name="_Toc240238907"/>
      <w:r w:rsidRPr="00B7140C">
        <w:rPr>
          <w:rFonts w:ascii="Times New Roman" w:hAnsi="Times New Roman" w:cs="Times New Roman"/>
          <w:color w:val="auto"/>
        </w:rPr>
        <w:lastRenderedPageBreak/>
        <w:t>Chapter 5: Discussion and Analysis</w:t>
      </w:r>
      <w:bookmarkEnd w:id="141"/>
    </w:p>
    <w:p w14:paraId="15742113" w14:textId="77777777" w:rsidR="00AE0283" w:rsidRPr="00B7140C" w:rsidRDefault="00682E2E" w:rsidP="00322F43">
      <w:pPr>
        <w:pStyle w:val="Heading2"/>
        <w:rPr>
          <w:rFonts w:ascii="Times New Roman" w:hAnsi="Times New Roman" w:cs="Times New Roman"/>
          <w:color w:val="auto"/>
        </w:rPr>
      </w:pPr>
      <w:bookmarkStart w:id="142" w:name="_Toc240238908"/>
      <w:r w:rsidRPr="00B7140C">
        <w:rPr>
          <w:rFonts w:ascii="Times New Roman" w:hAnsi="Times New Roman" w:cs="Times New Roman"/>
          <w:color w:val="auto"/>
        </w:rPr>
        <w:t>5.1 Purpose and Positioning</w:t>
      </w:r>
      <w:bookmarkEnd w:id="142"/>
    </w:p>
    <w:p w14:paraId="2325A1BB"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This chapter uses the extended source-credibility framework developed in Chapter 2 to interpret the five </w:t>
      </w:r>
      <w:proofErr w:type="spellStart"/>
      <w:r w:rsidRPr="00B7140C">
        <w:rPr>
          <w:rFonts w:ascii="Times New Roman" w:hAnsi="Times New Roman" w:cs="Times New Roman"/>
          <w:szCs w:val="24"/>
        </w:rPr>
        <w:t>organisation</w:t>
      </w:r>
      <w:proofErr w:type="spellEnd"/>
      <w:r w:rsidRPr="00B7140C">
        <w:rPr>
          <w:rFonts w:ascii="Times New Roman" w:hAnsi="Times New Roman" w:cs="Times New Roman"/>
          <w:szCs w:val="24"/>
        </w:rPr>
        <w:t xml:space="preserve"> cases presented in Chapter 4. It does not repeat the case descriptions or treat public brand content as untested causal evidence. Instead, it compares the cross-case implications for credibility, authenticity, parasocial attachment, platform context and sponsorship disclosure with the empirical literature reviewed in Chapter 2 (</w:t>
      </w:r>
      <w:proofErr w:type="spellStart"/>
      <w:r w:rsidRPr="00B7140C">
        <w:rPr>
          <w:rFonts w:ascii="Times New Roman" w:hAnsi="Times New Roman" w:cs="Times New Roman"/>
          <w:szCs w:val="24"/>
        </w:rPr>
        <w:t>Vrontis</w:t>
      </w:r>
      <w:proofErr w:type="spellEnd"/>
      <w:r w:rsidRPr="00B7140C">
        <w:rPr>
          <w:rFonts w:ascii="Times New Roman" w:hAnsi="Times New Roman" w:cs="Times New Roman"/>
          <w:szCs w:val="24"/>
        </w:rPr>
        <w:t xml:space="preserve"> et al., 2021; </w:t>
      </w:r>
      <w:proofErr w:type="spellStart"/>
      <w:r w:rsidRPr="00B7140C">
        <w:rPr>
          <w:rFonts w:ascii="Times New Roman" w:hAnsi="Times New Roman" w:cs="Times New Roman"/>
          <w:szCs w:val="24"/>
        </w:rPr>
        <w:t>Hudders</w:t>
      </w:r>
      <w:proofErr w:type="spellEnd"/>
      <w:r w:rsidRPr="00B7140C">
        <w:rPr>
          <w:rFonts w:ascii="Times New Roman" w:hAnsi="Times New Roman" w:cs="Times New Roman"/>
          <w:szCs w:val="24"/>
        </w:rPr>
        <w:t xml:space="preserve">, De Jans and De </w:t>
      </w:r>
      <w:proofErr w:type="spellStart"/>
      <w:r w:rsidRPr="00B7140C">
        <w:rPr>
          <w:rFonts w:ascii="Times New Roman" w:hAnsi="Times New Roman" w:cs="Times New Roman"/>
          <w:szCs w:val="24"/>
        </w:rPr>
        <w:t>Veirman</w:t>
      </w:r>
      <w:proofErr w:type="spellEnd"/>
      <w:r w:rsidRPr="00B7140C">
        <w:rPr>
          <w:rFonts w:ascii="Times New Roman" w:hAnsi="Times New Roman" w:cs="Times New Roman"/>
          <w:szCs w:val="24"/>
        </w:rPr>
        <w:t>, 2021). The analysis addresses the research aim and both objectives by examining the five credibility dimensions together with the relational and contextual conditions that may shape purchase intention.</w:t>
      </w:r>
    </w:p>
    <w:p w14:paraId="75BA55E0"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scope remains evidence-based. The cases provide contextual </w:t>
      </w:r>
      <w:proofErr w:type="spellStart"/>
      <w:r w:rsidRPr="00B7140C">
        <w:rPr>
          <w:rFonts w:ascii="Times New Roman" w:hAnsi="Times New Roman" w:cs="Times New Roman"/>
          <w:szCs w:val="24"/>
        </w:rPr>
        <w:t>organisational</w:t>
      </w:r>
      <w:proofErr w:type="spellEnd"/>
      <w:r w:rsidRPr="00B7140C">
        <w:rPr>
          <w:rFonts w:ascii="Times New Roman" w:hAnsi="Times New Roman" w:cs="Times New Roman"/>
          <w:szCs w:val="24"/>
        </w:rPr>
        <w:t xml:space="preserve"> evidence and selected verifiable outcomes, while the academic literature provides evidence about consumer mechanisms. An influencer-to-purchase causal pathway cannot be inferred from a product-research </w:t>
      </w:r>
      <w:proofErr w:type="spellStart"/>
      <w:r w:rsidRPr="00B7140C">
        <w:rPr>
          <w:rFonts w:ascii="Times New Roman" w:hAnsi="Times New Roman" w:cs="Times New Roman"/>
          <w:szCs w:val="24"/>
        </w:rPr>
        <w:t>programme</w:t>
      </w:r>
      <w:proofErr w:type="spellEnd"/>
      <w:r w:rsidRPr="00B7140C">
        <w:rPr>
          <w:rFonts w:ascii="Times New Roman" w:hAnsi="Times New Roman" w:cs="Times New Roman"/>
          <w:szCs w:val="24"/>
        </w:rPr>
        <w:t>, brand-education resource or group-level revenue figure. The discussion therefore identifies plausible mechanisms and conditions but does not claim new UK population effects. This is consistent with the secondary-data methodology and narrative-synthesis logic explained in Chapter 3 (Snyder, 2019; Popay et al., 2006).</w:t>
      </w:r>
    </w:p>
    <w:p w14:paraId="087D7581" w14:textId="77777777" w:rsidR="00AE0283" w:rsidRPr="00B7140C" w:rsidRDefault="00682E2E" w:rsidP="00322F43">
      <w:pPr>
        <w:pStyle w:val="Heading2"/>
        <w:rPr>
          <w:rFonts w:ascii="Times New Roman" w:hAnsi="Times New Roman" w:cs="Times New Roman"/>
          <w:color w:val="auto"/>
        </w:rPr>
      </w:pPr>
      <w:bookmarkStart w:id="143" w:name="_Toc240238909"/>
      <w:r w:rsidRPr="00B7140C">
        <w:rPr>
          <w:rFonts w:ascii="Times New Roman" w:hAnsi="Times New Roman" w:cs="Times New Roman"/>
          <w:color w:val="auto"/>
        </w:rPr>
        <w:t>5.2 Analytical Framework and Logic</w:t>
      </w:r>
      <w:bookmarkEnd w:id="143"/>
    </w:p>
    <w:p w14:paraId="5011848B"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extended source-credibility model from Chapter 2 is the </w:t>
      </w:r>
      <w:proofErr w:type="spellStart"/>
      <w:r w:rsidRPr="00B7140C">
        <w:rPr>
          <w:rFonts w:ascii="Times New Roman" w:hAnsi="Times New Roman" w:cs="Times New Roman"/>
          <w:szCs w:val="24"/>
        </w:rPr>
        <w:t>organising</w:t>
      </w:r>
      <w:proofErr w:type="spellEnd"/>
      <w:r w:rsidRPr="00B7140C">
        <w:rPr>
          <w:rFonts w:ascii="Times New Roman" w:hAnsi="Times New Roman" w:cs="Times New Roman"/>
          <w:szCs w:val="24"/>
        </w:rPr>
        <w:t xml:space="preserve"> lens. Trustworthiness, expertise and attractiveness are retained from the classical source-credibility tradition, while authenticity and homophily are treated as contested extensions (Ohanian, 1990; Lee and Eastin, 2021; </w:t>
      </w:r>
      <w:proofErr w:type="spellStart"/>
      <w:r w:rsidRPr="00B7140C">
        <w:rPr>
          <w:rFonts w:ascii="Times New Roman" w:hAnsi="Times New Roman" w:cs="Times New Roman"/>
          <w:szCs w:val="24"/>
        </w:rPr>
        <w:t>Belanche</w:t>
      </w:r>
      <w:proofErr w:type="spellEnd"/>
      <w:r w:rsidRPr="00B7140C">
        <w:rPr>
          <w:rFonts w:ascii="Times New Roman" w:hAnsi="Times New Roman" w:cs="Times New Roman"/>
          <w:szCs w:val="24"/>
        </w:rPr>
        <w:t xml:space="preserve"> et al., 2021). Parasocial attachment is considered a potential relational mechanism, and platform affordances and sponsorship disclosure are treated as contextual boundary conditions. Purchase intention remains the outcome of interest, although no relationship is re-estimated because the study uses secondary evidence only.</w:t>
      </w:r>
    </w:p>
    <w:p w14:paraId="55691A73" w14:textId="0115F619" w:rsidR="00602383" w:rsidRPr="00B7140C" w:rsidRDefault="00602383" w:rsidP="009A731E">
      <w:pPr>
        <w:keepNext/>
        <w:spacing w:before="200"/>
        <w:jc w:val="both"/>
        <w:rPr>
          <w:rFonts w:ascii="Times New Roman" w:hAnsi="Times New Roman" w:cs="Times New Roman"/>
          <w:szCs w:val="24"/>
        </w:rPr>
      </w:pPr>
      <w:r w:rsidRPr="00602383">
        <w:rPr>
          <w:rFonts w:ascii="Times New Roman" w:hAnsi="Times New Roman" w:cs="Times New Roman"/>
          <w:szCs w:val="24"/>
        </w:rPr>
        <w:t xml:space="preserve">Thematic logic is a hybrid as the discussion proceeds thematically. First, it compares the credibility hierarchy and creator-product fit for the five cases. Second, it explores authenticity, homophily and parasocial attachment as relational evaluations. Third, it takes platform and service contexts as boundary conditions. Fourth, it assesses the quality of </w:t>
      </w:r>
      <w:r w:rsidRPr="00602383">
        <w:rPr>
          <w:rFonts w:ascii="Times New Roman" w:hAnsi="Times New Roman" w:cs="Times New Roman"/>
          <w:szCs w:val="24"/>
        </w:rPr>
        <w:lastRenderedPageBreak/>
        <w:t>disclosure and evidence as constraints on inference. This progression skips the chapter 2 constructs and straight jumps to chapter 4 cross-case evidence and then to the refined conceptual pathway and synthesis in practice for chapter 6.</w:t>
      </w:r>
    </w:p>
    <w:p w14:paraId="3F4D242E" w14:textId="77777777" w:rsidR="00AE0283" w:rsidRPr="00B7140C" w:rsidRDefault="00682E2E" w:rsidP="00322F43">
      <w:pPr>
        <w:pStyle w:val="Heading2"/>
        <w:rPr>
          <w:rFonts w:ascii="Times New Roman" w:hAnsi="Times New Roman" w:cs="Times New Roman"/>
          <w:color w:val="auto"/>
        </w:rPr>
      </w:pPr>
      <w:bookmarkStart w:id="144" w:name="_Toc240238910"/>
      <w:r w:rsidRPr="00B7140C">
        <w:rPr>
          <w:rFonts w:ascii="Times New Roman" w:hAnsi="Times New Roman" w:cs="Times New Roman"/>
          <w:color w:val="auto"/>
        </w:rPr>
        <w:t>5.3 Cross-Case Synthesis: Compare and Contrast with Literature</w:t>
      </w:r>
      <w:bookmarkEnd w:id="144"/>
    </w:p>
    <w:p w14:paraId="0D71D553" w14:textId="77777777" w:rsidR="00AE0283" w:rsidRPr="00B7140C" w:rsidRDefault="00682E2E" w:rsidP="00322F43">
      <w:pPr>
        <w:pStyle w:val="Heading3"/>
        <w:rPr>
          <w:rFonts w:ascii="Times New Roman" w:hAnsi="Times New Roman" w:cs="Times New Roman"/>
          <w:color w:val="auto"/>
        </w:rPr>
      </w:pPr>
      <w:bookmarkStart w:id="145" w:name="_Toc240238911"/>
      <w:r w:rsidRPr="00B7140C">
        <w:rPr>
          <w:rFonts w:ascii="Times New Roman" w:hAnsi="Times New Roman" w:cs="Times New Roman"/>
          <w:color w:val="auto"/>
        </w:rPr>
        <w:t>5.3.1 Credibility Hierarchy and Product–Creator Fit</w:t>
      </w:r>
      <w:bookmarkEnd w:id="145"/>
    </w:p>
    <w:p w14:paraId="50956E80" w14:textId="77777777" w:rsidR="00AB1E1A" w:rsidRPr="00AB1E1A" w:rsidRDefault="00AB1E1A" w:rsidP="00AB1E1A">
      <w:pPr>
        <w:keepNext/>
        <w:spacing w:before="200"/>
        <w:jc w:val="both"/>
        <w:rPr>
          <w:rFonts w:ascii="Times New Roman" w:hAnsi="Times New Roman" w:cs="Times New Roman"/>
          <w:szCs w:val="24"/>
        </w:rPr>
      </w:pPr>
      <w:r w:rsidRPr="00AB1E1A">
        <w:rPr>
          <w:rFonts w:ascii="Times New Roman" w:hAnsi="Times New Roman" w:cs="Times New Roman"/>
          <w:szCs w:val="24"/>
        </w:rPr>
        <w:t xml:space="preserve">The literature appears to be consistent that credibility is multidimensional, but these dimensions do not necessarily have to be equally powerful or be additive. Credibility can be based on ‘trustworthiness' and ‘expertise', and attractiveness can help to attract attention but may not give a sense of competence with regard to products (Lou and Yuan, 2019; Wiedmann and von </w:t>
      </w:r>
      <w:proofErr w:type="spellStart"/>
      <w:r w:rsidRPr="00AB1E1A">
        <w:rPr>
          <w:rFonts w:ascii="Times New Roman" w:hAnsi="Times New Roman" w:cs="Times New Roman"/>
          <w:szCs w:val="24"/>
        </w:rPr>
        <w:t>Mettenheim</w:t>
      </w:r>
      <w:proofErr w:type="spellEnd"/>
      <w:r w:rsidRPr="00AB1E1A">
        <w:rPr>
          <w:rFonts w:ascii="Times New Roman" w:hAnsi="Times New Roman" w:cs="Times New Roman"/>
          <w:szCs w:val="24"/>
        </w:rPr>
        <w:t xml:space="preserve">, 2021; Kim and Kim, 2021). Brand/creator fit is also significant; a believable source cannot be popular, but it should look like it fits into the product category (Breves et al., 2019; Schouten, Janssen and </w:t>
      </w:r>
      <w:proofErr w:type="spellStart"/>
      <w:r w:rsidRPr="00AB1E1A">
        <w:rPr>
          <w:rFonts w:ascii="Times New Roman" w:hAnsi="Times New Roman" w:cs="Times New Roman"/>
          <w:szCs w:val="24"/>
        </w:rPr>
        <w:t>Verspaget</w:t>
      </w:r>
      <w:proofErr w:type="spellEnd"/>
      <w:r w:rsidRPr="00AB1E1A">
        <w:rPr>
          <w:rFonts w:ascii="Times New Roman" w:hAnsi="Times New Roman" w:cs="Times New Roman"/>
          <w:szCs w:val="24"/>
        </w:rPr>
        <w:t>, 2020). This order of preference is evident in the Chapter 4 cases, especially when it comes to skincare, where consumers have to decide before experiencing the product.</w:t>
      </w:r>
    </w:p>
    <w:p w14:paraId="35054489" w14:textId="01D2BC8B" w:rsidR="008C31BF" w:rsidRPr="00B7140C" w:rsidRDefault="00AB1E1A" w:rsidP="00AB1E1A">
      <w:pPr>
        <w:keepNext/>
        <w:spacing w:before="200"/>
        <w:jc w:val="both"/>
        <w:rPr>
          <w:rFonts w:ascii="Times New Roman" w:hAnsi="Times New Roman" w:cs="Times New Roman"/>
          <w:szCs w:val="24"/>
        </w:rPr>
      </w:pPr>
      <w:r w:rsidRPr="00AB1E1A">
        <w:rPr>
          <w:rFonts w:ascii="Times New Roman" w:hAnsi="Times New Roman" w:cs="Times New Roman"/>
          <w:szCs w:val="24"/>
        </w:rPr>
        <w:t xml:space="preserve">This is best seen in The INKEY List. Its public education resources allow ingredient explanations to be an </w:t>
      </w:r>
      <w:proofErr w:type="spellStart"/>
      <w:r w:rsidRPr="00AB1E1A">
        <w:rPr>
          <w:rFonts w:ascii="Times New Roman" w:hAnsi="Times New Roman" w:cs="Times New Roman"/>
          <w:szCs w:val="24"/>
        </w:rPr>
        <w:t>organisational</w:t>
      </w:r>
      <w:proofErr w:type="spellEnd"/>
      <w:r w:rsidRPr="00AB1E1A">
        <w:rPr>
          <w:rFonts w:ascii="Times New Roman" w:hAnsi="Times New Roman" w:cs="Times New Roman"/>
          <w:szCs w:val="24"/>
        </w:rPr>
        <w:t xml:space="preserve"> ability, with the relevance of the creators being a part of that. The same applies to sensitive-skin positioning, as shown by Pai Skincare, where substantiation and trustworthiness have become even more crucial than ever since proof alone is not enough to ensure safety and efficacy. On the other hand, if you are looking to get some expertise, No7 will give you another way to get it with publicly reported product research.</w:t>
      </w:r>
      <w:r>
        <w:rPr>
          <w:rFonts w:ascii="Times New Roman" w:hAnsi="Times New Roman" w:cs="Times New Roman"/>
          <w:szCs w:val="24"/>
        </w:rPr>
        <w:t xml:space="preserve"> </w:t>
      </w:r>
      <w:r w:rsidR="008C31BF" w:rsidRPr="00B7140C">
        <w:rPr>
          <w:rFonts w:ascii="Times New Roman" w:hAnsi="Times New Roman" w:cs="Times New Roman"/>
          <w:szCs w:val="24"/>
        </w:rPr>
        <w:t xml:space="preserve">No7 provides another route to expertise through publicly reported product research. Across these cases, expertise is therefore not only a creator trait; it is also a function of alignment between the message, product evidence and what the creator can credibly claim (Lou and Yuan, 2019; Schouten, Janssen and </w:t>
      </w:r>
      <w:proofErr w:type="spellStart"/>
      <w:r w:rsidR="008C31BF" w:rsidRPr="00B7140C">
        <w:rPr>
          <w:rFonts w:ascii="Times New Roman" w:hAnsi="Times New Roman" w:cs="Times New Roman"/>
          <w:szCs w:val="24"/>
        </w:rPr>
        <w:t>Verspaget</w:t>
      </w:r>
      <w:proofErr w:type="spellEnd"/>
      <w:r w:rsidR="008C31BF" w:rsidRPr="00B7140C">
        <w:rPr>
          <w:rFonts w:ascii="Times New Roman" w:hAnsi="Times New Roman" w:cs="Times New Roman"/>
          <w:szCs w:val="24"/>
        </w:rPr>
        <w:t>, 2020).</w:t>
      </w:r>
    </w:p>
    <w:p w14:paraId="262317DC"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Revolution Skincare does not make it easy to come to a simple expertise-first conclusion. This was because it was in a mass-market, trend-sensitive environment, where being attractive and presented in a platform-friendly way might be expected to attract attention in a way that was commercially relevant. But in Chapter 4 the evidence for group-level revenue was not able to say anything about that attention. This is in line with the literature that distinguishes between attention and purchase intention: Although attractiveness can be a gateway, it is unlikely to replace trust in an efficacy-relevant skincare decision (Lou and </w:t>
      </w:r>
      <w:r w:rsidRPr="00B7140C">
        <w:rPr>
          <w:rFonts w:ascii="Times New Roman" w:hAnsi="Times New Roman" w:cs="Times New Roman"/>
          <w:szCs w:val="24"/>
        </w:rPr>
        <w:lastRenderedPageBreak/>
        <w:t xml:space="preserve">Yuan, 2019; </w:t>
      </w:r>
      <w:proofErr w:type="spellStart"/>
      <w:r w:rsidRPr="00B7140C">
        <w:rPr>
          <w:rFonts w:ascii="Times New Roman" w:hAnsi="Times New Roman" w:cs="Times New Roman"/>
          <w:szCs w:val="24"/>
        </w:rPr>
        <w:t>Belanche</w:t>
      </w:r>
      <w:proofErr w:type="spellEnd"/>
      <w:r w:rsidRPr="00B7140C">
        <w:rPr>
          <w:rFonts w:ascii="Times New Roman" w:hAnsi="Times New Roman" w:cs="Times New Roman"/>
          <w:szCs w:val="24"/>
        </w:rPr>
        <w:t xml:space="preserve"> et al., 2021). This interpretation was supported by Skin + Me, which was based on the premise that a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 digital service needs consumers to trust a product, as well as a seemingly mundane process away from them.</w:t>
      </w:r>
    </w:p>
    <w:p w14:paraId="2B570F77"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cross-case insight is therefore a conditional hierarchy of credibility and fit. Trustworthiness and expertise are likely to be important conditions for informed skincare consideration; attractiveness can increase salience but cannot substitute for competence. This conclusion depends on the product claim, creator role and strength of the available evidence and directly supports Objective 1 (Lou and Yuan, 2019; Wiedmann and von </w:t>
      </w:r>
      <w:proofErr w:type="spellStart"/>
      <w:r w:rsidRPr="00B7140C">
        <w:rPr>
          <w:rFonts w:ascii="Times New Roman" w:hAnsi="Times New Roman" w:cs="Times New Roman"/>
          <w:szCs w:val="24"/>
        </w:rPr>
        <w:t>Mettenheim</w:t>
      </w:r>
      <w:proofErr w:type="spellEnd"/>
      <w:r w:rsidRPr="00B7140C">
        <w:rPr>
          <w:rFonts w:ascii="Times New Roman" w:hAnsi="Times New Roman" w:cs="Times New Roman"/>
          <w:szCs w:val="24"/>
        </w:rPr>
        <w:t>, 2021).</w:t>
      </w:r>
    </w:p>
    <w:p w14:paraId="45F91914" w14:textId="77777777" w:rsidR="00AE0283" w:rsidRPr="00B7140C" w:rsidRDefault="00682E2E" w:rsidP="00322F43">
      <w:pPr>
        <w:pStyle w:val="Heading3"/>
        <w:rPr>
          <w:rFonts w:ascii="Times New Roman" w:hAnsi="Times New Roman" w:cs="Times New Roman"/>
          <w:color w:val="auto"/>
        </w:rPr>
      </w:pPr>
      <w:bookmarkStart w:id="146" w:name="_Toc240238912"/>
      <w:r w:rsidRPr="00B7140C">
        <w:rPr>
          <w:rFonts w:ascii="Times New Roman" w:hAnsi="Times New Roman" w:cs="Times New Roman"/>
          <w:color w:val="auto"/>
        </w:rPr>
        <w:t>5.3.2 Authenticity, Homophily and Parasocial Attachment</w:t>
      </w:r>
      <w:bookmarkEnd w:id="146"/>
    </w:p>
    <w:p w14:paraId="0043EDBC"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As demonstrated in Chapter 2, authenticity can be defined in many different ways, such as sincere self-presentation, moral conduct, originality, and as a judgement made by the audience (</w:t>
      </w:r>
      <w:proofErr w:type="spellStart"/>
      <w:r w:rsidRPr="00B7140C">
        <w:rPr>
          <w:rFonts w:ascii="Times New Roman" w:hAnsi="Times New Roman" w:cs="Times New Roman"/>
          <w:szCs w:val="24"/>
        </w:rPr>
        <w:t>Audrezet</w:t>
      </w:r>
      <w:proofErr w:type="spellEnd"/>
      <w:r w:rsidRPr="00B7140C">
        <w:rPr>
          <w:rFonts w:ascii="Times New Roman" w:hAnsi="Times New Roman" w:cs="Times New Roman"/>
          <w:szCs w:val="24"/>
        </w:rPr>
        <w:t xml:space="preserve">, de </w:t>
      </w:r>
      <w:proofErr w:type="spellStart"/>
      <w:r w:rsidRPr="00B7140C">
        <w:rPr>
          <w:rFonts w:ascii="Times New Roman" w:hAnsi="Times New Roman" w:cs="Times New Roman"/>
          <w:szCs w:val="24"/>
        </w:rPr>
        <w:t>Kerviler</w:t>
      </w:r>
      <w:proofErr w:type="spellEnd"/>
      <w:r w:rsidRPr="00B7140C">
        <w:rPr>
          <w:rFonts w:ascii="Times New Roman" w:hAnsi="Times New Roman" w:cs="Times New Roman"/>
          <w:szCs w:val="24"/>
        </w:rPr>
        <w:t xml:space="preserve"> and Guidry Moulard, 2020; Lee and Eastin, 2021; Pöyry et al., 2019). Perceived similarity and not verified expertise is also an issue with homophily. The five cases argue for considering both constructs as relational amplifiers instead of stand-alone credibility dimensions. They can help to make information feel relevant, but they cannot verify whether a skincare claim is true.</w:t>
      </w:r>
    </w:p>
    <w:p w14:paraId="4903F420" w14:textId="77777777" w:rsidR="008C31BF" w:rsidRPr="00B7140C" w:rsidRDefault="008C31BF"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Pai Skincare and Skin + Me make this distinction especially important. Their sensitive-skin and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-service contexts may feel personally relevant to consumers with similar concerns, reducing psychological distance and increasing attention to product information. However, this closeness can also blur a customer account, paid promotion and professional advice. Sokolova and </w:t>
      </w:r>
      <w:proofErr w:type="spellStart"/>
      <w:r w:rsidRPr="00B7140C">
        <w:rPr>
          <w:rFonts w:ascii="Times New Roman" w:hAnsi="Times New Roman" w:cs="Times New Roman"/>
          <w:szCs w:val="24"/>
        </w:rPr>
        <w:t>Kefi</w:t>
      </w:r>
      <w:proofErr w:type="spellEnd"/>
      <w:r w:rsidRPr="00B7140C">
        <w:rPr>
          <w:rFonts w:ascii="Times New Roman" w:hAnsi="Times New Roman" w:cs="Times New Roman"/>
          <w:szCs w:val="24"/>
        </w:rPr>
        <w:t xml:space="preserve"> (2020) and Farivar, Wang and Yuan (2021) link parasocial interaction with purchase intention, but neither establishes that relational closeness can replace expertise or product evidence in higher-risk skincare contexts.</w:t>
      </w:r>
    </w:p>
    <w:p w14:paraId="5F7C6476" w14:textId="77777777" w:rsidR="009055E0" w:rsidRPr="009055E0" w:rsidRDefault="009055E0" w:rsidP="009055E0">
      <w:pPr>
        <w:keepNext/>
        <w:spacing w:before="200"/>
        <w:jc w:val="both"/>
        <w:rPr>
          <w:rFonts w:ascii="Times New Roman" w:hAnsi="Times New Roman" w:cs="Times New Roman"/>
          <w:szCs w:val="24"/>
        </w:rPr>
      </w:pPr>
      <w:r w:rsidRPr="009055E0">
        <w:rPr>
          <w:rFonts w:ascii="Times New Roman" w:hAnsi="Times New Roman" w:cs="Times New Roman"/>
          <w:szCs w:val="24"/>
        </w:rPr>
        <w:t xml:space="preserve">Two of these more positive versions of authenticity are proposed by the INKEY List and by No7. In those instances, authenticity would entail that the creator's style, knowledge and disclosure practices are consistent with an education or science-based message. A creator who seems like “one of us” but isn't being entirely sincere about what they're saying may be near while failing to hit the truthful endorsement mark. This could account for the fact that some literature overlaps with the category of authenticity and trustworthiness (Lee and Eastin, 2021; </w:t>
      </w:r>
      <w:proofErr w:type="spellStart"/>
      <w:r w:rsidRPr="009055E0">
        <w:rPr>
          <w:rFonts w:ascii="Times New Roman" w:hAnsi="Times New Roman" w:cs="Times New Roman"/>
          <w:szCs w:val="24"/>
        </w:rPr>
        <w:t>Audrezet</w:t>
      </w:r>
      <w:proofErr w:type="spellEnd"/>
      <w:r w:rsidRPr="009055E0">
        <w:rPr>
          <w:rFonts w:ascii="Times New Roman" w:hAnsi="Times New Roman" w:cs="Times New Roman"/>
          <w:szCs w:val="24"/>
        </w:rPr>
        <w:t xml:space="preserve">, de </w:t>
      </w:r>
      <w:proofErr w:type="spellStart"/>
      <w:r w:rsidRPr="009055E0">
        <w:rPr>
          <w:rFonts w:ascii="Times New Roman" w:hAnsi="Times New Roman" w:cs="Times New Roman"/>
          <w:szCs w:val="24"/>
        </w:rPr>
        <w:t>Kerviler</w:t>
      </w:r>
      <w:proofErr w:type="spellEnd"/>
      <w:r w:rsidRPr="009055E0">
        <w:rPr>
          <w:rFonts w:ascii="Times New Roman" w:hAnsi="Times New Roman" w:cs="Times New Roman"/>
          <w:szCs w:val="24"/>
        </w:rPr>
        <w:t xml:space="preserve"> and Guidry Moulard, 2020). Also, it allows for the </w:t>
      </w:r>
      <w:r w:rsidRPr="009055E0">
        <w:rPr>
          <w:rFonts w:ascii="Times New Roman" w:hAnsi="Times New Roman" w:cs="Times New Roman"/>
          <w:szCs w:val="24"/>
        </w:rPr>
        <w:lastRenderedPageBreak/>
        <w:t>connection of homophily to a specific consumer concern, instead of merely to age or aural esthetic match.</w:t>
      </w:r>
    </w:p>
    <w:p w14:paraId="1CCD1879" w14:textId="77777777" w:rsidR="009055E0" w:rsidRDefault="009055E0" w:rsidP="009055E0">
      <w:pPr>
        <w:keepNext/>
        <w:spacing w:before="200"/>
        <w:jc w:val="both"/>
        <w:rPr>
          <w:rFonts w:ascii="Times New Roman" w:hAnsi="Times New Roman" w:cs="Times New Roman"/>
          <w:szCs w:val="24"/>
        </w:rPr>
      </w:pPr>
      <w:r w:rsidRPr="009055E0">
        <w:rPr>
          <w:rFonts w:ascii="Times New Roman" w:hAnsi="Times New Roman" w:cs="Times New Roman"/>
          <w:szCs w:val="24"/>
        </w:rPr>
        <w:t xml:space="preserve">As a result, the cases are eligible to a simple claim for mediation. When source credibility and message accuracy have been previously established, parasocial attachment can have a beneficial effect on personal relevance and receptivity. That is, repeated exposure and perceived similarity can draw attention and enhance identification but </w:t>
      </w:r>
      <w:proofErr w:type="spellStart"/>
      <w:r w:rsidRPr="009055E0">
        <w:rPr>
          <w:rFonts w:ascii="Times New Roman" w:hAnsi="Times New Roman" w:cs="Times New Roman"/>
          <w:szCs w:val="24"/>
        </w:rPr>
        <w:t>can not</w:t>
      </w:r>
      <w:proofErr w:type="spellEnd"/>
      <w:r w:rsidRPr="009055E0">
        <w:rPr>
          <w:rFonts w:ascii="Times New Roman" w:hAnsi="Times New Roman" w:cs="Times New Roman"/>
          <w:szCs w:val="24"/>
        </w:rPr>
        <w:t xml:space="preserve"> be seen as a purchase in itself (Sokolova and </w:t>
      </w:r>
      <w:proofErr w:type="spellStart"/>
      <w:r w:rsidRPr="009055E0">
        <w:rPr>
          <w:rFonts w:ascii="Times New Roman" w:hAnsi="Times New Roman" w:cs="Times New Roman"/>
          <w:szCs w:val="24"/>
        </w:rPr>
        <w:t>Kefi</w:t>
      </w:r>
      <w:proofErr w:type="spellEnd"/>
      <w:r w:rsidRPr="009055E0">
        <w:rPr>
          <w:rFonts w:ascii="Times New Roman" w:hAnsi="Times New Roman" w:cs="Times New Roman"/>
          <w:szCs w:val="24"/>
        </w:rPr>
        <w:t xml:space="preserve">, 2020; Farivar, Wang and Yuan, 2021). This is a contingent refinement of Objective 2, and therefore not an indication of a tested mediation effect in the 5 </w:t>
      </w:r>
      <w:proofErr w:type="spellStart"/>
      <w:r w:rsidRPr="009055E0">
        <w:rPr>
          <w:rFonts w:ascii="Times New Roman" w:hAnsi="Times New Roman" w:cs="Times New Roman"/>
          <w:szCs w:val="24"/>
        </w:rPr>
        <w:t>organisations</w:t>
      </w:r>
      <w:proofErr w:type="spellEnd"/>
      <w:r w:rsidRPr="009055E0">
        <w:rPr>
          <w:rFonts w:ascii="Times New Roman" w:hAnsi="Times New Roman" w:cs="Times New Roman"/>
          <w:szCs w:val="24"/>
        </w:rPr>
        <w:t>.</w:t>
      </w:r>
    </w:p>
    <w:p w14:paraId="667A4210" w14:textId="77777777" w:rsidR="00AE0283" w:rsidRPr="00B7140C" w:rsidRDefault="00682E2E" w:rsidP="00322F43">
      <w:pPr>
        <w:pStyle w:val="Heading3"/>
        <w:rPr>
          <w:rFonts w:ascii="Times New Roman" w:hAnsi="Times New Roman" w:cs="Times New Roman"/>
          <w:color w:val="auto"/>
        </w:rPr>
      </w:pPr>
      <w:bookmarkStart w:id="147" w:name="_Toc240238913"/>
      <w:r w:rsidRPr="00B7140C">
        <w:rPr>
          <w:rFonts w:ascii="Times New Roman" w:hAnsi="Times New Roman" w:cs="Times New Roman"/>
          <w:color w:val="auto"/>
        </w:rPr>
        <w:t>5.3.3 Platform and Service Context as Boundary Conditions</w:t>
      </w:r>
      <w:bookmarkEnd w:id="147"/>
    </w:p>
    <w:p w14:paraId="7B455479"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literature on influencers is increasingly </w:t>
      </w:r>
      <w:proofErr w:type="spellStart"/>
      <w:r w:rsidRPr="00B7140C">
        <w:rPr>
          <w:rFonts w:ascii="Times New Roman" w:hAnsi="Times New Roman" w:cs="Times New Roman"/>
          <w:szCs w:val="24"/>
        </w:rPr>
        <w:t>recognises</w:t>
      </w:r>
      <w:proofErr w:type="spellEnd"/>
      <w:r w:rsidRPr="00B7140C">
        <w:rPr>
          <w:rFonts w:ascii="Times New Roman" w:hAnsi="Times New Roman" w:cs="Times New Roman"/>
          <w:szCs w:val="24"/>
        </w:rPr>
        <w:t xml:space="preserve"> that the platform does not simply relay a consistent message, but that it also provides a way to highlight certain information and to present it in a way that makes it more visible and easier to consume (Haenlein et al., 2020; </w:t>
      </w:r>
      <w:proofErr w:type="spellStart"/>
      <w:r w:rsidRPr="00B7140C">
        <w:rPr>
          <w:rFonts w:ascii="Times New Roman" w:hAnsi="Times New Roman" w:cs="Times New Roman"/>
          <w:szCs w:val="24"/>
        </w:rPr>
        <w:t>Vrontis</w:t>
      </w:r>
      <w:proofErr w:type="spellEnd"/>
      <w:r w:rsidRPr="00B7140C">
        <w:rPr>
          <w:rFonts w:ascii="Times New Roman" w:hAnsi="Times New Roman" w:cs="Times New Roman"/>
          <w:szCs w:val="24"/>
        </w:rPr>
        <w:t xml:space="preserve"> et al., 2021). The curated visual experience of Instagram and the quick discovery journeys of TikTok can thus </w:t>
      </w:r>
      <w:proofErr w:type="spellStart"/>
      <w:r w:rsidRPr="00B7140C">
        <w:rPr>
          <w:rFonts w:ascii="Times New Roman" w:hAnsi="Times New Roman" w:cs="Times New Roman"/>
          <w:szCs w:val="24"/>
        </w:rPr>
        <w:t>prioritise</w:t>
      </w:r>
      <w:proofErr w:type="spellEnd"/>
      <w:r w:rsidRPr="00B7140C">
        <w:rPr>
          <w:rFonts w:ascii="Times New Roman" w:hAnsi="Times New Roman" w:cs="Times New Roman"/>
          <w:szCs w:val="24"/>
        </w:rPr>
        <w:t xml:space="preserve"> different blends of "attractiveness", “explanation” and "engagement". Chapter 2 also found, however, that there is a significant limitation in the literature – the majority of empirical research is platform specific, and direct comparisons of skincare products in the UK are still limited. Platform effects must be interpreted as contingencies, rather than universal rules, accordingly.</w:t>
      </w:r>
    </w:p>
    <w:p w14:paraId="2DC69F0B"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Revolution Skincare provides the clearest fast-discovery context in Chapter 4. Its challenge is to move from trend visibility to credible consideration, so short-form attention needs to connect with accessible product information. The INKEY List illustrates a different platform logic: education can be delivered in bite-sized content but still requires an evidence trail beyond a single post, such as detailed product information or learning resources. For No7, the corresponding challenge is to translate science without reducing it to surface-level cues. These cases support the literature's view that platform affordances shape message format, but they do not show that one platform is inherently more persuasive (Haenlein et al., 2020; </w:t>
      </w:r>
      <w:proofErr w:type="spellStart"/>
      <w:r w:rsidRPr="00B7140C">
        <w:rPr>
          <w:rFonts w:ascii="Times New Roman" w:hAnsi="Times New Roman" w:cs="Times New Roman"/>
          <w:szCs w:val="24"/>
        </w:rPr>
        <w:t>Vrontis</w:t>
      </w:r>
      <w:proofErr w:type="spellEnd"/>
      <w:r w:rsidRPr="00B7140C">
        <w:rPr>
          <w:rFonts w:ascii="Times New Roman" w:hAnsi="Times New Roman" w:cs="Times New Roman"/>
          <w:szCs w:val="24"/>
        </w:rPr>
        <w:t xml:space="preserve"> et al., 2021).</w:t>
      </w:r>
    </w:p>
    <w:p w14:paraId="37D030DA"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Skin + Me extends the platform issue to the service level. Its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 digital model encourages an ongoing routine rather than a one-time retail transaction. This can increase the importance of relational continuity while also increasing the need to distinguish creator </w:t>
      </w:r>
      <w:r w:rsidRPr="00B7140C">
        <w:rPr>
          <w:rFonts w:ascii="Times New Roman" w:hAnsi="Times New Roman" w:cs="Times New Roman"/>
          <w:szCs w:val="24"/>
        </w:rPr>
        <w:lastRenderedPageBreak/>
        <w:t>content from professional-sounding advice. In higher-concern skincare contexts, visually appealing content alone is therefore less defensible. Platform-specific creativity is most useful when paired with a clear information pathway, appropriate claims and credible creator-product alignment (Skin + Me, 2026a; De Cicco, Iacobucci and Pagliaro, 2021).</w:t>
      </w:r>
    </w:p>
    <w:p w14:paraId="48EEFC74"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The interim conclusion is that the form of credible communication varies by platform, but the need for credible evidence does not. Managers should adapt content to platform affordances while maintaining common standards for product evidence, creator fit and disclosure across TikTok, Instagram and brand-owned destinations (Haenlein et al., 2020; Committee of Advertising Practice, 2026a).</w:t>
      </w:r>
    </w:p>
    <w:p w14:paraId="1357BF24" w14:textId="77777777" w:rsidR="00AE0283" w:rsidRPr="00B7140C" w:rsidRDefault="00682E2E" w:rsidP="00322F43">
      <w:pPr>
        <w:pStyle w:val="Heading3"/>
        <w:rPr>
          <w:rFonts w:ascii="Times New Roman" w:hAnsi="Times New Roman" w:cs="Times New Roman"/>
          <w:color w:val="auto"/>
        </w:rPr>
      </w:pPr>
      <w:bookmarkStart w:id="148" w:name="_Toc240238914"/>
      <w:r w:rsidRPr="00B7140C">
        <w:rPr>
          <w:rFonts w:ascii="Times New Roman" w:hAnsi="Times New Roman" w:cs="Times New Roman"/>
          <w:color w:val="auto"/>
        </w:rPr>
        <w:t>5.3.4 Disclosure, Transparency and the Strength of Evidence</w:t>
      </w:r>
      <w:bookmarkEnd w:id="148"/>
    </w:p>
    <w:p w14:paraId="284C891E"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Disclosure is both a regulatory requirement and a theoretical boundary condition. The literature shows that labels can activate persuasion knowledge and sometimes </w:t>
      </w:r>
      <w:proofErr w:type="spellStart"/>
      <w:r w:rsidRPr="00B7140C">
        <w:rPr>
          <w:rFonts w:ascii="Times New Roman" w:hAnsi="Times New Roman" w:cs="Times New Roman"/>
          <w:szCs w:val="24"/>
        </w:rPr>
        <w:t>scepticism</w:t>
      </w:r>
      <w:proofErr w:type="spellEnd"/>
      <w:r w:rsidRPr="00B7140C">
        <w:rPr>
          <w:rFonts w:ascii="Times New Roman" w:hAnsi="Times New Roman" w:cs="Times New Roman"/>
          <w:szCs w:val="24"/>
        </w:rPr>
        <w:t xml:space="preserve">, but clear sponsorship identification can also protect the interpretation of trust and authenticity (Boerman, 2020; Kay, Mulcahy and Parkinson, 2020; </w:t>
      </w:r>
      <w:proofErr w:type="spellStart"/>
      <w:r w:rsidRPr="00B7140C">
        <w:rPr>
          <w:rFonts w:ascii="Times New Roman" w:hAnsi="Times New Roman" w:cs="Times New Roman"/>
          <w:szCs w:val="24"/>
        </w:rPr>
        <w:t>Eisend</w:t>
      </w:r>
      <w:proofErr w:type="spellEnd"/>
      <w:r w:rsidRPr="00B7140C">
        <w:rPr>
          <w:rFonts w:ascii="Times New Roman" w:hAnsi="Times New Roman" w:cs="Times New Roman"/>
          <w:szCs w:val="24"/>
        </w:rPr>
        <w:t xml:space="preserve"> et al., 2020). The ASA evidence reported in Chapter 4 is important because it shows continuing weaknesses in influencer-ad disclosure, although it does not identify the practices of any one of the five </w:t>
      </w:r>
      <w:proofErr w:type="spellStart"/>
      <w:r w:rsidRPr="00B7140C">
        <w:rPr>
          <w:rFonts w:ascii="Times New Roman" w:hAnsi="Times New Roman" w:cs="Times New Roman"/>
          <w:szCs w:val="24"/>
        </w:rPr>
        <w:t>organisations</w:t>
      </w:r>
      <w:proofErr w:type="spellEnd"/>
      <w:r w:rsidRPr="00B7140C">
        <w:rPr>
          <w:rFonts w:ascii="Times New Roman" w:hAnsi="Times New Roman" w:cs="Times New Roman"/>
          <w:szCs w:val="24"/>
        </w:rPr>
        <w:t xml:space="preserve"> (Advertising Standards Authority, 2025a; Advertising Standards Authority, 2025b).</w:t>
      </w:r>
    </w:p>
    <w:p w14:paraId="1B3510DA"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conclusions, therefore, in the cases are tentatively drawn. Educational and specialist or science-led communication can be interpreted as independent advice, and the INKEY List, Pai Skincare and No7 are particularly subject to this requirement. For Revolution Skincare, a commercial message can appear as if it is being recommended by peers by way of high-visibility trend content. In their case, the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 skin care can make it hard to differentiate between a consumer story, a service recommendation and information that sounds like a professional. Visible disclosure is required but not enough for credible and ethical persuasion in all cases (Committee of Advertising Practice, 2026a; Committee of Advertising Practice, 2026b).</w:t>
      </w:r>
    </w:p>
    <w:p w14:paraId="5DD44393"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evidence also shows there is a problem with the attribution. Chapter 4 confirms </w:t>
      </w:r>
      <w:proofErr w:type="spellStart"/>
      <w:r w:rsidRPr="00B7140C">
        <w:rPr>
          <w:rFonts w:ascii="Times New Roman" w:hAnsi="Times New Roman" w:cs="Times New Roman"/>
          <w:szCs w:val="24"/>
        </w:rPr>
        <w:t>organisational</w:t>
      </w:r>
      <w:proofErr w:type="spellEnd"/>
      <w:r w:rsidRPr="00B7140C">
        <w:rPr>
          <w:rFonts w:ascii="Times New Roman" w:hAnsi="Times New Roman" w:cs="Times New Roman"/>
          <w:szCs w:val="24"/>
        </w:rPr>
        <w:t xml:space="preserve"> positioning and selected public </w:t>
      </w:r>
      <w:proofErr w:type="spellStart"/>
      <w:r w:rsidRPr="00B7140C">
        <w:rPr>
          <w:rFonts w:ascii="Times New Roman" w:hAnsi="Times New Roman" w:cs="Times New Roman"/>
          <w:szCs w:val="24"/>
        </w:rPr>
        <w:t>programme</w:t>
      </w:r>
      <w:proofErr w:type="spellEnd"/>
      <w:r w:rsidRPr="00B7140C">
        <w:rPr>
          <w:rFonts w:ascii="Times New Roman" w:hAnsi="Times New Roman" w:cs="Times New Roman"/>
          <w:szCs w:val="24"/>
        </w:rPr>
        <w:t xml:space="preserve"> evidence, but it fails to include campaign-level control groups, view-through conversion, creator payments or individual purchase-intention data. Thus, company websites, publicity and regulatory reports are unable to be considered a substitute for evidence. In contexts where academic, regulatory and </w:t>
      </w:r>
      <w:proofErr w:type="spellStart"/>
      <w:r w:rsidRPr="00B7140C">
        <w:rPr>
          <w:rFonts w:ascii="Times New Roman" w:hAnsi="Times New Roman" w:cs="Times New Roman"/>
          <w:szCs w:val="24"/>
        </w:rPr>
        <w:lastRenderedPageBreak/>
        <w:t>organisational</w:t>
      </w:r>
      <w:proofErr w:type="spellEnd"/>
      <w:r w:rsidRPr="00B7140C">
        <w:rPr>
          <w:rFonts w:ascii="Times New Roman" w:hAnsi="Times New Roman" w:cs="Times New Roman"/>
          <w:szCs w:val="24"/>
        </w:rPr>
        <w:t xml:space="preserve"> sources overlapped, the cross-case synthesis was more valid; however, causal impact statements were still inapplicable. This is an echo of the Chapter 2 warning to avoid universal relationships with positive outcomes (Snyder, 2019; </w:t>
      </w:r>
      <w:proofErr w:type="spellStart"/>
      <w:r w:rsidRPr="00B7140C">
        <w:rPr>
          <w:rFonts w:ascii="Times New Roman" w:hAnsi="Times New Roman" w:cs="Times New Roman"/>
          <w:szCs w:val="24"/>
        </w:rPr>
        <w:t>Vrontis</w:t>
      </w:r>
      <w:proofErr w:type="spellEnd"/>
      <w:r w:rsidRPr="00B7140C">
        <w:rPr>
          <w:rFonts w:ascii="Times New Roman" w:hAnsi="Times New Roman" w:cs="Times New Roman"/>
          <w:szCs w:val="24"/>
        </w:rPr>
        <w:t xml:space="preserve"> et al., 2021).</w:t>
      </w:r>
    </w:p>
    <w:p w14:paraId="33314A13"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The elegant idea is that the disclosure makes the intention of the business clear and therefore enhances the interpretation of credibility. This enables the consumers to do a better job of judging the authenticity, creator-product fitting, and expertness. Disclosure should therefore be a part of the creator selection process, briefing and measurement, and not just a compliance check at the end of the process (Boerman, 2020; Committee of Advertising Practice, 2026a).</w:t>
      </w:r>
    </w:p>
    <w:p w14:paraId="04F3956B" w14:textId="77777777" w:rsidR="00AE0283" w:rsidRPr="00B7140C" w:rsidRDefault="00682E2E" w:rsidP="00322F43">
      <w:pPr>
        <w:pStyle w:val="Heading2"/>
        <w:rPr>
          <w:rFonts w:ascii="Times New Roman" w:hAnsi="Times New Roman" w:cs="Times New Roman"/>
          <w:color w:val="auto"/>
        </w:rPr>
      </w:pPr>
      <w:bookmarkStart w:id="149" w:name="_Toc240238915"/>
      <w:r w:rsidRPr="00B7140C">
        <w:rPr>
          <w:rFonts w:ascii="Times New Roman" w:hAnsi="Times New Roman" w:cs="Times New Roman"/>
          <w:color w:val="auto"/>
        </w:rPr>
        <w:t>5.4 Integration to the Conceptual Model or Propositions</w:t>
      </w:r>
      <w:bookmarkEnd w:id="149"/>
    </w:p>
    <w:p w14:paraId="0FB7ED89"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Chapter 2 framework is fine-tuned in four ways. Firstly, the five dimensions of credibility should not be considered as equal direct predictors of purchase intention. In general, the cross-case synthesis indicates that trustworthiness and expertise represent better bases for informed assessment, while attractiveness is more of an indicator of visibility; authenticity and homophily represent relational judgements that are more beneficial for their value to depend on a truthful communication and the fit of the product with the creator (Lou and Yuan, 2019; </w:t>
      </w:r>
      <w:proofErr w:type="spellStart"/>
      <w:r w:rsidRPr="00B7140C">
        <w:rPr>
          <w:rFonts w:ascii="Times New Roman" w:hAnsi="Times New Roman" w:cs="Times New Roman"/>
          <w:szCs w:val="24"/>
        </w:rPr>
        <w:t>Belanche</w:t>
      </w:r>
      <w:proofErr w:type="spellEnd"/>
      <w:r w:rsidRPr="00B7140C">
        <w:rPr>
          <w:rFonts w:ascii="Times New Roman" w:hAnsi="Times New Roman" w:cs="Times New Roman"/>
          <w:szCs w:val="24"/>
        </w:rPr>
        <w:t xml:space="preserve"> et al., 2021). Second, the path is more like informed trust: credible explanation and congruent evidence enable consumers to evaluate a skin care recommendation prior to the relational closeness that can give it personal relevance.</w:t>
      </w:r>
    </w:p>
    <w:p w14:paraId="1E205512"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Third, parasocial attachment is not presumed to be a universal mediator; rather, it is a relational process that is contingent. It can enhance the attention, identification, and relevance when the person behind the product is credible; it can mislead when closeness serves as a substitute for evidence (Sokolova and </w:t>
      </w:r>
      <w:proofErr w:type="spellStart"/>
      <w:r w:rsidRPr="00B7140C">
        <w:rPr>
          <w:rFonts w:ascii="Times New Roman" w:hAnsi="Times New Roman" w:cs="Times New Roman"/>
          <w:szCs w:val="24"/>
        </w:rPr>
        <w:t>Kefi</w:t>
      </w:r>
      <w:proofErr w:type="spellEnd"/>
      <w:r w:rsidRPr="00B7140C">
        <w:rPr>
          <w:rFonts w:ascii="Times New Roman" w:hAnsi="Times New Roman" w:cs="Times New Roman"/>
          <w:szCs w:val="24"/>
        </w:rPr>
        <w:t xml:space="preserve">, 2020; Farivar, Wang, and Yuan, 2021). Thirdly, platform context and sponsorship disclosure affect interpretation by impacting the way evidence is communicated and the consumer's ability to </w:t>
      </w:r>
      <w:proofErr w:type="spellStart"/>
      <w:r w:rsidRPr="00B7140C">
        <w:rPr>
          <w:rFonts w:ascii="Times New Roman" w:hAnsi="Times New Roman" w:cs="Times New Roman"/>
          <w:szCs w:val="24"/>
        </w:rPr>
        <w:t>recognise</w:t>
      </w:r>
      <w:proofErr w:type="spellEnd"/>
      <w:r w:rsidRPr="00B7140C">
        <w:rPr>
          <w:rFonts w:ascii="Times New Roman" w:hAnsi="Times New Roman" w:cs="Times New Roman"/>
          <w:szCs w:val="24"/>
        </w:rPr>
        <w:t xml:space="preserve"> commercial intent. Perceived product risk is also a factor in the importance of expertise, especially for sensitive-skin or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 services.</w:t>
      </w:r>
    </w:p>
    <w:p w14:paraId="596C6522" w14:textId="77777777" w:rsidR="00547577" w:rsidRPr="00B7140C" w:rsidRDefault="00547577" w:rsidP="00547577">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refined qualitative propositions, then, are as follows: First, trustworthiness and expertise are more likely than attractiveness to promote informed purchase consideration in skincare, but only when the platform's affordances and the creator's level of sponsorship disclosure support this interpretation; second, authenticity and homophily are conditionally supportive, </w:t>
      </w:r>
      <w:r w:rsidRPr="00B7140C">
        <w:rPr>
          <w:rFonts w:ascii="Times New Roman" w:hAnsi="Times New Roman" w:cs="Times New Roman"/>
          <w:szCs w:val="24"/>
        </w:rPr>
        <w:lastRenderedPageBreak/>
        <w:t xml:space="preserve">but not sufficient in and of themselves; and third, platform affordances and the visibility of the creator's sponsorship disclosure influence the interpretation of these relationships. The following synthesis propositions are not hypotheses tested on the five </w:t>
      </w:r>
      <w:proofErr w:type="spellStart"/>
      <w:r w:rsidRPr="00B7140C">
        <w:rPr>
          <w:rFonts w:ascii="Times New Roman" w:hAnsi="Times New Roman" w:cs="Times New Roman"/>
          <w:szCs w:val="24"/>
        </w:rPr>
        <w:t>organisations</w:t>
      </w:r>
      <w:proofErr w:type="spellEnd"/>
      <w:r w:rsidRPr="00B7140C">
        <w:rPr>
          <w:rFonts w:ascii="Times New Roman" w:hAnsi="Times New Roman" w:cs="Times New Roman"/>
          <w:szCs w:val="24"/>
        </w:rPr>
        <w:t xml:space="preserve"> but rather evidence-based (Lou and Yuan, 2019; Sokolova and </w:t>
      </w:r>
      <w:proofErr w:type="spellStart"/>
      <w:r w:rsidRPr="00B7140C">
        <w:rPr>
          <w:rFonts w:ascii="Times New Roman" w:hAnsi="Times New Roman" w:cs="Times New Roman"/>
          <w:szCs w:val="24"/>
        </w:rPr>
        <w:t>Kefi</w:t>
      </w:r>
      <w:proofErr w:type="spellEnd"/>
      <w:r w:rsidRPr="00B7140C">
        <w:rPr>
          <w:rFonts w:ascii="Times New Roman" w:hAnsi="Times New Roman" w:cs="Times New Roman"/>
          <w:szCs w:val="24"/>
        </w:rPr>
        <w:t>, 2020; Boerman, 2020).</w:t>
      </w:r>
    </w:p>
    <w:p w14:paraId="2E70C223" w14:textId="77777777" w:rsidR="00AE0283" w:rsidRPr="00B7140C" w:rsidRDefault="00682E2E" w:rsidP="00322F43">
      <w:pPr>
        <w:pStyle w:val="Heading2"/>
        <w:rPr>
          <w:rFonts w:ascii="Times New Roman" w:hAnsi="Times New Roman" w:cs="Times New Roman"/>
          <w:color w:val="auto"/>
        </w:rPr>
      </w:pPr>
      <w:bookmarkStart w:id="150" w:name="_Toc240238916"/>
      <w:r w:rsidRPr="00B7140C">
        <w:rPr>
          <w:rFonts w:ascii="Times New Roman" w:hAnsi="Times New Roman" w:cs="Times New Roman"/>
          <w:color w:val="auto"/>
        </w:rPr>
        <w:t>5.5 Robustness Considerations</w:t>
      </w:r>
      <w:bookmarkEnd w:id="150"/>
    </w:p>
    <w:p w14:paraId="36D48B10" w14:textId="77777777" w:rsidR="00217D46" w:rsidRPr="00B7140C" w:rsidRDefault="00322F43" w:rsidP="009A731E">
      <w:pPr>
        <w:keepNext/>
        <w:spacing w:before="200"/>
        <w:jc w:val="both"/>
        <w:rPr>
          <w:rFonts w:ascii="Times New Roman" w:hAnsi="Times New Roman" w:cs="Times New Roman"/>
          <w:szCs w:val="24"/>
        </w:rPr>
      </w:pPr>
      <w:r w:rsidRPr="00B7140C">
        <w:rPr>
          <w:rFonts w:ascii="Times New Roman" w:hAnsi="Times New Roman" w:cs="Times New Roman"/>
          <w:szCs w:val="24"/>
        </w:rPr>
        <w:t>Several alternative explanations remain plausible. Brand awareness, price, availability, previous skin experience, algorithmic distribution and general corporate performance can affect purchasing independently of micro-influencer credibility. Revolution Beauty's group-level revenue change, for example, cannot show whether outcomes were related to creators, product assortment, retail conditions or restructuring (Jobe, 2025). Likewise, No7's product-study evidence substantiates an innovation but does not demonstrate a creator effect (No7 Beauty Company, 2023). These examples show why the case findings should not be interpreted as outcome attribution.</w:t>
      </w:r>
    </w:p>
    <w:p w14:paraId="12E7B032" w14:textId="77777777" w:rsidR="00217D46" w:rsidRPr="00B7140C" w:rsidRDefault="00217D46" w:rsidP="009A731E">
      <w:pPr>
        <w:keepNext/>
        <w:spacing w:before="200"/>
        <w:jc w:val="both"/>
        <w:rPr>
          <w:rFonts w:ascii="Times New Roman" w:hAnsi="Times New Roman" w:cs="Times New Roman"/>
          <w:szCs w:val="24"/>
        </w:rPr>
      </w:pPr>
      <w:r w:rsidRPr="00B7140C">
        <w:rPr>
          <w:rFonts w:ascii="Times New Roman" w:hAnsi="Times New Roman" w:cs="Times New Roman"/>
          <w:szCs w:val="24"/>
        </w:rPr>
        <w:t xml:space="preserve">The secondary-data design also creates source-type bias. Company pages tend to </w:t>
      </w:r>
      <w:proofErr w:type="spellStart"/>
      <w:r w:rsidRPr="00B7140C">
        <w:rPr>
          <w:rFonts w:ascii="Times New Roman" w:hAnsi="Times New Roman" w:cs="Times New Roman"/>
          <w:szCs w:val="24"/>
        </w:rPr>
        <w:t>emphasise</w:t>
      </w:r>
      <w:proofErr w:type="spellEnd"/>
      <w:r w:rsidRPr="00B7140C">
        <w:rPr>
          <w:rFonts w:ascii="Times New Roman" w:hAnsi="Times New Roman" w:cs="Times New Roman"/>
          <w:szCs w:val="24"/>
        </w:rPr>
        <w:t xml:space="preserve"> positive positioning, business reporting focuses on significant events, and academic studies may privilege measurable relationships. Triangulation increases confidence when literature, regulation and </w:t>
      </w:r>
      <w:proofErr w:type="spellStart"/>
      <w:r w:rsidRPr="00B7140C">
        <w:rPr>
          <w:rFonts w:ascii="Times New Roman" w:hAnsi="Times New Roman" w:cs="Times New Roman"/>
          <w:szCs w:val="24"/>
        </w:rPr>
        <w:t>organisational</w:t>
      </w:r>
      <w:proofErr w:type="spellEnd"/>
      <w:r w:rsidRPr="00B7140C">
        <w:rPr>
          <w:rFonts w:ascii="Times New Roman" w:hAnsi="Times New Roman" w:cs="Times New Roman"/>
          <w:szCs w:val="24"/>
        </w:rPr>
        <w:t xml:space="preserve"> facts converge, for example around disclosure, creator-product fit and evidence quality, but it cannot substitute for a campaign-level counterfactual (Snyder, 2019; Popay et al., 2006). The findings are therefore most useful as an analytical framework for credible practice rather than as estimates of effect size or sales performance.</w:t>
      </w:r>
    </w:p>
    <w:p w14:paraId="5D5F174C" w14:textId="77777777" w:rsidR="00AE0283" w:rsidRPr="00B7140C" w:rsidRDefault="00682E2E" w:rsidP="00322F43">
      <w:pPr>
        <w:pStyle w:val="Heading2"/>
        <w:rPr>
          <w:rFonts w:ascii="Times New Roman" w:hAnsi="Times New Roman" w:cs="Times New Roman"/>
          <w:color w:val="auto"/>
        </w:rPr>
      </w:pPr>
      <w:bookmarkStart w:id="151" w:name="_Toc240238917"/>
      <w:r w:rsidRPr="00B7140C">
        <w:rPr>
          <w:rFonts w:ascii="Times New Roman" w:hAnsi="Times New Roman" w:cs="Times New Roman"/>
          <w:color w:val="auto"/>
        </w:rPr>
        <w:t>5.6 Practical Synthesis: Bridge to Chapter 6</w:t>
      </w:r>
      <w:bookmarkEnd w:id="151"/>
    </w:p>
    <w:p w14:paraId="240DB419" w14:textId="77777777" w:rsidR="00217D46" w:rsidRPr="00B7140C" w:rsidRDefault="00217D46" w:rsidP="009A731E">
      <w:pPr>
        <w:jc w:val="both"/>
        <w:rPr>
          <w:rFonts w:ascii="Times New Roman" w:hAnsi="Times New Roman" w:cs="Times New Roman"/>
          <w:szCs w:val="24"/>
        </w:rPr>
      </w:pPr>
      <w:r w:rsidRPr="00B7140C">
        <w:rPr>
          <w:rFonts w:ascii="Times New Roman" w:hAnsi="Times New Roman" w:cs="Times New Roman"/>
          <w:szCs w:val="24"/>
        </w:rPr>
        <w:t xml:space="preserve">Four practice-ready insights emerge from the cross-case analysis. First, select micro-influencers using evidence-based creator-product fit: assess their ability to communicate product information accurately, their relevance to the target audience and their disclosure history rather than relying mainly on follower counts (Breves et al., 2019; Schouten, Janssen and </w:t>
      </w:r>
      <w:proofErr w:type="spellStart"/>
      <w:r w:rsidRPr="00B7140C">
        <w:rPr>
          <w:rFonts w:ascii="Times New Roman" w:hAnsi="Times New Roman" w:cs="Times New Roman"/>
          <w:szCs w:val="24"/>
        </w:rPr>
        <w:t>Verspaget</w:t>
      </w:r>
      <w:proofErr w:type="spellEnd"/>
      <w:r w:rsidRPr="00B7140C">
        <w:rPr>
          <w:rFonts w:ascii="Times New Roman" w:hAnsi="Times New Roman" w:cs="Times New Roman"/>
          <w:szCs w:val="24"/>
        </w:rPr>
        <w:t>, 2020). This is particularly important for The INKEY List, Pai Skincare, No7 and Skin + Me, where information quality is central to the proposition.</w:t>
      </w:r>
    </w:p>
    <w:p w14:paraId="3CC2F5BA" w14:textId="77777777" w:rsidR="00217D46" w:rsidRPr="00B7140C" w:rsidRDefault="00217D46" w:rsidP="009A731E">
      <w:pPr>
        <w:jc w:val="both"/>
        <w:rPr>
          <w:rFonts w:ascii="Times New Roman" w:hAnsi="Times New Roman" w:cs="Times New Roman"/>
          <w:szCs w:val="24"/>
        </w:rPr>
      </w:pPr>
      <w:r w:rsidRPr="00B7140C">
        <w:rPr>
          <w:rFonts w:ascii="Times New Roman" w:hAnsi="Times New Roman" w:cs="Times New Roman"/>
          <w:szCs w:val="24"/>
        </w:rPr>
        <w:t>Second, use an approved evidence pathway for creator content. Short-form posts should connect consumers with accessible ingredient, routine or product information, and the brief should identify which claims may be made, which require qualification and which evidence consumers can check. Third, make commercial disclosure prominent, early and platform-</w:t>
      </w:r>
      <w:r w:rsidRPr="00B7140C">
        <w:rPr>
          <w:rFonts w:ascii="Times New Roman" w:hAnsi="Times New Roman" w:cs="Times New Roman"/>
          <w:szCs w:val="24"/>
        </w:rPr>
        <w:lastRenderedPageBreak/>
        <w:t xml:space="preserve">appropriate. This helps reduce ambiguity in specialist and </w:t>
      </w:r>
      <w:proofErr w:type="spellStart"/>
      <w:r w:rsidRPr="00B7140C">
        <w:rPr>
          <w:rFonts w:ascii="Times New Roman" w:hAnsi="Times New Roman" w:cs="Times New Roman"/>
          <w:szCs w:val="24"/>
        </w:rPr>
        <w:t>personalised</w:t>
      </w:r>
      <w:proofErr w:type="spellEnd"/>
      <w:r w:rsidRPr="00B7140C">
        <w:rPr>
          <w:rFonts w:ascii="Times New Roman" w:hAnsi="Times New Roman" w:cs="Times New Roman"/>
          <w:szCs w:val="24"/>
        </w:rPr>
        <w:t xml:space="preserve"> skincare communication (Committee of Advertising Practice, 2026a; Advertising Standards Authority, 2025a).</w:t>
      </w:r>
    </w:p>
    <w:p w14:paraId="1E59C7D3" w14:textId="77777777" w:rsidR="00301860" w:rsidRPr="00B7140C" w:rsidRDefault="00217D46" w:rsidP="00301860">
      <w:pPr>
        <w:jc w:val="both"/>
        <w:rPr>
          <w:rFonts w:ascii="Times New Roman" w:hAnsi="Times New Roman" w:cs="Times New Roman"/>
          <w:szCs w:val="24"/>
        </w:rPr>
      </w:pPr>
      <w:r w:rsidRPr="00B7140C">
        <w:rPr>
          <w:rFonts w:ascii="Times New Roman" w:hAnsi="Times New Roman" w:cs="Times New Roman"/>
          <w:szCs w:val="24"/>
        </w:rPr>
        <w:t>Fourth, distinguish reach from effectiveness. Managers should monitor disclosure compliance, creator-audience fit, meaningful engagement, referral conversion, repeat purchase where measurable and complaint signals. These indicators should complement rather than replace customer feedback and product-safety governance. The four insights are translated into the practical decision framework in Table 5.1 and carried into the managerial implications in Chapter 6.</w:t>
      </w:r>
    </w:p>
    <w:p w14:paraId="7553A8AA" w14:textId="77777777" w:rsidR="00AE0283" w:rsidRPr="00B7140C" w:rsidRDefault="00682E2E" w:rsidP="00301860">
      <w:pPr>
        <w:jc w:val="both"/>
        <w:rPr>
          <w:rFonts w:ascii="Times New Roman" w:hAnsi="Times New Roman" w:cs="Times New Roman"/>
          <w:szCs w:val="24"/>
        </w:rPr>
      </w:pPr>
      <w:r w:rsidRPr="00B7140C">
        <w:rPr>
          <w:rFonts w:ascii="Times New Roman" w:hAnsi="Times New Roman" w:cs="Times New Roman"/>
          <w:szCs w:val="24"/>
        </w:rPr>
        <w:t>Table 5.1: Evidence-based micro-influencer selection and measurement framework</w:t>
      </w:r>
    </w:p>
    <w:tbl>
      <w:tblPr>
        <w:tblStyle w:val="TableGrid"/>
        <w:tblW w:w="0" w:type="auto"/>
        <w:tblLook w:val="04A0" w:firstRow="1" w:lastRow="0" w:firstColumn="1" w:lastColumn="0" w:noHBand="0" w:noVBand="1"/>
      </w:tblPr>
      <w:tblGrid>
        <w:gridCol w:w="2256"/>
        <w:gridCol w:w="2256"/>
        <w:gridCol w:w="2256"/>
        <w:gridCol w:w="2256"/>
      </w:tblGrid>
      <w:tr w:rsidR="00A12B69" w:rsidRPr="00B7140C" w14:paraId="1E1AE83A" w14:textId="77777777">
        <w:trPr>
          <w:cantSplit/>
          <w:tblHeader/>
        </w:trPr>
        <w:tc>
          <w:tcPr>
            <w:tcW w:w="2256" w:type="dxa"/>
            <w:shd w:val="clear" w:color="auto" w:fill="D9EAD3"/>
            <w:vAlign w:val="center"/>
          </w:tcPr>
          <w:p w14:paraId="257A78BF"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b/>
                <w:szCs w:val="24"/>
              </w:rPr>
              <w:t>Decision area</w:t>
            </w:r>
          </w:p>
        </w:tc>
        <w:tc>
          <w:tcPr>
            <w:tcW w:w="2256" w:type="dxa"/>
            <w:shd w:val="clear" w:color="auto" w:fill="D9EAD3"/>
            <w:vAlign w:val="center"/>
          </w:tcPr>
          <w:p w14:paraId="6676FBF2"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b/>
                <w:szCs w:val="24"/>
              </w:rPr>
              <w:t>What to do</w:t>
            </w:r>
          </w:p>
        </w:tc>
        <w:tc>
          <w:tcPr>
            <w:tcW w:w="2256" w:type="dxa"/>
            <w:shd w:val="clear" w:color="auto" w:fill="D9EAD3"/>
            <w:vAlign w:val="center"/>
          </w:tcPr>
          <w:p w14:paraId="7DAC5478"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b/>
                <w:szCs w:val="24"/>
              </w:rPr>
              <w:t>Why it matters</w:t>
            </w:r>
          </w:p>
        </w:tc>
        <w:tc>
          <w:tcPr>
            <w:tcW w:w="2256" w:type="dxa"/>
            <w:shd w:val="clear" w:color="auto" w:fill="D9EAD3"/>
            <w:vAlign w:val="center"/>
          </w:tcPr>
          <w:p w14:paraId="57316C77"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b/>
                <w:szCs w:val="24"/>
              </w:rPr>
              <w:t>Minimum metric</w:t>
            </w:r>
          </w:p>
        </w:tc>
      </w:tr>
      <w:tr w:rsidR="00A12B69" w:rsidRPr="00B7140C" w14:paraId="19F6DE3A" w14:textId="77777777">
        <w:trPr>
          <w:cantSplit/>
        </w:trPr>
        <w:tc>
          <w:tcPr>
            <w:tcW w:w="2256" w:type="dxa"/>
            <w:vAlign w:val="center"/>
          </w:tcPr>
          <w:p w14:paraId="094BA821"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Creator selection</w:t>
            </w:r>
          </w:p>
        </w:tc>
        <w:tc>
          <w:tcPr>
            <w:tcW w:w="2256" w:type="dxa"/>
            <w:vAlign w:val="center"/>
          </w:tcPr>
          <w:p w14:paraId="367DB02A"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Screen expertise, product fit, audience relevance and past disclosure.</w:t>
            </w:r>
          </w:p>
        </w:tc>
        <w:tc>
          <w:tcPr>
            <w:tcW w:w="2256" w:type="dxa"/>
            <w:vAlign w:val="center"/>
          </w:tcPr>
          <w:p w14:paraId="0EDBFB40"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Trust and expertise precede credible consideration.</w:t>
            </w:r>
          </w:p>
        </w:tc>
        <w:tc>
          <w:tcPr>
            <w:tcW w:w="2256" w:type="dxa"/>
            <w:vAlign w:val="center"/>
          </w:tcPr>
          <w:p w14:paraId="28427E60"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Fit checklist; disclosure record</w:t>
            </w:r>
          </w:p>
        </w:tc>
      </w:tr>
      <w:tr w:rsidR="00A12B69" w:rsidRPr="00B7140C" w14:paraId="61E094FC" w14:textId="77777777">
        <w:trPr>
          <w:cantSplit/>
        </w:trPr>
        <w:tc>
          <w:tcPr>
            <w:tcW w:w="2256" w:type="dxa"/>
            <w:vAlign w:val="center"/>
          </w:tcPr>
          <w:p w14:paraId="2EB81723"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Content brief</w:t>
            </w:r>
          </w:p>
        </w:tc>
        <w:tc>
          <w:tcPr>
            <w:tcW w:w="2256" w:type="dxa"/>
            <w:vAlign w:val="center"/>
          </w:tcPr>
          <w:p w14:paraId="675C58CD"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Provide claim boundaries and an evidence destination.</w:t>
            </w:r>
          </w:p>
        </w:tc>
        <w:tc>
          <w:tcPr>
            <w:tcW w:w="2256" w:type="dxa"/>
            <w:vAlign w:val="center"/>
          </w:tcPr>
          <w:p w14:paraId="5CC7AE6D"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Prevents closeness or visual appeal substituting for evidence.</w:t>
            </w:r>
          </w:p>
        </w:tc>
        <w:tc>
          <w:tcPr>
            <w:tcW w:w="2256" w:type="dxa"/>
            <w:vAlign w:val="center"/>
          </w:tcPr>
          <w:p w14:paraId="737B7265"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Claim-approval rate; information clicks</w:t>
            </w:r>
          </w:p>
        </w:tc>
      </w:tr>
      <w:tr w:rsidR="00A12B69" w:rsidRPr="00B7140C" w14:paraId="38AE760E" w14:textId="77777777">
        <w:trPr>
          <w:cantSplit/>
        </w:trPr>
        <w:tc>
          <w:tcPr>
            <w:tcW w:w="2256" w:type="dxa"/>
            <w:vAlign w:val="center"/>
          </w:tcPr>
          <w:p w14:paraId="7FC070F8"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Transparency</w:t>
            </w:r>
          </w:p>
        </w:tc>
        <w:tc>
          <w:tcPr>
            <w:tcW w:w="2256" w:type="dxa"/>
            <w:vAlign w:val="center"/>
          </w:tcPr>
          <w:p w14:paraId="14BAC9BD"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Use clear, early, platform-native sponsorship labels.</w:t>
            </w:r>
          </w:p>
        </w:tc>
        <w:tc>
          <w:tcPr>
            <w:tcW w:w="2256" w:type="dxa"/>
            <w:vAlign w:val="center"/>
          </w:tcPr>
          <w:p w14:paraId="5CDA2403"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Supports advertising recognition and ethical trust.</w:t>
            </w:r>
          </w:p>
        </w:tc>
        <w:tc>
          <w:tcPr>
            <w:tcW w:w="2256" w:type="dxa"/>
            <w:vAlign w:val="center"/>
          </w:tcPr>
          <w:p w14:paraId="37A46474"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Label compliance; complaints</w:t>
            </w:r>
          </w:p>
        </w:tc>
      </w:tr>
      <w:tr w:rsidR="00A12B69" w:rsidRPr="00B7140C" w14:paraId="461CE67D" w14:textId="77777777">
        <w:trPr>
          <w:cantSplit/>
        </w:trPr>
        <w:tc>
          <w:tcPr>
            <w:tcW w:w="2256" w:type="dxa"/>
            <w:vAlign w:val="center"/>
          </w:tcPr>
          <w:p w14:paraId="17F3CE9B"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Evaluation</w:t>
            </w:r>
          </w:p>
        </w:tc>
        <w:tc>
          <w:tcPr>
            <w:tcW w:w="2256" w:type="dxa"/>
            <w:vAlign w:val="center"/>
          </w:tcPr>
          <w:p w14:paraId="7F49C9C6"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Separate exposure from consumer response and sales attribution.</w:t>
            </w:r>
          </w:p>
        </w:tc>
        <w:tc>
          <w:tcPr>
            <w:tcW w:w="2256" w:type="dxa"/>
            <w:vAlign w:val="center"/>
          </w:tcPr>
          <w:p w14:paraId="4CCEBD58"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Avoids treating reach or corporate revenue as causal proof.</w:t>
            </w:r>
          </w:p>
        </w:tc>
        <w:tc>
          <w:tcPr>
            <w:tcW w:w="2256" w:type="dxa"/>
            <w:vAlign w:val="center"/>
          </w:tcPr>
          <w:p w14:paraId="3242C218" w14:textId="77777777" w:rsidR="00AE0283" w:rsidRPr="00B7140C" w:rsidRDefault="00682E2E" w:rsidP="009A731E">
            <w:pPr>
              <w:spacing w:after="0"/>
              <w:jc w:val="both"/>
              <w:rPr>
                <w:rFonts w:ascii="Times New Roman" w:hAnsi="Times New Roman" w:cs="Times New Roman"/>
                <w:szCs w:val="24"/>
              </w:rPr>
            </w:pPr>
            <w:r w:rsidRPr="00B7140C">
              <w:rPr>
                <w:rFonts w:ascii="Times New Roman" w:hAnsi="Times New Roman" w:cs="Times New Roman"/>
                <w:szCs w:val="24"/>
              </w:rPr>
              <w:t>Qualified engagement; conversion; repeat purchase</w:t>
            </w:r>
          </w:p>
        </w:tc>
      </w:tr>
    </w:tbl>
    <w:p w14:paraId="5DC32618" w14:textId="77777777" w:rsidR="00AE0283" w:rsidRPr="00B7140C" w:rsidRDefault="00682E2E" w:rsidP="009A731E">
      <w:pPr>
        <w:jc w:val="both"/>
        <w:rPr>
          <w:rFonts w:ascii="Times New Roman" w:hAnsi="Times New Roman" w:cs="Times New Roman"/>
          <w:szCs w:val="24"/>
        </w:rPr>
      </w:pPr>
      <w:r w:rsidRPr="00B7140C">
        <w:rPr>
          <w:rFonts w:ascii="Times New Roman" w:hAnsi="Times New Roman" w:cs="Times New Roman"/>
          <w:szCs w:val="24"/>
        </w:rPr>
        <w:t>Source: Author-developed framework from the Chapter 4 cases and Chapter 5 synthesis.</w:t>
      </w:r>
    </w:p>
    <w:p w14:paraId="22995B02" w14:textId="77777777" w:rsidR="00AE0283" w:rsidRPr="00B7140C" w:rsidRDefault="00682E2E" w:rsidP="00D35CEF">
      <w:pPr>
        <w:pStyle w:val="Heading2"/>
        <w:rPr>
          <w:rFonts w:ascii="Times New Roman" w:hAnsi="Times New Roman" w:cs="Times New Roman"/>
          <w:color w:val="auto"/>
        </w:rPr>
      </w:pPr>
      <w:bookmarkStart w:id="152" w:name="_Toc240238918"/>
      <w:r w:rsidRPr="00B7140C">
        <w:rPr>
          <w:rFonts w:ascii="Times New Roman" w:hAnsi="Times New Roman" w:cs="Times New Roman"/>
          <w:color w:val="auto"/>
        </w:rPr>
        <w:t>5.7 Chapter Summary</w:t>
      </w:r>
      <w:bookmarkEnd w:id="152"/>
    </w:p>
    <w:p w14:paraId="2326E823" w14:textId="77777777" w:rsidR="004B390E" w:rsidRPr="004B390E" w:rsidRDefault="004B390E" w:rsidP="004B390E">
      <w:pPr>
        <w:jc w:val="both"/>
        <w:rPr>
          <w:rFonts w:ascii="Times New Roman" w:hAnsi="Times New Roman" w:cs="Times New Roman"/>
          <w:szCs w:val="24"/>
        </w:rPr>
      </w:pPr>
      <w:r w:rsidRPr="004B390E">
        <w:rPr>
          <w:rFonts w:ascii="Times New Roman" w:hAnsi="Times New Roman" w:cs="Times New Roman"/>
          <w:szCs w:val="24"/>
        </w:rPr>
        <w:t xml:space="preserve">The five </w:t>
      </w:r>
      <w:proofErr w:type="spellStart"/>
      <w:r w:rsidRPr="004B390E">
        <w:rPr>
          <w:rFonts w:ascii="Times New Roman" w:hAnsi="Times New Roman" w:cs="Times New Roman"/>
          <w:szCs w:val="24"/>
        </w:rPr>
        <w:t>organisation</w:t>
      </w:r>
      <w:proofErr w:type="spellEnd"/>
      <w:r w:rsidRPr="004B390E">
        <w:rPr>
          <w:rFonts w:ascii="Times New Roman" w:hAnsi="Times New Roman" w:cs="Times New Roman"/>
          <w:szCs w:val="24"/>
        </w:rPr>
        <w:t xml:space="preserve"> cases were interpreted using the extended source-credibility framework in Chapter 5. The discussion suggests a qualified hierarchy of trustworthiness and expertise as the basis for informed consideration of skin care, which is linked to attractiveness primarily as a cue to visibility and authenticity and homophily as relational judgements that </w:t>
      </w:r>
      <w:r w:rsidRPr="004B390E">
        <w:rPr>
          <w:rFonts w:ascii="Times New Roman" w:hAnsi="Times New Roman" w:cs="Times New Roman"/>
          <w:szCs w:val="24"/>
        </w:rPr>
        <w:lastRenderedPageBreak/>
        <w:t xml:space="preserve">can be based on truthful and congruent communication (Lou and Yuan, 2019; Lee and Eastin, 2021). While the parasocial closeness might enhance the personal appeal of a credible message, it cannot be the product evidence or advertising disclosure to make the message clear (Sokolova and </w:t>
      </w:r>
      <w:proofErr w:type="spellStart"/>
      <w:r w:rsidRPr="004B390E">
        <w:rPr>
          <w:rFonts w:ascii="Times New Roman" w:hAnsi="Times New Roman" w:cs="Times New Roman"/>
          <w:szCs w:val="24"/>
        </w:rPr>
        <w:t>Kefi</w:t>
      </w:r>
      <w:proofErr w:type="spellEnd"/>
      <w:r w:rsidRPr="004B390E">
        <w:rPr>
          <w:rFonts w:ascii="Times New Roman" w:hAnsi="Times New Roman" w:cs="Times New Roman"/>
          <w:szCs w:val="24"/>
        </w:rPr>
        <w:t>, 2020; Boerman, 2020).</w:t>
      </w:r>
    </w:p>
    <w:p w14:paraId="7B902359" w14:textId="77777777" w:rsidR="004B390E" w:rsidRDefault="004B390E" w:rsidP="004B390E">
      <w:pPr>
        <w:jc w:val="both"/>
        <w:rPr>
          <w:rFonts w:ascii="Times New Roman" w:hAnsi="Times New Roman" w:cs="Times New Roman"/>
          <w:szCs w:val="24"/>
        </w:rPr>
      </w:pPr>
      <w:r w:rsidRPr="004B390E">
        <w:rPr>
          <w:rFonts w:ascii="Times New Roman" w:hAnsi="Times New Roman" w:cs="Times New Roman"/>
          <w:szCs w:val="24"/>
        </w:rPr>
        <w:t>There is also a difference in the way evidence is communicated given a platform and service context and the way commercial intent is interpreted as a result of disclosure of this sponsorship. The INKEY List, Pai Skincare, Revolution Skincare, No7 and Skin + Me give contrasting contexts to support this conditional explanation, but none offer a complete causal chain from micro-influencer activity to purchase intention. The conceptual model and practical framework are thus improved rather than confirmed statistically. These refinements are then extended to the theoretical contribution, managerial implications, limitations and future research in Chapter 6.</w:t>
      </w:r>
    </w:p>
    <w:p w14:paraId="33B2CE1F" w14:textId="77777777" w:rsidR="00217D46" w:rsidRPr="00B7140C" w:rsidRDefault="00217D46" w:rsidP="009A731E">
      <w:pPr>
        <w:jc w:val="both"/>
        <w:rPr>
          <w:rFonts w:ascii="Times New Roman" w:hAnsi="Times New Roman" w:cs="Times New Roman"/>
          <w:szCs w:val="24"/>
        </w:rPr>
      </w:pPr>
    </w:p>
    <w:p w14:paraId="6D9A4570" w14:textId="77777777" w:rsidR="00A873B5" w:rsidRPr="00B7140C" w:rsidRDefault="00A873B5" w:rsidP="009A731E">
      <w:pPr>
        <w:jc w:val="both"/>
        <w:rPr>
          <w:rFonts w:ascii="Times New Roman" w:hAnsi="Times New Roman" w:cs="Times New Roman"/>
          <w:szCs w:val="24"/>
        </w:rPr>
      </w:pPr>
    </w:p>
    <w:p w14:paraId="5266D325" w14:textId="77777777" w:rsidR="00A873B5" w:rsidRPr="00B7140C" w:rsidRDefault="00A873B5" w:rsidP="009A731E">
      <w:pPr>
        <w:jc w:val="both"/>
        <w:rPr>
          <w:rFonts w:ascii="Times New Roman" w:hAnsi="Times New Roman" w:cs="Times New Roman"/>
          <w:szCs w:val="24"/>
        </w:rPr>
      </w:pPr>
    </w:p>
    <w:p w14:paraId="4DBF1D37" w14:textId="77777777" w:rsidR="00A873B5" w:rsidRPr="00B7140C" w:rsidRDefault="00A873B5" w:rsidP="009A731E">
      <w:pPr>
        <w:jc w:val="both"/>
        <w:rPr>
          <w:rFonts w:ascii="Times New Roman" w:hAnsi="Times New Roman" w:cs="Times New Roman"/>
          <w:szCs w:val="24"/>
        </w:rPr>
      </w:pPr>
    </w:p>
    <w:p w14:paraId="37D09A9A" w14:textId="77777777" w:rsidR="00A873B5" w:rsidRPr="00B7140C" w:rsidRDefault="00A873B5" w:rsidP="009A731E">
      <w:pPr>
        <w:jc w:val="both"/>
        <w:rPr>
          <w:rFonts w:ascii="Times New Roman" w:hAnsi="Times New Roman" w:cs="Times New Roman"/>
          <w:szCs w:val="24"/>
        </w:rPr>
      </w:pPr>
    </w:p>
    <w:p w14:paraId="58C7D4B2" w14:textId="77777777" w:rsidR="00A873B5" w:rsidRPr="00B7140C" w:rsidRDefault="00A873B5" w:rsidP="009A731E">
      <w:pPr>
        <w:jc w:val="both"/>
        <w:rPr>
          <w:rFonts w:ascii="Times New Roman" w:hAnsi="Times New Roman" w:cs="Times New Roman"/>
          <w:szCs w:val="24"/>
        </w:rPr>
      </w:pPr>
    </w:p>
    <w:p w14:paraId="053786D6" w14:textId="77777777" w:rsidR="00A873B5" w:rsidRPr="00B7140C" w:rsidRDefault="00A873B5" w:rsidP="009A731E">
      <w:pPr>
        <w:jc w:val="both"/>
        <w:rPr>
          <w:rFonts w:ascii="Times New Roman" w:hAnsi="Times New Roman" w:cs="Times New Roman"/>
          <w:szCs w:val="24"/>
        </w:rPr>
      </w:pPr>
    </w:p>
    <w:p w14:paraId="3E3C6EDF" w14:textId="77777777" w:rsidR="00A873B5" w:rsidRPr="00B7140C" w:rsidRDefault="00A873B5" w:rsidP="009A731E">
      <w:pPr>
        <w:jc w:val="both"/>
        <w:rPr>
          <w:rFonts w:ascii="Times New Roman" w:hAnsi="Times New Roman" w:cs="Times New Roman"/>
          <w:szCs w:val="24"/>
        </w:rPr>
      </w:pPr>
    </w:p>
    <w:p w14:paraId="2F764485" w14:textId="77777777" w:rsidR="00A873B5" w:rsidRPr="00B7140C" w:rsidRDefault="00A873B5" w:rsidP="009A731E">
      <w:pPr>
        <w:jc w:val="both"/>
        <w:rPr>
          <w:rFonts w:ascii="Times New Roman" w:hAnsi="Times New Roman" w:cs="Times New Roman"/>
          <w:szCs w:val="24"/>
        </w:rPr>
      </w:pPr>
    </w:p>
    <w:p w14:paraId="672F5E2F" w14:textId="77777777" w:rsidR="00A873B5" w:rsidRPr="00B7140C" w:rsidRDefault="00A873B5" w:rsidP="009A731E">
      <w:pPr>
        <w:jc w:val="both"/>
        <w:rPr>
          <w:rFonts w:ascii="Times New Roman" w:hAnsi="Times New Roman" w:cs="Times New Roman"/>
          <w:szCs w:val="24"/>
        </w:rPr>
      </w:pPr>
    </w:p>
    <w:p w14:paraId="1F3D0FF0" w14:textId="77777777" w:rsidR="00A873B5" w:rsidRPr="00B7140C" w:rsidRDefault="00A873B5" w:rsidP="009A731E">
      <w:pPr>
        <w:jc w:val="both"/>
        <w:rPr>
          <w:rFonts w:ascii="Times New Roman" w:hAnsi="Times New Roman" w:cs="Times New Roman"/>
          <w:szCs w:val="24"/>
        </w:rPr>
      </w:pPr>
    </w:p>
    <w:p w14:paraId="04991C05" w14:textId="77777777" w:rsidR="00A873B5" w:rsidRPr="00B7140C" w:rsidRDefault="00A873B5" w:rsidP="009A731E">
      <w:pPr>
        <w:jc w:val="both"/>
        <w:rPr>
          <w:rFonts w:ascii="Times New Roman" w:hAnsi="Times New Roman" w:cs="Times New Roman"/>
          <w:szCs w:val="24"/>
        </w:rPr>
      </w:pPr>
    </w:p>
    <w:p w14:paraId="00D49747" w14:textId="77777777" w:rsidR="00A873B5" w:rsidRPr="00B7140C" w:rsidRDefault="00A873B5" w:rsidP="009A731E">
      <w:pPr>
        <w:jc w:val="both"/>
        <w:rPr>
          <w:rFonts w:ascii="Times New Roman" w:hAnsi="Times New Roman" w:cs="Times New Roman"/>
          <w:szCs w:val="24"/>
        </w:rPr>
      </w:pPr>
    </w:p>
    <w:p w14:paraId="76BC3FC1" w14:textId="77777777" w:rsidR="00A873B5" w:rsidRPr="00B7140C" w:rsidRDefault="00A873B5" w:rsidP="009A731E">
      <w:pPr>
        <w:jc w:val="both"/>
        <w:rPr>
          <w:rFonts w:ascii="Times New Roman" w:hAnsi="Times New Roman" w:cs="Times New Roman"/>
          <w:szCs w:val="24"/>
        </w:rPr>
      </w:pPr>
    </w:p>
    <w:p w14:paraId="2EE6BB76" w14:textId="77777777" w:rsidR="00A873B5" w:rsidRPr="00B7140C" w:rsidRDefault="00A873B5" w:rsidP="009A731E">
      <w:pPr>
        <w:jc w:val="both"/>
        <w:rPr>
          <w:rFonts w:ascii="Times New Roman" w:hAnsi="Times New Roman" w:cs="Times New Roman"/>
          <w:szCs w:val="24"/>
        </w:rPr>
      </w:pPr>
    </w:p>
    <w:p w14:paraId="64B275E8" w14:textId="77777777" w:rsidR="00AE0283" w:rsidRPr="00B7140C" w:rsidRDefault="00682E2E" w:rsidP="009A731E">
      <w:pPr>
        <w:pStyle w:val="Heading1"/>
        <w:jc w:val="both"/>
        <w:rPr>
          <w:rFonts w:ascii="Times New Roman" w:hAnsi="Times New Roman" w:cs="Times New Roman"/>
          <w:color w:val="auto"/>
          <w:sz w:val="24"/>
          <w:szCs w:val="24"/>
        </w:rPr>
      </w:pPr>
      <w:bookmarkStart w:id="153" w:name="_Toc240238919"/>
      <w:r w:rsidRPr="00B7140C">
        <w:rPr>
          <w:rFonts w:ascii="Times New Roman" w:hAnsi="Times New Roman" w:cs="Times New Roman"/>
          <w:color w:val="auto"/>
          <w:sz w:val="24"/>
          <w:szCs w:val="24"/>
        </w:rPr>
        <w:lastRenderedPageBreak/>
        <w:t>Chapter 6: Conclusion</w:t>
      </w:r>
      <w:bookmarkEnd w:id="153"/>
    </w:p>
    <w:p w14:paraId="2D622F88" w14:textId="77777777" w:rsidR="00AE0283" w:rsidRPr="00B7140C" w:rsidRDefault="00682E2E" w:rsidP="00D35CEF">
      <w:pPr>
        <w:pStyle w:val="Heading2"/>
        <w:rPr>
          <w:rFonts w:ascii="Times New Roman" w:hAnsi="Times New Roman" w:cs="Times New Roman"/>
          <w:color w:val="auto"/>
        </w:rPr>
      </w:pPr>
      <w:bookmarkStart w:id="154" w:name="_Toc240238920"/>
      <w:r w:rsidRPr="00B7140C">
        <w:rPr>
          <w:rFonts w:ascii="Times New Roman" w:hAnsi="Times New Roman" w:cs="Times New Roman"/>
          <w:color w:val="auto"/>
        </w:rPr>
        <w:t>6.1 Introduction</w:t>
      </w:r>
      <w:bookmarkEnd w:id="154"/>
    </w:p>
    <w:p w14:paraId="652EACE6" w14:textId="3BF2A54A" w:rsidR="004B390E" w:rsidRPr="00B7140C" w:rsidRDefault="004B390E" w:rsidP="00A873B5">
      <w:pPr>
        <w:jc w:val="both"/>
        <w:rPr>
          <w:rFonts w:ascii="Times New Roman" w:hAnsi="Times New Roman" w:cs="Times New Roman"/>
        </w:rPr>
      </w:pPr>
      <w:r w:rsidRPr="004B390E">
        <w:rPr>
          <w:rFonts w:ascii="Times New Roman" w:hAnsi="Times New Roman" w:cs="Times New Roman"/>
        </w:rPr>
        <w:t xml:space="preserve">This last chapter </w:t>
      </w:r>
      <w:proofErr w:type="spellStart"/>
      <w:r w:rsidRPr="004B390E">
        <w:rPr>
          <w:rFonts w:ascii="Times New Roman" w:hAnsi="Times New Roman" w:cs="Times New Roman"/>
        </w:rPr>
        <w:t>summarises</w:t>
      </w:r>
      <w:proofErr w:type="spellEnd"/>
      <w:r w:rsidRPr="004B390E">
        <w:rPr>
          <w:rFonts w:ascii="Times New Roman" w:hAnsi="Times New Roman" w:cs="Times New Roman"/>
        </w:rPr>
        <w:t xml:space="preserve"> the findings, theoretical and managerial implications, limitations and directions for future research of the study. This study critically assessed, through a secondary data multiple case analysis of five skin care </w:t>
      </w:r>
      <w:proofErr w:type="spellStart"/>
      <w:r w:rsidRPr="004B390E">
        <w:rPr>
          <w:rFonts w:ascii="Times New Roman" w:hAnsi="Times New Roman" w:cs="Times New Roman"/>
        </w:rPr>
        <w:t>organisations</w:t>
      </w:r>
      <w:proofErr w:type="spellEnd"/>
      <w:r w:rsidRPr="004B390E">
        <w:rPr>
          <w:rFonts w:ascii="Times New Roman" w:hAnsi="Times New Roman" w:cs="Times New Roman"/>
        </w:rPr>
        <w:t xml:space="preserve"> in the United Kingdom, how the elements of credibility from the micro-influencer relate to the purchase intention of Gen Z consumers in the skin care industry. It relied on the five pieces of case evidence in chapter 4 and cross-case in chapter 5. No new estimates of </w:t>
      </w:r>
      <w:proofErr w:type="spellStart"/>
      <w:r w:rsidRPr="004B390E">
        <w:rPr>
          <w:rFonts w:ascii="Times New Roman" w:hAnsi="Times New Roman" w:cs="Times New Roman"/>
        </w:rPr>
        <w:t>behaviour</w:t>
      </w:r>
      <w:proofErr w:type="spellEnd"/>
      <w:r w:rsidRPr="004B390E">
        <w:rPr>
          <w:rFonts w:ascii="Times New Roman" w:hAnsi="Times New Roman" w:cs="Times New Roman"/>
        </w:rPr>
        <w:t xml:space="preserve"> are made, nor is it claimed that the activity of influencers caused sales in the </w:t>
      </w:r>
      <w:proofErr w:type="spellStart"/>
      <w:r w:rsidRPr="004B390E">
        <w:rPr>
          <w:rFonts w:ascii="Times New Roman" w:hAnsi="Times New Roman" w:cs="Times New Roman"/>
        </w:rPr>
        <w:t>organisations</w:t>
      </w:r>
      <w:proofErr w:type="spellEnd"/>
      <w:r w:rsidRPr="004B390E">
        <w:rPr>
          <w:rFonts w:ascii="Times New Roman" w:hAnsi="Times New Roman" w:cs="Times New Roman"/>
        </w:rPr>
        <w:t xml:space="preserve"> selected. Instead, it outlines the available evidence, the conditions under which it is best applied and how UK skin care managers can responsibly apply it.</w:t>
      </w:r>
    </w:p>
    <w:p w14:paraId="12367546" w14:textId="77777777" w:rsidR="00AE0283" w:rsidRPr="00B7140C" w:rsidRDefault="00682E2E" w:rsidP="00A873B5">
      <w:pPr>
        <w:pStyle w:val="Heading1"/>
        <w:rPr>
          <w:rFonts w:ascii="Times New Roman" w:hAnsi="Times New Roman" w:cs="Times New Roman"/>
          <w:color w:val="auto"/>
        </w:rPr>
      </w:pPr>
      <w:bookmarkStart w:id="155" w:name="_Toc240238921"/>
      <w:r w:rsidRPr="00B7140C">
        <w:rPr>
          <w:rFonts w:ascii="Times New Roman" w:hAnsi="Times New Roman" w:cs="Times New Roman"/>
          <w:color w:val="auto"/>
        </w:rPr>
        <w:t>6.2 Brief Summary of Key Findings</w:t>
      </w:r>
      <w:bookmarkEnd w:id="155"/>
    </w:p>
    <w:p w14:paraId="4CC967AD" w14:textId="77777777" w:rsidR="0029033B" w:rsidRPr="0029033B" w:rsidRDefault="0029033B" w:rsidP="00A97FB6">
      <w:pPr>
        <w:spacing w:before="100" w:beforeAutospacing="1" w:after="100" w:afterAutospacing="1"/>
        <w:jc w:val="both"/>
        <w:rPr>
          <w:rFonts w:ascii="Times New Roman" w:eastAsia="Times New Roman" w:hAnsi="Times New Roman" w:cs="Times New Roman"/>
          <w:szCs w:val="24"/>
        </w:rPr>
      </w:pPr>
      <w:r w:rsidRPr="0029033B">
        <w:rPr>
          <w:rFonts w:ascii="Times New Roman" w:eastAsia="Times New Roman" w:hAnsi="Times New Roman" w:cs="Times New Roman"/>
          <w:szCs w:val="24"/>
        </w:rPr>
        <w:t xml:space="preserve">The study yielded four main findings. First, credibility foundations of trustworthiness and expertise were the ones most easily defended for informed skin care consideration, and attractiveness was more helpful in getting attention than in efficacy-related claims (Lou and Yuan, 2019; Wiedmann and von </w:t>
      </w:r>
      <w:proofErr w:type="spellStart"/>
      <w:r w:rsidRPr="0029033B">
        <w:rPr>
          <w:rFonts w:ascii="Times New Roman" w:eastAsia="Times New Roman" w:hAnsi="Times New Roman" w:cs="Times New Roman"/>
          <w:szCs w:val="24"/>
        </w:rPr>
        <w:t>Mettenheim</w:t>
      </w:r>
      <w:proofErr w:type="spellEnd"/>
      <w:r w:rsidRPr="0029033B">
        <w:rPr>
          <w:rFonts w:ascii="Times New Roman" w:eastAsia="Times New Roman" w:hAnsi="Times New Roman" w:cs="Times New Roman"/>
          <w:szCs w:val="24"/>
        </w:rPr>
        <w:t xml:space="preserve">, 2021). Second, the effect of authenticity, homophily and parasocial attachment on inducing personal relevance may be limited to situations where message truthfulness and creator-product fit are already credible (Lee and Eastin, 2021; Sokolova and </w:t>
      </w:r>
      <w:proofErr w:type="spellStart"/>
      <w:r w:rsidRPr="0029033B">
        <w:rPr>
          <w:rFonts w:ascii="Times New Roman" w:eastAsia="Times New Roman" w:hAnsi="Times New Roman" w:cs="Times New Roman"/>
          <w:szCs w:val="24"/>
        </w:rPr>
        <w:t>Kefi</w:t>
      </w:r>
      <w:proofErr w:type="spellEnd"/>
      <w:r w:rsidRPr="0029033B">
        <w:rPr>
          <w:rFonts w:ascii="Times New Roman" w:eastAsia="Times New Roman" w:hAnsi="Times New Roman" w:cs="Times New Roman"/>
          <w:szCs w:val="24"/>
        </w:rPr>
        <w:t xml:space="preserve">, 2020). Thirdly, the needs for communication change with context: in fast-discovery scenarios, there must be a communication route to more complete information; in sensitive-skin and </w:t>
      </w:r>
      <w:proofErr w:type="spellStart"/>
      <w:r w:rsidRPr="0029033B">
        <w:rPr>
          <w:rFonts w:ascii="Times New Roman" w:eastAsia="Times New Roman" w:hAnsi="Times New Roman" w:cs="Times New Roman"/>
          <w:szCs w:val="24"/>
        </w:rPr>
        <w:t>personalised</w:t>
      </w:r>
      <w:proofErr w:type="spellEnd"/>
      <w:r w:rsidRPr="0029033B">
        <w:rPr>
          <w:rFonts w:ascii="Times New Roman" w:eastAsia="Times New Roman" w:hAnsi="Times New Roman" w:cs="Times New Roman"/>
          <w:szCs w:val="24"/>
        </w:rPr>
        <w:t xml:space="preserve"> service scenarios, there needs to be more evidential communication. Fourth, the disclosure of sponsorship is essential for the transparent interpretation but is not enough to create a purchase intention (Boerman, 2020; </w:t>
      </w:r>
      <w:proofErr w:type="spellStart"/>
      <w:r w:rsidRPr="0029033B">
        <w:rPr>
          <w:rFonts w:ascii="Times New Roman" w:eastAsia="Times New Roman" w:hAnsi="Times New Roman" w:cs="Times New Roman"/>
          <w:szCs w:val="24"/>
        </w:rPr>
        <w:t>Eisend</w:t>
      </w:r>
      <w:proofErr w:type="spellEnd"/>
      <w:r w:rsidRPr="0029033B">
        <w:rPr>
          <w:rFonts w:ascii="Times New Roman" w:eastAsia="Times New Roman" w:hAnsi="Times New Roman" w:cs="Times New Roman"/>
          <w:szCs w:val="24"/>
        </w:rPr>
        <w:t xml:space="preserve"> et al., 2020).</w:t>
      </w:r>
    </w:p>
    <w:p w14:paraId="659B42D8" w14:textId="77777777" w:rsidR="0029033B" w:rsidRPr="0029033B" w:rsidRDefault="0029033B" w:rsidP="00A97FB6">
      <w:pPr>
        <w:spacing w:before="100" w:beforeAutospacing="1" w:after="100" w:afterAutospacing="1"/>
        <w:jc w:val="both"/>
        <w:rPr>
          <w:rFonts w:ascii="Times New Roman" w:eastAsia="Times New Roman" w:hAnsi="Times New Roman" w:cs="Times New Roman"/>
          <w:szCs w:val="24"/>
        </w:rPr>
      </w:pPr>
      <w:r w:rsidRPr="0029033B">
        <w:rPr>
          <w:rFonts w:ascii="Times New Roman" w:eastAsia="Times New Roman" w:hAnsi="Times New Roman" w:cs="Times New Roman"/>
          <w:szCs w:val="24"/>
        </w:rPr>
        <w:t xml:space="preserve">The one thing that was consistently discovered across The INKEY List, Pai Skincare, Revolution Skincare, No7 and Skin + Me was not a single campaign tactic but rather the necessity of pairing credible content with the right creator-product fit, transparency and separation of the commercial, and measuring the outcome separately. However, the cases are not directly </w:t>
      </w:r>
      <w:proofErr w:type="spellStart"/>
      <w:r w:rsidRPr="0029033B">
        <w:rPr>
          <w:rFonts w:ascii="Times New Roman" w:eastAsia="Times New Roman" w:hAnsi="Times New Roman" w:cs="Times New Roman"/>
          <w:szCs w:val="24"/>
        </w:rPr>
        <w:t>rankable</w:t>
      </w:r>
      <w:proofErr w:type="spellEnd"/>
      <w:r w:rsidRPr="0029033B">
        <w:rPr>
          <w:rFonts w:ascii="Times New Roman" w:eastAsia="Times New Roman" w:hAnsi="Times New Roman" w:cs="Times New Roman"/>
          <w:szCs w:val="24"/>
        </w:rPr>
        <w:t xml:space="preserve"> due to their varying scales and evidence in the public sphere, and no </w:t>
      </w:r>
      <w:r w:rsidRPr="0029033B">
        <w:rPr>
          <w:rFonts w:ascii="Times New Roman" w:eastAsia="Times New Roman" w:hAnsi="Times New Roman" w:cs="Times New Roman"/>
          <w:szCs w:val="24"/>
        </w:rPr>
        <w:lastRenderedPageBreak/>
        <w:t xml:space="preserve">causal linkage is drawn between the influencers' performance and the </w:t>
      </w:r>
      <w:proofErr w:type="spellStart"/>
      <w:r w:rsidRPr="0029033B">
        <w:rPr>
          <w:rFonts w:ascii="Times New Roman" w:eastAsia="Times New Roman" w:hAnsi="Times New Roman" w:cs="Times New Roman"/>
          <w:szCs w:val="24"/>
        </w:rPr>
        <w:t>organisational</w:t>
      </w:r>
      <w:proofErr w:type="spellEnd"/>
      <w:r w:rsidRPr="0029033B">
        <w:rPr>
          <w:rFonts w:ascii="Times New Roman" w:eastAsia="Times New Roman" w:hAnsi="Times New Roman" w:cs="Times New Roman"/>
          <w:szCs w:val="24"/>
        </w:rPr>
        <w:t xml:space="preserve"> performance (</w:t>
      </w:r>
      <w:proofErr w:type="spellStart"/>
      <w:r w:rsidRPr="0029033B">
        <w:rPr>
          <w:rFonts w:ascii="Times New Roman" w:eastAsia="Times New Roman" w:hAnsi="Times New Roman" w:cs="Times New Roman"/>
          <w:szCs w:val="24"/>
        </w:rPr>
        <w:t>Vrontis</w:t>
      </w:r>
      <w:proofErr w:type="spellEnd"/>
      <w:r w:rsidRPr="0029033B">
        <w:rPr>
          <w:rFonts w:ascii="Times New Roman" w:eastAsia="Times New Roman" w:hAnsi="Times New Roman" w:cs="Times New Roman"/>
          <w:szCs w:val="24"/>
        </w:rPr>
        <w:t xml:space="preserve"> et al., 2021; Snyder, 2019).</w:t>
      </w:r>
    </w:p>
    <w:p w14:paraId="659AC536" w14:textId="77777777" w:rsidR="00AE0283" w:rsidRPr="00B7140C" w:rsidRDefault="00682E2E" w:rsidP="00D35CEF">
      <w:pPr>
        <w:pStyle w:val="Heading2"/>
        <w:rPr>
          <w:rFonts w:ascii="Times New Roman" w:hAnsi="Times New Roman" w:cs="Times New Roman"/>
          <w:color w:val="auto"/>
        </w:rPr>
      </w:pPr>
      <w:bookmarkStart w:id="156" w:name="_Toc240238922"/>
      <w:r w:rsidRPr="00B7140C">
        <w:rPr>
          <w:rFonts w:ascii="Times New Roman" w:hAnsi="Times New Roman" w:cs="Times New Roman"/>
          <w:color w:val="auto"/>
        </w:rPr>
        <w:t>6.3 Theoretical Implications</w:t>
      </w:r>
      <w:bookmarkEnd w:id="156"/>
    </w:p>
    <w:p w14:paraId="7D8CA418" w14:textId="77777777" w:rsidR="00AE0283" w:rsidRPr="00B7140C" w:rsidRDefault="00682E2E" w:rsidP="00D35CEF">
      <w:pPr>
        <w:pStyle w:val="Heading3"/>
        <w:rPr>
          <w:rFonts w:ascii="Times New Roman" w:hAnsi="Times New Roman" w:cs="Times New Roman"/>
          <w:color w:val="auto"/>
        </w:rPr>
      </w:pPr>
      <w:bookmarkStart w:id="157" w:name="_Toc240238923"/>
      <w:r w:rsidRPr="00B7140C">
        <w:rPr>
          <w:rFonts w:ascii="Times New Roman" w:hAnsi="Times New Roman" w:cs="Times New Roman"/>
          <w:color w:val="auto"/>
        </w:rPr>
        <w:t>6.3.1 Credibility as an Evidence-Calibrated Hierarchy</w:t>
      </w:r>
      <w:bookmarkEnd w:id="157"/>
    </w:p>
    <w:p w14:paraId="5D2FC0FA"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The first contribution has to do with the expanded source-credibility model. There are three classical dimensions which are identified by Ohanian (1990) as trustworthiness, expertise and attractiveness, and related similarity or homophily constructs have been added or debated in more recent influencer research (</w:t>
      </w:r>
      <w:proofErr w:type="spellStart"/>
      <w:r w:rsidRPr="00A97FB6">
        <w:rPr>
          <w:rFonts w:ascii="Times New Roman" w:hAnsi="Times New Roman" w:cs="Times New Roman"/>
          <w:szCs w:val="24"/>
        </w:rPr>
        <w:t>Belanche</w:t>
      </w:r>
      <w:proofErr w:type="spellEnd"/>
      <w:r w:rsidRPr="00A97FB6">
        <w:rPr>
          <w:rFonts w:ascii="Times New Roman" w:hAnsi="Times New Roman" w:cs="Times New Roman"/>
          <w:szCs w:val="24"/>
        </w:rPr>
        <w:t xml:space="preserve"> et al., 2021; Lee and Eastin, 2021). The cross-case synthesis is a qualification of the assumption that all dimensions are comparable additive predictors. Within a skincare discourse in the UK, the factors of trustworthiness and expertise seem to be more salient first-order beliefs, as consumers need to assess ingredients, routines, suitability, and/or </w:t>
      </w:r>
      <w:proofErr w:type="spellStart"/>
      <w:r w:rsidRPr="00A97FB6">
        <w:rPr>
          <w:rFonts w:ascii="Times New Roman" w:hAnsi="Times New Roman" w:cs="Times New Roman"/>
          <w:szCs w:val="24"/>
        </w:rPr>
        <w:t>personalisation</w:t>
      </w:r>
      <w:proofErr w:type="spellEnd"/>
      <w:r w:rsidRPr="00A97FB6">
        <w:rPr>
          <w:rFonts w:ascii="Times New Roman" w:hAnsi="Times New Roman" w:cs="Times New Roman"/>
          <w:szCs w:val="24"/>
        </w:rPr>
        <w:t xml:space="preserve"> prior to consumption. The INKEY List, Pai Skincare, and No7 show examples of how education, specialist positioning, and product substantiation can be used to support evidence-based communication, but none offer a causal campaign-effect piece of evidence.</w:t>
      </w:r>
    </w:p>
    <w:p w14:paraId="0A08A8C9" w14:textId="77777777" w:rsid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Attractiveness is still a theoretically relevant but seemingly more restricted factor in the cases. While visually appealing, platform-native content is good for discovery, but it isn't a proxy for purchase intent, and neither is reach nor visual quality a proxy for wider corporate performance, as Revolution Skincare's trend-responsive context illustrates. The theoretical refinement that emerges from this, thus, is a conditional credibility hierarchy: attractiveness can draw in attention, but trustworthiness and expertise can enable informed assessment, and the latter can become more salient in higher risk perception of the product. This effect is in line with the message value and credibility research (Lou and Yuan, 2019; Wiedmann and von </w:t>
      </w:r>
      <w:proofErr w:type="spellStart"/>
      <w:r w:rsidRPr="00A97FB6">
        <w:rPr>
          <w:rFonts w:ascii="Times New Roman" w:hAnsi="Times New Roman" w:cs="Times New Roman"/>
          <w:szCs w:val="24"/>
        </w:rPr>
        <w:t>Mettenheim</w:t>
      </w:r>
      <w:proofErr w:type="spellEnd"/>
      <w:r w:rsidRPr="00A97FB6">
        <w:rPr>
          <w:rFonts w:ascii="Times New Roman" w:hAnsi="Times New Roman" w:cs="Times New Roman"/>
          <w:szCs w:val="24"/>
        </w:rPr>
        <w:t>, 2021), but should not be seen as a universal effect for all categories.</w:t>
      </w:r>
    </w:p>
    <w:p w14:paraId="5B21BACC" w14:textId="77777777" w:rsidR="00AE0283" w:rsidRPr="00B7140C" w:rsidRDefault="00682E2E" w:rsidP="00D35CEF">
      <w:pPr>
        <w:pStyle w:val="Heading3"/>
        <w:rPr>
          <w:rFonts w:ascii="Times New Roman" w:hAnsi="Times New Roman" w:cs="Times New Roman"/>
          <w:color w:val="auto"/>
        </w:rPr>
      </w:pPr>
      <w:bookmarkStart w:id="158" w:name="_Toc240238924"/>
      <w:r w:rsidRPr="00B7140C">
        <w:rPr>
          <w:rFonts w:ascii="Times New Roman" w:hAnsi="Times New Roman" w:cs="Times New Roman"/>
          <w:color w:val="auto"/>
        </w:rPr>
        <w:t>6.3.2 Relational and Contextual Boundary Conditions</w:t>
      </w:r>
      <w:bookmarkEnd w:id="158"/>
    </w:p>
    <w:p w14:paraId="7EAFAB3D"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The second contribution is to regard authenticity, homophily and parasocial attachment as conditional relationships. The definitions and measurements of parasocial interaction vary, and previous research links it to purchase intention (Sokolova and </w:t>
      </w:r>
      <w:proofErr w:type="spellStart"/>
      <w:r w:rsidRPr="00A97FB6">
        <w:rPr>
          <w:rFonts w:ascii="Times New Roman" w:hAnsi="Times New Roman" w:cs="Times New Roman"/>
          <w:szCs w:val="24"/>
        </w:rPr>
        <w:t>Kefi</w:t>
      </w:r>
      <w:proofErr w:type="spellEnd"/>
      <w:r w:rsidRPr="00A97FB6">
        <w:rPr>
          <w:rFonts w:ascii="Times New Roman" w:hAnsi="Times New Roman" w:cs="Times New Roman"/>
          <w:szCs w:val="24"/>
        </w:rPr>
        <w:t xml:space="preserve">, 2020; Farivar, Wang and Yuan, 2021; Ye et al., 2021). The current synthesis proposes that being close to the creator in a relationship can render a recommendation more salient, especially when </w:t>
      </w:r>
      <w:r w:rsidRPr="00A97FB6">
        <w:rPr>
          <w:rFonts w:ascii="Times New Roman" w:hAnsi="Times New Roman" w:cs="Times New Roman"/>
          <w:szCs w:val="24"/>
        </w:rPr>
        <w:lastRenderedPageBreak/>
        <w:t xml:space="preserve">consumers </w:t>
      </w:r>
      <w:proofErr w:type="spellStart"/>
      <w:r w:rsidRPr="00A97FB6">
        <w:rPr>
          <w:rFonts w:ascii="Times New Roman" w:hAnsi="Times New Roman" w:cs="Times New Roman"/>
          <w:szCs w:val="24"/>
        </w:rPr>
        <w:t>recognise</w:t>
      </w:r>
      <w:proofErr w:type="spellEnd"/>
      <w:r w:rsidRPr="00A97FB6">
        <w:rPr>
          <w:rFonts w:ascii="Times New Roman" w:hAnsi="Times New Roman" w:cs="Times New Roman"/>
          <w:szCs w:val="24"/>
        </w:rPr>
        <w:t xml:space="preserve"> their own skin concern in a creator's experience. This is particularly true for the specialist and </w:t>
      </w:r>
      <w:proofErr w:type="spellStart"/>
      <w:r w:rsidRPr="00A97FB6">
        <w:rPr>
          <w:rFonts w:ascii="Times New Roman" w:hAnsi="Times New Roman" w:cs="Times New Roman"/>
          <w:szCs w:val="24"/>
        </w:rPr>
        <w:t>personalised</w:t>
      </w:r>
      <w:proofErr w:type="spellEnd"/>
      <w:r w:rsidRPr="00A97FB6">
        <w:rPr>
          <w:rFonts w:ascii="Times New Roman" w:hAnsi="Times New Roman" w:cs="Times New Roman"/>
          <w:szCs w:val="24"/>
        </w:rPr>
        <w:t xml:space="preserve"> environment that is characteristic of Pai Skincare and Skin + Me.</w:t>
      </w:r>
    </w:p>
    <w:p w14:paraId="1A428942" w14:textId="77777777" w:rsid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The cases also set some valuable parameters; similarity is not expertise, and a good creator story is not an assurance of product safety and suitability. Authenticity is, therefore, understood here as a self-presentation consistent with the evidence in which the creator, claim, product and commercial relationship are coherent. This interpretation allows the resolution of the construct overlaps obtained by both Lee and Eastin (2021) and </w:t>
      </w:r>
      <w:proofErr w:type="spellStart"/>
      <w:r w:rsidRPr="00A97FB6">
        <w:rPr>
          <w:rFonts w:ascii="Times New Roman" w:hAnsi="Times New Roman" w:cs="Times New Roman"/>
          <w:szCs w:val="24"/>
        </w:rPr>
        <w:t>Audrezet</w:t>
      </w:r>
      <w:proofErr w:type="spellEnd"/>
      <w:r w:rsidRPr="00A97FB6">
        <w:rPr>
          <w:rFonts w:ascii="Times New Roman" w:hAnsi="Times New Roman" w:cs="Times New Roman"/>
          <w:szCs w:val="24"/>
        </w:rPr>
        <w:t xml:space="preserve"> et al. (2020) and de </w:t>
      </w:r>
      <w:proofErr w:type="spellStart"/>
      <w:r w:rsidRPr="00A97FB6">
        <w:rPr>
          <w:rFonts w:ascii="Times New Roman" w:hAnsi="Times New Roman" w:cs="Times New Roman"/>
          <w:szCs w:val="24"/>
        </w:rPr>
        <w:t>Kerviler</w:t>
      </w:r>
      <w:proofErr w:type="spellEnd"/>
      <w:r w:rsidRPr="00A97FB6">
        <w:rPr>
          <w:rFonts w:ascii="Times New Roman" w:hAnsi="Times New Roman" w:cs="Times New Roman"/>
          <w:szCs w:val="24"/>
        </w:rPr>
        <w:t xml:space="preserve"> and Guidry Moulard. Once credibility is reached, parasocial attachment can boost attention but is not enough to make a purchasing decision. This is a theory refinement and not a newly tested mediation effect.</w:t>
      </w:r>
    </w:p>
    <w:p w14:paraId="0159B265" w14:textId="77777777" w:rsidR="00AE0283" w:rsidRPr="00B7140C" w:rsidRDefault="00682E2E" w:rsidP="00D35CEF">
      <w:pPr>
        <w:pStyle w:val="Heading3"/>
        <w:rPr>
          <w:rFonts w:ascii="Times New Roman" w:hAnsi="Times New Roman" w:cs="Times New Roman"/>
          <w:color w:val="auto"/>
        </w:rPr>
      </w:pPr>
      <w:bookmarkStart w:id="159" w:name="_Toc240238925"/>
      <w:r w:rsidRPr="00B7140C">
        <w:rPr>
          <w:rFonts w:ascii="Times New Roman" w:hAnsi="Times New Roman" w:cs="Times New Roman"/>
          <w:color w:val="auto"/>
        </w:rPr>
        <w:t>6.3.3 Platform, Disclosure and the Refined Conceptual Pathway</w:t>
      </w:r>
      <w:bookmarkEnd w:id="159"/>
    </w:p>
    <w:p w14:paraId="752E474F"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The third is an integrative model refinement of Chapter 2. The updated pathway suggests that creator-product fit and credible evidence elicit trustworthiness and expertise, which lead to informed trust, and that authenticity, homophily and parasocial attachment can enhance personal relevance. Platform affordances influence the communication of evidence, and the disclosure of sponsorship influences the interpretation of commercial intent. Purchase intention is a potential downstream outcome and is also affected by factors beyond the dimensions of the refined framework, such as price, availability and previous experience (Haenlein et al., 2020; Boerman, 2020).</w:t>
      </w:r>
    </w:p>
    <w:p w14:paraId="0B7287E8" w14:textId="77777777" w:rsidR="00A97FB6" w:rsidRPr="00A97FB6" w:rsidRDefault="00A97FB6" w:rsidP="00A97FB6">
      <w:pPr>
        <w:keepNext/>
        <w:spacing w:before="200"/>
        <w:jc w:val="both"/>
        <w:rPr>
          <w:rFonts w:ascii="Times New Roman" w:hAnsi="Times New Roman" w:cs="Times New Roman"/>
          <w:szCs w:val="24"/>
        </w:rPr>
      </w:pPr>
    </w:p>
    <w:p w14:paraId="43D47977"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This refinement is that platform and disclosure are not direct persuasion variables but rather on the interpretive-condition side of the framework. A creator's ability to demonstrate, explain or reference evidence is influenced by the platform's design (Haenlein et al., 2020). When it comes to a commercial message, disclosure can impact the audience's ability to </w:t>
      </w:r>
      <w:proofErr w:type="spellStart"/>
      <w:r w:rsidRPr="00A97FB6">
        <w:rPr>
          <w:rFonts w:ascii="Times New Roman" w:hAnsi="Times New Roman" w:cs="Times New Roman"/>
          <w:szCs w:val="24"/>
        </w:rPr>
        <w:t>recognise</w:t>
      </w:r>
      <w:proofErr w:type="spellEnd"/>
      <w:r w:rsidRPr="00A97FB6">
        <w:rPr>
          <w:rFonts w:ascii="Times New Roman" w:hAnsi="Times New Roman" w:cs="Times New Roman"/>
          <w:szCs w:val="24"/>
        </w:rPr>
        <w:t xml:space="preserve"> it and evaluate it accordingly (Boerman, 2020; </w:t>
      </w:r>
      <w:proofErr w:type="spellStart"/>
      <w:r w:rsidRPr="00A97FB6">
        <w:rPr>
          <w:rFonts w:ascii="Times New Roman" w:hAnsi="Times New Roman" w:cs="Times New Roman"/>
          <w:szCs w:val="24"/>
        </w:rPr>
        <w:t>Eisend</w:t>
      </w:r>
      <w:proofErr w:type="spellEnd"/>
      <w:r w:rsidRPr="00A97FB6">
        <w:rPr>
          <w:rFonts w:ascii="Times New Roman" w:hAnsi="Times New Roman" w:cs="Times New Roman"/>
          <w:szCs w:val="24"/>
        </w:rPr>
        <w:t xml:space="preserve"> et al., 2020). In the UK, the regulatory landscape underscores the significance of clear recognition, offering no evidence of outcomes at the level of individual </w:t>
      </w:r>
      <w:proofErr w:type="spellStart"/>
      <w:r w:rsidRPr="00A97FB6">
        <w:rPr>
          <w:rFonts w:ascii="Times New Roman" w:hAnsi="Times New Roman" w:cs="Times New Roman"/>
          <w:szCs w:val="24"/>
        </w:rPr>
        <w:t>organisations</w:t>
      </w:r>
      <w:proofErr w:type="spellEnd"/>
      <w:r w:rsidRPr="00A97FB6">
        <w:rPr>
          <w:rFonts w:ascii="Times New Roman" w:hAnsi="Times New Roman" w:cs="Times New Roman"/>
          <w:szCs w:val="24"/>
        </w:rPr>
        <w:t xml:space="preserve"> (Advertising Standards Authority, 2025a; Committee of Advertising Practice, 2026a). The model is thus a matrix for working out possibilities, not a recipe for conversion.</w:t>
      </w:r>
    </w:p>
    <w:p w14:paraId="4944AE2F" w14:textId="77777777" w:rsidR="00A97FB6" w:rsidRPr="00A97FB6" w:rsidRDefault="00A97FB6" w:rsidP="00A97FB6">
      <w:pPr>
        <w:keepNext/>
        <w:spacing w:before="200"/>
        <w:jc w:val="both"/>
        <w:rPr>
          <w:rFonts w:ascii="Times New Roman" w:hAnsi="Times New Roman" w:cs="Times New Roman"/>
          <w:szCs w:val="24"/>
        </w:rPr>
      </w:pPr>
    </w:p>
    <w:p w14:paraId="34C6CB54" w14:textId="77777777" w:rsid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lastRenderedPageBreak/>
        <w:t xml:space="preserve">These insights are most relevant to UK skincare brands where social platforms help to discover the products and where claims are information-rich or personally relevant. They might not be as easy to apply to less involving product categories or materially different endorsement or regulatory environments. </w:t>
      </w:r>
      <w:proofErr w:type="spellStart"/>
      <w:r w:rsidRPr="00A97FB6">
        <w:rPr>
          <w:rFonts w:ascii="Times New Roman" w:hAnsi="Times New Roman" w:cs="Times New Roman"/>
          <w:szCs w:val="24"/>
        </w:rPr>
        <w:t>Organisational</w:t>
      </w:r>
      <w:proofErr w:type="spellEnd"/>
      <w:r w:rsidRPr="00A97FB6">
        <w:rPr>
          <w:rFonts w:ascii="Times New Roman" w:hAnsi="Times New Roman" w:cs="Times New Roman"/>
          <w:szCs w:val="24"/>
        </w:rPr>
        <w:t xml:space="preserve"> capability should also be taken into account: No7's research resource, Skin + Me's service model, as well as Revolution Skincare's mass-market context offers differing capacities for implementation. It sets the limits for analytical instead of statistical </w:t>
      </w:r>
      <w:proofErr w:type="spellStart"/>
      <w:r w:rsidRPr="00A97FB6">
        <w:rPr>
          <w:rFonts w:ascii="Times New Roman" w:hAnsi="Times New Roman" w:cs="Times New Roman"/>
          <w:szCs w:val="24"/>
        </w:rPr>
        <w:t>generalisation</w:t>
      </w:r>
      <w:proofErr w:type="spellEnd"/>
      <w:r w:rsidRPr="00A97FB6">
        <w:rPr>
          <w:rFonts w:ascii="Times New Roman" w:hAnsi="Times New Roman" w:cs="Times New Roman"/>
          <w:szCs w:val="24"/>
        </w:rPr>
        <w:t xml:space="preserve"> (Saunders, Lewis and Thornhill, 2019).</w:t>
      </w:r>
    </w:p>
    <w:p w14:paraId="2EB5A998" w14:textId="77777777" w:rsidR="00AE0283" w:rsidRPr="00B7140C" w:rsidRDefault="00682E2E" w:rsidP="00D35CEF">
      <w:pPr>
        <w:pStyle w:val="Heading2"/>
        <w:rPr>
          <w:rFonts w:ascii="Times New Roman" w:hAnsi="Times New Roman" w:cs="Times New Roman"/>
          <w:color w:val="auto"/>
        </w:rPr>
      </w:pPr>
      <w:bookmarkStart w:id="160" w:name="_Toc240238926"/>
      <w:r w:rsidRPr="00B7140C">
        <w:rPr>
          <w:rFonts w:ascii="Times New Roman" w:hAnsi="Times New Roman" w:cs="Times New Roman"/>
          <w:color w:val="auto"/>
        </w:rPr>
        <w:t>6.4 Managerial Implications</w:t>
      </w:r>
      <w:bookmarkEnd w:id="160"/>
    </w:p>
    <w:p w14:paraId="1EE6F40A"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The first step for UK skincare managers is to identify micro-influencers through a clear and transparent credibility and fit process. The review should assess skin care knowledge, the ability to communicate approved claims, relevance to their target audience, historical disclosure and consistency with the product concern. This helps </w:t>
      </w:r>
      <w:proofErr w:type="spellStart"/>
      <w:r w:rsidRPr="00A97FB6">
        <w:rPr>
          <w:rFonts w:ascii="Times New Roman" w:hAnsi="Times New Roman" w:cs="Times New Roman"/>
          <w:szCs w:val="24"/>
        </w:rPr>
        <w:t>minimise</w:t>
      </w:r>
      <w:proofErr w:type="spellEnd"/>
      <w:r w:rsidRPr="00A97FB6">
        <w:rPr>
          <w:rFonts w:ascii="Times New Roman" w:hAnsi="Times New Roman" w:cs="Times New Roman"/>
          <w:szCs w:val="24"/>
        </w:rPr>
        <w:t xml:space="preserve"> the risk that follower count or follower appeal becomes an alternative to knowledge (Breves et al., 2019; Schouten, Janssen and </w:t>
      </w:r>
      <w:proofErr w:type="spellStart"/>
      <w:r w:rsidRPr="00A97FB6">
        <w:rPr>
          <w:rFonts w:ascii="Times New Roman" w:hAnsi="Times New Roman" w:cs="Times New Roman"/>
          <w:szCs w:val="24"/>
        </w:rPr>
        <w:t>Verspaget</w:t>
      </w:r>
      <w:proofErr w:type="spellEnd"/>
      <w:r w:rsidRPr="00A97FB6">
        <w:rPr>
          <w:rFonts w:ascii="Times New Roman" w:hAnsi="Times New Roman" w:cs="Times New Roman"/>
          <w:szCs w:val="24"/>
        </w:rPr>
        <w:t>, 2020). The INKEY List and No. 7 cases demonstrate the need for education and substantiation when explaining or demonstrating a product. One practical KPI is the percentage of creators that are proposed and fit a set of fit criteria and disclosure criteria.</w:t>
      </w:r>
    </w:p>
    <w:p w14:paraId="6135E5F0"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Secondly, product evidence should be translated into an approved content pathway. Each brief should differentiate personal experience from evidence-based claims, weed out any unacceptably overstated claims, and connect audiences to readily available product or ingredient information. Pai Skincare and Skin + Me will prove why that’s important when consumers assume safety or suitability due to a pretty story. Managers should focus on claim approval and factual corrections, as well as visits to information pages and meaningful questions, rather than just likes and views (De Cicco, Iacobucci and Pagliaro, 2021; Skin + Me, 2026a).</w:t>
      </w:r>
    </w:p>
    <w:p w14:paraId="3759285D"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Thirdly, disclosure should be integrated into the text and not placed at the end. Advertising should be clearly identifiable as such and suitably described in accordance with the Committee of Advertising Practice guidance and the Advertising Standards Authority monitoring (Committee of Advertising Practice, 2026a; Committee of Advertising Practice, 2026b; Advertising Standards Authority, 2025a). Label placement and non-compliance/correction time should be logged on a sample of paid posts prior to and following </w:t>
      </w:r>
      <w:r w:rsidRPr="00A97FB6">
        <w:rPr>
          <w:rFonts w:ascii="Times New Roman" w:hAnsi="Times New Roman" w:cs="Times New Roman"/>
          <w:szCs w:val="24"/>
        </w:rPr>
        <w:lastRenderedPageBreak/>
        <w:t>publication. Useful governance indicators include disclosure-compliance rate, complaint rate and time-to-correction.</w:t>
      </w:r>
    </w:p>
    <w:p w14:paraId="0EA2A8C4" w14:textId="77777777" w:rsidR="00A97FB6" w:rsidRP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Fourth, exposure and engagement and commercial effect should be measured separately. Reach may be present in a context of a revolution in skincare, but informed consideration is missing. Managers should look for a mix of reach and qualified engagement – saves, clicks for product information, substantive questions, etc. – plus return rates and customer-service signals and, where measurable, repeat purchases. Where possible, campaign results should be compared against a pre-campaign baseline or appropriate comparison condition. This </w:t>
      </w:r>
      <w:proofErr w:type="spellStart"/>
      <w:r w:rsidRPr="00A97FB6">
        <w:rPr>
          <w:rFonts w:ascii="Times New Roman" w:hAnsi="Times New Roman" w:cs="Times New Roman"/>
          <w:szCs w:val="24"/>
        </w:rPr>
        <w:t>minimises</w:t>
      </w:r>
      <w:proofErr w:type="spellEnd"/>
      <w:r w:rsidRPr="00A97FB6">
        <w:rPr>
          <w:rFonts w:ascii="Times New Roman" w:hAnsi="Times New Roman" w:cs="Times New Roman"/>
          <w:szCs w:val="24"/>
        </w:rPr>
        <w:t xml:space="preserve"> the attribution bias and makes it possible to differentiate credibility-based value and visibility only (Hughes, Swaminathan and Brooks, 2019; Ye et al., 2021).</w:t>
      </w:r>
    </w:p>
    <w:p w14:paraId="04500EF0" w14:textId="77777777" w:rsidR="00A97FB6" w:rsidRDefault="00A97FB6" w:rsidP="00A97FB6">
      <w:pPr>
        <w:keepNext/>
        <w:spacing w:before="200"/>
        <w:jc w:val="both"/>
        <w:rPr>
          <w:rFonts w:ascii="Times New Roman" w:hAnsi="Times New Roman" w:cs="Times New Roman"/>
          <w:szCs w:val="24"/>
        </w:rPr>
      </w:pPr>
      <w:r w:rsidRPr="00A97FB6">
        <w:rPr>
          <w:rFonts w:ascii="Times New Roman" w:hAnsi="Times New Roman" w:cs="Times New Roman"/>
          <w:szCs w:val="24"/>
        </w:rPr>
        <w:t xml:space="preserve">Lastly, there should be a greater level of regulation for riskier products. There needs to be closer monitoring and direct contact with reliable product or professional information and a clear complaints-escalation process in sensitive-skin and </w:t>
      </w:r>
      <w:proofErr w:type="spellStart"/>
      <w:r w:rsidRPr="00A97FB6">
        <w:rPr>
          <w:rFonts w:ascii="Times New Roman" w:hAnsi="Times New Roman" w:cs="Times New Roman"/>
          <w:szCs w:val="24"/>
        </w:rPr>
        <w:t>personalised</w:t>
      </w:r>
      <w:proofErr w:type="spellEnd"/>
      <w:r w:rsidRPr="00A97FB6">
        <w:rPr>
          <w:rFonts w:ascii="Times New Roman" w:hAnsi="Times New Roman" w:cs="Times New Roman"/>
          <w:szCs w:val="24"/>
        </w:rPr>
        <w:t>-skincare collaborations. Lower-risk discovery content may afford more creative flexibility but should be on par with disclosure and substantiation requirements. This risk-based approach transforms the cross-case framework into a decision rule and not a one-size-fits-all influencer policy (Committee of Advertising Practice, 2026a; No7 Beauty Company, 2023).</w:t>
      </w:r>
    </w:p>
    <w:p w14:paraId="51B20962" w14:textId="77777777" w:rsidR="00AE0283" w:rsidRPr="00B7140C" w:rsidRDefault="00682E2E" w:rsidP="00D35CEF">
      <w:pPr>
        <w:pStyle w:val="Heading2"/>
        <w:rPr>
          <w:rFonts w:ascii="Times New Roman" w:hAnsi="Times New Roman" w:cs="Times New Roman"/>
          <w:color w:val="auto"/>
        </w:rPr>
      </w:pPr>
      <w:bookmarkStart w:id="161" w:name="_Toc240238927"/>
      <w:r w:rsidRPr="00B7140C">
        <w:rPr>
          <w:rFonts w:ascii="Times New Roman" w:hAnsi="Times New Roman" w:cs="Times New Roman"/>
          <w:color w:val="auto"/>
        </w:rPr>
        <w:t>6.5 Limitations and Directions for Future Research</w:t>
      </w:r>
      <w:bookmarkEnd w:id="161"/>
    </w:p>
    <w:p w14:paraId="094D514C" w14:textId="77777777" w:rsidR="000A199D" w:rsidRPr="000A199D" w:rsidRDefault="000A199D" w:rsidP="000A199D">
      <w:pPr>
        <w:keepNext/>
        <w:spacing w:before="200"/>
        <w:jc w:val="both"/>
        <w:rPr>
          <w:rFonts w:ascii="Times New Roman" w:hAnsi="Times New Roman" w:cs="Times New Roman"/>
          <w:szCs w:val="24"/>
        </w:rPr>
      </w:pPr>
      <w:r w:rsidRPr="000A199D">
        <w:rPr>
          <w:rFonts w:ascii="Times New Roman" w:hAnsi="Times New Roman" w:cs="Times New Roman"/>
          <w:szCs w:val="24"/>
        </w:rPr>
        <w:t xml:space="preserve">There are a number of limitations in the study. Access was unequal due to reliance on secondary data, and there was a possibility that positive activity was highlighted in public company data. The five </w:t>
      </w:r>
      <w:proofErr w:type="spellStart"/>
      <w:r w:rsidRPr="000A199D">
        <w:rPr>
          <w:rFonts w:ascii="Times New Roman" w:hAnsi="Times New Roman" w:cs="Times New Roman"/>
          <w:szCs w:val="24"/>
        </w:rPr>
        <w:t>organisation</w:t>
      </w:r>
      <w:proofErr w:type="spellEnd"/>
      <w:r w:rsidRPr="000A199D">
        <w:rPr>
          <w:rFonts w:ascii="Times New Roman" w:hAnsi="Times New Roman" w:cs="Times New Roman"/>
          <w:szCs w:val="24"/>
        </w:rPr>
        <w:t xml:space="preserve"> cases are not statistically representative, and the public outputs of each are not comparable: No7 offers product-research evidence; Revolution Beauty offers group-level business reporting, and other cases offer primarily positioning, education or service evidence. These differences pose problems in causal attribution. However, the broader academic literature features cross-sectional designs, self-reported purchase intentions, construct inconsistencies and platform-specific samples, making it impossible to establish a single UK Gen Z skin care effect size (Snyder, 2019; </w:t>
      </w:r>
      <w:proofErr w:type="spellStart"/>
      <w:r w:rsidRPr="000A199D">
        <w:rPr>
          <w:rFonts w:ascii="Times New Roman" w:hAnsi="Times New Roman" w:cs="Times New Roman"/>
          <w:szCs w:val="24"/>
        </w:rPr>
        <w:t>Vrontis</w:t>
      </w:r>
      <w:proofErr w:type="spellEnd"/>
      <w:r w:rsidRPr="000A199D">
        <w:rPr>
          <w:rFonts w:ascii="Times New Roman" w:hAnsi="Times New Roman" w:cs="Times New Roman"/>
          <w:szCs w:val="24"/>
        </w:rPr>
        <w:t xml:space="preserve"> et al., 2021).</w:t>
      </w:r>
    </w:p>
    <w:p w14:paraId="06C72771" w14:textId="77777777" w:rsidR="000A199D" w:rsidRDefault="000A199D" w:rsidP="000A199D">
      <w:pPr>
        <w:keepNext/>
        <w:spacing w:before="200"/>
        <w:jc w:val="both"/>
        <w:rPr>
          <w:rFonts w:ascii="Times New Roman" w:hAnsi="Times New Roman" w:cs="Times New Roman"/>
          <w:szCs w:val="24"/>
        </w:rPr>
      </w:pPr>
      <w:r w:rsidRPr="000A199D">
        <w:rPr>
          <w:rFonts w:ascii="Times New Roman" w:hAnsi="Times New Roman" w:cs="Times New Roman"/>
          <w:szCs w:val="24"/>
        </w:rPr>
        <w:t xml:space="preserve">Future research is suggested to test the propositions that have been refined with ethically approved longitudinal, experimental or mixed-method designs with UK Gen Z participants. Field studies could be undertaken to compare exposure to product-information content and </w:t>
      </w:r>
      <w:r w:rsidRPr="000A199D">
        <w:rPr>
          <w:rFonts w:ascii="Times New Roman" w:hAnsi="Times New Roman" w:cs="Times New Roman"/>
          <w:szCs w:val="24"/>
        </w:rPr>
        <w:lastRenderedPageBreak/>
        <w:t xml:space="preserve">exposure to creator content, both of which must be clearly disclosed, and measure engagement with product-information, trust and subsequent purchase </w:t>
      </w:r>
      <w:proofErr w:type="spellStart"/>
      <w:r w:rsidRPr="000A199D">
        <w:rPr>
          <w:rFonts w:ascii="Times New Roman" w:hAnsi="Times New Roman" w:cs="Times New Roman"/>
          <w:szCs w:val="24"/>
        </w:rPr>
        <w:t>behaviour</w:t>
      </w:r>
      <w:proofErr w:type="spellEnd"/>
      <w:r w:rsidRPr="000A199D">
        <w:rPr>
          <w:rFonts w:ascii="Times New Roman" w:hAnsi="Times New Roman" w:cs="Times New Roman"/>
          <w:szCs w:val="24"/>
        </w:rPr>
        <w:t xml:space="preserve">. Sales and intention should be separated from repeat purchase and perceived suitability, and reported creator-product fit as well as disclosure format and platform affordances should be reported consistently. For example, multi-brand studies could be run comparing sensitive-skin skincare, mass-market skincare and </w:t>
      </w:r>
      <w:proofErr w:type="spellStart"/>
      <w:r w:rsidRPr="000A199D">
        <w:rPr>
          <w:rFonts w:ascii="Times New Roman" w:hAnsi="Times New Roman" w:cs="Times New Roman"/>
          <w:szCs w:val="24"/>
        </w:rPr>
        <w:t>personalised</w:t>
      </w:r>
      <w:proofErr w:type="spellEnd"/>
      <w:r w:rsidRPr="000A199D">
        <w:rPr>
          <w:rFonts w:ascii="Times New Roman" w:hAnsi="Times New Roman" w:cs="Times New Roman"/>
          <w:szCs w:val="24"/>
        </w:rPr>
        <w:t xml:space="preserve"> skincare, and web analytics could be correlated with real skin care sales and campaign spend data to enhance attribution. Qualitative research could also focus on how young consumers separate an authentic experience from professionally sounding or sponsored advice (Creswell and Creswell, 2018; De Cicco, Iacobucci and Pagliaro, 2021).</w:t>
      </w:r>
    </w:p>
    <w:p w14:paraId="57BBF958" w14:textId="77777777" w:rsidR="00AE0283" w:rsidRPr="00B7140C" w:rsidRDefault="00682E2E" w:rsidP="00D35CEF">
      <w:pPr>
        <w:pStyle w:val="Heading2"/>
        <w:rPr>
          <w:rFonts w:ascii="Times New Roman" w:hAnsi="Times New Roman" w:cs="Times New Roman"/>
          <w:color w:val="auto"/>
        </w:rPr>
      </w:pPr>
      <w:bookmarkStart w:id="162" w:name="_Toc240238928"/>
      <w:r w:rsidRPr="00B7140C">
        <w:rPr>
          <w:rFonts w:ascii="Times New Roman" w:hAnsi="Times New Roman" w:cs="Times New Roman"/>
          <w:color w:val="auto"/>
        </w:rPr>
        <w:t>6.6 Closing Statement</w:t>
      </w:r>
      <w:bookmarkEnd w:id="162"/>
    </w:p>
    <w:p w14:paraId="5097A901" w14:textId="4310BE46" w:rsidR="000A199D" w:rsidRDefault="000A199D" w:rsidP="009A731E">
      <w:pPr>
        <w:jc w:val="both"/>
        <w:rPr>
          <w:rFonts w:ascii="Times New Roman" w:hAnsi="Times New Roman" w:cs="Times New Roman"/>
          <w:szCs w:val="24"/>
        </w:rPr>
      </w:pPr>
      <w:r w:rsidRPr="000A199D">
        <w:rPr>
          <w:rFonts w:ascii="Times New Roman" w:hAnsi="Times New Roman" w:cs="Times New Roman"/>
          <w:szCs w:val="24"/>
        </w:rPr>
        <w:t>This dissertation contributes an evidence-based view of the credibility of micro-influencers in the skincare industry of the United Kingdom's Generation Z. Its core finding is that credible influence is most likely to be established by the marriage of trustworthiness, expertise, and creator-product fit, as well as by relational closeness and platform visibility (which are necessary but not sufficient). It is therefore crucial to proper interpretation that there be clear disclosure and proportionate evidence. The elegant structure provides a defensible foundation for creator selection and measurement for managers and highlights the core research that remains to be done for improved causal inference.</w:t>
      </w:r>
    </w:p>
    <w:p w14:paraId="746068F4" w14:textId="31A75D91" w:rsidR="000A199D" w:rsidRDefault="000A199D" w:rsidP="009A731E">
      <w:pPr>
        <w:jc w:val="both"/>
        <w:rPr>
          <w:rFonts w:ascii="Times New Roman" w:hAnsi="Times New Roman" w:cs="Times New Roman"/>
          <w:szCs w:val="24"/>
        </w:rPr>
      </w:pPr>
    </w:p>
    <w:p w14:paraId="7CBD4024" w14:textId="03529553" w:rsidR="000A199D" w:rsidRDefault="000A199D" w:rsidP="009A731E">
      <w:pPr>
        <w:jc w:val="both"/>
        <w:rPr>
          <w:rFonts w:ascii="Times New Roman" w:hAnsi="Times New Roman" w:cs="Times New Roman"/>
          <w:szCs w:val="24"/>
        </w:rPr>
      </w:pPr>
    </w:p>
    <w:p w14:paraId="12374887" w14:textId="6DE61F6F" w:rsidR="000A199D" w:rsidRDefault="000A199D" w:rsidP="009A731E">
      <w:pPr>
        <w:jc w:val="both"/>
        <w:rPr>
          <w:rFonts w:ascii="Times New Roman" w:hAnsi="Times New Roman" w:cs="Times New Roman"/>
          <w:szCs w:val="24"/>
        </w:rPr>
      </w:pPr>
    </w:p>
    <w:p w14:paraId="3050E59A" w14:textId="2A851D96" w:rsidR="000A199D" w:rsidRDefault="000A199D" w:rsidP="009A731E">
      <w:pPr>
        <w:jc w:val="both"/>
        <w:rPr>
          <w:rFonts w:ascii="Times New Roman" w:hAnsi="Times New Roman" w:cs="Times New Roman"/>
          <w:szCs w:val="24"/>
        </w:rPr>
      </w:pPr>
    </w:p>
    <w:p w14:paraId="4FCCD8C3" w14:textId="00A47F72" w:rsidR="000A199D" w:rsidRDefault="000A199D" w:rsidP="009A731E">
      <w:pPr>
        <w:jc w:val="both"/>
        <w:rPr>
          <w:rFonts w:ascii="Times New Roman" w:hAnsi="Times New Roman" w:cs="Times New Roman"/>
          <w:szCs w:val="24"/>
        </w:rPr>
      </w:pPr>
    </w:p>
    <w:p w14:paraId="41B9DA48" w14:textId="77777777" w:rsidR="000A199D" w:rsidRPr="00B7140C" w:rsidRDefault="000A199D" w:rsidP="009A731E">
      <w:pPr>
        <w:jc w:val="both"/>
        <w:rPr>
          <w:rFonts w:ascii="Times New Roman" w:hAnsi="Times New Roman" w:cs="Times New Roman"/>
          <w:szCs w:val="24"/>
        </w:rPr>
      </w:pPr>
    </w:p>
    <w:p w14:paraId="40E7026F" w14:textId="77777777" w:rsidR="00D84FEA" w:rsidRPr="00B7140C" w:rsidRDefault="00D84FEA">
      <w:pPr>
        <w:rPr>
          <w:rFonts w:ascii="Times New Roman" w:hAnsi="Times New Roman" w:cs="Times New Roman"/>
        </w:rPr>
      </w:pPr>
    </w:p>
    <w:p w14:paraId="79552719" w14:textId="77777777" w:rsidR="00D35CEF" w:rsidRPr="00B7140C" w:rsidRDefault="00D35CEF">
      <w:pPr>
        <w:rPr>
          <w:rFonts w:ascii="Times New Roman" w:hAnsi="Times New Roman" w:cs="Times New Roman"/>
        </w:rPr>
      </w:pPr>
    </w:p>
    <w:p w14:paraId="52C9F4EC" w14:textId="77777777" w:rsidR="00D35CEF" w:rsidRPr="00B7140C" w:rsidRDefault="00D35CEF">
      <w:pPr>
        <w:rPr>
          <w:rFonts w:ascii="Times New Roman" w:hAnsi="Times New Roman" w:cs="Times New Roman"/>
        </w:rPr>
      </w:pPr>
    </w:p>
    <w:p w14:paraId="28C5F1E7" w14:textId="77777777" w:rsidR="00A40A85" w:rsidRPr="00B7140C" w:rsidRDefault="00A40A85" w:rsidP="00D35CEF">
      <w:pPr>
        <w:pStyle w:val="Heading1"/>
        <w:rPr>
          <w:rFonts w:ascii="Times New Roman" w:hAnsi="Times New Roman" w:cs="Times New Roman"/>
        </w:rPr>
      </w:pPr>
      <w:bookmarkStart w:id="163" w:name="_Toc237130134"/>
      <w:bookmarkStart w:id="164" w:name="_Toc240238929"/>
      <w:r w:rsidRPr="00B7140C">
        <w:rPr>
          <w:rFonts w:ascii="Times New Roman" w:hAnsi="Times New Roman" w:cs="Times New Roman"/>
        </w:rPr>
        <w:lastRenderedPageBreak/>
        <w:t>References</w:t>
      </w:r>
      <w:bookmarkEnd w:id="163"/>
      <w:bookmarkEnd w:id="164"/>
    </w:p>
    <w:p w14:paraId="4CDE018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Advertising Standards Authority (2025a) </w:t>
      </w:r>
      <w:r w:rsidRPr="00B7140C">
        <w:rPr>
          <w:rFonts w:ascii="Times New Roman" w:hAnsi="Times New Roman" w:cs="Times New Roman"/>
          <w:i/>
          <w:iCs/>
          <w:szCs w:val="24"/>
        </w:rPr>
        <w:t>Influencer ad disclosure on social media: Instagram and TikTok (2024)</w:t>
      </w:r>
      <w:r w:rsidRPr="00B7140C">
        <w:rPr>
          <w:rFonts w:ascii="Times New Roman" w:hAnsi="Times New Roman" w:cs="Times New Roman"/>
          <w:szCs w:val="24"/>
        </w:rPr>
        <w:t xml:space="preserve">. May. Available at: </w:t>
      </w:r>
      <w:hyperlink r:id="rId21" w:tgtFrame="_new" w:history="1">
        <w:r w:rsidRPr="00B7140C">
          <w:rPr>
            <w:rStyle w:val="Hyperlink"/>
            <w:rFonts w:ascii="Times New Roman" w:hAnsi="Times New Roman" w:cs="Times New Roman"/>
            <w:szCs w:val="24"/>
          </w:rPr>
          <w:t>https://www.asa.org.uk/static/3f7df70c-ca5c-499c-8aaa56e8b3e9572e/ASA-influencer-ad-disclosure-report.pdf</w:t>
        </w:r>
      </w:hyperlink>
      <w:r w:rsidRPr="00B7140C">
        <w:rPr>
          <w:rFonts w:ascii="Times New Roman" w:hAnsi="Times New Roman" w:cs="Times New Roman"/>
          <w:szCs w:val="24"/>
        </w:rPr>
        <w:t xml:space="preserve"> (Accessed: 2 September 2026).</w:t>
      </w:r>
    </w:p>
    <w:p w14:paraId="7BEDBDB5"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Advertising Standards Authority (2025b) </w:t>
      </w:r>
      <w:r w:rsidRPr="00B7140C">
        <w:rPr>
          <w:rFonts w:ascii="Times New Roman" w:hAnsi="Times New Roman" w:cs="Times New Roman"/>
          <w:i/>
          <w:iCs/>
          <w:szCs w:val="24"/>
        </w:rPr>
        <w:t>Influencer ad disclosure on social media: Instagram and TikTok report (2024)</w:t>
      </w:r>
      <w:r w:rsidRPr="00B7140C">
        <w:rPr>
          <w:rFonts w:ascii="Times New Roman" w:hAnsi="Times New Roman" w:cs="Times New Roman"/>
          <w:szCs w:val="24"/>
        </w:rPr>
        <w:t xml:space="preserve">. 9 May. Available at: </w:t>
      </w:r>
      <w:hyperlink r:id="rId22" w:tgtFrame="_new" w:history="1">
        <w:r w:rsidRPr="00B7140C">
          <w:rPr>
            <w:rStyle w:val="Hyperlink"/>
            <w:rFonts w:ascii="Times New Roman" w:hAnsi="Times New Roman" w:cs="Times New Roman"/>
            <w:szCs w:val="24"/>
          </w:rPr>
          <w:t>https://www.asa.org.uk/news/influencer-ad-disclosure-on-social-media-instagram-and-tiktok-report-2024.html</w:t>
        </w:r>
      </w:hyperlink>
      <w:r w:rsidRPr="00B7140C">
        <w:rPr>
          <w:rFonts w:ascii="Times New Roman" w:hAnsi="Times New Roman" w:cs="Times New Roman"/>
          <w:szCs w:val="24"/>
        </w:rPr>
        <w:t xml:space="preserve"> (Accessed: 9 August 2026).</w:t>
      </w:r>
    </w:p>
    <w:p w14:paraId="6A93B9E5"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Advertising Standards Authority and Committee of Advertising Practice (2024) </w:t>
      </w:r>
      <w:r w:rsidRPr="00B7140C">
        <w:rPr>
          <w:rFonts w:ascii="Times New Roman" w:hAnsi="Times New Roman" w:cs="Times New Roman"/>
          <w:i/>
          <w:iCs/>
          <w:szCs w:val="24"/>
        </w:rPr>
        <w:t>ASA and CAP annual report 2023</w:t>
      </w:r>
      <w:r w:rsidRPr="00B7140C">
        <w:rPr>
          <w:rFonts w:ascii="Times New Roman" w:hAnsi="Times New Roman" w:cs="Times New Roman"/>
          <w:szCs w:val="24"/>
        </w:rPr>
        <w:t xml:space="preserve">. Available at: </w:t>
      </w:r>
      <w:hyperlink r:id="rId23" w:tgtFrame="_new" w:history="1">
        <w:r w:rsidRPr="00B7140C">
          <w:rPr>
            <w:rStyle w:val="Hyperlink"/>
            <w:rFonts w:ascii="Times New Roman" w:hAnsi="Times New Roman" w:cs="Times New Roman"/>
            <w:szCs w:val="24"/>
          </w:rPr>
          <w:t>https://www.asa.org.uk/resource/asa-and-cap-annual-report-2023.html</w:t>
        </w:r>
      </w:hyperlink>
      <w:r w:rsidRPr="00B7140C">
        <w:rPr>
          <w:rFonts w:ascii="Times New Roman" w:hAnsi="Times New Roman" w:cs="Times New Roman"/>
          <w:szCs w:val="24"/>
        </w:rPr>
        <w:t xml:space="preserve"> (Accessed: 13 July 2026).</w:t>
      </w:r>
    </w:p>
    <w:p w14:paraId="404F6AD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Ajzen, I. (1991) ‘The theory of planned behavior’, </w:t>
      </w:r>
      <w:r w:rsidRPr="00B7140C">
        <w:rPr>
          <w:rFonts w:ascii="Times New Roman" w:hAnsi="Times New Roman" w:cs="Times New Roman"/>
          <w:i/>
          <w:iCs/>
          <w:szCs w:val="24"/>
        </w:rPr>
        <w:t>Organizational Behavior and Human Decision Processes</w:t>
      </w:r>
      <w:r w:rsidRPr="00B7140C">
        <w:rPr>
          <w:rFonts w:ascii="Times New Roman" w:hAnsi="Times New Roman" w:cs="Times New Roman"/>
          <w:szCs w:val="24"/>
        </w:rPr>
        <w:t xml:space="preserve">, 50(2), pp. 179–211. </w:t>
      </w:r>
      <w:hyperlink r:id="rId24" w:tgtFrame="_new" w:history="1">
        <w:r w:rsidRPr="00B7140C">
          <w:rPr>
            <w:rStyle w:val="Hyperlink"/>
            <w:rFonts w:ascii="Times New Roman" w:hAnsi="Times New Roman" w:cs="Times New Roman"/>
            <w:szCs w:val="24"/>
          </w:rPr>
          <w:t>https://doi.org/10.1016/0749-5978(91)90020-T</w:t>
        </w:r>
      </w:hyperlink>
      <w:r w:rsidRPr="00B7140C">
        <w:rPr>
          <w:rFonts w:ascii="Times New Roman" w:hAnsi="Times New Roman" w:cs="Times New Roman"/>
          <w:szCs w:val="24"/>
        </w:rPr>
        <w:t>.</w:t>
      </w:r>
    </w:p>
    <w:p w14:paraId="41C1D1F5"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Arbanas, J., Westcott, K., Loucks, J., Arkenberg, C., Auxier, B. and Matheson, B. (2024) ‘An introduction to Deloitte’s 2024 Digital Media Trends’, </w:t>
      </w:r>
      <w:r w:rsidRPr="00B7140C">
        <w:rPr>
          <w:rFonts w:ascii="Times New Roman" w:hAnsi="Times New Roman" w:cs="Times New Roman"/>
          <w:i/>
          <w:iCs/>
          <w:szCs w:val="24"/>
        </w:rPr>
        <w:t>Deloitte Insights</w:t>
      </w:r>
      <w:r w:rsidRPr="00B7140C">
        <w:rPr>
          <w:rFonts w:ascii="Times New Roman" w:hAnsi="Times New Roman" w:cs="Times New Roman"/>
          <w:szCs w:val="24"/>
        </w:rPr>
        <w:t xml:space="preserve">, 20 March. Available at: </w:t>
      </w:r>
      <w:hyperlink r:id="rId25" w:tgtFrame="_new" w:history="1">
        <w:r w:rsidRPr="00B7140C">
          <w:rPr>
            <w:rStyle w:val="Hyperlink"/>
            <w:rFonts w:ascii="Times New Roman" w:hAnsi="Times New Roman" w:cs="Times New Roman"/>
            <w:szCs w:val="24"/>
          </w:rPr>
          <w:t>https://www.deloitte.com/us/en/insights/industry/technology/digital-media-trends-consumption-habits-survey/2024/digital-media-trends-introduction.html</w:t>
        </w:r>
      </w:hyperlink>
      <w:r w:rsidRPr="00B7140C">
        <w:rPr>
          <w:rFonts w:ascii="Times New Roman" w:hAnsi="Times New Roman" w:cs="Times New Roman"/>
          <w:szCs w:val="24"/>
        </w:rPr>
        <w:t xml:space="preserve"> (Accessed: 13 July 2026).</w:t>
      </w:r>
    </w:p>
    <w:p w14:paraId="43A06B6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Argyris, Y.A., Wang, Z., Kim, Y. and Yin, Z. (2020) ‘The effects of visual congruence on increasing consumers’ brand engagement: An empirical investigation of influencer marketing on Instagram using deep-learning algorithms for automatic image classification’, </w:t>
      </w:r>
      <w:r w:rsidRPr="00B7140C">
        <w:rPr>
          <w:rFonts w:ascii="Times New Roman" w:hAnsi="Times New Roman" w:cs="Times New Roman"/>
          <w:i/>
          <w:iCs/>
          <w:szCs w:val="24"/>
        </w:rPr>
        <w:t>Computers in Human Behavior</w:t>
      </w:r>
      <w:r w:rsidRPr="00B7140C">
        <w:rPr>
          <w:rFonts w:ascii="Times New Roman" w:hAnsi="Times New Roman" w:cs="Times New Roman"/>
          <w:szCs w:val="24"/>
        </w:rPr>
        <w:t>, 112, article 106443. https://doi.org/10.1016/j.chb.2020.106443.</w:t>
      </w:r>
    </w:p>
    <w:p w14:paraId="7C4578F4"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Audrezet</w:t>
      </w:r>
      <w:proofErr w:type="spellEnd"/>
      <w:r w:rsidRPr="00B7140C">
        <w:rPr>
          <w:rFonts w:ascii="Times New Roman" w:hAnsi="Times New Roman" w:cs="Times New Roman"/>
          <w:szCs w:val="24"/>
        </w:rPr>
        <w:t xml:space="preserve">, A., de </w:t>
      </w:r>
      <w:proofErr w:type="spellStart"/>
      <w:r w:rsidRPr="00B7140C">
        <w:rPr>
          <w:rFonts w:ascii="Times New Roman" w:hAnsi="Times New Roman" w:cs="Times New Roman"/>
          <w:szCs w:val="24"/>
        </w:rPr>
        <w:t>Kerviler</w:t>
      </w:r>
      <w:proofErr w:type="spellEnd"/>
      <w:r w:rsidRPr="00B7140C">
        <w:rPr>
          <w:rFonts w:ascii="Times New Roman" w:hAnsi="Times New Roman" w:cs="Times New Roman"/>
          <w:szCs w:val="24"/>
        </w:rPr>
        <w:t xml:space="preserve">, G. and Guidry Moulard, J. (2020) ‘Authenticity under threat: When social media influencers need to go beyond self-presentation’, </w:t>
      </w:r>
      <w:r w:rsidRPr="00B7140C">
        <w:rPr>
          <w:rFonts w:ascii="Times New Roman" w:hAnsi="Times New Roman" w:cs="Times New Roman"/>
          <w:i/>
          <w:iCs/>
          <w:szCs w:val="24"/>
        </w:rPr>
        <w:t>Journal of Business Research</w:t>
      </w:r>
      <w:r w:rsidRPr="00B7140C">
        <w:rPr>
          <w:rFonts w:ascii="Times New Roman" w:hAnsi="Times New Roman" w:cs="Times New Roman"/>
          <w:szCs w:val="24"/>
        </w:rPr>
        <w:t xml:space="preserve">, 117, pp. 557–569. </w:t>
      </w:r>
      <w:hyperlink r:id="rId26" w:tgtFrame="_new" w:history="1">
        <w:r w:rsidRPr="00B7140C">
          <w:rPr>
            <w:rStyle w:val="Hyperlink"/>
            <w:rFonts w:ascii="Times New Roman" w:hAnsi="Times New Roman" w:cs="Times New Roman"/>
            <w:szCs w:val="24"/>
          </w:rPr>
          <w:t>https://doi.org/10.1016/j.jbusres.2018.07.008</w:t>
        </w:r>
      </w:hyperlink>
      <w:r w:rsidRPr="00B7140C">
        <w:rPr>
          <w:rFonts w:ascii="Times New Roman" w:hAnsi="Times New Roman" w:cs="Times New Roman"/>
          <w:szCs w:val="24"/>
        </w:rPr>
        <w:t>.</w:t>
      </w:r>
    </w:p>
    <w:p w14:paraId="103E125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Balaban, D.C. and </w:t>
      </w:r>
      <w:proofErr w:type="spellStart"/>
      <w:r w:rsidRPr="00B7140C">
        <w:rPr>
          <w:rFonts w:ascii="Times New Roman" w:hAnsi="Times New Roman" w:cs="Times New Roman"/>
          <w:szCs w:val="24"/>
        </w:rPr>
        <w:t>Szambolics</w:t>
      </w:r>
      <w:proofErr w:type="spellEnd"/>
      <w:r w:rsidRPr="00B7140C">
        <w:rPr>
          <w:rFonts w:ascii="Times New Roman" w:hAnsi="Times New Roman" w:cs="Times New Roman"/>
          <w:szCs w:val="24"/>
        </w:rPr>
        <w:t xml:space="preserve">, J. (2022) ‘A proposed model of self-perceived authenticity of social media influencers’, </w:t>
      </w:r>
      <w:r w:rsidRPr="00B7140C">
        <w:rPr>
          <w:rFonts w:ascii="Times New Roman" w:hAnsi="Times New Roman" w:cs="Times New Roman"/>
          <w:i/>
          <w:iCs/>
          <w:szCs w:val="24"/>
        </w:rPr>
        <w:t>Media and Communication</w:t>
      </w:r>
      <w:r w:rsidRPr="00B7140C">
        <w:rPr>
          <w:rFonts w:ascii="Times New Roman" w:hAnsi="Times New Roman" w:cs="Times New Roman"/>
          <w:szCs w:val="24"/>
        </w:rPr>
        <w:t xml:space="preserve">, 10(1), pp. 235–246. </w:t>
      </w:r>
      <w:hyperlink r:id="rId27" w:tgtFrame="_new" w:history="1">
        <w:r w:rsidRPr="00B7140C">
          <w:rPr>
            <w:rStyle w:val="Hyperlink"/>
            <w:rFonts w:ascii="Times New Roman" w:hAnsi="Times New Roman" w:cs="Times New Roman"/>
            <w:szCs w:val="24"/>
          </w:rPr>
          <w:t>https://doi.org/10.17645/mac.v10i1.4765</w:t>
        </w:r>
      </w:hyperlink>
      <w:r w:rsidRPr="00B7140C">
        <w:rPr>
          <w:rFonts w:ascii="Times New Roman" w:hAnsi="Times New Roman" w:cs="Times New Roman"/>
          <w:szCs w:val="24"/>
        </w:rPr>
        <w:t>.</w:t>
      </w:r>
    </w:p>
    <w:p w14:paraId="38535F04"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Belanche</w:t>
      </w:r>
      <w:proofErr w:type="spellEnd"/>
      <w:r w:rsidRPr="00B7140C">
        <w:rPr>
          <w:rFonts w:ascii="Times New Roman" w:hAnsi="Times New Roman" w:cs="Times New Roman"/>
          <w:szCs w:val="24"/>
        </w:rPr>
        <w:t xml:space="preserve">, D., </w:t>
      </w:r>
      <w:proofErr w:type="spellStart"/>
      <w:r w:rsidRPr="00B7140C">
        <w:rPr>
          <w:rFonts w:ascii="Times New Roman" w:hAnsi="Times New Roman" w:cs="Times New Roman"/>
          <w:szCs w:val="24"/>
        </w:rPr>
        <w:t>Casaló</w:t>
      </w:r>
      <w:proofErr w:type="spellEnd"/>
      <w:r w:rsidRPr="00B7140C">
        <w:rPr>
          <w:rFonts w:ascii="Times New Roman" w:hAnsi="Times New Roman" w:cs="Times New Roman"/>
          <w:szCs w:val="24"/>
        </w:rPr>
        <w:t xml:space="preserve">, L.V., Flavián, M. and Ibáñez-Sánchez, S. (2021) ‘Building influencers’ credibility on Instagram: Effects on followers’ attitudes and behavioral responses toward the </w:t>
      </w:r>
      <w:r w:rsidRPr="00B7140C">
        <w:rPr>
          <w:rFonts w:ascii="Times New Roman" w:hAnsi="Times New Roman" w:cs="Times New Roman"/>
          <w:szCs w:val="24"/>
        </w:rPr>
        <w:lastRenderedPageBreak/>
        <w:t xml:space="preserve">influencer’, </w:t>
      </w:r>
      <w:r w:rsidRPr="00B7140C">
        <w:rPr>
          <w:rFonts w:ascii="Times New Roman" w:hAnsi="Times New Roman" w:cs="Times New Roman"/>
          <w:i/>
          <w:iCs/>
          <w:szCs w:val="24"/>
        </w:rPr>
        <w:t>Journal of Retailing and Consumer Services</w:t>
      </w:r>
      <w:r w:rsidRPr="00B7140C">
        <w:rPr>
          <w:rFonts w:ascii="Times New Roman" w:hAnsi="Times New Roman" w:cs="Times New Roman"/>
          <w:szCs w:val="24"/>
        </w:rPr>
        <w:t xml:space="preserve">, 61, article 102585. </w:t>
      </w:r>
      <w:hyperlink r:id="rId28" w:tgtFrame="_new" w:history="1">
        <w:r w:rsidRPr="00B7140C">
          <w:rPr>
            <w:rStyle w:val="Hyperlink"/>
            <w:rFonts w:ascii="Times New Roman" w:hAnsi="Times New Roman" w:cs="Times New Roman"/>
            <w:szCs w:val="24"/>
          </w:rPr>
          <w:t>https://doi.org/10.1016/j.jretconser.2021.102585</w:t>
        </w:r>
      </w:hyperlink>
      <w:r w:rsidRPr="00B7140C">
        <w:rPr>
          <w:rFonts w:ascii="Times New Roman" w:hAnsi="Times New Roman" w:cs="Times New Roman"/>
          <w:szCs w:val="24"/>
        </w:rPr>
        <w:t>.</w:t>
      </w:r>
    </w:p>
    <w:p w14:paraId="7170DF23"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Boerman, S.C. (2020) ‘The effects of the standardized Instagram disclosure for micro- and meso-influencers’, </w:t>
      </w:r>
      <w:r w:rsidRPr="00B7140C">
        <w:rPr>
          <w:rFonts w:ascii="Times New Roman" w:hAnsi="Times New Roman" w:cs="Times New Roman"/>
          <w:i/>
          <w:iCs/>
          <w:szCs w:val="24"/>
        </w:rPr>
        <w:t>Computers in Human Behavior</w:t>
      </w:r>
      <w:r w:rsidRPr="00B7140C">
        <w:rPr>
          <w:rFonts w:ascii="Times New Roman" w:hAnsi="Times New Roman" w:cs="Times New Roman"/>
          <w:szCs w:val="24"/>
        </w:rPr>
        <w:t xml:space="preserve">, 103, pp. 199–207. </w:t>
      </w:r>
      <w:hyperlink r:id="rId29" w:tgtFrame="_new" w:history="1">
        <w:r w:rsidRPr="00B7140C">
          <w:rPr>
            <w:rStyle w:val="Hyperlink"/>
            <w:rFonts w:ascii="Times New Roman" w:hAnsi="Times New Roman" w:cs="Times New Roman"/>
            <w:szCs w:val="24"/>
          </w:rPr>
          <w:t>https://doi.org/10.1016/j.chb.2019.09.015</w:t>
        </w:r>
      </w:hyperlink>
      <w:r w:rsidRPr="00B7140C">
        <w:rPr>
          <w:rFonts w:ascii="Times New Roman" w:hAnsi="Times New Roman" w:cs="Times New Roman"/>
          <w:szCs w:val="24"/>
        </w:rPr>
        <w:t>.</w:t>
      </w:r>
    </w:p>
    <w:p w14:paraId="122D34E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Boerman, S.C., Willemsen, L.M. and van der Aa, E.P. (2017) ‘“This post is sponsored”: Effects of sponsorship disclosure on persuasion knowledge and electronic word of mouth in the context of Facebook’, </w:t>
      </w:r>
      <w:r w:rsidRPr="00B7140C">
        <w:rPr>
          <w:rFonts w:ascii="Times New Roman" w:hAnsi="Times New Roman" w:cs="Times New Roman"/>
          <w:i/>
          <w:iCs/>
          <w:szCs w:val="24"/>
        </w:rPr>
        <w:t>Journal of Interactive Marketing</w:t>
      </w:r>
      <w:r w:rsidRPr="00B7140C">
        <w:rPr>
          <w:rFonts w:ascii="Times New Roman" w:hAnsi="Times New Roman" w:cs="Times New Roman"/>
          <w:szCs w:val="24"/>
        </w:rPr>
        <w:t xml:space="preserve">, 38(1), pp. 82–92. </w:t>
      </w:r>
      <w:hyperlink r:id="rId30" w:tgtFrame="_new" w:history="1">
        <w:r w:rsidRPr="00B7140C">
          <w:rPr>
            <w:rStyle w:val="Hyperlink"/>
            <w:rFonts w:ascii="Times New Roman" w:hAnsi="Times New Roman" w:cs="Times New Roman"/>
            <w:szCs w:val="24"/>
          </w:rPr>
          <w:t>https://doi.org/10.1016/j.intmar.2016.12.002</w:t>
        </w:r>
      </w:hyperlink>
      <w:r w:rsidRPr="00B7140C">
        <w:rPr>
          <w:rFonts w:ascii="Times New Roman" w:hAnsi="Times New Roman" w:cs="Times New Roman"/>
          <w:szCs w:val="24"/>
        </w:rPr>
        <w:t>.</w:t>
      </w:r>
    </w:p>
    <w:p w14:paraId="6B527C9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Booth, A., Sutton, A. and Papaioannou, D. (2016) </w:t>
      </w:r>
      <w:r w:rsidRPr="00B7140C">
        <w:rPr>
          <w:rFonts w:ascii="Times New Roman" w:hAnsi="Times New Roman" w:cs="Times New Roman"/>
          <w:i/>
          <w:iCs/>
          <w:szCs w:val="24"/>
        </w:rPr>
        <w:t>Systematic approaches to a successful literature review</w:t>
      </w:r>
      <w:r w:rsidRPr="00B7140C">
        <w:rPr>
          <w:rFonts w:ascii="Times New Roman" w:hAnsi="Times New Roman" w:cs="Times New Roman"/>
          <w:szCs w:val="24"/>
        </w:rPr>
        <w:t xml:space="preserve">. 2nd </w:t>
      </w:r>
      <w:proofErr w:type="spellStart"/>
      <w:r w:rsidRPr="00B7140C">
        <w:rPr>
          <w:rFonts w:ascii="Times New Roman" w:hAnsi="Times New Roman" w:cs="Times New Roman"/>
          <w:szCs w:val="24"/>
        </w:rPr>
        <w:t>edn</w:t>
      </w:r>
      <w:proofErr w:type="spellEnd"/>
      <w:r w:rsidRPr="00B7140C">
        <w:rPr>
          <w:rFonts w:ascii="Times New Roman" w:hAnsi="Times New Roman" w:cs="Times New Roman"/>
          <w:szCs w:val="24"/>
        </w:rPr>
        <w:t>. London: SAGE.</w:t>
      </w:r>
    </w:p>
    <w:p w14:paraId="5683B448"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Braun, V. and Clarke, V. (2006) ‘Using thematic analysis in psychology’, </w:t>
      </w:r>
      <w:r w:rsidRPr="00B7140C">
        <w:rPr>
          <w:rFonts w:ascii="Times New Roman" w:hAnsi="Times New Roman" w:cs="Times New Roman"/>
          <w:i/>
          <w:iCs/>
          <w:szCs w:val="24"/>
        </w:rPr>
        <w:t>Qualitative Research in Psychology</w:t>
      </w:r>
      <w:r w:rsidRPr="00B7140C">
        <w:rPr>
          <w:rFonts w:ascii="Times New Roman" w:hAnsi="Times New Roman" w:cs="Times New Roman"/>
          <w:szCs w:val="24"/>
        </w:rPr>
        <w:t xml:space="preserve">, 3(2), pp. 77–101. </w:t>
      </w:r>
      <w:hyperlink r:id="rId31" w:tgtFrame="_new" w:history="1">
        <w:r w:rsidRPr="00B7140C">
          <w:rPr>
            <w:rStyle w:val="Hyperlink"/>
            <w:rFonts w:ascii="Times New Roman" w:hAnsi="Times New Roman" w:cs="Times New Roman"/>
            <w:szCs w:val="24"/>
          </w:rPr>
          <w:t>https://doi.org/10.1191/1478088706qp063oa</w:t>
        </w:r>
      </w:hyperlink>
      <w:r w:rsidRPr="00B7140C">
        <w:rPr>
          <w:rFonts w:ascii="Times New Roman" w:hAnsi="Times New Roman" w:cs="Times New Roman"/>
          <w:szCs w:val="24"/>
        </w:rPr>
        <w:t>.</w:t>
      </w:r>
    </w:p>
    <w:p w14:paraId="15A803CD"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Breves, P.L., Liebers, N., Abt, M. and Kunze, A. (2019) ‘The perceived fit between Instagram influencers and the endorsed brand: How influencer–brand fit affects source credibility and persuasive effectiveness’, </w:t>
      </w:r>
      <w:r w:rsidRPr="00B7140C">
        <w:rPr>
          <w:rFonts w:ascii="Times New Roman" w:hAnsi="Times New Roman" w:cs="Times New Roman"/>
          <w:i/>
          <w:iCs/>
          <w:szCs w:val="24"/>
        </w:rPr>
        <w:t>Journal of Advertising Research</w:t>
      </w:r>
      <w:r w:rsidRPr="00B7140C">
        <w:rPr>
          <w:rFonts w:ascii="Times New Roman" w:hAnsi="Times New Roman" w:cs="Times New Roman"/>
          <w:szCs w:val="24"/>
        </w:rPr>
        <w:t xml:space="preserve">, 59(4), pp. 440–454. </w:t>
      </w:r>
      <w:hyperlink r:id="rId32" w:tgtFrame="_new" w:history="1">
        <w:r w:rsidRPr="00B7140C">
          <w:rPr>
            <w:rStyle w:val="Hyperlink"/>
            <w:rFonts w:ascii="Times New Roman" w:hAnsi="Times New Roman" w:cs="Times New Roman"/>
            <w:szCs w:val="24"/>
          </w:rPr>
          <w:t>https://doi.org/10.2501/JAR-2019-030</w:t>
        </w:r>
      </w:hyperlink>
      <w:r w:rsidRPr="00B7140C">
        <w:rPr>
          <w:rFonts w:ascii="Times New Roman" w:hAnsi="Times New Roman" w:cs="Times New Roman"/>
          <w:szCs w:val="24"/>
        </w:rPr>
        <w:t>.</w:t>
      </w:r>
    </w:p>
    <w:p w14:paraId="69A69A8C"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Casaló</w:t>
      </w:r>
      <w:proofErr w:type="spellEnd"/>
      <w:r w:rsidRPr="00B7140C">
        <w:rPr>
          <w:rFonts w:ascii="Times New Roman" w:hAnsi="Times New Roman" w:cs="Times New Roman"/>
          <w:szCs w:val="24"/>
        </w:rPr>
        <w:t xml:space="preserve">, L.V., Flavián, C. and Ibáñez-Sánchez, S. (2020) ‘Influencers on Instagram: Antecedents and consequences of opinion leadership’, </w:t>
      </w:r>
      <w:r w:rsidRPr="00B7140C">
        <w:rPr>
          <w:rFonts w:ascii="Times New Roman" w:hAnsi="Times New Roman" w:cs="Times New Roman"/>
          <w:i/>
          <w:iCs/>
          <w:szCs w:val="24"/>
        </w:rPr>
        <w:t>Journal of Business Research</w:t>
      </w:r>
      <w:r w:rsidRPr="00B7140C">
        <w:rPr>
          <w:rFonts w:ascii="Times New Roman" w:hAnsi="Times New Roman" w:cs="Times New Roman"/>
          <w:szCs w:val="24"/>
        </w:rPr>
        <w:t xml:space="preserve">, 117, pp. 510–519. </w:t>
      </w:r>
      <w:hyperlink r:id="rId33" w:tgtFrame="_new" w:history="1">
        <w:r w:rsidRPr="00B7140C">
          <w:rPr>
            <w:rStyle w:val="Hyperlink"/>
            <w:rFonts w:ascii="Times New Roman" w:hAnsi="Times New Roman" w:cs="Times New Roman"/>
            <w:szCs w:val="24"/>
          </w:rPr>
          <w:t>https://doi.org/10.1016/j.jbusres.2018.07.005</w:t>
        </w:r>
      </w:hyperlink>
      <w:r w:rsidRPr="00B7140C">
        <w:rPr>
          <w:rFonts w:ascii="Times New Roman" w:hAnsi="Times New Roman" w:cs="Times New Roman"/>
          <w:szCs w:val="24"/>
        </w:rPr>
        <w:t>.</w:t>
      </w:r>
    </w:p>
    <w:p w14:paraId="3783ED36"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Committee of Advertising Practice (2026a) </w:t>
      </w:r>
      <w:proofErr w:type="spellStart"/>
      <w:r w:rsidRPr="00B7140C">
        <w:rPr>
          <w:rFonts w:ascii="Times New Roman" w:hAnsi="Times New Roman" w:cs="Times New Roman"/>
          <w:i/>
          <w:iCs/>
          <w:szCs w:val="24"/>
        </w:rPr>
        <w:t>Recognising</w:t>
      </w:r>
      <w:proofErr w:type="spellEnd"/>
      <w:r w:rsidRPr="00B7140C">
        <w:rPr>
          <w:rFonts w:ascii="Times New Roman" w:hAnsi="Times New Roman" w:cs="Times New Roman"/>
          <w:i/>
          <w:iCs/>
          <w:szCs w:val="24"/>
        </w:rPr>
        <w:t xml:space="preserve"> ads: </w:t>
      </w:r>
      <w:proofErr w:type="gramStart"/>
      <w:r w:rsidRPr="00B7140C">
        <w:rPr>
          <w:rFonts w:ascii="Times New Roman" w:hAnsi="Times New Roman" w:cs="Times New Roman"/>
          <w:i/>
          <w:iCs/>
          <w:szCs w:val="24"/>
        </w:rPr>
        <w:t>Social media</w:t>
      </w:r>
      <w:proofErr w:type="gramEnd"/>
      <w:r w:rsidRPr="00B7140C">
        <w:rPr>
          <w:rFonts w:ascii="Times New Roman" w:hAnsi="Times New Roman" w:cs="Times New Roman"/>
          <w:i/>
          <w:iCs/>
          <w:szCs w:val="24"/>
        </w:rPr>
        <w:t xml:space="preserve"> and influencer marketing</w:t>
      </w:r>
      <w:r w:rsidRPr="00B7140C">
        <w:rPr>
          <w:rFonts w:ascii="Times New Roman" w:hAnsi="Times New Roman" w:cs="Times New Roman"/>
          <w:szCs w:val="24"/>
        </w:rPr>
        <w:t xml:space="preserve">. 6 August. Available at: </w:t>
      </w:r>
      <w:hyperlink r:id="rId34" w:tgtFrame="_new" w:history="1">
        <w:r w:rsidRPr="00B7140C">
          <w:rPr>
            <w:rStyle w:val="Hyperlink"/>
            <w:rFonts w:ascii="Times New Roman" w:hAnsi="Times New Roman" w:cs="Times New Roman"/>
            <w:szCs w:val="24"/>
          </w:rPr>
          <w:t>https://www.asa.org.uk/advice-online/recognising-ads-social-media.html</w:t>
        </w:r>
      </w:hyperlink>
      <w:r w:rsidRPr="00B7140C">
        <w:rPr>
          <w:rFonts w:ascii="Times New Roman" w:hAnsi="Times New Roman" w:cs="Times New Roman"/>
          <w:szCs w:val="24"/>
        </w:rPr>
        <w:t xml:space="preserve"> (Accessed: 9 August 2026).</w:t>
      </w:r>
    </w:p>
    <w:p w14:paraId="5B30103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Committee of Advertising Practice (2026b) </w:t>
      </w:r>
      <w:r w:rsidRPr="00B7140C">
        <w:rPr>
          <w:rFonts w:ascii="Times New Roman" w:hAnsi="Times New Roman" w:cs="Times New Roman"/>
          <w:i/>
          <w:iCs/>
          <w:szCs w:val="24"/>
        </w:rPr>
        <w:t>02 Recognition of marketing communications</w:t>
      </w:r>
      <w:r w:rsidRPr="00B7140C">
        <w:rPr>
          <w:rFonts w:ascii="Times New Roman" w:hAnsi="Times New Roman" w:cs="Times New Roman"/>
          <w:szCs w:val="24"/>
        </w:rPr>
        <w:t xml:space="preserve">. CAP Code. Available at: </w:t>
      </w:r>
      <w:hyperlink r:id="rId35" w:tgtFrame="_new" w:history="1">
        <w:r w:rsidRPr="00B7140C">
          <w:rPr>
            <w:rStyle w:val="Hyperlink"/>
            <w:rFonts w:ascii="Times New Roman" w:hAnsi="Times New Roman" w:cs="Times New Roman"/>
            <w:szCs w:val="24"/>
          </w:rPr>
          <w:t>https://www.asa.org.uk/type/non_broadcast/code_section/02.html</w:t>
        </w:r>
      </w:hyperlink>
      <w:r w:rsidRPr="00B7140C">
        <w:rPr>
          <w:rFonts w:ascii="Times New Roman" w:hAnsi="Times New Roman" w:cs="Times New Roman"/>
          <w:szCs w:val="24"/>
        </w:rPr>
        <w:t xml:space="preserve"> (Accessed: 2 September 2026).</w:t>
      </w:r>
    </w:p>
    <w:p w14:paraId="5DEB5237"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Creswell, J.W. and Creswell, J.D. (2018) </w:t>
      </w:r>
      <w:r w:rsidRPr="00B7140C">
        <w:rPr>
          <w:rFonts w:ascii="Times New Roman" w:hAnsi="Times New Roman" w:cs="Times New Roman"/>
          <w:i/>
          <w:iCs/>
          <w:szCs w:val="24"/>
        </w:rPr>
        <w:t xml:space="preserve">Research design: Qualitative, quantitative, and mixed methods </w:t>
      </w:r>
      <w:proofErr w:type="gramStart"/>
      <w:r w:rsidRPr="00B7140C">
        <w:rPr>
          <w:rFonts w:ascii="Times New Roman" w:hAnsi="Times New Roman" w:cs="Times New Roman"/>
          <w:i/>
          <w:iCs/>
          <w:szCs w:val="24"/>
        </w:rPr>
        <w:t>approaches</w:t>
      </w:r>
      <w:proofErr w:type="gramEnd"/>
      <w:r w:rsidRPr="00B7140C">
        <w:rPr>
          <w:rFonts w:ascii="Times New Roman" w:hAnsi="Times New Roman" w:cs="Times New Roman"/>
          <w:szCs w:val="24"/>
        </w:rPr>
        <w:t xml:space="preserve">. 5th </w:t>
      </w:r>
      <w:proofErr w:type="spellStart"/>
      <w:r w:rsidRPr="00B7140C">
        <w:rPr>
          <w:rFonts w:ascii="Times New Roman" w:hAnsi="Times New Roman" w:cs="Times New Roman"/>
          <w:szCs w:val="24"/>
        </w:rPr>
        <w:t>edn</w:t>
      </w:r>
      <w:proofErr w:type="spellEnd"/>
      <w:r w:rsidRPr="00B7140C">
        <w:rPr>
          <w:rFonts w:ascii="Times New Roman" w:hAnsi="Times New Roman" w:cs="Times New Roman"/>
          <w:szCs w:val="24"/>
        </w:rPr>
        <w:t>. Los Angeles: SAGE.</w:t>
      </w:r>
    </w:p>
    <w:p w14:paraId="27BDFD5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Croes, E. and Bartels, J. (2021) ‘Young adults’ motivations for following social influencers and their relationship to identification and buying behavior’, </w:t>
      </w:r>
      <w:r w:rsidRPr="00B7140C">
        <w:rPr>
          <w:rFonts w:ascii="Times New Roman" w:hAnsi="Times New Roman" w:cs="Times New Roman"/>
          <w:i/>
          <w:iCs/>
          <w:szCs w:val="24"/>
        </w:rPr>
        <w:t>Computers in Human Behavior</w:t>
      </w:r>
      <w:r w:rsidRPr="00B7140C">
        <w:rPr>
          <w:rFonts w:ascii="Times New Roman" w:hAnsi="Times New Roman" w:cs="Times New Roman"/>
          <w:szCs w:val="24"/>
        </w:rPr>
        <w:t xml:space="preserve">, 124, article 106910. </w:t>
      </w:r>
      <w:hyperlink r:id="rId36" w:tgtFrame="_new" w:history="1">
        <w:r w:rsidRPr="00B7140C">
          <w:rPr>
            <w:rStyle w:val="Hyperlink"/>
            <w:rFonts w:ascii="Times New Roman" w:hAnsi="Times New Roman" w:cs="Times New Roman"/>
            <w:szCs w:val="24"/>
          </w:rPr>
          <w:t>https://doi.org/10.1016/j.chb.2021.106910</w:t>
        </w:r>
      </w:hyperlink>
      <w:r w:rsidRPr="00B7140C">
        <w:rPr>
          <w:rFonts w:ascii="Times New Roman" w:hAnsi="Times New Roman" w:cs="Times New Roman"/>
          <w:szCs w:val="24"/>
        </w:rPr>
        <w:t>.</w:t>
      </w:r>
    </w:p>
    <w:p w14:paraId="3EABF780"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lastRenderedPageBreak/>
        <w:t xml:space="preserve">De Cicco, R., Iacobucci, S. and Pagliaro, S. (2021) ‘The effect of influencer–product fit on advertising recognition and the role of an enhanced disclosure in increasing sponsorship transparency’, </w:t>
      </w:r>
      <w:r w:rsidRPr="00B7140C">
        <w:rPr>
          <w:rFonts w:ascii="Times New Roman" w:hAnsi="Times New Roman" w:cs="Times New Roman"/>
          <w:i/>
          <w:iCs/>
          <w:szCs w:val="24"/>
        </w:rPr>
        <w:t>International Journal of Advertising</w:t>
      </w:r>
      <w:r w:rsidRPr="00B7140C">
        <w:rPr>
          <w:rFonts w:ascii="Times New Roman" w:hAnsi="Times New Roman" w:cs="Times New Roman"/>
          <w:szCs w:val="24"/>
        </w:rPr>
        <w:t xml:space="preserve">, 40(5), pp. 733–759. </w:t>
      </w:r>
      <w:hyperlink r:id="rId37" w:tgtFrame="_new" w:history="1">
        <w:r w:rsidRPr="00B7140C">
          <w:rPr>
            <w:rStyle w:val="Hyperlink"/>
            <w:rFonts w:ascii="Times New Roman" w:hAnsi="Times New Roman" w:cs="Times New Roman"/>
            <w:szCs w:val="24"/>
          </w:rPr>
          <w:t>https://doi.org/10.1080/02650487.2020.1801198</w:t>
        </w:r>
      </w:hyperlink>
      <w:r w:rsidRPr="00B7140C">
        <w:rPr>
          <w:rFonts w:ascii="Times New Roman" w:hAnsi="Times New Roman" w:cs="Times New Roman"/>
          <w:szCs w:val="24"/>
        </w:rPr>
        <w:t>.</w:t>
      </w:r>
    </w:p>
    <w:p w14:paraId="6642B2A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De </w:t>
      </w:r>
      <w:proofErr w:type="spellStart"/>
      <w:r w:rsidRPr="00B7140C">
        <w:rPr>
          <w:rFonts w:ascii="Times New Roman" w:hAnsi="Times New Roman" w:cs="Times New Roman"/>
          <w:szCs w:val="24"/>
        </w:rPr>
        <w:t>Veirman</w:t>
      </w:r>
      <w:proofErr w:type="spellEnd"/>
      <w:r w:rsidRPr="00B7140C">
        <w:rPr>
          <w:rFonts w:ascii="Times New Roman" w:hAnsi="Times New Roman" w:cs="Times New Roman"/>
          <w:szCs w:val="24"/>
        </w:rPr>
        <w:t xml:space="preserve">, M., Cauberghe, V. and </w:t>
      </w:r>
      <w:proofErr w:type="spellStart"/>
      <w:r w:rsidRPr="00B7140C">
        <w:rPr>
          <w:rFonts w:ascii="Times New Roman" w:hAnsi="Times New Roman" w:cs="Times New Roman"/>
          <w:szCs w:val="24"/>
        </w:rPr>
        <w:t>Hudders</w:t>
      </w:r>
      <w:proofErr w:type="spellEnd"/>
      <w:r w:rsidRPr="00B7140C">
        <w:rPr>
          <w:rFonts w:ascii="Times New Roman" w:hAnsi="Times New Roman" w:cs="Times New Roman"/>
          <w:szCs w:val="24"/>
        </w:rPr>
        <w:t xml:space="preserve">, L. (2017) ‘Marketing through Instagram influencers: The impact of number of followers and product divergence on brand attitude’, </w:t>
      </w:r>
      <w:r w:rsidRPr="00B7140C">
        <w:rPr>
          <w:rFonts w:ascii="Times New Roman" w:hAnsi="Times New Roman" w:cs="Times New Roman"/>
          <w:i/>
          <w:iCs/>
          <w:szCs w:val="24"/>
        </w:rPr>
        <w:t>International Journal of Advertising</w:t>
      </w:r>
      <w:r w:rsidRPr="00B7140C">
        <w:rPr>
          <w:rFonts w:ascii="Times New Roman" w:hAnsi="Times New Roman" w:cs="Times New Roman"/>
          <w:szCs w:val="24"/>
        </w:rPr>
        <w:t xml:space="preserve">, 36(5), pp. 798–828. </w:t>
      </w:r>
      <w:hyperlink r:id="rId38" w:tgtFrame="_new" w:history="1">
        <w:r w:rsidRPr="00B7140C">
          <w:rPr>
            <w:rStyle w:val="Hyperlink"/>
            <w:rFonts w:ascii="Times New Roman" w:hAnsi="Times New Roman" w:cs="Times New Roman"/>
            <w:szCs w:val="24"/>
          </w:rPr>
          <w:t>https://doi.org/10.1080/02650487.2017.1348035</w:t>
        </w:r>
      </w:hyperlink>
      <w:r w:rsidRPr="00B7140C">
        <w:rPr>
          <w:rFonts w:ascii="Times New Roman" w:hAnsi="Times New Roman" w:cs="Times New Roman"/>
          <w:szCs w:val="24"/>
        </w:rPr>
        <w:t>.</w:t>
      </w:r>
    </w:p>
    <w:p w14:paraId="27CBAF1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Djafarova, E. and Bowes, T. (2021) ‘“Instagram made me buy it”: Generation Z impulse purchases in fashion industry’, </w:t>
      </w:r>
      <w:r w:rsidRPr="00B7140C">
        <w:rPr>
          <w:rFonts w:ascii="Times New Roman" w:hAnsi="Times New Roman" w:cs="Times New Roman"/>
          <w:i/>
          <w:iCs/>
          <w:szCs w:val="24"/>
        </w:rPr>
        <w:t>Journal of Retailing and Consumer Services</w:t>
      </w:r>
      <w:r w:rsidRPr="00B7140C">
        <w:rPr>
          <w:rFonts w:ascii="Times New Roman" w:hAnsi="Times New Roman" w:cs="Times New Roman"/>
          <w:szCs w:val="24"/>
        </w:rPr>
        <w:t xml:space="preserve">, 59, article 102345. </w:t>
      </w:r>
      <w:hyperlink r:id="rId39" w:tgtFrame="_new" w:history="1">
        <w:r w:rsidRPr="00B7140C">
          <w:rPr>
            <w:rStyle w:val="Hyperlink"/>
            <w:rFonts w:ascii="Times New Roman" w:hAnsi="Times New Roman" w:cs="Times New Roman"/>
            <w:szCs w:val="24"/>
          </w:rPr>
          <w:t>https://doi.org/10.1016/j.jretconser.2020.102345</w:t>
        </w:r>
      </w:hyperlink>
      <w:r w:rsidRPr="00B7140C">
        <w:rPr>
          <w:rFonts w:ascii="Times New Roman" w:hAnsi="Times New Roman" w:cs="Times New Roman"/>
          <w:szCs w:val="24"/>
        </w:rPr>
        <w:t>.</w:t>
      </w:r>
    </w:p>
    <w:p w14:paraId="4C09E990"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Edelman (2024) </w:t>
      </w:r>
      <w:r w:rsidRPr="00B7140C">
        <w:rPr>
          <w:rFonts w:ascii="Times New Roman" w:hAnsi="Times New Roman" w:cs="Times New Roman"/>
          <w:i/>
          <w:iCs/>
          <w:szCs w:val="24"/>
        </w:rPr>
        <w:t>2024 Edelman Trust Barometer: UK report</w:t>
      </w:r>
      <w:r w:rsidRPr="00B7140C">
        <w:rPr>
          <w:rFonts w:ascii="Times New Roman" w:hAnsi="Times New Roman" w:cs="Times New Roman"/>
          <w:szCs w:val="24"/>
        </w:rPr>
        <w:t xml:space="preserve">. Available at: </w:t>
      </w:r>
      <w:hyperlink r:id="rId40" w:tgtFrame="_new" w:history="1">
        <w:r w:rsidRPr="00B7140C">
          <w:rPr>
            <w:rStyle w:val="Hyperlink"/>
            <w:rFonts w:ascii="Times New Roman" w:hAnsi="Times New Roman" w:cs="Times New Roman"/>
            <w:szCs w:val="24"/>
          </w:rPr>
          <w:t>https://www.edelman.com/uk/trust/2024/trust-barometer</w:t>
        </w:r>
      </w:hyperlink>
      <w:r w:rsidRPr="00B7140C">
        <w:rPr>
          <w:rFonts w:ascii="Times New Roman" w:hAnsi="Times New Roman" w:cs="Times New Roman"/>
          <w:szCs w:val="24"/>
        </w:rPr>
        <w:t xml:space="preserve"> (Accessed: 13 July 2026).</w:t>
      </w:r>
    </w:p>
    <w:p w14:paraId="33522715"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Eisend</w:t>
      </w:r>
      <w:proofErr w:type="spellEnd"/>
      <w:r w:rsidRPr="00B7140C">
        <w:rPr>
          <w:rFonts w:ascii="Times New Roman" w:hAnsi="Times New Roman" w:cs="Times New Roman"/>
          <w:szCs w:val="24"/>
        </w:rPr>
        <w:t xml:space="preserve">, M., van </w:t>
      </w:r>
      <w:proofErr w:type="spellStart"/>
      <w:r w:rsidRPr="00B7140C">
        <w:rPr>
          <w:rFonts w:ascii="Times New Roman" w:hAnsi="Times New Roman" w:cs="Times New Roman"/>
          <w:szCs w:val="24"/>
        </w:rPr>
        <w:t>Reijmersdal</w:t>
      </w:r>
      <w:proofErr w:type="spellEnd"/>
      <w:r w:rsidRPr="00B7140C">
        <w:rPr>
          <w:rFonts w:ascii="Times New Roman" w:hAnsi="Times New Roman" w:cs="Times New Roman"/>
          <w:szCs w:val="24"/>
        </w:rPr>
        <w:t xml:space="preserve">, E.A., Boerman, S.C. and </w:t>
      </w:r>
      <w:proofErr w:type="spellStart"/>
      <w:r w:rsidRPr="00B7140C">
        <w:rPr>
          <w:rFonts w:ascii="Times New Roman" w:hAnsi="Times New Roman" w:cs="Times New Roman"/>
          <w:szCs w:val="24"/>
        </w:rPr>
        <w:t>Tarrahi</w:t>
      </w:r>
      <w:proofErr w:type="spellEnd"/>
      <w:r w:rsidRPr="00B7140C">
        <w:rPr>
          <w:rFonts w:ascii="Times New Roman" w:hAnsi="Times New Roman" w:cs="Times New Roman"/>
          <w:szCs w:val="24"/>
        </w:rPr>
        <w:t xml:space="preserve">, F. (2020) ‘A meta-analysis of the effects of disclosing sponsored content’, </w:t>
      </w:r>
      <w:r w:rsidRPr="00B7140C">
        <w:rPr>
          <w:rFonts w:ascii="Times New Roman" w:hAnsi="Times New Roman" w:cs="Times New Roman"/>
          <w:i/>
          <w:iCs/>
          <w:szCs w:val="24"/>
        </w:rPr>
        <w:t>Journal of Advertising</w:t>
      </w:r>
      <w:r w:rsidRPr="00B7140C">
        <w:rPr>
          <w:rFonts w:ascii="Times New Roman" w:hAnsi="Times New Roman" w:cs="Times New Roman"/>
          <w:szCs w:val="24"/>
        </w:rPr>
        <w:t xml:space="preserve">, 49(3), pp. 344–366. </w:t>
      </w:r>
      <w:hyperlink r:id="rId41" w:tgtFrame="_new" w:history="1">
        <w:r w:rsidRPr="00B7140C">
          <w:rPr>
            <w:rStyle w:val="Hyperlink"/>
            <w:rFonts w:ascii="Times New Roman" w:hAnsi="Times New Roman" w:cs="Times New Roman"/>
            <w:szCs w:val="24"/>
          </w:rPr>
          <w:t>https://doi.org/10.1080/00913367.2020.1765909</w:t>
        </w:r>
      </w:hyperlink>
      <w:r w:rsidRPr="00B7140C">
        <w:rPr>
          <w:rFonts w:ascii="Times New Roman" w:hAnsi="Times New Roman" w:cs="Times New Roman"/>
          <w:szCs w:val="24"/>
        </w:rPr>
        <w:t>.</w:t>
      </w:r>
    </w:p>
    <w:p w14:paraId="71B22E70"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Farivar, S., Wang, F. and Yuan, Y. (2021) ‘Opinion leadership vs. para-social relationship: Key factors in influencer marketing’, </w:t>
      </w:r>
      <w:r w:rsidRPr="00B7140C">
        <w:rPr>
          <w:rFonts w:ascii="Times New Roman" w:hAnsi="Times New Roman" w:cs="Times New Roman"/>
          <w:i/>
          <w:iCs/>
          <w:szCs w:val="24"/>
        </w:rPr>
        <w:t>Journal of Retailing and Consumer Services</w:t>
      </w:r>
      <w:r w:rsidRPr="00B7140C">
        <w:rPr>
          <w:rFonts w:ascii="Times New Roman" w:hAnsi="Times New Roman" w:cs="Times New Roman"/>
          <w:szCs w:val="24"/>
        </w:rPr>
        <w:t xml:space="preserve">, 59, article 102371. </w:t>
      </w:r>
      <w:hyperlink r:id="rId42" w:tgtFrame="_new" w:history="1">
        <w:r w:rsidRPr="00B7140C">
          <w:rPr>
            <w:rStyle w:val="Hyperlink"/>
            <w:rFonts w:ascii="Times New Roman" w:hAnsi="Times New Roman" w:cs="Times New Roman"/>
            <w:szCs w:val="24"/>
          </w:rPr>
          <w:t>https://doi.org/10.1016/j.jretconser.2020.102371</w:t>
        </w:r>
      </w:hyperlink>
      <w:r w:rsidRPr="00B7140C">
        <w:rPr>
          <w:rFonts w:ascii="Times New Roman" w:hAnsi="Times New Roman" w:cs="Times New Roman"/>
          <w:szCs w:val="24"/>
        </w:rPr>
        <w:t>.</w:t>
      </w:r>
    </w:p>
    <w:p w14:paraId="5BAC686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Fisher, B. (2025) </w:t>
      </w:r>
      <w:r w:rsidRPr="00B7140C">
        <w:rPr>
          <w:rFonts w:ascii="Times New Roman" w:hAnsi="Times New Roman" w:cs="Times New Roman"/>
          <w:i/>
          <w:iCs/>
          <w:szCs w:val="24"/>
        </w:rPr>
        <w:t>UK influencer marketing 2025: Engagement, trust, and platform strategy are shaping development</w:t>
      </w:r>
      <w:r w:rsidRPr="00B7140C">
        <w:rPr>
          <w:rFonts w:ascii="Times New Roman" w:hAnsi="Times New Roman" w:cs="Times New Roman"/>
          <w:szCs w:val="24"/>
        </w:rPr>
        <w:t xml:space="preserve">. EMARKETER, 24 October. Available at: </w:t>
      </w:r>
      <w:hyperlink r:id="rId43" w:tgtFrame="_new" w:history="1">
        <w:r w:rsidRPr="00B7140C">
          <w:rPr>
            <w:rStyle w:val="Hyperlink"/>
            <w:rFonts w:ascii="Times New Roman" w:hAnsi="Times New Roman" w:cs="Times New Roman"/>
            <w:szCs w:val="24"/>
          </w:rPr>
          <w:t>https://www.emarketer.com/content/uk-influencer-marketing-2025</w:t>
        </w:r>
      </w:hyperlink>
      <w:r w:rsidRPr="00B7140C">
        <w:rPr>
          <w:rFonts w:ascii="Times New Roman" w:hAnsi="Times New Roman" w:cs="Times New Roman"/>
          <w:szCs w:val="24"/>
        </w:rPr>
        <w:t xml:space="preserve"> (Accessed: 13 July 2026).</w:t>
      </w:r>
    </w:p>
    <w:p w14:paraId="002E6960"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Gerrath</w:t>
      </w:r>
      <w:proofErr w:type="spellEnd"/>
      <w:r w:rsidRPr="00B7140C">
        <w:rPr>
          <w:rFonts w:ascii="Times New Roman" w:hAnsi="Times New Roman" w:cs="Times New Roman"/>
          <w:szCs w:val="24"/>
        </w:rPr>
        <w:t xml:space="preserve">, M.H.E.E. and Usrey, B. (2021) ‘The impact of influencer motives and commonness perceptions on follower reactions toward incentivized reviews’, </w:t>
      </w:r>
      <w:r w:rsidRPr="00B7140C">
        <w:rPr>
          <w:rFonts w:ascii="Times New Roman" w:hAnsi="Times New Roman" w:cs="Times New Roman"/>
          <w:i/>
          <w:iCs/>
          <w:szCs w:val="24"/>
        </w:rPr>
        <w:t>International Journal of Research in Marketing</w:t>
      </w:r>
      <w:r w:rsidRPr="00B7140C">
        <w:rPr>
          <w:rFonts w:ascii="Times New Roman" w:hAnsi="Times New Roman" w:cs="Times New Roman"/>
          <w:szCs w:val="24"/>
        </w:rPr>
        <w:t>, 38(3), pp. 531–548. https://doi.org/10.1016/j.ijresmar.2020.09.010.</w:t>
      </w:r>
    </w:p>
    <w:p w14:paraId="0F8D4A9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Guttmann, A. (2026) </w:t>
      </w:r>
      <w:r w:rsidRPr="00B7140C">
        <w:rPr>
          <w:rFonts w:ascii="Times New Roman" w:hAnsi="Times New Roman" w:cs="Times New Roman"/>
          <w:i/>
          <w:iCs/>
          <w:szCs w:val="24"/>
        </w:rPr>
        <w:t>Influencer marketing worldwide – statistics &amp; facts</w:t>
      </w:r>
      <w:r w:rsidRPr="00B7140C">
        <w:rPr>
          <w:rFonts w:ascii="Times New Roman" w:hAnsi="Times New Roman" w:cs="Times New Roman"/>
          <w:szCs w:val="24"/>
        </w:rPr>
        <w:t xml:space="preserve">. Statista, 20 March. Available at: </w:t>
      </w:r>
      <w:hyperlink r:id="rId44" w:tgtFrame="_new" w:history="1">
        <w:r w:rsidRPr="00B7140C">
          <w:rPr>
            <w:rStyle w:val="Hyperlink"/>
            <w:rFonts w:ascii="Times New Roman" w:hAnsi="Times New Roman" w:cs="Times New Roman"/>
            <w:szCs w:val="24"/>
          </w:rPr>
          <w:t>https://www.statista.com/topics/2496/influence-marketing/</w:t>
        </w:r>
      </w:hyperlink>
      <w:r w:rsidRPr="00B7140C">
        <w:rPr>
          <w:rFonts w:ascii="Times New Roman" w:hAnsi="Times New Roman" w:cs="Times New Roman"/>
          <w:szCs w:val="24"/>
        </w:rPr>
        <w:t xml:space="preserve"> (Accessed: 13 July 2026).</w:t>
      </w:r>
    </w:p>
    <w:p w14:paraId="3A72431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Haenlein, M., </w:t>
      </w:r>
      <w:proofErr w:type="spellStart"/>
      <w:r w:rsidRPr="00B7140C">
        <w:rPr>
          <w:rFonts w:ascii="Times New Roman" w:hAnsi="Times New Roman" w:cs="Times New Roman"/>
          <w:szCs w:val="24"/>
        </w:rPr>
        <w:t>Anadol</w:t>
      </w:r>
      <w:proofErr w:type="spellEnd"/>
      <w:r w:rsidRPr="00B7140C">
        <w:rPr>
          <w:rFonts w:ascii="Times New Roman" w:hAnsi="Times New Roman" w:cs="Times New Roman"/>
          <w:szCs w:val="24"/>
        </w:rPr>
        <w:t xml:space="preserve">, E., Farnsworth, T., Hugo, H., </w:t>
      </w:r>
      <w:proofErr w:type="spellStart"/>
      <w:r w:rsidRPr="00B7140C">
        <w:rPr>
          <w:rFonts w:ascii="Times New Roman" w:hAnsi="Times New Roman" w:cs="Times New Roman"/>
          <w:szCs w:val="24"/>
        </w:rPr>
        <w:t>Hunichen</w:t>
      </w:r>
      <w:proofErr w:type="spellEnd"/>
      <w:r w:rsidRPr="00B7140C">
        <w:rPr>
          <w:rFonts w:ascii="Times New Roman" w:hAnsi="Times New Roman" w:cs="Times New Roman"/>
          <w:szCs w:val="24"/>
        </w:rPr>
        <w:t xml:space="preserve">, J. and Welte, D. (2020) ‘Navigating the new era of influencer marketing: How to be successful on Instagram, </w:t>
      </w:r>
      <w:r w:rsidRPr="00B7140C">
        <w:rPr>
          <w:rFonts w:ascii="Times New Roman" w:hAnsi="Times New Roman" w:cs="Times New Roman"/>
          <w:szCs w:val="24"/>
        </w:rPr>
        <w:lastRenderedPageBreak/>
        <w:t xml:space="preserve">TikTok, &amp; Co.’, </w:t>
      </w:r>
      <w:r w:rsidRPr="00B7140C">
        <w:rPr>
          <w:rFonts w:ascii="Times New Roman" w:hAnsi="Times New Roman" w:cs="Times New Roman"/>
          <w:i/>
          <w:iCs/>
          <w:szCs w:val="24"/>
        </w:rPr>
        <w:t>California Management Review</w:t>
      </w:r>
      <w:r w:rsidRPr="00B7140C">
        <w:rPr>
          <w:rFonts w:ascii="Times New Roman" w:hAnsi="Times New Roman" w:cs="Times New Roman"/>
          <w:szCs w:val="24"/>
        </w:rPr>
        <w:t>, 63(1), pp. 5–25. https://doi.org/10.1177/0008125620958166.</w:t>
      </w:r>
    </w:p>
    <w:p w14:paraId="4C859EB6"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Horton, D. and Wohl, R.R. (1956) ‘Mass communication and para-social interaction: Observations on intimacy at a distance’, </w:t>
      </w:r>
      <w:r w:rsidRPr="00B7140C">
        <w:rPr>
          <w:rFonts w:ascii="Times New Roman" w:hAnsi="Times New Roman" w:cs="Times New Roman"/>
          <w:i/>
          <w:iCs/>
          <w:szCs w:val="24"/>
        </w:rPr>
        <w:t>Psychiatry</w:t>
      </w:r>
      <w:r w:rsidRPr="00B7140C">
        <w:rPr>
          <w:rFonts w:ascii="Times New Roman" w:hAnsi="Times New Roman" w:cs="Times New Roman"/>
          <w:szCs w:val="24"/>
        </w:rPr>
        <w:t>, 19(3), pp. 215–229. https://doi.org/10.1080/00332747.1956.11023049.</w:t>
      </w:r>
    </w:p>
    <w:p w14:paraId="3D267CB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Hovland, C.I. and Weiss, W. (1951) ‘The influence of source credibility on communication effectiveness’, </w:t>
      </w:r>
      <w:r w:rsidRPr="00B7140C">
        <w:rPr>
          <w:rFonts w:ascii="Times New Roman" w:hAnsi="Times New Roman" w:cs="Times New Roman"/>
          <w:i/>
          <w:iCs/>
          <w:szCs w:val="24"/>
        </w:rPr>
        <w:t>Public Opinion Quarterly</w:t>
      </w:r>
      <w:r w:rsidRPr="00B7140C">
        <w:rPr>
          <w:rFonts w:ascii="Times New Roman" w:hAnsi="Times New Roman" w:cs="Times New Roman"/>
          <w:szCs w:val="24"/>
        </w:rPr>
        <w:t xml:space="preserve">, 15(4), pp. 635–650. </w:t>
      </w:r>
      <w:hyperlink r:id="rId45" w:tgtFrame="_new" w:history="1">
        <w:r w:rsidRPr="00B7140C">
          <w:rPr>
            <w:rStyle w:val="Hyperlink"/>
            <w:rFonts w:ascii="Times New Roman" w:hAnsi="Times New Roman" w:cs="Times New Roman"/>
            <w:szCs w:val="24"/>
          </w:rPr>
          <w:t>https://doi.org/10.1086/266350</w:t>
        </w:r>
      </w:hyperlink>
      <w:r w:rsidRPr="00B7140C">
        <w:rPr>
          <w:rFonts w:ascii="Times New Roman" w:hAnsi="Times New Roman" w:cs="Times New Roman"/>
          <w:szCs w:val="24"/>
        </w:rPr>
        <w:t>.</w:t>
      </w:r>
    </w:p>
    <w:p w14:paraId="088C4996"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HubSpot (2024) </w:t>
      </w:r>
      <w:r w:rsidRPr="00B7140C">
        <w:rPr>
          <w:rFonts w:ascii="Times New Roman" w:hAnsi="Times New Roman" w:cs="Times New Roman"/>
          <w:i/>
          <w:iCs/>
          <w:szCs w:val="24"/>
        </w:rPr>
        <w:t>The 2024 social trends report</w:t>
      </w:r>
      <w:r w:rsidRPr="00B7140C">
        <w:rPr>
          <w:rFonts w:ascii="Times New Roman" w:hAnsi="Times New Roman" w:cs="Times New Roman"/>
          <w:szCs w:val="24"/>
        </w:rPr>
        <w:t xml:space="preserve">. Available at: </w:t>
      </w:r>
      <w:hyperlink r:id="rId46" w:tgtFrame="_new" w:history="1">
        <w:r w:rsidRPr="00B7140C">
          <w:rPr>
            <w:rStyle w:val="Hyperlink"/>
            <w:rFonts w:ascii="Times New Roman" w:hAnsi="Times New Roman" w:cs="Times New Roman"/>
            <w:szCs w:val="24"/>
          </w:rPr>
          <w:t>https://www.hubspot.com/startups/reports/social-trends</w:t>
        </w:r>
      </w:hyperlink>
      <w:r w:rsidRPr="00B7140C">
        <w:rPr>
          <w:rFonts w:ascii="Times New Roman" w:hAnsi="Times New Roman" w:cs="Times New Roman"/>
          <w:szCs w:val="24"/>
        </w:rPr>
        <w:t xml:space="preserve"> (Accessed: 13 July 2026).</w:t>
      </w:r>
    </w:p>
    <w:p w14:paraId="08EFBAB0"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Hudders</w:t>
      </w:r>
      <w:proofErr w:type="spellEnd"/>
      <w:r w:rsidRPr="00B7140C">
        <w:rPr>
          <w:rFonts w:ascii="Times New Roman" w:hAnsi="Times New Roman" w:cs="Times New Roman"/>
          <w:szCs w:val="24"/>
        </w:rPr>
        <w:t xml:space="preserve">, L., De Jans, S. and De </w:t>
      </w:r>
      <w:proofErr w:type="spellStart"/>
      <w:r w:rsidRPr="00B7140C">
        <w:rPr>
          <w:rFonts w:ascii="Times New Roman" w:hAnsi="Times New Roman" w:cs="Times New Roman"/>
          <w:szCs w:val="24"/>
        </w:rPr>
        <w:t>Veirman</w:t>
      </w:r>
      <w:proofErr w:type="spellEnd"/>
      <w:r w:rsidRPr="00B7140C">
        <w:rPr>
          <w:rFonts w:ascii="Times New Roman" w:hAnsi="Times New Roman" w:cs="Times New Roman"/>
          <w:szCs w:val="24"/>
        </w:rPr>
        <w:t xml:space="preserve">, M. (2021) ‘The commercialization of social media stars: A literature review and conceptual framework on the strategic use of social media influencers’, </w:t>
      </w:r>
      <w:r w:rsidRPr="00B7140C">
        <w:rPr>
          <w:rFonts w:ascii="Times New Roman" w:hAnsi="Times New Roman" w:cs="Times New Roman"/>
          <w:i/>
          <w:iCs/>
          <w:szCs w:val="24"/>
        </w:rPr>
        <w:t>International Journal of Advertising</w:t>
      </w:r>
      <w:r w:rsidRPr="00B7140C">
        <w:rPr>
          <w:rFonts w:ascii="Times New Roman" w:hAnsi="Times New Roman" w:cs="Times New Roman"/>
          <w:szCs w:val="24"/>
        </w:rPr>
        <w:t xml:space="preserve">, 40(3), pp. 327–375. </w:t>
      </w:r>
      <w:hyperlink r:id="rId47" w:tgtFrame="_new" w:history="1">
        <w:r w:rsidRPr="00B7140C">
          <w:rPr>
            <w:rStyle w:val="Hyperlink"/>
            <w:rFonts w:ascii="Times New Roman" w:hAnsi="Times New Roman" w:cs="Times New Roman"/>
            <w:szCs w:val="24"/>
          </w:rPr>
          <w:t>https://doi.org/10.1080/02650487.2020.1836925</w:t>
        </w:r>
      </w:hyperlink>
      <w:r w:rsidRPr="00B7140C">
        <w:rPr>
          <w:rFonts w:ascii="Times New Roman" w:hAnsi="Times New Roman" w:cs="Times New Roman"/>
          <w:szCs w:val="24"/>
        </w:rPr>
        <w:t>.</w:t>
      </w:r>
    </w:p>
    <w:p w14:paraId="6FD9B87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Hughes, C., Swaminathan, V. and Brooks, G. (2019) ‘Driving brand engagement through online social influencers: An empirical investigation of sponsored blogging campaigns’, </w:t>
      </w:r>
      <w:r w:rsidRPr="00B7140C">
        <w:rPr>
          <w:rFonts w:ascii="Times New Roman" w:hAnsi="Times New Roman" w:cs="Times New Roman"/>
          <w:i/>
          <w:iCs/>
          <w:szCs w:val="24"/>
        </w:rPr>
        <w:t>Journal of Marketing</w:t>
      </w:r>
      <w:r w:rsidRPr="00B7140C">
        <w:rPr>
          <w:rFonts w:ascii="Times New Roman" w:hAnsi="Times New Roman" w:cs="Times New Roman"/>
          <w:szCs w:val="24"/>
        </w:rPr>
        <w:t xml:space="preserve">, 83(5), pp. 78–96. </w:t>
      </w:r>
      <w:hyperlink r:id="rId48" w:tgtFrame="_new" w:history="1">
        <w:r w:rsidRPr="00B7140C">
          <w:rPr>
            <w:rStyle w:val="Hyperlink"/>
            <w:rFonts w:ascii="Times New Roman" w:hAnsi="Times New Roman" w:cs="Times New Roman"/>
            <w:szCs w:val="24"/>
          </w:rPr>
          <w:t>https://doi.org/10.1177/0022242919854374</w:t>
        </w:r>
      </w:hyperlink>
      <w:r w:rsidRPr="00B7140C">
        <w:rPr>
          <w:rFonts w:ascii="Times New Roman" w:hAnsi="Times New Roman" w:cs="Times New Roman"/>
          <w:szCs w:val="24"/>
        </w:rPr>
        <w:t>.</w:t>
      </w:r>
    </w:p>
    <w:p w14:paraId="0E85C456"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HypeAuditor</w:t>
      </w:r>
      <w:proofErr w:type="spellEnd"/>
      <w:r w:rsidRPr="00B7140C">
        <w:rPr>
          <w:rFonts w:ascii="Times New Roman" w:hAnsi="Times New Roman" w:cs="Times New Roman"/>
          <w:szCs w:val="24"/>
        </w:rPr>
        <w:t xml:space="preserve"> (2024) </w:t>
      </w:r>
      <w:r w:rsidRPr="00B7140C">
        <w:rPr>
          <w:rFonts w:ascii="Times New Roman" w:hAnsi="Times New Roman" w:cs="Times New Roman"/>
          <w:i/>
          <w:iCs/>
          <w:szCs w:val="24"/>
        </w:rPr>
        <w:t>State of influencer marketing 2024: Trends &amp; benchmarks of influencer marketing in 2024</w:t>
      </w:r>
      <w:r w:rsidRPr="00B7140C">
        <w:rPr>
          <w:rFonts w:ascii="Times New Roman" w:hAnsi="Times New Roman" w:cs="Times New Roman"/>
          <w:szCs w:val="24"/>
        </w:rPr>
        <w:t xml:space="preserve">. Available at: </w:t>
      </w:r>
      <w:hyperlink r:id="rId49" w:tgtFrame="_new" w:history="1">
        <w:r w:rsidRPr="00B7140C">
          <w:rPr>
            <w:rStyle w:val="Hyperlink"/>
            <w:rFonts w:ascii="Times New Roman" w:hAnsi="Times New Roman" w:cs="Times New Roman"/>
            <w:szCs w:val="24"/>
          </w:rPr>
          <w:t>https://hypeauditor.com/resources/whitepapers/state-of-influencer-marketing-2024/</w:t>
        </w:r>
      </w:hyperlink>
      <w:r w:rsidRPr="00B7140C">
        <w:rPr>
          <w:rFonts w:ascii="Times New Roman" w:hAnsi="Times New Roman" w:cs="Times New Roman"/>
          <w:szCs w:val="24"/>
        </w:rPr>
        <w:t xml:space="preserve"> (Accessed: 13 July 2026).</w:t>
      </w:r>
    </w:p>
    <w:p w14:paraId="3CC9BF54"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Influencer Marketing Hub (2024) </w:t>
      </w:r>
      <w:r w:rsidRPr="00B7140C">
        <w:rPr>
          <w:rFonts w:ascii="Times New Roman" w:hAnsi="Times New Roman" w:cs="Times New Roman"/>
          <w:i/>
          <w:iCs/>
          <w:szCs w:val="24"/>
        </w:rPr>
        <w:t>Influencer marketing benchmark report 2024</w:t>
      </w:r>
      <w:r w:rsidRPr="00B7140C">
        <w:rPr>
          <w:rFonts w:ascii="Times New Roman" w:hAnsi="Times New Roman" w:cs="Times New Roman"/>
          <w:szCs w:val="24"/>
        </w:rPr>
        <w:t xml:space="preserve">. Available at: </w:t>
      </w:r>
      <w:hyperlink r:id="rId50" w:tgtFrame="_new" w:history="1">
        <w:r w:rsidRPr="00B7140C">
          <w:rPr>
            <w:rStyle w:val="Hyperlink"/>
            <w:rFonts w:ascii="Times New Roman" w:hAnsi="Times New Roman" w:cs="Times New Roman"/>
            <w:szCs w:val="24"/>
          </w:rPr>
          <w:t>https://influencermarketinghub.com/influencer-marketing-benchmark-report-2024/</w:t>
        </w:r>
      </w:hyperlink>
      <w:r w:rsidRPr="00B7140C">
        <w:rPr>
          <w:rFonts w:ascii="Times New Roman" w:hAnsi="Times New Roman" w:cs="Times New Roman"/>
          <w:szCs w:val="24"/>
        </w:rPr>
        <w:t xml:space="preserve"> (Accessed: 13 July 2026).</w:t>
      </w:r>
    </w:p>
    <w:p w14:paraId="22BDDA2D"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Jobe, N. (2025) ‘Revolution Beauty reports revenue drop amid major restructuring’, </w:t>
      </w:r>
      <w:r w:rsidRPr="00B7140C">
        <w:rPr>
          <w:rFonts w:ascii="Times New Roman" w:hAnsi="Times New Roman" w:cs="Times New Roman"/>
          <w:i/>
          <w:iCs/>
          <w:szCs w:val="24"/>
        </w:rPr>
        <w:t>Cosmetics Business</w:t>
      </w:r>
      <w:r w:rsidRPr="00B7140C">
        <w:rPr>
          <w:rFonts w:ascii="Times New Roman" w:hAnsi="Times New Roman" w:cs="Times New Roman"/>
          <w:szCs w:val="24"/>
        </w:rPr>
        <w:t xml:space="preserve">, 13 May. Available at: </w:t>
      </w:r>
      <w:hyperlink r:id="rId51" w:tgtFrame="_new" w:history="1">
        <w:r w:rsidRPr="00B7140C">
          <w:rPr>
            <w:rStyle w:val="Hyperlink"/>
            <w:rFonts w:ascii="Times New Roman" w:hAnsi="Times New Roman" w:cs="Times New Roman"/>
            <w:szCs w:val="24"/>
          </w:rPr>
          <w:t>https://www.cosmeticsbusiness.com/revolution-beauty-reports-revenue-drop-amid-major-restructuring</w:t>
        </w:r>
      </w:hyperlink>
      <w:r w:rsidRPr="00B7140C">
        <w:rPr>
          <w:rFonts w:ascii="Times New Roman" w:hAnsi="Times New Roman" w:cs="Times New Roman"/>
          <w:szCs w:val="24"/>
        </w:rPr>
        <w:t xml:space="preserve"> (Accessed: 2 September 2026).</w:t>
      </w:r>
    </w:p>
    <w:p w14:paraId="6867AFF6"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Kay, S., Mulcahy, R. and Parkinson, J. (2020) ‘When less is more: The impact of macro and micro social media influencers’ disclosure’, </w:t>
      </w:r>
      <w:r w:rsidRPr="00B7140C">
        <w:rPr>
          <w:rFonts w:ascii="Times New Roman" w:hAnsi="Times New Roman" w:cs="Times New Roman"/>
          <w:i/>
          <w:iCs/>
          <w:szCs w:val="24"/>
        </w:rPr>
        <w:t>Journal of Marketing Management</w:t>
      </w:r>
      <w:r w:rsidRPr="00B7140C">
        <w:rPr>
          <w:rFonts w:ascii="Times New Roman" w:hAnsi="Times New Roman" w:cs="Times New Roman"/>
          <w:szCs w:val="24"/>
        </w:rPr>
        <w:t>, 36(3–4), pp. 248–278. https://doi.org/10.1080/0267257X.2020.1718740.</w:t>
      </w:r>
    </w:p>
    <w:p w14:paraId="6CD6525F"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lastRenderedPageBreak/>
        <w:t xml:space="preserve">Ki, C.-W. and Kim, Y.-K. (2019) ‘The mechanism by which social media influencers persuade consumers: The role of consumers’ desire to mimic’, </w:t>
      </w:r>
      <w:r w:rsidRPr="00B7140C">
        <w:rPr>
          <w:rFonts w:ascii="Times New Roman" w:hAnsi="Times New Roman" w:cs="Times New Roman"/>
          <w:i/>
          <w:iCs/>
          <w:szCs w:val="24"/>
        </w:rPr>
        <w:t>Psychology &amp; Marketing</w:t>
      </w:r>
      <w:r w:rsidRPr="00B7140C">
        <w:rPr>
          <w:rFonts w:ascii="Times New Roman" w:hAnsi="Times New Roman" w:cs="Times New Roman"/>
          <w:szCs w:val="24"/>
        </w:rPr>
        <w:t xml:space="preserve">, 36(10), pp. 905–922. </w:t>
      </w:r>
      <w:hyperlink r:id="rId52" w:tgtFrame="_new" w:history="1">
        <w:r w:rsidRPr="00B7140C">
          <w:rPr>
            <w:rStyle w:val="Hyperlink"/>
            <w:rFonts w:ascii="Times New Roman" w:hAnsi="Times New Roman" w:cs="Times New Roman"/>
            <w:szCs w:val="24"/>
          </w:rPr>
          <w:t>https://doi.org/10.1002/mar.21244</w:t>
        </w:r>
      </w:hyperlink>
      <w:r w:rsidRPr="00B7140C">
        <w:rPr>
          <w:rFonts w:ascii="Times New Roman" w:hAnsi="Times New Roman" w:cs="Times New Roman"/>
          <w:szCs w:val="24"/>
        </w:rPr>
        <w:t>.</w:t>
      </w:r>
    </w:p>
    <w:p w14:paraId="7522F6D4"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Kim, D.Y. and Kim, H.-Y. (2021) ‘Trust me, trust me not: A nuanced view of influencer marketing on social media’, </w:t>
      </w:r>
      <w:r w:rsidRPr="00B7140C">
        <w:rPr>
          <w:rFonts w:ascii="Times New Roman" w:hAnsi="Times New Roman" w:cs="Times New Roman"/>
          <w:i/>
          <w:iCs/>
          <w:szCs w:val="24"/>
        </w:rPr>
        <w:t>Journal of Business Research</w:t>
      </w:r>
      <w:r w:rsidRPr="00B7140C">
        <w:rPr>
          <w:rFonts w:ascii="Times New Roman" w:hAnsi="Times New Roman" w:cs="Times New Roman"/>
          <w:szCs w:val="24"/>
        </w:rPr>
        <w:t xml:space="preserve">, 134, pp. 223–232. </w:t>
      </w:r>
      <w:hyperlink r:id="rId53" w:tgtFrame="_new" w:history="1">
        <w:r w:rsidRPr="00B7140C">
          <w:rPr>
            <w:rStyle w:val="Hyperlink"/>
            <w:rFonts w:ascii="Times New Roman" w:hAnsi="Times New Roman" w:cs="Times New Roman"/>
            <w:szCs w:val="24"/>
          </w:rPr>
          <w:t>https://doi.org/10.1016/j.jbusres.2021.05.024</w:t>
        </w:r>
      </w:hyperlink>
      <w:r w:rsidRPr="00B7140C">
        <w:rPr>
          <w:rFonts w:ascii="Times New Roman" w:hAnsi="Times New Roman" w:cs="Times New Roman"/>
          <w:szCs w:val="24"/>
        </w:rPr>
        <w:t>.</w:t>
      </w:r>
    </w:p>
    <w:p w14:paraId="596407A5"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Lee, J.A. and Eastin, M.S. (2021) ‘Perceived authenticity of social media influencers: Scale development and validation’, </w:t>
      </w:r>
      <w:r w:rsidRPr="00B7140C">
        <w:rPr>
          <w:rFonts w:ascii="Times New Roman" w:hAnsi="Times New Roman" w:cs="Times New Roman"/>
          <w:i/>
          <w:iCs/>
          <w:szCs w:val="24"/>
        </w:rPr>
        <w:t>Journal of Research in Interactive Marketing</w:t>
      </w:r>
      <w:r w:rsidRPr="00B7140C">
        <w:rPr>
          <w:rFonts w:ascii="Times New Roman" w:hAnsi="Times New Roman" w:cs="Times New Roman"/>
          <w:szCs w:val="24"/>
        </w:rPr>
        <w:t>, 15(4), pp. 822–841. https://doi.org/10.1108/JRIM-12-2020-0253.</w:t>
      </w:r>
    </w:p>
    <w:p w14:paraId="6D861CA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Leung, F.F., Gu, F.F. and Palmatier, R.W. (2022) ‘Online influencer marketing’, </w:t>
      </w:r>
      <w:r w:rsidRPr="00B7140C">
        <w:rPr>
          <w:rFonts w:ascii="Times New Roman" w:hAnsi="Times New Roman" w:cs="Times New Roman"/>
          <w:i/>
          <w:iCs/>
          <w:szCs w:val="24"/>
        </w:rPr>
        <w:t>Journal of the Academy of Marketing Science</w:t>
      </w:r>
      <w:r w:rsidRPr="00B7140C">
        <w:rPr>
          <w:rFonts w:ascii="Times New Roman" w:hAnsi="Times New Roman" w:cs="Times New Roman"/>
          <w:szCs w:val="24"/>
        </w:rPr>
        <w:t xml:space="preserve">, 50(2), pp. 226–251. </w:t>
      </w:r>
      <w:hyperlink r:id="rId54" w:tgtFrame="_new" w:history="1">
        <w:r w:rsidRPr="00B7140C">
          <w:rPr>
            <w:rStyle w:val="Hyperlink"/>
            <w:rFonts w:ascii="Times New Roman" w:hAnsi="Times New Roman" w:cs="Times New Roman"/>
            <w:szCs w:val="24"/>
          </w:rPr>
          <w:t>https://doi.org/10.1007/s11747-021-00829-4</w:t>
        </w:r>
      </w:hyperlink>
      <w:r w:rsidRPr="00B7140C">
        <w:rPr>
          <w:rFonts w:ascii="Times New Roman" w:hAnsi="Times New Roman" w:cs="Times New Roman"/>
          <w:szCs w:val="24"/>
        </w:rPr>
        <w:t>.</w:t>
      </w:r>
    </w:p>
    <w:p w14:paraId="4D0733F3"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Lou, C. and Yuan, S. (2019) ‘Influencer marketing: How message value and credibility affect consumer trust of branded content on social media’, </w:t>
      </w:r>
      <w:r w:rsidRPr="00B7140C">
        <w:rPr>
          <w:rFonts w:ascii="Times New Roman" w:hAnsi="Times New Roman" w:cs="Times New Roman"/>
          <w:i/>
          <w:iCs/>
          <w:szCs w:val="24"/>
        </w:rPr>
        <w:t>Journal of Interactive Advertising</w:t>
      </w:r>
      <w:r w:rsidRPr="00B7140C">
        <w:rPr>
          <w:rFonts w:ascii="Times New Roman" w:hAnsi="Times New Roman" w:cs="Times New Roman"/>
          <w:szCs w:val="24"/>
        </w:rPr>
        <w:t xml:space="preserve">, 19(1), pp. 58–73. </w:t>
      </w:r>
      <w:hyperlink r:id="rId55" w:tgtFrame="_new" w:history="1">
        <w:r w:rsidRPr="00B7140C">
          <w:rPr>
            <w:rStyle w:val="Hyperlink"/>
            <w:rFonts w:ascii="Times New Roman" w:hAnsi="Times New Roman" w:cs="Times New Roman"/>
            <w:szCs w:val="24"/>
          </w:rPr>
          <w:t>https://doi.org/10.1080/15252019.2018.1533501</w:t>
        </w:r>
      </w:hyperlink>
      <w:r w:rsidRPr="00B7140C">
        <w:rPr>
          <w:rFonts w:ascii="Times New Roman" w:hAnsi="Times New Roman" w:cs="Times New Roman"/>
          <w:szCs w:val="24"/>
        </w:rPr>
        <w:t>.</w:t>
      </w:r>
    </w:p>
    <w:p w14:paraId="2860CB1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Malone, M. (2024) </w:t>
      </w:r>
      <w:r w:rsidRPr="00B7140C">
        <w:rPr>
          <w:rFonts w:ascii="Times New Roman" w:hAnsi="Times New Roman" w:cs="Times New Roman"/>
          <w:i/>
          <w:iCs/>
          <w:szCs w:val="24"/>
        </w:rPr>
        <w:t>UK facial skincare market report 2024</w:t>
      </w:r>
      <w:r w:rsidRPr="00B7140C">
        <w:rPr>
          <w:rFonts w:ascii="Times New Roman" w:hAnsi="Times New Roman" w:cs="Times New Roman"/>
          <w:szCs w:val="24"/>
        </w:rPr>
        <w:t xml:space="preserve">. Mintel. Available at: </w:t>
      </w:r>
      <w:hyperlink r:id="rId56" w:tgtFrame="_new" w:history="1">
        <w:r w:rsidRPr="00B7140C">
          <w:rPr>
            <w:rStyle w:val="Hyperlink"/>
            <w:rFonts w:ascii="Times New Roman" w:hAnsi="Times New Roman" w:cs="Times New Roman"/>
            <w:szCs w:val="24"/>
          </w:rPr>
          <w:t>https://store.mintel.com/report/uk-facial-skincare-market-report-2024</w:t>
        </w:r>
      </w:hyperlink>
      <w:r w:rsidRPr="00B7140C">
        <w:rPr>
          <w:rFonts w:ascii="Times New Roman" w:hAnsi="Times New Roman" w:cs="Times New Roman"/>
          <w:szCs w:val="24"/>
        </w:rPr>
        <w:t xml:space="preserve"> (Accessed: 13 July 2026).</w:t>
      </w:r>
    </w:p>
    <w:p w14:paraId="245D0F93"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Munnukka</w:t>
      </w:r>
      <w:proofErr w:type="spellEnd"/>
      <w:r w:rsidRPr="00B7140C">
        <w:rPr>
          <w:rFonts w:ascii="Times New Roman" w:hAnsi="Times New Roman" w:cs="Times New Roman"/>
          <w:szCs w:val="24"/>
        </w:rPr>
        <w:t>, J., Maity, D., Reinikainen, H. and Luoma-</w:t>
      </w:r>
      <w:proofErr w:type="spellStart"/>
      <w:r w:rsidRPr="00B7140C">
        <w:rPr>
          <w:rFonts w:ascii="Times New Roman" w:hAnsi="Times New Roman" w:cs="Times New Roman"/>
          <w:szCs w:val="24"/>
        </w:rPr>
        <w:t>aho</w:t>
      </w:r>
      <w:proofErr w:type="spellEnd"/>
      <w:r w:rsidRPr="00B7140C">
        <w:rPr>
          <w:rFonts w:ascii="Times New Roman" w:hAnsi="Times New Roman" w:cs="Times New Roman"/>
          <w:szCs w:val="24"/>
        </w:rPr>
        <w:t xml:space="preserve">, V. (2019) ‘“Thanks for watching”. The effectiveness of YouTube </w:t>
      </w:r>
      <w:proofErr w:type="spellStart"/>
      <w:r w:rsidRPr="00B7140C">
        <w:rPr>
          <w:rFonts w:ascii="Times New Roman" w:hAnsi="Times New Roman" w:cs="Times New Roman"/>
          <w:szCs w:val="24"/>
        </w:rPr>
        <w:t>vlogendorsements</w:t>
      </w:r>
      <w:proofErr w:type="spellEnd"/>
      <w:r w:rsidRPr="00B7140C">
        <w:rPr>
          <w:rFonts w:ascii="Times New Roman" w:hAnsi="Times New Roman" w:cs="Times New Roman"/>
          <w:szCs w:val="24"/>
        </w:rPr>
        <w:t xml:space="preserve">’, </w:t>
      </w:r>
      <w:r w:rsidRPr="00B7140C">
        <w:rPr>
          <w:rFonts w:ascii="Times New Roman" w:hAnsi="Times New Roman" w:cs="Times New Roman"/>
          <w:i/>
          <w:iCs/>
          <w:szCs w:val="24"/>
        </w:rPr>
        <w:t>Computers in Human Behavior</w:t>
      </w:r>
      <w:r w:rsidRPr="00B7140C">
        <w:rPr>
          <w:rFonts w:ascii="Times New Roman" w:hAnsi="Times New Roman" w:cs="Times New Roman"/>
          <w:szCs w:val="24"/>
        </w:rPr>
        <w:t xml:space="preserve">, 93, pp. 226–234. </w:t>
      </w:r>
      <w:hyperlink r:id="rId57" w:tgtFrame="_new" w:history="1">
        <w:r w:rsidRPr="00B7140C">
          <w:rPr>
            <w:rStyle w:val="Hyperlink"/>
            <w:rFonts w:ascii="Times New Roman" w:hAnsi="Times New Roman" w:cs="Times New Roman"/>
            <w:szCs w:val="24"/>
          </w:rPr>
          <w:t>https://doi.org/10.1016/j.chb.2018.12.014</w:t>
        </w:r>
      </w:hyperlink>
      <w:r w:rsidRPr="00B7140C">
        <w:rPr>
          <w:rFonts w:ascii="Times New Roman" w:hAnsi="Times New Roman" w:cs="Times New Roman"/>
          <w:szCs w:val="24"/>
        </w:rPr>
        <w:t>.</w:t>
      </w:r>
    </w:p>
    <w:p w14:paraId="212B2D6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Nafees, L., Cook, C.M., Nikolov, A.N. and Stoddard, J.E. (2021) ‘Can social media influencer (SMI) power influence consumer brand attitudes? The mediating role of perceived SMI credibility’, </w:t>
      </w:r>
      <w:r w:rsidRPr="00B7140C">
        <w:rPr>
          <w:rFonts w:ascii="Times New Roman" w:hAnsi="Times New Roman" w:cs="Times New Roman"/>
          <w:i/>
          <w:iCs/>
          <w:szCs w:val="24"/>
        </w:rPr>
        <w:t>Digital Business</w:t>
      </w:r>
      <w:r w:rsidRPr="00B7140C">
        <w:rPr>
          <w:rFonts w:ascii="Times New Roman" w:hAnsi="Times New Roman" w:cs="Times New Roman"/>
          <w:szCs w:val="24"/>
        </w:rPr>
        <w:t xml:space="preserve">, 1(2), article 100008. </w:t>
      </w:r>
      <w:hyperlink r:id="rId58" w:tgtFrame="_new" w:history="1">
        <w:r w:rsidRPr="00B7140C">
          <w:rPr>
            <w:rStyle w:val="Hyperlink"/>
            <w:rFonts w:ascii="Times New Roman" w:hAnsi="Times New Roman" w:cs="Times New Roman"/>
            <w:szCs w:val="24"/>
          </w:rPr>
          <w:t>https://doi.org/10.1016/j.digbus.2021.100008</w:t>
        </w:r>
      </w:hyperlink>
      <w:r w:rsidRPr="00B7140C">
        <w:rPr>
          <w:rFonts w:ascii="Times New Roman" w:hAnsi="Times New Roman" w:cs="Times New Roman"/>
          <w:szCs w:val="24"/>
        </w:rPr>
        <w:t>.</w:t>
      </w:r>
    </w:p>
    <w:p w14:paraId="107AA330"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No7 Beauty Company (2023) </w:t>
      </w:r>
      <w:r w:rsidRPr="00B7140C">
        <w:rPr>
          <w:rFonts w:ascii="Times New Roman" w:hAnsi="Times New Roman" w:cs="Times New Roman"/>
          <w:i/>
          <w:iCs/>
          <w:szCs w:val="24"/>
        </w:rPr>
        <w:t>No7 reveals its biggest ever scientific innovation: No7 Future Renew</w:t>
      </w:r>
      <w:r w:rsidRPr="00B7140C">
        <w:rPr>
          <w:rFonts w:ascii="Times New Roman" w:hAnsi="Times New Roman" w:cs="Times New Roman"/>
          <w:szCs w:val="24"/>
        </w:rPr>
        <w:t xml:space="preserve">. 10 April. Available at: </w:t>
      </w:r>
      <w:hyperlink r:id="rId59" w:tgtFrame="_new" w:history="1">
        <w:r w:rsidRPr="00B7140C">
          <w:rPr>
            <w:rStyle w:val="Hyperlink"/>
            <w:rFonts w:ascii="Times New Roman" w:hAnsi="Times New Roman" w:cs="Times New Roman"/>
            <w:szCs w:val="24"/>
          </w:rPr>
          <w:t>https://www.no7company.com/news/2023/no7-reveals-its-biggest-ever-scientific-innovation-no7-future-renew</w:t>
        </w:r>
      </w:hyperlink>
      <w:r w:rsidRPr="00B7140C">
        <w:rPr>
          <w:rFonts w:ascii="Times New Roman" w:hAnsi="Times New Roman" w:cs="Times New Roman"/>
          <w:szCs w:val="24"/>
        </w:rPr>
        <w:t xml:space="preserve"> (Accessed: 2 September 2026).</w:t>
      </w:r>
    </w:p>
    <w:p w14:paraId="4BD3343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No7 Beauty Company (2026) </w:t>
      </w:r>
      <w:r w:rsidRPr="00B7140C">
        <w:rPr>
          <w:rFonts w:ascii="Times New Roman" w:hAnsi="Times New Roman" w:cs="Times New Roman"/>
          <w:i/>
          <w:iCs/>
          <w:szCs w:val="24"/>
        </w:rPr>
        <w:t>No7</w:t>
      </w:r>
      <w:r w:rsidRPr="00B7140C">
        <w:rPr>
          <w:rFonts w:ascii="Times New Roman" w:hAnsi="Times New Roman" w:cs="Times New Roman"/>
          <w:szCs w:val="24"/>
        </w:rPr>
        <w:t xml:space="preserve"> [Brand profile]. Available at: </w:t>
      </w:r>
      <w:hyperlink r:id="rId60" w:tgtFrame="_new" w:history="1">
        <w:r w:rsidRPr="00B7140C">
          <w:rPr>
            <w:rStyle w:val="Hyperlink"/>
            <w:rFonts w:ascii="Times New Roman" w:hAnsi="Times New Roman" w:cs="Times New Roman"/>
            <w:szCs w:val="24"/>
          </w:rPr>
          <w:t>https://www.no7company.com/our-brands/no7</w:t>
        </w:r>
      </w:hyperlink>
      <w:r w:rsidRPr="00B7140C">
        <w:rPr>
          <w:rFonts w:ascii="Times New Roman" w:hAnsi="Times New Roman" w:cs="Times New Roman"/>
          <w:szCs w:val="24"/>
        </w:rPr>
        <w:t xml:space="preserve"> (Accessed: 27 August 2026).</w:t>
      </w:r>
    </w:p>
    <w:p w14:paraId="008607C8"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lastRenderedPageBreak/>
        <w:t xml:space="preserve">Nowell, L.S., Norris, J.M., White, D.E. and Moules, N.J. (2017) ‘Thematic analysis: Striving to meet the trustworthiness criteria’, </w:t>
      </w:r>
      <w:r w:rsidRPr="00B7140C">
        <w:rPr>
          <w:rFonts w:ascii="Times New Roman" w:hAnsi="Times New Roman" w:cs="Times New Roman"/>
          <w:i/>
          <w:iCs/>
          <w:szCs w:val="24"/>
        </w:rPr>
        <w:t>International Journal of Qualitative Methods</w:t>
      </w:r>
      <w:r w:rsidRPr="00B7140C">
        <w:rPr>
          <w:rFonts w:ascii="Times New Roman" w:hAnsi="Times New Roman" w:cs="Times New Roman"/>
          <w:szCs w:val="24"/>
        </w:rPr>
        <w:t xml:space="preserve">, 16(1), pp. 1–13. </w:t>
      </w:r>
      <w:hyperlink r:id="rId61" w:tgtFrame="_new" w:history="1">
        <w:r w:rsidRPr="00B7140C">
          <w:rPr>
            <w:rStyle w:val="Hyperlink"/>
            <w:rFonts w:ascii="Times New Roman" w:hAnsi="Times New Roman" w:cs="Times New Roman"/>
            <w:szCs w:val="24"/>
          </w:rPr>
          <w:t>https://doi.org/10.1177/1609406917733847</w:t>
        </w:r>
      </w:hyperlink>
      <w:r w:rsidRPr="00B7140C">
        <w:rPr>
          <w:rFonts w:ascii="Times New Roman" w:hAnsi="Times New Roman" w:cs="Times New Roman"/>
          <w:szCs w:val="24"/>
        </w:rPr>
        <w:t>.</w:t>
      </w:r>
    </w:p>
    <w:p w14:paraId="30E53E2D"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Ofcom (2024) </w:t>
      </w:r>
      <w:r w:rsidRPr="00B7140C">
        <w:rPr>
          <w:rFonts w:ascii="Times New Roman" w:hAnsi="Times New Roman" w:cs="Times New Roman"/>
          <w:i/>
          <w:iCs/>
          <w:szCs w:val="24"/>
        </w:rPr>
        <w:t>Online Nation 2024 report</w:t>
      </w:r>
      <w:r w:rsidRPr="00B7140C">
        <w:rPr>
          <w:rFonts w:ascii="Times New Roman" w:hAnsi="Times New Roman" w:cs="Times New Roman"/>
          <w:szCs w:val="24"/>
        </w:rPr>
        <w:t xml:space="preserve">. 28 November. Available at: </w:t>
      </w:r>
      <w:hyperlink r:id="rId62" w:tgtFrame="_new" w:history="1">
        <w:r w:rsidRPr="00B7140C">
          <w:rPr>
            <w:rStyle w:val="Hyperlink"/>
            <w:rFonts w:ascii="Times New Roman" w:hAnsi="Times New Roman" w:cs="Times New Roman"/>
            <w:szCs w:val="24"/>
          </w:rPr>
          <w:t>https://www.ofcom.org.uk/siteassets/resources/documents/research-and-data/online-research/online-nation/2024/online-nation-2024-report.pdf?v=386238</w:t>
        </w:r>
      </w:hyperlink>
      <w:r w:rsidRPr="00B7140C">
        <w:rPr>
          <w:rFonts w:ascii="Times New Roman" w:hAnsi="Times New Roman" w:cs="Times New Roman"/>
          <w:szCs w:val="24"/>
        </w:rPr>
        <w:t xml:space="preserve"> (Accessed: 13 July 2026).</w:t>
      </w:r>
    </w:p>
    <w:p w14:paraId="658F18D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Ofcom (2026) </w:t>
      </w:r>
      <w:r w:rsidRPr="00B7140C">
        <w:rPr>
          <w:rFonts w:ascii="Times New Roman" w:hAnsi="Times New Roman" w:cs="Times New Roman"/>
          <w:i/>
          <w:iCs/>
          <w:szCs w:val="24"/>
        </w:rPr>
        <w:t>Passive social media use, AI companionship, and online side hustles: UK adults’ media and online lives revealed</w:t>
      </w:r>
      <w:r w:rsidRPr="00B7140C">
        <w:rPr>
          <w:rFonts w:ascii="Times New Roman" w:hAnsi="Times New Roman" w:cs="Times New Roman"/>
          <w:szCs w:val="24"/>
        </w:rPr>
        <w:t xml:space="preserve">. 2 April. Available at: </w:t>
      </w:r>
      <w:hyperlink r:id="rId63" w:tgtFrame="_new" w:history="1">
        <w:r w:rsidRPr="00B7140C">
          <w:rPr>
            <w:rStyle w:val="Hyperlink"/>
            <w:rFonts w:ascii="Times New Roman" w:hAnsi="Times New Roman" w:cs="Times New Roman"/>
            <w:szCs w:val="24"/>
          </w:rPr>
          <w:t>https://www.ofcom.org.uk/media-use-and-attitudes/media-habits-adults/passive-social-media-use-ai-companionship-and-online-side-hustles-uk-adults-media-and-online-lives-revealed</w:t>
        </w:r>
      </w:hyperlink>
      <w:r w:rsidRPr="00B7140C">
        <w:rPr>
          <w:rFonts w:ascii="Times New Roman" w:hAnsi="Times New Roman" w:cs="Times New Roman"/>
          <w:szCs w:val="24"/>
        </w:rPr>
        <w:t xml:space="preserve"> (Accessed: 9 August 2026).</w:t>
      </w:r>
    </w:p>
    <w:p w14:paraId="3DB9DDCB"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Ohanian, R. (1990) ‘Construction and validation of a scale to measure celebrity endorsers’ perceived expertise, trustworthiness, and attractiveness’, </w:t>
      </w:r>
      <w:r w:rsidRPr="00B7140C">
        <w:rPr>
          <w:rFonts w:ascii="Times New Roman" w:hAnsi="Times New Roman" w:cs="Times New Roman"/>
          <w:i/>
          <w:iCs/>
          <w:szCs w:val="24"/>
        </w:rPr>
        <w:t>Journal of Advertising</w:t>
      </w:r>
      <w:r w:rsidRPr="00B7140C">
        <w:rPr>
          <w:rFonts w:ascii="Times New Roman" w:hAnsi="Times New Roman" w:cs="Times New Roman"/>
          <w:szCs w:val="24"/>
        </w:rPr>
        <w:t xml:space="preserve">, 19(3), pp. 39–52. </w:t>
      </w:r>
      <w:hyperlink r:id="rId64" w:tgtFrame="_new" w:history="1">
        <w:r w:rsidRPr="00B7140C">
          <w:rPr>
            <w:rStyle w:val="Hyperlink"/>
            <w:rFonts w:ascii="Times New Roman" w:hAnsi="Times New Roman" w:cs="Times New Roman"/>
            <w:szCs w:val="24"/>
          </w:rPr>
          <w:t>https://doi.org/10.1080/00913367.1990.10673191</w:t>
        </w:r>
      </w:hyperlink>
      <w:r w:rsidRPr="00B7140C">
        <w:rPr>
          <w:rFonts w:ascii="Times New Roman" w:hAnsi="Times New Roman" w:cs="Times New Roman"/>
          <w:szCs w:val="24"/>
        </w:rPr>
        <w:t>.</w:t>
      </w:r>
    </w:p>
    <w:p w14:paraId="1E7E8E83"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Page, M.J., McKenzie, J.E., Bossuyt, P.M., </w:t>
      </w:r>
      <w:proofErr w:type="spellStart"/>
      <w:r w:rsidRPr="00B7140C">
        <w:rPr>
          <w:rFonts w:ascii="Times New Roman" w:hAnsi="Times New Roman" w:cs="Times New Roman"/>
          <w:szCs w:val="24"/>
        </w:rPr>
        <w:t>Boutron</w:t>
      </w:r>
      <w:proofErr w:type="spellEnd"/>
      <w:r w:rsidRPr="00B7140C">
        <w:rPr>
          <w:rFonts w:ascii="Times New Roman" w:hAnsi="Times New Roman" w:cs="Times New Roman"/>
          <w:szCs w:val="24"/>
        </w:rPr>
        <w:t xml:space="preserve">, I., Hoffmann, T.C., Mulrow, C.D., </w:t>
      </w:r>
      <w:proofErr w:type="spellStart"/>
      <w:r w:rsidRPr="00B7140C">
        <w:rPr>
          <w:rFonts w:ascii="Times New Roman" w:hAnsi="Times New Roman" w:cs="Times New Roman"/>
          <w:szCs w:val="24"/>
        </w:rPr>
        <w:t>Shamseer</w:t>
      </w:r>
      <w:proofErr w:type="spellEnd"/>
      <w:r w:rsidRPr="00B7140C">
        <w:rPr>
          <w:rFonts w:ascii="Times New Roman" w:hAnsi="Times New Roman" w:cs="Times New Roman"/>
          <w:szCs w:val="24"/>
        </w:rPr>
        <w:t xml:space="preserve">, L., Tetzlaff, J.M., Akl, E.A., Brennan, S.E., Chou, R., Glanville, J., Grimshaw, J.M., Hróbjartsson, A., Lalu, M.M., Li, T., Loder, E.W., Mayo-Wilson, E., McDonald, S., McGuinness, L.A., Stewart, L.A., Thomas, J., </w:t>
      </w:r>
      <w:proofErr w:type="spellStart"/>
      <w:r w:rsidRPr="00B7140C">
        <w:rPr>
          <w:rFonts w:ascii="Times New Roman" w:hAnsi="Times New Roman" w:cs="Times New Roman"/>
          <w:szCs w:val="24"/>
        </w:rPr>
        <w:t>Tricco</w:t>
      </w:r>
      <w:proofErr w:type="spellEnd"/>
      <w:r w:rsidRPr="00B7140C">
        <w:rPr>
          <w:rFonts w:ascii="Times New Roman" w:hAnsi="Times New Roman" w:cs="Times New Roman"/>
          <w:szCs w:val="24"/>
        </w:rPr>
        <w:t xml:space="preserve">, A.C., Welch, V.A., Whiting, P. and Moher, D. (2021) ‘The PRISMA 2020 statement: An updated guideline for reporting systematic reviews’, </w:t>
      </w:r>
      <w:r w:rsidRPr="00B7140C">
        <w:rPr>
          <w:rFonts w:ascii="Times New Roman" w:hAnsi="Times New Roman" w:cs="Times New Roman"/>
          <w:i/>
          <w:iCs/>
          <w:szCs w:val="24"/>
        </w:rPr>
        <w:t>BMJ</w:t>
      </w:r>
      <w:r w:rsidRPr="00B7140C">
        <w:rPr>
          <w:rFonts w:ascii="Times New Roman" w:hAnsi="Times New Roman" w:cs="Times New Roman"/>
          <w:szCs w:val="24"/>
        </w:rPr>
        <w:t xml:space="preserve">, 372, article n71. </w:t>
      </w:r>
      <w:hyperlink r:id="rId65" w:tgtFrame="_new" w:history="1">
        <w:r w:rsidRPr="00B7140C">
          <w:rPr>
            <w:rStyle w:val="Hyperlink"/>
            <w:rFonts w:ascii="Times New Roman" w:hAnsi="Times New Roman" w:cs="Times New Roman"/>
            <w:szCs w:val="24"/>
          </w:rPr>
          <w:t>https://doi.org/10.1136/bmj.n71</w:t>
        </w:r>
      </w:hyperlink>
      <w:r w:rsidRPr="00B7140C">
        <w:rPr>
          <w:rFonts w:ascii="Times New Roman" w:hAnsi="Times New Roman" w:cs="Times New Roman"/>
          <w:szCs w:val="24"/>
        </w:rPr>
        <w:t>.</w:t>
      </w:r>
    </w:p>
    <w:p w14:paraId="782E024A"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Pai Skincare (2026a) </w:t>
      </w:r>
      <w:r w:rsidRPr="00B7140C">
        <w:rPr>
          <w:rFonts w:ascii="Times New Roman" w:hAnsi="Times New Roman" w:cs="Times New Roman"/>
          <w:i/>
          <w:iCs/>
          <w:szCs w:val="24"/>
        </w:rPr>
        <w:t>Pai Skincare London: Powering your good skin days</w:t>
      </w:r>
      <w:r w:rsidRPr="00B7140C">
        <w:rPr>
          <w:rFonts w:ascii="Times New Roman" w:hAnsi="Times New Roman" w:cs="Times New Roman"/>
          <w:szCs w:val="24"/>
        </w:rPr>
        <w:t xml:space="preserve">. Available at: </w:t>
      </w:r>
      <w:hyperlink r:id="rId66" w:tgtFrame="_new" w:history="1">
        <w:r w:rsidRPr="00B7140C">
          <w:rPr>
            <w:rStyle w:val="Hyperlink"/>
            <w:rFonts w:ascii="Times New Roman" w:hAnsi="Times New Roman" w:cs="Times New Roman"/>
            <w:szCs w:val="24"/>
          </w:rPr>
          <w:t>https://www.paiskincare.com/</w:t>
        </w:r>
      </w:hyperlink>
      <w:r w:rsidRPr="00B7140C">
        <w:rPr>
          <w:rFonts w:ascii="Times New Roman" w:hAnsi="Times New Roman" w:cs="Times New Roman"/>
          <w:szCs w:val="24"/>
        </w:rPr>
        <w:t xml:space="preserve"> (Accessed: 2 September 2026).</w:t>
      </w:r>
    </w:p>
    <w:p w14:paraId="181AD4C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Pai Skincare (2026b) </w:t>
      </w:r>
      <w:r w:rsidRPr="00B7140C">
        <w:rPr>
          <w:rFonts w:ascii="Times New Roman" w:hAnsi="Times New Roman" w:cs="Times New Roman"/>
          <w:i/>
          <w:iCs/>
          <w:szCs w:val="24"/>
        </w:rPr>
        <w:t>Sarah’s story</w:t>
      </w:r>
      <w:r w:rsidRPr="00B7140C">
        <w:rPr>
          <w:rFonts w:ascii="Times New Roman" w:hAnsi="Times New Roman" w:cs="Times New Roman"/>
          <w:szCs w:val="24"/>
        </w:rPr>
        <w:t xml:space="preserve">. Available at: </w:t>
      </w:r>
      <w:hyperlink r:id="rId67" w:tgtFrame="_new" w:history="1">
        <w:r w:rsidRPr="00B7140C">
          <w:rPr>
            <w:rStyle w:val="Hyperlink"/>
            <w:rFonts w:ascii="Times New Roman" w:hAnsi="Times New Roman" w:cs="Times New Roman"/>
            <w:szCs w:val="24"/>
          </w:rPr>
          <w:t>https://www.paiskincare.com/pages/sarahs-story</w:t>
        </w:r>
      </w:hyperlink>
      <w:r w:rsidRPr="00B7140C">
        <w:rPr>
          <w:rFonts w:ascii="Times New Roman" w:hAnsi="Times New Roman" w:cs="Times New Roman"/>
          <w:szCs w:val="24"/>
        </w:rPr>
        <w:t xml:space="preserve"> (Accessed: 27 August 2026).</w:t>
      </w:r>
    </w:p>
    <w:p w14:paraId="5860E453"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Popay, J., Roberts, H., Sowden, A., Petticrew, M., Arai, L., Rodgers, M., Britten, N., Roen, K. and Duffy, S. (2006) </w:t>
      </w:r>
      <w:r w:rsidRPr="00B7140C">
        <w:rPr>
          <w:rFonts w:ascii="Times New Roman" w:hAnsi="Times New Roman" w:cs="Times New Roman"/>
          <w:i/>
          <w:iCs/>
          <w:szCs w:val="24"/>
        </w:rPr>
        <w:t xml:space="preserve">Guidance on the conduct of narrative synthesis in systematic reviews: A product from the ESRC Methods </w:t>
      </w:r>
      <w:proofErr w:type="spellStart"/>
      <w:r w:rsidRPr="00B7140C">
        <w:rPr>
          <w:rFonts w:ascii="Times New Roman" w:hAnsi="Times New Roman" w:cs="Times New Roman"/>
          <w:i/>
          <w:iCs/>
          <w:szCs w:val="24"/>
        </w:rPr>
        <w:t>Programme</w:t>
      </w:r>
      <w:proofErr w:type="spellEnd"/>
      <w:r w:rsidRPr="00B7140C">
        <w:rPr>
          <w:rFonts w:ascii="Times New Roman" w:hAnsi="Times New Roman" w:cs="Times New Roman"/>
          <w:szCs w:val="24"/>
        </w:rPr>
        <w:t>. Version 1. Lancaster: Lancaster University.</w:t>
      </w:r>
    </w:p>
    <w:p w14:paraId="182439CB"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Pöyry, E.I., Pelkonen, M., Naumanen, E. and Laaksonen, S.-M. (2019) ‘A call for authenticity: Audience responses to social media influencer endorsements in strategic </w:t>
      </w:r>
      <w:r w:rsidRPr="00B7140C">
        <w:rPr>
          <w:rFonts w:ascii="Times New Roman" w:hAnsi="Times New Roman" w:cs="Times New Roman"/>
          <w:szCs w:val="24"/>
        </w:rPr>
        <w:lastRenderedPageBreak/>
        <w:t xml:space="preserve">communication’, </w:t>
      </w:r>
      <w:r w:rsidRPr="00B7140C">
        <w:rPr>
          <w:rFonts w:ascii="Times New Roman" w:hAnsi="Times New Roman" w:cs="Times New Roman"/>
          <w:i/>
          <w:iCs/>
          <w:szCs w:val="24"/>
        </w:rPr>
        <w:t>International Journal of Strategic Communication</w:t>
      </w:r>
      <w:r w:rsidRPr="00B7140C">
        <w:rPr>
          <w:rFonts w:ascii="Times New Roman" w:hAnsi="Times New Roman" w:cs="Times New Roman"/>
          <w:szCs w:val="24"/>
        </w:rPr>
        <w:t xml:space="preserve">, 13(4), pp. 336–351. </w:t>
      </w:r>
      <w:hyperlink r:id="rId68" w:tgtFrame="_new" w:history="1">
        <w:r w:rsidRPr="00B7140C">
          <w:rPr>
            <w:rStyle w:val="Hyperlink"/>
            <w:rFonts w:ascii="Times New Roman" w:hAnsi="Times New Roman" w:cs="Times New Roman"/>
            <w:szCs w:val="24"/>
          </w:rPr>
          <w:t>https://doi.org/10.1080/1553118X.2019.1609965</w:t>
        </w:r>
      </w:hyperlink>
      <w:r w:rsidRPr="00B7140C">
        <w:rPr>
          <w:rFonts w:ascii="Times New Roman" w:hAnsi="Times New Roman" w:cs="Times New Roman"/>
          <w:szCs w:val="24"/>
        </w:rPr>
        <w:t>.</w:t>
      </w:r>
    </w:p>
    <w:p w14:paraId="40C9DAF7"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Reinikainen, H., </w:t>
      </w:r>
      <w:proofErr w:type="spellStart"/>
      <w:r w:rsidRPr="00B7140C">
        <w:rPr>
          <w:rFonts w:ascii="Times New Roman" w:hAnsi="Times New Roman" w:cs="Times New Roman"/>
          <w:szCs w:val="24"/>
        </w:rPr>
        <w:t>Munnukka</w:t>
      </w:r>
      <w:proofErr w:type="spellEnd"/>
      <w:r w:rsidRPr="00B7140C">
        <w:rPr>
          <w:rFonts w:ascii="Times New Roman" w:hAnsi="Times New Roman" w:cs="Times New Roman"/>
          <w:szCs w:val="24"/>
        </w:rPr>
        <w:t>, J., Maity, D. and Luoma-</w:t>
      </w:r>
      <w:proofErr w:type="spellStart"/>
      <w:r w:rsidRPr="00B7140C">
        <w:rPr>
          <w:rFonts w:ascii="Times New Roman" w:hAnsi="Times New Roman" w:cs="Times New Roman"/>
          <w:szCs w:val="24"/>
        </w:rPr>
        <w:t>aho</w:t>
      </w:r>
      <w:proofErr w:type="spellEnd"/>
      <w:r w:rsidRPr="00B7140C">
        <w:rPr>
          <w:rFonts w:ascii="Times New Roman" w:hAnsi="Times New Roman" w:cs="Times New Roman"/>
          <w:szCs w:val="24"/>
        </w:rPr>
        <w:t xml:space="preserve">, V. (2020) ‘“You really are a great big sister” – parasocial relationships, credibility, and the moderating role of audience comments in influencer marketing’, </w:t>
      </w:r>
      <w:r w:rsidRPr="00B7140C">
        <w:rPr>
          <w:rFonts w:ascii="Times New Roman" w:hAnsi="Times New Roman" w:cs="Times New Roman"/>
          <w:i/>
          <w:iCs/>
          <w:szCs w:val="24"/>
        </w:rPr>
        <w:t>Journal of Marketing Management</w:t>
      </w:r>
      <w:r w:rsidRPr="00B7140C">
        <w:rPr>
          <w:rFonts w:ascii="Times New Roman" w:hAnsi="Times New Roman" w:cs="Times New Roman"/>
          <w:szCs w:val="24"/>
        </w:rPr>
        <w:t xml:space="preserve">, 36(3–4), pp. 279–298. </w:t>
      </w:r>
      <w:hyperlink r:id="rId69" w:tgtFrame="_new" w:history="1">
        <w:r w:rsidRPr="00B7140C">
          <w:rPr>
            <w:rStyle w:val="Hyperlink"/>
            <w:rFonts w:ascii="Times New Roman" w:hAnsi="Times New Roman" w:cs="Times New Roman"/>
            <w:szCs w:val="24"/>
          </w:rPr>
          <w:t>https://doi.org/10.1080/0267257X.2019.1708781</w:t>
        </w:r>
      </w:hyperlink>
      <w:r w:rsidRPr="00B7140C">
        <w:rPr>
          <w:rFonts w:ascii="Times New Roman" w:hAnsi="Times New Roman" w:cs="Times New Roman"/>
          <w:szCs w:val="24"/>
        </w:rPr>
        <w:t>.</w:t>
      </w:r>
    </w:p>
    <w:p w14:paraId="1AE214B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Revolution Beauty (2026) </w:t>
      </w:r>
      <w:r w:rsidRPr="00B7140C">
        <w:rPr>
          <w:rFonts w:ascii="Times New Roman" w:hAnsi="Times New Roman" w:cs="Times New Roman"/>
          <w:i/>
          <w:iCs/>
          <w:szCs w:val="24"/>
        </w:rPr>
        <w:t>About</w:t>
      </w:r>
      <w:r w:rsidRPr="00B7140C">
        <w:rPr>
          <w:rFonts w:ascii="Times New Roman" w:hAnsi="Times New Roman" w:cs="Times New Roman"/>
          <w:szCs w:val="24"/>
        </w:rPr>
        <w:t xml:space="preserve">. Available at: </w:t>
      </w:r>
      <w:hyperlink r:id="rId70" w:tgtFrame="_new" w:history="1">
        <w:r w:rsidRPr="00B7140C">
          <w:rPr>
            <w:rStyle w:val="Hyperlink"/>
            <w:rFonts w:ascii="Times New Roman" w:hAnsi="Times New Roman" w:cs="Times New Roman"/>
            <w:szCs w:val="24"/>
          </w:rPr>
          <w:t>https://www.revolutionbeauty.com/pages/about</w:t>
        </w:r>
      </w:hyperlink>
      <w:r w:rsidRPr="00B7140C">
        <w:rPr>
          <w:rFonts w:ascii="Times New Roman" w:hAnsi="Times New Roman" w:cs="Times New Roman"/>
          <w:szCs w:val="24"/>
        </w:rPr>
        <w:t xml:space="preserve"> (Accessed: 27 August 2026).</w:t>
      </w:r>
    </w:p>
    <w:p w14:paraId="6E427CC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Revolution Beauty Group plc (2026a) </w:t>
      </w:r>
      <w:r w:rsidRPr="00B7140C">
        <w:rPr>
          <w:rFonts w:ascii="Times New Roman" w:hAnsi="Times New Roman" w:cs="Times New Roman"/>
          <w:i/>
          <w:iCs/>
          <w:szCs w:val="24"/>
        </w:rPr>
        <w:t>Final results</w:t>
      </w:r>
      <w:r w:rsidRPr="00B7140C">
        <w:rPr>
          <w:rFonts w:ascii="Times New Roman" w:hAnsi="Times New Roman" w:cs="Times New Roman"/>
          <w:szCs w:val="24"/>
        </w:rPr>
        <w:t xml:space="preserve">. London Stock Exchange, Regulatory News Service. Available at: </w:t>
      </w:r>
      <w:hyperlink r:id="rId71" w:tgtFrame="_new" w:history="1">
        <w:r w:rsidRPr="00B7140C">
          <w:rPr>
            <w:rStyle w:val="Hyperlink"/>
            <w:rFonts w:ascii="Times New Roman" w:hAnsi="Times New Roman" w:cs="Times New Roman"/>
            <w:szCs w:val="24"/>
          </w:rPr>
          <w:t>https://www.londonstockexchange.com/news-article/REVB/final-results/17697266</w:t>
        </w:r>
      </w:hyperlink>
      <w:r w:rsidRPr="00B7140C">
        <w:rPr>
          <w:rFonts w:ascii="Times New Roman" w:hAnsi="Times New Roman" w:cs="Times New Roman"/>
          <w:szCs w:val="24"/>
        </w:rPr>
        <w:t xml:space="preserve"> (Accessed: 2 September 2026).</w:t>
      </w:r>
    </w:p>
    <w:p w14:paraId="07BA1AF7"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Revolution Beauty Group plc (2026b) </w:t>
      </w:r>
      <w:r w:rsidRPr="00B7140C">
        <w:rPr>
          <w:rFonts w:ascii="Times New Roman" w:hAnsi="Times New Roman" w:cs="Times New Roman"/>
          <w:i/>
          <w:iCs/>
          <w:szCs w:val="24"/>
        </w:rPr>
        <w:t>Who we are</w:t>
      </w:r>
      <w:r w:rsidRPr="00B7140C">
        <w:rPr>
          <w:rFonts w:ascii="Times New Roman" w:hAnsi="Times New Roman" w:cs="Times New Roman"/>
          <w:szCs w:val="24"/>
        </w:rPr>
        <w:t xml:space="preserve">. Available at: </w:t>
      </w:r>
      <w:hyperlink r:id="rId72" w:tgtFrame="_new" w:history="1">
        <w:r w:rsidRPr="00B7140C">
          <w:rPr>
            <w:rStyle w:val="Hyperlink"/>
            <w:rFonts w:ascii="Times New Roman" w:hAnsi="Times New Roman" w:cs="Times New Roman"/>
            <w:szCs w:val="24"/>
          </w:rPr>
          <w:t>https://revolutionbeautyplc.com/</w:t>
        </w:r>
      </w:hyperlink>
      <w:r w:rsidRPr="00B7140C">
        <w:rPr>
          <w:rFonts w:ascii="Times New Roman" w:hAnsi="Times New Roman" w:cs="Times New Roman"/>
          <w:szCs w:val="24"/>
        </w:rPr>
        <w:t xml:space="preserve"> (Accessed: 2 September 2026).</w:t>
      </w:r>
    </w:p>
    <w:p w14:paraId="09A9379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Saunders, M.N.K., Lewis, P. and Thornhill, A. (2019) </w:t>
      </w:r>
      <w:r w:rsidRPr="00B7140C">
        <w:rPr>
          <w:rFonts w:ascii="Times New Roman" w:hAnsi="Times New Roman" w:cs="Times New Roman"/>
          <w:i/>
          <w:iCs/>
          <w:szCs w:val="24"/>
        </w:rPr>
        <w:t>Research methods for business students</w:t>
      </w:r>
      <w:r w:rsidRPr="00B7140C">
        <w:rPr>
          <w:rFonts w:ascii="Times New Roman" w:hAnsi="Times New Roman" w:cs="Times New Roman"/>
          <w:szCs w:val="24"/>
        </w:rPr>
        <w:t xml:space="preserve">. 8th </w:t>
      </w:r>
      <w:proofErr w:type="spellStart"/>
      <w:r w:rsidRPr="00B7140C">
        <w:rPr>
          <w:rFonts w:ascii="Times New Roman" w:hAnsi="Times New Roman" w:cs="Times New Roman"/>
          <w:szCs w:val="24"/>
        </w:rPr>
        <w:t>edn</w:t>
      </w:r>
      <w:proofErr w:type="spellEnd"/>
      <w:r w:rsidRPr="00B7140C">
        <w:rPr>
          <w:rFonts w:ascii="Times New Roman" w:hAnsi="Times New Roman" w:cs="Times New Roman"/>
          <w:szCs w:val="24"/>
        </w:rPr>
        <w:t>. Harlow: Pearson.</w:t>
      </w:r>
    </w:p>
    <w:p w14:paraId="3BC68F19"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Schouten, A.P., Janssen, L. and </w:t>
      </w:r>
      <w:proofErr w:type="spellStart"/>
      <w:r w:rsidRPr="00B7140C">
        <w:rPr>
          <w:rFonts w:ascii="Times New Roman" w:hAnsi="Times New Roman" w:cs="Times New Roman"/>
          <w:szCs w:val="24"/>
        </w:rPr>
        <w:t>Verspaget</w:t>
      </w:r>
      <w:proofErr w:type="spellEnd"/>
      <w:r w:rsidRPr="00B7140C">
        <w:rPr>
          <w:rFonts w:ascii="Times New Roman" w:hAnsi="Times New Roman" w:cs="Times New Roman"/>
          <w:szCs w:val="24"/>
        </w:rPr>
        <w:t xml:space="preserve">, M. (2020) ‘Celebrity vs. influencer endorsements in advertising: The role of identification, credibility, and product-endorser fit’, </w:t>
      </w:r>
      <w:r w:rsidRPr="00B7140C">
        <w:rPr>
          <w:rFonts w:ascii="Times New Roman" w:hAnsi="Times New Roman" w:cs="Times New Roman"/>
          <w:i/>
          <w:iCs/>
          <w:szCs w:val="24"/>
        </w:rPr>
        <w:t>International Journal of Advertising</w:t>
      </w:r>
      <w:r w:rsidRPr="00B7140C">
        <w:rPr>
          <w:rFonts w:ascii="Times New Roman" w:hAnsi="Times New Roman" w:cs="Times New Roman"/>
          <w:szCs w:val="24"/>
        </w:rPr>
        <w:t xml:space="preserve">, 39(2), pp. 258–281. </w:t>
      </w:r>
      <w:hyperlink r:id="rId73" w:tgtFrame="_new" w:history="1">
        <w:r w:rsidRPr="00B7140C">
          <w:rPr>
            <w:rStyle w:val="Hyperlink"/>
            <w:rFonts w:ascii="Times New Roman" w:hAnsi="Times New Roman" w:cs="Times New Roman"/>
            <w:szCs w:val="24"/>
          </w:rPr>
          <w:t>https://doi.org/10.1080/02650487.2019.1634898</w:t>
        </w:r>
      </w:hyperlink>
      <w:r w:rsidRPr="00B7140C">
        <w:rPr>
          <w:rFonts w:ascii="Times New Roman" w:hAnsi="Times New Roman" w:cs="Times New Roman"/>
          <w:szCs w:val="24"/>
        </w:rPr>
        <w:t>.</w:t>
      </w:r>
    </w:p>
    <w:p w14:paraId="4B6C737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Skin + Me (2026a) </w:t>
      </w:r>
      <w:proofErr w:type="spellStart"/>
      <w:r w:rsidRPr="00B7140C">
        <w:rPr>
          <w:rFonts w:ascii="Times New Roman" w:hAnsi="Times New Roman" w:cs="Times New Roman"/>
          <w:i/>
          <w:iCs/>
          <w:szCs w:val="24"/>
        </w:rPr>
        <w:t>Personalised</w:t>
      </w:r>
      <w:proofErr w:type="spellEnd"/>
      <w:r w:rsidRPr="00B7140C">
        <w:rPr>
          <w:rFonts w:ascii="Times New Roman" w:hAnsi="Times New Roman" w:cs="Times New Roman"/>
          <w:i/>
          <w:iCs/>
          <w:szCs w:val="24"/>
        </w:rPr>
        <w:t xml:space="preserve"> skin treatment to treat acne and skin-ageing</w:t>
      </w:r>
      <w:r w:rsidRPr="00B7140C">
        <w:rPr>
          <w:rFonts w:ascii="Times New Roman" w:hAnsi="Times New Roman" w:cs="Times New Roman"/>
          <w:szCs w:val="24"/>
        </w:rPr>
        <w:t xml:space="preserve">. Available at: </w:t>
      </w:r>
      <w:hyperlink r:id="rId74" w:tgtFrame="_new" w:history="1">
        <w:r w:rsidRPr="00B7140C">
          <w:rPr>
            <w:rStyle w:val="Hyperlink"/>
            <w:rFonts w:ascii="Times New Roman" w:hAnsi="Times New Roman" w:cs="Times New Roman"/>
            <w:szCs w:val="24"/>
          </w:rPr>
          <w:t>https://www.skinandme.com/</w:t>
        </w:r>
      </w:hyperlink>
      <w:r w:rsidRPr="00B7140C">
        <w:rPr>
          <w:rFonts w:ascii="Times New Roman" w:hAnsi="Times New Roman" w:cs="Times New Roman"/>
          <w:szCs w:val="24"/>
        </w:rPr>
        <w:t xml:space="preserve"> (Accessed: 2 September 2026).</w:t>
      </w:r>
    </w:p>
    <w:p w14:paraId="1A97989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Skin + Me (2026b) </w:t>
      </w:r>
      <w:r w:rsidRPr="00B7140C">
        <w:rPr>
          <w:rFonts w:ascii="Times New Roman" w:hAnsi="Times New Roman" w:cs="Times New Roman"/>
          <w:i/>
          <w:iCs/>
          <w:szCs w:val="24"/>
        </w:rPr>
        <w:t>What is Skin + Me?</w:t>
      </w:r>
      <w:r w:rsidRPr="00B7140C">
        <w:rPr>
          <w:rFonts w:ascii="Times New Roman" w:hAnsi="Times New Roman" w:cs="Times New Roman"/>
          <w:szCs w:val="24"/>
        </w:rPr>
        <w:t xml:space="preserve"> Available at: </w:t>
      </w:r>
      <w:hyperlink r:id="rId75" w:tgtFrame="_new" w:history="1">
        <w:r w:rsidRPr="00B7140C">
          <w:rPr>
            <w:rStyle w:val="Hyperlink"/>
            <w:rFonts w:ascii="Times New Roman" w:hAnsi="Times New Roman" w:cs="Times New Roman"/>
            <w:szCs w:val="24"/>
          </w:rPr>
          <w:t>https://www.skinandme.com/info/support/getting-started/what-is-skin-me/</w:t>
        </w:r>
      </w:hyperlink>
      <w:r w:rsidRPr="00B7140C">
        <w:rPr>
          <w:rFonts w:ascii="Times New Roman" w:hAnsi="Times New Roman" w:cs="Times New Roman"/>
          <w:szCs w:val="24"/>
        </w:rPr>
        <w:t xml:space="preserve"> (Accessed: 27 August 2026).</w:t>
      </w:r>
    </w:p>
    <w:p w14:paraId="44C4CCD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Snyder, H. (2019) ‘Literature review as a research methodology: An overview and guidelines’, </w:t>
      </w:r>
      <w:r w:rsidRPr="00B7140C">
        <w:rPr>
          <w:rFonts w:ascii="Times New Roman" w:hAnsi="Times New Roman" w:cs="Times New Roman"/>
          <w:i/>
          <w:iCs/>
          <w:szCs w:val="24"/>
        </w:rPr>
        <w:t>Journal of Business Research</w:t>
      </w:r>
      <w:r w:rsidRPr="00B7140C">
        <w:rPr>
          <w:rFonts w:ascii="Times New Roman" w:hAnsi="Times New Roman" w:cs="Times New Roman"/>
          <w:szCs w:val="24"/>
        </w:rPr>
        <w:t xml:space="preserve">, 104, pp. 333–339. </w:t>
      </w:r>
      <w:hyperlink r:id="rId76" w:tgtFrame="_new" w:history="1">
        <w:r w:rsidRPr="00B7140C">
          <w:rPr>
            <w:rStyle w:val="Hyperlink"/>
            <w:rFonts w:ascii="Times New Roman" w:hAnsi="Times New Roman" w:cs="Times New Roman"/>
            <w:szCs w:val="24"/>
          </w:rPr>
          <w:t>https://doi.org/10.1016/j.jbusres.2019.07.039</w:t>
        </w:r>
      </w:hyperlink>
      <w:r w:rsidRPr="00B7140C">
        <w:rPr>
          <w:rFonts w:ascii="Times New Roman" w:hAnsi="Times New Roman" w:cs="Times New Roman"/>
          <w:szCs w:val="24"/>
        </w:rPr>
        <w:t>.</w:t>
      </w:r>
    </w:p>
    <w:p w14:paraId="4CF2351B"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Sokolova, K. and </w:t>
      </w:r>
      <w:proofErr w:type="spellStart"/>
      <w:r w:rsidRPr="00B7140C">
        <w:rPr>
          <w:rFonts w:ascii="Times New Roman" w:hAnsi="Times New Roman" w:cs="Times New Roman"/>
          <w:szCs w:val="24"/>
        </w:rPr>
        <w:t>Kefi</w:t>
      </w:r>
      <w:proofErr w:type="spellEnd"/>
      <w:r w:rsidRPr="00B7140C">
        <w:rPr>
          <w:rFonts w:ascii="Times New Roman" w:hAnsi="Times New Roman" w:cs="Times New Roman"/>
          <w:szCs w:val="24"/>
        </w:rPr>
        <w:t xml:space="preserve">, H. (2020) ‘Instagram and YouTube bloggers promote it, why should I buy? How credibility and parasocial interaction influence purchase intentions’, </w:t>
      </w:r>
      <w:r w:rsidRPr="00B7140C">
        <w:rPr>
          <w:rFonts w:ascii="Times New Roman" w:hAnsi="Times New Roman" w:cs="Times New Roman"/>
          <w:i/>
          <w:iCs/>
          <w:szCs w:val="24"/>
        </w:rPr>
        <w:t>Journal of Retailing and Consumer Services</w:t>
      </w:r>
      <w:r w:rsidRPr="00B7140C">
        <w:rPr>
          <w:rFonts w:ascii="Times New Roman" w:hAnsi="Times New Roman" w:cs="Times New Roman"/>
          <w:szCs w:val="24"/>
        </w:rPr>
        <w:t xml:space="preserve">, 53, article 101742. </w:t>
      </w:r>
      <w:hyperlink r:id="rId77" w:tgtFrame="_new" w:history="1">
        <w:r w:rsidRPr="00B7140C">
          <w:rPr>
            <w:rStyle w:val="Hyperlink"/>
            <w:rFonts w:ascii="Times New Roman" w:hAnsi="Times New Roman" w:cs="Times New Roman"/>
            <w:szCs w:val="24"/>
          </w:rPr>
          <w:t>https://doi.org/10.1016/j.jretconser.2019.01.011</w:t>
        </w:r>
      </w:hyperlink>
      <w:r w:rsidRPr="00B7140C">
        <w:rPr>
          <w:rFonts w:ascii="Times New Roman" w:hAnsi="Times New Roman" w:cs="Times New Roman"/>
          <w:szCs w:val="24"/>
        </w:rPr>
        <w:t>.</w:t>
      </w:r>
    </w:p>
    <w:p w14:paraId="02EC3C15"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lastRenderedPageBreak/>
        <w:t xml:space="preserve">Statista Research Department (2025) </w:t>
      </w:r>
      <w:r w:rsidRPr="00B7140C">
        <w:rPr>
          <w:rFonts w:ascii="Times New Roman" w:hAnsi="Times New Roman" w:cs="Times New Roman"/>
          <w:i/>
          <w:iCs/>
          <w:szCs w:val="24"/>
        </w:rPr>
        <w:t>Skin care market in the United Kingdom (UK) – statistics &amp; facts</w:t>
      </w:r>
      <w:r w:rsidRPr="00B7140C">
        <w:rPr>
          <w:rFonts w:ascii="Times New Roman" w:hAnsi="Times New Roman" w:cs="Times New Roman"/>
          <w:szCs w:val="24"/>
        </w:rPr>
        <w:t xml:space="preserve">. Statista, 17 December. Available at: </w:t>
      </w:r>
      <w:hyperlink r:id="rId78" w:tgtFrame="_new" w:history="1">
        <w:r w:rsidRPr="00B7140C">
          <w:rPr>
            <w:rStyle w:val="Hyperlink"/>
            <w:rFonts w:ascii="Times New Roman" w:hAnsi="Times New Roman" w:cs="Times New Roman"/>
            <w:szCs w:val="24"/>
          </w:rPr>
          <w:t>https://www.statista.com/topics/5940/skin-care-in-the-uk/</w:t>
        </w:r>
      </w:hyperlink>
      <w:r w:rsidRPr="00B7140C">
        <w:rPr>
          <w:rFonts w:ascii="Times New Roman" w:hAnsi="Times New Roman" w:cs="Times New Roman"/>
          <w:szCs w:val="24"/>
        </w:rPr>
        <w:t xml:space="preserve"> (Accessed: 13 July 2026).</w:t>
      </w:r>
    </w:p>
    <w:p w14:paraId="3BC99AFD"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The INKEY List (2026a) </w:t>
      </w:r>
      <w:r w:rsidRPr="00B7140C">
        <w:rPr>
          <w:rFonts w:ascii="Times New Roman" w:hAnsi="Times New Roman" w:cs="Times New Roman"/>
          <w:i/>
          <w:iCs/>
          <w:szCs w:val="24"/>
        </w:rPr>
        <w:t>About us</w:t>
      </w:r>
      <w:r w:rsidRPr="00B7140C">
        <w:rPr>
          <w:rFonts w:ascii="Times New Roman" w:hAnsi="Times New Roman" w:cs="Times New Roman"/>
          <w:szCs w:val="24"/>
        </w:rPr>
        <w:t xml:space="preserve">. Available at: </w:t>
      </w:r>
      <w:hyperlink r:id="rId79" w:tgtFrame="_new" w:history="1">
        <w:r w:rsidRPr="00B7140C">
          <w:rPr>
            <w:rStyle w:val="Hyperlink"/>
            <w:rFonts w:ascii="Times New Roman" w:hAnsi="Times New Roman" w:cs="Times New Roman"/>
            <w:szCs w:val="24"/>
          </w:rPr>
          <w:t>https://uk.theinkeylist.com/pages/about-us</w:t>
        </w:r>
      </w:hyperlink>
      <w:r w:rsidRPr="00B7140C">
        <w:rPr>
          <w:rFonts w:ascii="Times New Roman" w:hAnsi="Times New Roman" w:cs="Times New Roman"/>
          <w:szCs w:val="24"/>
        </w:rPr>
        <w:t xml:space="preserve"> (Accessed: 27 August 2026).</w:t>
      </w:r>
    </w:p>
    <w:p w14:paraId="404BBFF1"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The INKEY List (2026b) </w:t>
      </w:r>
      <w:r w:rsidRPr="00B7140C">
        <w:rPr>
          <w:rFonts w:ascii="Times New Roman" w:hAnsi="Times New Roman" w:cs="Times New Roman"/>
          <w:i/>
          <w:iCs/>
          <w:szCs w:val="24"/>
        </w:rPr>
        <w:t>The INKEY List</w:t>
      </w:r>
      <w:r w:rsidRPr="00B7140C">
        <w:rPr>
          <w:rFonts w:ascii="Times New Roman" w:hAnsi="Times New Roman" w:cs="Times New Roman"/>
          <w:szCs w:val="24"/>
        </w:rPr>
        <w:t xml:space="preserve"> [Homepage]. Available at: </w:t>
      </w:r>
      <w:hyperlink r:id="rId80" w:tgtFrame="_new" w:history="1">
        <w:r w:rsidRPr="00B7140C">
          <w:rPr>
            <w:rStyle w:val="Hyperlink"/>
            <w:rFonts w:ascii="Times New Roman" w:hAnsi="Times New Roman" w:cs="Times New Roman"/>
            <w:szCs w:val="24"/>
          </w:rPr>
          <w:t>https://www.theinkeylist.com/</w:t>
        </w:r>
      </w:hyperlink>
      <w:r w:rsidRPr="00B7140C">
        <w:rPr>
          <w:rFonts w:ascii="Times New Roman" w:hAnsi="Times New Roman" w:cs="Times New Roman"/>
          <w:szCs w:val="24"/>
        </w:rPr>
        <w:t xml:space="preserve"> (Accessed: 2 September 2026).</w:t>
      </w:r>
    </w:p>
    <w:p w14:paraId="350F5DD6"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The INKEY List (2026c) </w:t>
      </w:r>
      <w:r w:rsidRPr="00B7140C">
        <w:rPr>
          <w:rFonts w:ascii="Times New Roman" w:hAnsi="Times New Roman" w:cs="Times New Roman"/>
          <w:i/>
          <w:iCs/>
          <w:szCs w:val="24"/>
        </w:rPr>
        <w:t>INKEY School</w:t>
      </w:r>
      <w:r w:rsidRPr="00B7140C">
        <w:rPr>
          <w:rFonts w:ascii="Times New Roman" w:hAnsi="Times New Roman" w:cs="Times New Roman"/>
          <w:szCs w:val="24"/>
        </w:rPr>
        <w:t xml:space="preserve">. Available at: </w:t>
      </w:r>
      <w:hyperlink r:id="rId81" w:tgtFrame="_new" w:history="1">
        <w:r w:rsidRPr="00B7140C">
          <w:rPr>
            <w:rStyle w:val="Hyperlink"/>
            <w:rFonts w:ascii="Times New Roman" w:hAnsi="Times New Roman" w:cs="Times New Roman"/>
            <w:szCs w:val="24"/>
          </w:rPr>
          <w:t>https://school.theinkeylist.com/</w:t>
        </w:r>
      </w:hyperlink>
      <w:r w:rsidRPr="00B7140C">
        <w:rPr>
          <w:rFonts w:ascii="Times New Roman" w:hAnsi="Times New Roman" w:cs="Times New Roman"/>
          <w:szCs w:val="24"/>
        </w:rPr>
        <w:t xml:space="preserve"> (Accessed: 2 September 2026).</w:t>
      </w:r>
    </w:p>
    <w:p w14:paraId="298FBA0D"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Torres, P., Augusto, M. and Matos, M. (2019) ‘Antecedents and outcomes of digital influencer endorsement: An exploratory study’, </w:t>
      </w:r>
      <w:r w:rsidRPr="00B7140C">
        <w:rPr>
          <w:rFonts w:ascii="Times New Roman" w:hAnsi="Times New Roman" w:cs="Times New Roman"/>
          <w:i/>
          <w:iCs/>
          <w:szCs w:val="24"/>
        </w:rPr>
        <w:t>Psychology &amp; Marketing</w:t>
      </w:r>
      <w:r w:rsidRPr="00B7140C">
        <w:rPr>
          <w:rFonts w:ascii="Times New Roman" w:hAnsi="Times New Roman" w:cs="Times New Roman"/>
          <w:szCs w:val="24"/>
        </w:rPr>
        <w:t xml:space="preserve">, 36(12), pp. 1267–1276. </w:t>
      </w:r>
      <w:hyperlink r:id="rId82" w:tgtFrame="_new" w:history="1">
        <w:r w:rsidRPr="00B7140C">
          <w:rPr>
            <w:rStyle w:val="Hyperlink"/>
            <w:rFonts w:ascii="Times New Roman" w:hAnsi="Times New Roman" w:cs="Times New Roman"/>
            <w:szCs w:val="24"/>
          </w:rPr>
          <w:t>https://doi.org/10.1002/mar.21274</w:t>
        </w:r>
      </w:hyperlink>
      <w:r w:rsidRPr="00B7140C">
        <w:rPr>
          <w:rFonts w:ascii="Times New Roman" w:hAnsi="Times New Roman" w:cs="Times New Roman"/>
          <w:szCs w:val="24"/>
        </w:rPr>
        <w:t>.</w:t>
      </w:r>
    </w:p>
    <w:p w14:paraId="09E1605D"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Tranfield</w:t>
      </w:r>
      <w:proofErr w:type="spellEnd"/>
      <w:r w:rsidRPr="00B7140C">
        <w:rPr>
          <w:rFonts w:ascii="Times New Roman" w:hAnsi="Times New Roman" w:cs="Times New Roman"/>
          <w:szCs w:val="24"/>
        </w:rPr>
        <w:t xml:space="preserve">, D., Denyer, D. and Smart, P. (2003) ‘Towards a methodology for developing evidence-informed management knowledge by means of systematic review’, </w:t>
      </w:r>
      <w:r w:rsidRPr="00B7140C">
        <w:rPr>
          <w:rFonts w:ascii="Times New Roman" w:hAnsi="Times New Roman" w:cs="Times New Roman"/>
          <w:i/>
          <w:iCs/>
          <w:szCs w:val="24"/>
        </w:rPr>
        <w:t>British Journal of Management</w:t>
      </w:r>
      <w:r w:rsidRPr="00B7140C">
        <w:rPr>
          <w:rFonts w:ascii="Times New Roman" w:hAnsi="Times New Roman" w:cs="Times New Roman"/>
          <w:szCs w:val="24"/>
        </w:rPr>
        <w:t xml:space="preserve">, 14(3), pp. 207–222. </w:t>
      </w:r>
      <w:hyperlink r:id="rId83" w:tgtFrame="_new" w:history="1">
        <w:r w:rsidRPr="00B7140C">
          <w:rPr>
            <w:rStyle w:val="Hyperlink"/>
            <w:rFonts w:ascii="Times New Roman" w:hAnsi="Times New Roman" w:cs="Times New Roman"/>
            <w:szCs w:val="24"/>
          </w:rPr>
          <w:t>https://doi.org/10.1111/1467-8551.00375</w:t>
        </w:r>
      </w:hyperlink>
      <w:r w:rsidRPr="00B7140C">
        <w:rPr>
          <w:rFonts w:ascii="Times New Roman" w:hAnsi="Times New Roman" w:cs="Times New Roman"/>
          <w:szCs w:val="24"/>
        </w:rPr>
        <w:t>.</w:t>
      </w:r>
    </w:p>
    <w:p w14:paraId="263A88E2"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University of Manchester (2026) </w:t>
      </w:r>
      <w:r w:rsidRPr="00B7140C">
        <w:rPr>
          <w:rFonts w:ascii="Times New Roman" w:hAnsi="Times New Roman" w:cs="Times New Roman"/>
          <w:i/>
          <w:iCs/>
          <w:szCs w:val="24"/>
        </w:rPr>
        <w:t>Uncovering the secrets of younger skin with No7</w:t>
      </w:r>
      <w:r w:rsidRPr="00B7140C">
        <w:rPr>
          <w:rFonts w:ascii="Times New Roman" w:hAnsi="Times New Roman" w:cs="Times New Roman"/>
          <w:szCs w:val="24"/>
        </w:rPr>
        <w:t xml:space="preserve">. Available at: </w:t>
      </w:r>
      <w:hyperlink r:id="rId84" w:tgtFrame="_new" w:history="1">
        <w:r w:rsidRPr="00B7140C">
          <w:rPr>
            <w:rStyle w:val="Hyperlink"/>
            <w:rFonts w:ascii="Times New Roman" w:hAnsi="Times New Roman" w:cs="Times New Roman"/>
            <w:szCs w:val="24"/>
          </w:rPr>
          <w:t>https://www.manchester.ac.uk/collaborate/business-engagement-knowledge-exchange/case-studies/no7/</w:t>
        </w:r>
      </w:hyperlink>
      <w:r w:rsidRPr="00B7140C">
        <w:rPr>
          <w:rFonts w:ascii="Times New Roman" w:hAnsi="Times New Roman" w:cs="Times New Roman"/>
          <w:szCs w:val="24"/>
        </w:rPr>
        <w:t xml:space="preserve"> (Accessed: 2 September 2026).</w:t>
      </w:r>
    </w:p>
    <w:p w14:paraId="2EA20950" w14:textId="77777777" w:rsidR="0010388D" w:rsidRPr="00B7140C" w:rsidRDefault="0010388D" w:rsidP="00A873B5">
      <w:pPr>
        <w:spacing w:after="100"/>
        <w:jc w:val="both"/>
        <w:rPr>
          <w:rFonts w:ascii="Times New Roman" w:hAnsi="Times New Roman" w:cs="Times New Roman"/>
          <w:szCs w:val="24"/>
        </w:rPr>
      </w:pPr>
      <w:proofErr w:type="spellStart"/>
      <w:r w:rsidRPr="00B7140C">
        <w:rPr>
          <w:rFonts w:ascii="Times New Roman" w:hAnsi="Times New Roman" w:cs="Times New Roman"/>
          <w:szCs w:val="24"/>
        </w:rPr>
        <w:t>Vrontis</w:t>
      </w:r>
      <w:proofErr w:type="spellEnd"/>
      <w:r w:rsidRPr="00B7140C">
        <w:rPr>
          <w:rFonts w:ascii="Times New Roman" w:hAnsi="Times New Roman" w:cs="Times New Roman"/>
          <w:szCs w:val="24"/>
        </w:rPr>
        <w:t xml:space="preserve">, D., Makrides, A., Christofi, M. and </w:t>
      </w:r>
      <w:proofErr w:type="spellStart"/>
      <w:r w:rsidRPr="00B7140C">
        <w:rPr>
          <w:rFonts w:ascii="Times New Roman" w:hAnsi="Times New Roman" w:cs="Times New Roman"/>
          <w:szCs w:val="24"/>
        </w:rPr>
        <w:t>Thrassou</w:t>
      </w:r>
      <w:proofErr w:type="spellEnd"/>
      <w:r w:rsidRPr="00B7140C">
        <w:rPr>
          <w:rFonts w:ascii="Times New Roman" w:hAnsi="Times New Roman" w:cs="Times New Roman"/>
          <w:szCs w:val="24"/>
        </w:rPr>
        <w:t xml:space="preserve">, A. (2021) ‘Social media influencer marketing: A systematic review, integrative framework and future research agenda’, </w:t>
      </w:r>
      <w:r w:rsidRPr="00B7140C">
        <w:rPr>
          <w:rFonts w:ascii="Times New Roman" w:hAnsi="Times New Roman" w:cs="Times New Roman"/>
          <w:i/>
          <w:iCs/>
          <w:szCs w:val="24"/>
        </w:rPr>
        <w:t>International Journal of Consumer Studies</w:t>
      </w:r>
      <w:r w:rsidRPr="00B7140C">
        <w:rPr>
          <w:rFonts w:ascii="Times New Roman" w:hAnsi="Times New Roman" w:cs="Times New Roman"/>
          <w:szCs w:val="24"/>
        </w:rPr>
        <w:t xml:space="preserve">, 45(4), pp. 617–644. </w:t>
      </w:r>
      <w:hyperlink r:id="rId85" w:tgtFrame="_new" w:history="1">
        <w:r w:rsidRPr="00B7140C">
          <w:rPr>
            <w:rStyle w:val="Hyperlink"/>
            <w:rFonts w:ascii="Times New Roman" w:hAnsi="Times New Roman" w:cs="Times New Roman"/>
            <w:szCs w:val="24"/>
          </w:rPr>
          <w:t>https://doi.org/10.1111/ijcs.12647</w:t>
        </w:r>
      </w:hyperlink>
      <w:r w:rsidRPr="00B7140C">
        <w:rPr>
          <w:rFonts w:ascii="Times New Roman" w:hAnsi="Times New Roman" w:cs="Times New Roman"/>
          <w:szCs w:val="24"/>
        </w:rPr>
        <w:t>.</w:t>
      </w:r>
    </w:p>
    <w:p w14:paraId="194C1948"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Wiedmann, K.-P. and von </w:t>
      </w:r>
      <w:proofErr w:type="spellStart"/>
      <w:r w:rsidRPr="00B7140C">
        <w:rPr>
          <w:rFonts w:ascii="Times New Roman" w:hAnsi="Times New Roman" w:cs="Times New Roman"/>
          <w:szCs w:val="24"/>
        </w:rPr>
        <w:t>Mettenheim</w:t>
      </w:r>
      <w:proofErr w:type="spellEnd"/>
      <w:r w:rsidRPr="00B7140C">
        <w:rPr>
          <w:rFonts w:ascii="Times New Roman" w:hAnsi="Times New Roman" w:cs="Times New Roman"/>
          <w:szCs w:val="24"/>
        </w:rPr>
        <w:t xml:space="preserve">, W. (2021) ‘Attractiveness, trustworthiness and expertise – social influencers’ winning formula?’, </w:t>
      </w:r>
      <w:r w:rsidRPr="00B7140C">
        <w:rPr>
          <w:rFonts w:ascii="Times New Roman" w:hAnsi="Times New Roman" w:cs="Times New Roman"/>
          <w:i/>
          <w:iCs/>
          <w:szCs w:val="24"/>
        </w:rPr>
        <w:t>Journal of Product &amp; Brand Management</w:t>
      </w:r>
      <w:r w:rsidRPr="00B7140C">
        <w:rPr>
          <w:rFonts w:ascii="Times New Roman" w:hAnsi="Times New Roman" w:cs="Times New Roman"/>
          <w:szCs w:val="24"/>
        </w:rPr>
        <w:t>, 30(5), pp. 707–725. https://doi.org/10.1108/JPBM-06-2019-2442.</w:t>
      </w:r>
    </w:p>
    <w:p w14:paraId="1772A31E" w14:textId="77777777" w:rsidR="0010388D" w:rsidRPr="00B7140C" w:rsidRDefault="0010388D" w:rsidP="00A873B5">
      <w:pPr>
        <w:spacing w:after="100"/>
        <w:jc w:val="both"/>
        <w:rPr>
          <w:rFonts w:ascii="Times New Roman" w:hAnsi="Times New Roman" w:cs="Times New Roman"/>
          <w:szCs w:val="24"/>
        </w:rPr>
      </w:pPr>
      <w:r w:rsidRPr="00B7140C">
        <w:rPr>
          <w:rFonts w:ascii="Times New Roman" w:hAnsi="Times New Roman" w:cs="Times New Roman"/>
          <w:szCs w:val="24"/>
        </w:rPr>
        <w:t xml:space="preserve">Ye, G., </w:t>
      </w:r>
      <w:proofErr w:type="spellStart"/>
      <w:r w:rsidRPr="00B7140C">
        <w:rPr>
          <w:rFonts w:ascii="Times New Roman" w:hAnsi="Times New Roman" w:cs="Times New Roman"/>
          <w:szCs w:val="24"/>
        </w:rPr>
        <w:t>Hudders</w:t>
      </w:r>
      <w:proofErr w:type="spellEnd"/>
      <w:r w:rsidRPr="00B7140C">
        <w:rPr>
          <w:rFonts w:ascii="Times New Roman" w:hAnsi="Times New Roman" w:cs="Times New Roman"/>
          <w:szCs w:val="24"/>
        </w:rPr>
        <w:t xml:space="preserve">, L., De Jans, S. and De </w:t>
      </w:r>
      <w:proofErr w:type="spellStart"/>
      <w:r w:rsidRPr="00B7140C">
        <w:rPr>
          <w:rFonts w:ascii="Times New Roman" w:hAnsi="Times New Roman" w:cs="Times New Roman"/>
          <w:szCs w:val="24"/>
        </w:rPr>
        <w:t>Veirman</w:t>
      </w:r>
      <w:proofErr w:type="spellEnd"/>
      <w:r w:rsidRPr="00B7140C">
        <w:rPr>
          <w:rFonts w:ascii="Times New Roman" w:hAnsi="Times New Roman" w:cs="Times New Roman"/>
          <w:szCs w:val="24"/>
        </w:rPr>
        <w:t xml:space="preserve">, M. (2021) ‘The value of influencer marketing for business: A bibliometric analysis and managerial implications’, </w:t>
      </w:r>
      <w:r w:rsidRPr="00B7140C">
        <w:rPr>
          <w:rFonts w:ascii="Times New Roman" w:hAnsi="Times New Roman" w:cs="Times New Roman"/>
          <w:i/>
          <w:iCs/>
          <w:szCs w:val="24"/>
        </w:rPr>
        <w:t>Journal of Advertising</w:t>
      </w:r>
      <w:r w:rsidRPr="00B7140C">
        <w:rPr>
          <w:rFonts w:ascii="Times New Roman" w:hAnsi="Times New Roman" w:cs="Times New Roman"/>
          <w:szCs w:val="24"/>
        </w:rPr>
        <w:t xml:space="preserve">, 50(2), pp. 160–178. </w:t>
      </w:r>
      <w:hyperlink r:id="rId86" w:tgtFrame="_new" w:history="1">
        <w:r w:rsidRPr="00B7140C">
          <w:rPr>
            <w:rStyle w:val="Hyperlink"/>
            <w:rFonts w:ascii="Times New Roman" w:hAnsi="Times New Roman" w:cs="Times New Roman"/>
            <w:szCs w:val="24"/>
          </w:rPr>
          <w:t>https://doi.org/10.1080/00913367.2020.1857888</w:t>
        </w:r>
      </w:hyperlink>
    </w:p>
    <w:p w14:paraId="23E88613" w14:textId="77777777" w:rsidR="00016B88" w:rsidRPr="00B7140C" w:rsidRDefault="00016B88" w:rsidP="0010388D">
      <w:pPr>
        <w:spacing w:after="100"/>
        <w:rPr>
          <w:rFonts w:ascii="Times New Roman" w:hAnsi="Times New Roman" w:cs="Times New Roman"/>
        </w:rPr>
      </w:pPr>
    </w:p>
    <w:p w14:paraId="2A6C4804" w14:textId="77777777" w:rsidR="00C62FA8" w:rsidRPr="00B7140C" w:rsidRDefault="00682E2E">
      <w:pPr>
        <w:pageBreakBefore/>
        <w:spacing w:after="240"/>
        <w:jc w:val="center"/>
        <w:rPr>
          <w:rFonts w:ascii="Times New Roman" w:hAnsi="Times New Roman" w:cs="Times New Roman"/>
        </w:rPr>
      </w:pPr>
      <w:r w:rsidRPr="00B7140C">
        <w:rPr>
          <w:rFonts w:ascii="Times New Roman" w:hAnsi="Times New Roman" w:cs="Times New Roman"/>
          <w:b/>
          <w:sz w:val="32"/>
        </w:rPr>
        <w:lastRenderedPageBreak/>
        <w:t>Appendices</w:t>
      </w:r>
    </w:p>
    <w:p w14:paraId="17139560" w14:textId="77777777" w:rsidR="00C62FA8" w:rsidRPr="00B7140C" w:rsidRDefault="00682E2E">
      <w:pPr>
        <w:pageBreakBefore/>
        <w:spacing w:after="240"/>
        <w:jc w:val="center"/>
        <w:rPr>
          <w:rFonts w:ascii="Times New Roman" w:hAnsi="Times New Roman" w:cs="Times New Roman"/>
        </w:rPr>
      </w:pPr>
      <w:r w:rsidRPr="00B7140C">
        <w:rPr>
          <w:rFonts w:ascii="Times New Roman" w:hAnsi="Times New Roman" w:cs="Times New Roman"/>
        </w:rPr>
        <w:lastRenderedPageBreak/>
        <w:t>Appendix A: Search Strategy and Screening Record</w:t>
      </w:r>
    </w:p>
    <w:p w14:paraId="65564822" w14:textId="77777777" w:rsidR="00C62FA8" w:rsidRPr="00B7140C" w:rsidRDefault="00682E2E">
      <w:pPr>
        <w:spacing w:after="200"/>
        <w:rPr>
          <w:rFonts w:ascii="Times New Roman" w:hAnsi="Times New Roman" w:cs="Times New Roman"/>
        </w:rPr>
      </w:pPr>
      <w:r w:rsidRPr="00B7140C">
        <w:rPr>
          <w:rFonts w:ascii="Times New Roman" w:hAnsi="Times New Roman" w:cs="Times New Roman"/>
        </w:rPr>
        <w:t>The search record below supports the transparent secondary-data procedure described in Chapter 3. Results were screened by title and abstract, duplicates were removed, and full texts were assessed against the stated inclusion and exclusion criteria.</w:t>
      </w:r>
    </w:p>
    <w:tbl>
      <w:tblPr>
        <w:tblStyle w:val="TableGrid"/>
        <w:tblW w:w="0" w:type="auto"/>
        <w:tblLayout w:type="fixed"/>
        <w:tblLook w:val="04A0" w:firstRow="1" w:lastRow="0" w:firstColumn="1" w:lastColumn="0" w:noHBand="0" w:noVBand="1"/>
      </w:tblPr>
      <w:tblGrid>
        <w:gridCol w:w="1300"/>
        <w:gridCol w:w="3800"/>
        <w:gridCol w:w="2900"/>
      </w:tblGrid>
      <w:tr w:rsidR="00C62FA8" w:rsidRPr="00B7140C" w14:paraId="60F927D4" w14:textId="77777777">
        <w:tc>
          <w:tcPr>
            <w:tcW w:w="1300" w:type="dxa"/>
            <w:shd w:val="clear" w:color="auto" w:fill="D9EAD3"/>
            <w:vAlign w:val="center"/>
          </w:tcPr>
          <w:p w14:paraId="3A1A2C6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Element</w:t>
            </w:r>
          </w:p>
        </w:tc>
        <w:tc>
          <w:tcPr>
            <w:tcW w:w="3800" w:type="dxa"/>
            <w:shd w:val="clear" w:color="auto" w:fill="D9EAD3"/>
            <w:vAlign w:val="center"/>
          </w:tcPr>
          <w:p w14:paraId="19261C0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Recorded approach</w:t>
            </w:r>
          </w:p>
        </w:tc>
        <w:tc>
          <w:tcPr>
            <w:tcW w:w="2900" w:type="dxa"/>
            <w:shd w:val="clear" w:color="auto" w:fill="D9EAD3"/>
            <w:vAlign w:val="center"/>
          </w:tcPr>
          <w:p w14:paraId="660ECDC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Purpose</w:t>
            </w:r>
          </w:p>
        </w:tc>
      </w:tr>
      <w:tr w:rsidR="00C62FA8" w:rsidRPr="00B7140C" w14:paraId="5D8A96BD" w14:textId="77777777">
        <w:tc>
          <w:tcPr>
            <w:tcW w:w="1300" w:type="dxa"/>
            <w:vAlign w:val="center"/>
          </w:tcPr>
          <w:p w14:paraId="5179D65E"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Academic databases</w:t>
            </w:r>
          </w:p>
        </w:tc>
        <w:tc>
          <w:tcPr>
            <w:tcW w:w="3800" w:type="dxa"/>
            <w:vAlign w:val="center"/>
          </w:tcPr>
          <w:p w14:paraId="4A21B2A2"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Scopus, Web of Science, ScienceDirect, Google Scholar and UWTSD Library.</w:t>
            </w:r>
          </w:p>
        </w:tc>
        <w:tc>
          <w:tcPr>
            <w:tcW w:w="2900" w:type="dxa"/>
            <w:vAlign w:val="center"/>
          </w:tcPr>
          <w:p w14:paraId="09CECC91"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To identify peer-reviewed evidence on micro-influencer credibility and purchase intention.</w:t>
            </w:r>
          </w:p>
        </w:tc>
      </w:tr>
      <w:tr w:rsidR="00C62FA8" w:rsidRPr="00B7140C" w14:paraId="15F21F88" w14:textId="77777777">
        <w:tc>
          <w:tcPr>
            <w:tcW w:w="1300" w:type="dxa"/>
            <w:vAlign w:val="center"/>
          </w:tcPr>
          <w:p w14:paraId="28C5B61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Core search terms</w:t>
            </w:r>
          </w:p>
        </w:tc>
        <w:tc>
          <w:tcPr>
            <w:tcW w:w="3800" w:type="dxa"/>
            <w:vAlign w:val="center"/>
          </w:tcPr>
          <w:p w14:paraId="43E84E2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(micro-influencer OR influencer) AND (credibility OR trustworthiness OR expertise OR authenticity) AND (purchase intention OR buying intention) AND (skincare OR beauty) AND (Gen Z OR young consumers).</w:t>
            </w:r>
          </w:p>
        </w:tc>
        <w:tc>
          <w:tcPr>
            <w:tcW w:w="2900" w:type="dxa"/>
            <w:vAlign w:val="center"/>
          </w:tcPr>
          <w:p w14:paraId="420A086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To locate studies relevant to the Chapter 2 constructs and UK skincare context.</w:t>
            </w:r>
          </w:p>
        </w:tc>
      </w:tr>
      <w:tr w:rsidR="00C62FA8" w:rsidRPr="00B7140C" w14:paraId="64425CFC" w14:textId="77777777">
        <w:tc>
          <w:tcPr>
            <w:tcW w:w="1300" w:type="dxa"/>
            <w:vAlign w:val="center"/>
          </w:tcPr>
          <w:p w14:paraId="04B06765"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Contextual sources</w:t>
            </w:r>
          </w:p>
        </w:tc>
        <w:tc>
          <w:tcPr>
            <w:tcW w:w="3800" w:type="dxa"/>
            <w:vAlign w:val="center"/>
          </w:tcPr>
          <w:p w14:paraId="7E7B500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ASA/CAP, Ofcom, official company pages and reputable industry reporting.</w:t>
            </w:r>
          </w:p>
        </w:tc>
        <w:tc>
          <w:tcPr>
            <w:tcW w:w="2900" w:type="dxa"/>
            <w:vAlign w:val="center"/>
          </w:tcPr>
          <w:p w14:paraId="5BB906AF"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 xml:space="preserve">To interpret UK disclosure requirements and </w:t>
            </w:r>
            <w:proofErr w:type="spellStart"/>
            <w:r w:rsidRPr="00B7140C">
              <w:rPr>
                <w:rFonts w:ascii="Times New Roman" w:hAnsi="Times New Roman" w:cs="Times New Roman"/>
                <w:sz w:val="17"/>
              </w:rPr>
              <w:t>organisation</w:t>
            </w:r>
            <w:proofErr w:type="spellEnd"/>
            <w:r w:rsidRPr="00B7140C">
              <w:rPr>
                <w:rFonts w:ascii="Times New Roman" w:hAnsi="Times New Roman" w:cs="Times New Roman"/>
                <w:sz w:val="17"/>
              </w:rPr>
              <w:t>-case contexts.</w:t>
            </w:r>
          </w:p>
        </w:tc>
      </w:tr>
      <w:tr w:rsidR="00C62FA8" w:rsidRPr="00B7140C" w14:paraId="7C32F406" w14:textId="77777777">
        <w:tc>
          <w:tcPr>
            <w:tcW w:w="1300" w:type="dxa"/>
            <w:vAlign w:val="center"/>
          </w:tcPr>
          <w:p w14:paraId="60F6219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Exclusions</w:t>
            </w:r>
          </w:p>
        </w:tc>
        <w:tc>
          <w:tcPr>
            <w:tcW w:w="3800" w:type="dxa"/>
            <w:vAlign w:val="center"/>
          </w:tcPr>
          <w:p w14:paraId="5D7362D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Unverifiable opinion pieces; celebrity-only endorsements; non-social-media advertising; sources without identifiable methods.</w:t>
            </w:r>
          </w:p>
        </w:tc>
        <w:tc>
          <w:tcPr>
            <w:tcW w:w="2900" w:type="dxa"/>
            <w:vAlign w:val="center"/>
          </w:tcPr>
          <w:p w14:paraId="2EA49D4A"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To preserve relevance and methodological transparency.</w:t>
            </w:r>
          </w:p>
        </w:tc>
      </w:tr>
    </w:tbl>
    <w:p w14:paraId="49C889B5" w14:textId="77777777" w:rsidR="00C62FA8" w:rsidRPr="00B7140C" w:rsidRDefault="00682E2E">
      <w:pPr>
        <w:pageBreakBefore/>
        <w:spacing w:after="240"/>
        <w:jc w:val="center"/>
        <w:rPr>
          <w:rFonts w:ascii="Times New Roman" w:hAnsi="Times New Roman" w:cs="Times New Roman"/>
        </w:rPr>
      </w:pPr>
      <w:r w:rsidRPr="00B7140C">
        <w:rPr>
          <w:rFonts w:ascii="Times New Roman" w:hAnsi="Times New Roman" w:cs="Times New Roman"/>
        </w:rPr>
        <w:lastRenderedPageBreak/>
        <w:t xml:space="preserve">Appendix B: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Case Evidence Matrix</w:t>
      </w:r>
    </w:p>
    <w:p w14:paraId="2D57C497" w14:textId="77777777" w:rsidR="00C62FA8" w:rsidRPr="00B7140C" w:rsidRDefault="00682E2E">
      <w:pPr>
        <w:spacing w:after="200"/>
        <w:rPr>
          <w:rFonts w:ascii="Times New Roman" w:hAnsi="Times New Roman" w:cs="Times New Roman"/>
        </w:rPr>
      </w:pPr>
      <w:r w:rsidRPr="00B7140C">
        <w:rPr>
          <w:rFonts w:ascii="Times New Roman" w:hAnsi="Times New Roman" w:cs="Times New Roman"/>
        </w:rPr>
        <w:t xml:space="preserve">This matrix records how public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information was used as contextual secondary evidence. It does not treat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material as causal evidence of micro-influencer impact.</w:t>
      </w:r>
    </w:p>
    <w:tbl>
      <w:tblPr>
        <w:tblStyle w:val="TableGrid"/>
        <w:tblW w:w="0" w:type="auto"/>
        <w:tblLayout w:type="fixed"/>
        <w:tblLook w:val="04A0" w:firstRow="1" w:lastRow="0" w:firstColumn="1" w:lastColumn="0" w:noHBand="0" w:noVBand="1"/>
      </w:tblPr>
      <w:tblGrid>
        <w:gridCol w:w="1450"/>
        <w:gridCol w:w="2500"/>
        <w:gridCol w:w="2450"/>
        <w:gridCol w:w="1600"/>
      </w:tblGrid>
      <w:tr w:rsidR="00C62FA8" w:rsidRPr="00B7140C" w14:paraId="0AD3F03E" w14:textId="77777777">
        <w:tc>
          <w:tcPr>
            <w:tcW w:w="1450" w:type="dxa"/>
            <w:shd w:val="clear" w:color="auto" w:fill="D9EAD3"/>
            <w:vAlign w:val="center"/>
          </w:tcPr>
          <w:p w14:paraId="1B1D948C" w14:textId="77777777" w:rsidR="00C62FA8" w:rsidRPr="00B7140C" w:rsidRDefault="00682E2E">
            <w:pPr>
              <w:spacing w:after="0" w:line="240" w:lineRule="auto"/>
              <w:rPr>
                <w:rFonts w:ascii="Times New Roman" w:hAnsi="Times New Roman" w:cs="Times New Roman"/>
              </w:rPr>
            </w:pPr>
            <w:proofErr w:type="spellStart"/>
            <w:r w:rsidRPr="00B7140C">
              <w:rPr>
                <w:rFonts w:ascii="Times New Roman" w:hAnsi="Times New Roman" w:cs="Times New Roman"/>
                <w:b/>
                <w:sz w:val="18"/>
              </w:rPr>
              <w:t>Organisation</w:t>
            </w:r>
            <w:proofErr w:type="spellEnd"/>
            <w:r w:rsidRPr="00B7140C">
              <w:rPr>
                <w:rFonts w:ascii="Times New Roman" w:hAnsi="Times New Roman" w:cs="Times New Roman"/>
                <w:b/>
                <w:sz w:val="18"/>
              </w:rPr>
              <w:t xml:space="preserve"> case</w:t>
            </w:r>
          </w:p>
        </w:tc>
        <w:tc>
          <w:tcPr>
            <w:tcW w:w="2500" w:type="dxa"/>
            <w:shd w:val="clear" w:color="auto" w:fill="D9EAD3"/>
            <w:vAlign w:val="center"/>
          </w:tcPr>
          <w:p w14:paraId="58D88178"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Public contextual evidence</w:t>
            </w:r>
          </w:p>
        </w:tc>
        <w:tc>
          <w:tcPr>
            <w:tcW w:w="2450" w:type="dxa"/>
            <w:shd w:val="clear" w:color="auto" w:fill="D9EAD3"/>
            <w:vAlign w:val="center"/>
          </w:tcPr>
          <w:p w14:paraId="04EBC4CB"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Credibility focus</w:t>
            </w:r>
          </w:p>
        </w:tc>
        <w:tc>
          <w:tcPr>
            <w:tcW w:w="1600" w:type="dxa"/>
            <w:shd w:val="clear" w:color="auto" w:fill="D9EAD3"/>
            <w:vAlign w:val="center"/>
          </w:tcPr>
          <w:p w14:paraId="63E95E4F"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Evidence boundary</w:t>
            </w:r>
          </w:p>
        </w:tc>
      </w:tr>
      <w:tr w:rsidR="00C62FA8" w:rsidRPr="00B7140C" w14:paraId="51D68FAC" w14:textId="77777777">
        <w:tc>
          <w:tcPr>
            <w:tcW w:w="1450" w:type="dxa"/>
            <w:vAlign w:val="center"/>
          </w:tcPr>
          <w:p w14:paraId="7FB43171"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The INKEY List</w:t>
            </w:r>
          </w:p>
        </w:tc>
        <w:tc>
          <w:tcPr>
            <w:tcW w:w="2500" w:type="dxa"/>
            <w:vAlign w:val="center"/>
          </w:tcPr>
          <w:p w14:paraId="3ED9C1B9"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INKEY School and ingredient-led education resources.</w:t>
            </w:r>
          </w:p>
        </w:tc>
        <w:tc>
          <w:tcPr>
            <w:tcW w:w="2450" w:type="dxa"/>
            <w:vAlign w:val="center"/>
          </w:tcPr>
          <w:p w14:paraId="42E9B1D8"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Expertise and trustworthiness through accessible product explanation.</w:t>
            </w:r>
          </w:p>
        </w:tc>
        <w:tc>
          <w:tcPr>
            <w:tcW w:w="1600" w:type="dxa"/>
            <w:vAlign w:val="center"/>
          </w:tcPr>
          <w:p w14:paraId="1A588AEE"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No public campaign-level influencer conversion measure.</w:t>
            </w:r>
          </w:p>
        </w:tc>
      </w:tr>
      <w:tr w:rsidR="00C62FA8" w:rsidRPr="00B7140C" w14:paraId="6FE7888B" w14:textId="77777777">
        <w:tc>
          <w:tcPr>
            <w:tcW w:w="1450" w:type="dxa"/>
            <w:vAlign w:val="center"/>
          </w:tcPr>
          <w:p w14:paraId="2F5290B4"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Pai Skincare</w:t>
            </w:r>
          </w:p>
        </w:tc>
        <w:tc>
          <w:tcPr>
            <w:tcW w:w="2500" w:type="dxa"/>
            <w:vAlign w:val="center"/>
          </w:tcPr>
          <w:p w14:paraId="0D860D5B"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Sensitive-skin, science-backed and natural-origin positioning.</w:t>
            </w:r>
          </w:p>
        </w:tc>
        <w:tc>
          <w:tcPr>
            <w:tcW w:w="2450" w:type="dxa"/>
            <w:vAlign w:val="center"/>
          </w:tcPr>
          <w:p w14:paraId="6ABB05DE"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Claim substantiation, authenticity and audience relevance.</w:t>
            </w:r>
          </w:p>
        </w:tc>
        <w:tc>
          <w:tcPr>
            <w:tcW w:w="1600" w:type="dxa"/>
            <w:vAlign w:val="center"/>
          </w:tcPr>
          <w:p w14:paraId="23DCFD2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No independently audited creator-performance dataset.</w:t>
            </w:r>
          </w:p>
        </w:tc>
      </w:tr>
      <w:tr w:rsidR="00C62FA8" w:rsidRPr="00B7140C" w14:paraId="3AF9E7C4" w14:textId="77777777">
        <w:tc>
          <w:tcPr>
            <w:tcW w:w="1450" w:type="dxa"/>
            <w:vAlign w:val="center"/>
          </w:tcPr>
          <w:p w14:paraId="206E271F"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Revolution Skincare</w:t>
            </w:r>
          </w:p>
        </w:tc>
        <w:tc>
          <w:tcPr>
            <w:tcW w:w="2500" w:type="dxa"/>
            <w:vAlign w:val="center"/>
          </w:tcPr>
          <w:p w14:paraId="3CDF9605"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Revolution Beauty public scale indicators and group reporting.</w:t>
            </w:r>
          </w:p>
        </w:tc>
        <w:tc>
          <w:tcPr>
            <w:tcW w:w="2450" w:type="dxa"/>
            <w:vAlign w:val="center"/>
          </w:tcPr>
          <w:p w14:paraId="688B1BC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Product–creator fit and disclosure in a trend-led, mass-market context.</w:t>
            </w:r>
          </w:p>
        </w:tc>
        <w:tc>
          <w:tcPr>
            <w:tcW w:w="1600" w:type="dxa"/>
            <w:vAlign w:val="center"/>
          </w:tcPr>
          <w:p w14:paraId="3BB5729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Corporate revenue cannot be attributed to influencer activity.</w:t>
            </w:r>
          </w:p>
        </w:tc>
      </w:tr>
      <w:tr w:rsidR="00C62FA8" w:rsidRPr="00B7140C" w14:paraId="36041CF5" w14:textId="77777777">
        <w:tc>
          <w:tcPr>
            <w:tcW w:w="1450" w:type="dxa"/>
            <w:vAlign w:val="center"/>
          </w:tcPr>
          <w:p w14:paraId="203D2D09"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No7</w:t>
            </w:r>
          </w:p>
        </w:tc>
        <w:tc>
          <w:tcPr>
            <w:tcW w:w="2500" w:type="dxa"/>
            <w:vAlign w:val="center"/>
          </w:tcPr>
          <w:p w14:paraId="65F57C2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Future Renew product-research and testing information.</w:t>
            </w:r>
          </w:p>
        </w:tc>
        <w:tc>
          <w:tcPr>
            <w:tcW w:w="2450" w:type="dxa"/>
            <w:vAlign w:val="center"/>
          </w:tcPr>
          <w:p w14:paraId="15A89B65"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Scientific substantiation and authentic explanation.</w:t>
            </w:r>
          </w:p>
        </w:tc>
        <w:tc>
          <w:tcPr>
            <w:tcW w:w="1600" w:type="dxa"/>
            <w:vAlign w:val="center"/>
          </w:tcPr>
          <w:p w14:paraId="005E202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Product studies are not Gen-Z influencer-conversion evidence.</w:t>
            </w:r>
          </w:p>
        </w:tc>
      </w:tr>
      <w:tr w:rsidR="00C62FA8" w:rsidRPr="00B7140C" w14:paraId="095C7608" w14:textId="77777777">
        <w:tc>
          <w:tcPr>
            <w:tcW w:w="1450" w:type="dxa"/>
            <w:vAlign w:val="center"/>
          </w:tcPr>
          <w:p w14:paraId="56D7C3F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Skin + Me</w:t>
            </w:r>
          </w:p>
        </w:tc>
        <w:tc>
          <w:tcPr>
            <w:tcW w:w="2500" w:type="dxa"/>
            <w:vAlign w:val="center"/>
          </w:tcPr>
          <w:p w14:paraId="2E859E3E" w14:textId="77777777" w:rsidR="00C62FA8" w:rsidRPr="00B7140C" w:rsidRDefault="00682E2E">
            <w:pPr>
              <w:spacing w:after="0" w:line="240" w:lineRule="auto"/>
              <w:rPr>
                <w:rFonts w:ascii="Times New Roman" w:hAnsi="Times New Roman" w:cs="Times New Roman"/>
              </w:rPr>
            </w:pPr>
            <w:proofErr w:type="spellStart"/>
            <w:r w:rsidRPr="00B7140C">
              <w:rPr>
                <w:rFonts w:ascii="Times New Roman" w:hAnsi="Times New Roman" w:cs="Times New Roman"/>
                <w:sz w:val="17"/>
              </w:rPr>
              <w:t>Personalised</w:t>
            </w:r>
            <w:proofErr w:type="spellEnd"/>
            <w:r w:rsidRPr="00B7140C">
              <w:rPr>
                <w:rFonts w:ascii="Times New Roman" w:hAnsi="Times New Roman" w:cs="Times New Roman"/>
                <w:sz w:val="17"/>
              </w:rPr>
              <w:t>, dermatologist-designed digital service proposition.</w:t>
            </w:r>
          </w:p>
        </w:tc>
        <w:tc>
          <w:tcPr>
            <w:tcW w:w="2450" w:type="dxa"/>
            <w:vAlign w:val="center"/>
          </w:tcPr>
          <w:p w14:paraId="57147D4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Transparency around guidance, testimonials and paid content.</w:t>
            </w:r>
          </w:p>
        </w:tc>
        <w:tc>
          <w:tcPr>
            <w:tcW w:w="1600" w:type="dxa"/>
            <w:vAlign w:val="center"/>
          </w:tcPr>
          <w:p w14:paraId="4815DA1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No public disclosure-to-purchase causal chain.</w:t>
            </w:r>
          </w:p>
        </w:tc>
      </w:tr>
    </w:tbl>
    <w:p w14:paraId="3B28C3EF" w14:textId="77777777" w:rsidR="00C62FA8" w:rsidRPr="00B7140C" w:rsidRDefault="00682E2E">
      <w:pPr>
        <w:pageBreakBefore/>
        <w:spacing w:after="240"/>
        <w:jc w:val="center"/>
        <w:rPr>
          <w:rFonts w:ascii="Times New Roman" w:hAnsi="Times New Roman" w:cs="Times New Roman"/>
        </w:rPr>
      </w:pPr>
      <w:r w:rsidRPr="00B7140C">
        <w:rPr>
          <w:rFonts w:ascii="Times New Roman" w:hAnsi="Times New Roman" w:cs="Times New Roman"/>
        </w:rPr>
        <w:lastRenderedPageBreak/>
        <w:t>Appendix C: Quality Appraisal and Coding Framework</w:t>
      </w:r>
    </w:p>
    <w:p w14:paraId="25F1760D" w14:textId="77777777" w:rsidR="00C62FA8" w:rsidRPr="00B7140C" w:rsidRDefault="00682E2E">
      <w:pPr>
        <w:spacing w:after="200"/>
        <w:rPr>
          <w:rFonts w:ascii="Times New Roman" w:hAnsi="Times New Roman" w:cs="Times New Roman"/>
        </w:rPr>
      </w:pPr>
      <w:r w:rsidRPr="00B7140C">
        <w:rPr>
          <w:rFonts w:ascii="Times New Roman" w:hAnsi="Times New Roman" w:cs="Times New Roman"/>
        </w:rPr>
        <w:t xml:space="preserve">The coding framework was used to maintain a consistent evidence trail across academic, regulatory and public </w:t>
      </w:r>
      <w:proofErr w:type="spellStart"/>
      <w:r w:rsidRPr="00B7140C">
        <w:rPr>
          <w:rFonts w:ascii="Times New Roman" w:hAnsi="Times New Roman" w:cs="Times New Roman"/>
        </w:rPr>
        <w:t>organisation</w:t>
      </w:r>
      <w:proofErr w:type="spellEnd"/>
      <w:r w:rsidRPr="00B7140C">
        <w:rPr>
          <w:rFonts w:ascii="Times New Roman" w:hAnsi="Times New Roman" w:cs="Times New Roman"/>
        </w:rPr>
        <w:t xml:space="preserve"> material. It supported the directed thematic analysis reported in Chapters 4 and 5.</w:t>
      </w:r>
    </w:p>
    <w:tbl>
      <w:tblPr>
        <w:tblStyle w:val="TableGrid"/>
        <w:tblW w:w="0" w:type="auto"/>
        <w:tblLayout w:type="fixed"/>
        <w:tblLook w:val="04A0" w:firstRow="1" w:lastRow="0" w:firstColumn="1" w:lastColumn="0" w:noHBand="0" w:noVBand="1"/>
      </w:tblPr>
      <w:tblGrid>
        <w:gridCol w:w="1700"/>
        <w:gridCol w:w="2850"/>
        <w:gridCol w:w="3400"/>
      </w:tblGrid>
      <w:tr w:rsidR="00C62FA8" w:rsidRPr="00B7140C" w14:paraId="3C882A4B" w14:textId="77777777">
        <w:tc>
          <w:tcPr>
            <w:tcW w:w="1700" w:type="dxa"/>
            <w:shd w:val="clear" w:color="auto" w:fill="D9EAD3"/>
            <w:vAlign w:val="center"/>
          </w:tcPr>
          <w:p w14:paraId="3B4A9C7A"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Code / appraisal area</w:t>
            </w:r>
          </w:p>
        </w:tc>
        <w:tc>
          <w:tcPr>
            <w:tcW w:w="2850" w:type="dxa"/>
            <w:shd w:val="clear" w:color="auto" w:fill="D9EAD3"/>
            <w:vAlign w:val="center"/>
          </w:tcPr>
          <w:p w14:paraId="3861C04C"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Working definition</w:t>
            </w:r>
          </w:p>
        </w:tc>
        <w:tc>
          <w:tcPr>
            <w:tcW w:w="3400" w:type="dxa"/>
            <w:shd w:val="clear" w:color="auto" w:fill="D9EAD3"/>
            <w:vAlign w:val="center"/>
          </w:tcPr>
          <w:p w14:paraId="191B047F"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b/>
                <w:sz w:val="18"/>
              </w:rPr>
              <w:t>Use in analysis</w:t>
            </w:r>
          </w:p>
        </w:tc>
      </w:tr>
      <w:tr w:rsidR="00C62FA8" w:rsidRPr="00B7140C" w14:paraId="7A2F9DAC" w14:textId="77777777">
        <w:tc>
          <w:tcPr>
            <w:tcW w:w="1700" w:type="dxa"/>
            <w:vAlign w:val="center"/>
          </w:tcPr>
          <w:p w14:paraId="4ECB54E3"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Trustworthiness</w:t>
            </w:r>
          </w:p>
        </w:tc>
        <w:tc>
          <w:tcPr>
            <w:tcW w:w="2850" w:type="dxa"/>
            <w:vAlign w:val="center"/>
          </w:tcPr>
          <w:p w14:paraId="698479E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Perceived honesty, reliability and transparent communication.</w:t>
            </w:r>
          </w:p>
        </w:tc>
        <w:tc>
          <w:tcPr>
            <w:tcW w:w="3400" w:type="dxa"/>
            <w:vAlign w:val="center"/>
          </w:tcPr>
          <w:p w14:paraId="1A45934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Assessed whether messages could be accepted as credible rather than merely popular.</w:t>
            </w:r>
          </w:p>
        </w:tc>
      </w:tr>
      <w:tr w:rsidR="00C62FA8" w:rsidRPr="00B7140C" w14:paraId="24F4DC8F" w14:textId="77777777">
        <w:tc>
          <w:tcPr>
            <w:tcW w:w="1700" w:type="dxa"/>
            <w:vAlign w:val="center"/>
          </w:tcPr>
          <w:p w14:paraId="0FC0C70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Expertise</w:t>
            </w:r>
          </w:p>
        </w:tc>
        <w:tc>
          <w:tcPr>
            <w:tcW w:w="2850" w:type="dxa"/>
            <w:vAlign w:val="center"/>
          </w:tcPr>
          <w:p w14:paraId="719EF3AF"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Demonstrable skincare knowledge and evidence-based explanation.</w:t>
            </w:r>
          </w:p>
        </w:tc>
        <w:tc>
          <w:tcPr>
            <w:tcW w:w="3400" w:type="dxa"/>
            <w:vAlign w:val="center"/>
          </w:tcPr>
          <w:p w14:paraId="79F7729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Assessed the credibility of product and ingredient claims.</w:t>
            </w:r>
          </w:p>
        </w:tc>
      </w:tr>
      <w:tr w:rsidR="00C62FA8" w:rsidRPr="00B7140C" w14:paraId="3560EAEF" w14:textId="77777777">
        <w:tc>
          <w:tcPr>
            <w:tcW w:w="1700" w:type="dxa"/>
            <w:vAlign w:val="center"/>
          </w:tcPr>
          <w:p w14:paraId="60BE2699"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Authenticity and homophily</w:t>
            </w:r>
          </w:p>
        </w:tc>
        <w:tc>
          <w:tcPr>
            <w:tcW w:w="2850" w:type="dxa"/>
            <w:vAlign w:val="center"/>
          </w:tcPr>
          <w:p w14:paraId="79DBB4D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Perceived sincerity, product–creator fit and audience similarity.</w:t>
            </w:r>
          </w:p>
        </w:tc>
        <w:tc>
          <w:tcPr>
            <w:tcW w:w="3400" w:type="dxa"/>
            <w:vAlign w:val="center"/>
          </w:tcPr>
          <w:p w14:paraId="7CB48BB7"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Assessed relational relevance while avoiding an assumption of clinical competence.</w:t>
            </w:r>
          </w:p>
        </w:tc>
      </w:tr>
      <w:tr w:rsidR="00C62FA8" w:rsidRPr="00B7140C" w14:paraId="29AC0815" w14:textId="77777777">
        <w:tc>
          <w:tcPr>
            <w:tcW w:w="1700" w:type="dxa"/>
            <w:vAlign w:val="center"/>
          </w:tcPr>
          <w:p w14:paraId="6221AB9D"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Parasocial attachment</w:t>
            </w:r>
          </w:p>
        </w:tc>
        <w:tc>
          <w:tcPr>
            <w:tcW w:w="2850" w:type="dxa"/>
            <w:vAlign w:val="center"/>
          </w:tcPr>
          <w:p w14:paraId="40C1893E"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One-sided perceived closeness to a creator.</w:t>
            </w:r>
          </w:p>
        </w:tc>
        <w:tc>
          <w:tcPr>
            <w:tcW w:w="3400" w:type="dxa"/>
            <w:vAlign w:val="center"/>
          </w:tcPr>
          <w:p w14:paraId="5BBAD5E1"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Treated as a possible mechanism, not proof of purchase.</w:t>
            </w:r>
          </w:p>
        </w:tc>
      </w:tr>
      <w:tr w:rsidR="00C62FA8" w:rsidRPr="00B7140C" w14:paraId="3F20586E" w14:textId="77777777">
        <w:tc>
          <w:tcPr>
            <w:tcW w:w="1700" w:type="dxa"/>
            <w:vAlign w:val="center"/>
          </w:tcPr>
          <w:p w14:paraId="47BEE452"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Platform and disclosure</w:t>
            </w:r>
          </w:p>
        </w:tc>
        <w:tc>
          <w:tcPr>
            <w:tcW w:w="2850" w:type="dxa"/>
            <w:vAlign w:val="center"/>
          </w:tcPr>
          <w:p w14:paraId="0149FDB4"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Platform affordances and clear identification of advertising.</w:t>
            </w:r>
          </w:p>
        </w:tc>
        <w:tc>
          <w:tcPr>
            <w:tcW w:w="3400" w:type="dxa"/>
            <w:vAlign w:val="center"/>
          </w:tcPr>
          <w:p w14:paraId="0E9682B0"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Treated as boundary conditions for credibility and informed choice.</w:t>
            </w:r>
          </w:p>
        </w:tc>
      </w:tr>
      <w:tr w:rsidR="00C62FA8" w:rsidRPr="00B7140C" w14:paraId="3ADA1F8D" w14:textId="77777777">
        <w:tc>
          <w:tcPr>
            <w:tcW w:w="1700" w:type="dxa"/>
            <w:vAlign w:val="center"/>
          </w:tcPr>
          <w:p w14:paraId="56ED45AB"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Quality check</w:t>
            </w:r>
          </w:p>
        </w:tc>
        <w:tc>
          <w:tcPr>
            <w:tcW w:w="2850" w:type="dxa"/>
            <w:vAlign w:val="center"/>
          </w:tcPr>
          <w:p w14:paraId="6796A136"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Authority, methods transparency, construct fit and contextual relevance.</w:t>
            </w:r>
          </w:p>
        </w:tc>
        <w:tc>
          <w:tcPr>
            <w:tcW w:w="3400" w:type="dxa"/>
            <w:vAlign w:val="center"/>
          </w:tcPr>
          <w:p w14:paraId="18B38AA2" w14:textId="77777777" w:rsidR="00C62FA8" w:rsidRPr="00B7140C" w:rsidRDefault="00682E2E">
            <w:pPr>
              <w:spacing w:after="0" w:line="240" w:lineRule="auto"/>
              <w:rPr>
                <w:rFonts w:ascii="Times New Roman" w:hAnsi="Times New Roman" w:cs="Times New Roman"/>
              </w:rPr>
            </w:pPr>
            <w:r w:rsidRPr="00B7140C">
              <w:rPr>
                <w:rFonts w:ascii="Times New Roman" w:hAnsi="Times New Roman" w:cs="Times New Roman"/>
                <w:sz w:val="17"/>
              </w:rPr>
              <w:t>Applied before interpreting a source as direct, adjacent or contextual evidence.</w:t>
            </w:r>
          </w:p>
        </w:tc>
      </w:tr>
    </w:tbl>
    <w:p w14:paraId="5CF92EA0" w14:textId="77777777" w:rsidR="007E2ECF" w:rsidRPr="00B7140C" w:rsidRDefault="007E2ECF">
      <w:pPr>
        <w:rPr>
          <w:rFonts w:ascii="Times New Roman" w:hAnsi="Times New Roman" w:cs="Times New Roman"/>
        </w:rPr>
      </w:pPr>
    </w:p>
    <w:sectPr w:rsidR="007E2ECF" w:rsidRPr="00B7140C" w:rsidSect="000527F8">
      <w:footerReference w:type="default" r:id="rId8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42F39" w14:textId="77777777" w:rsidR="00703ABB" w:rsidRDefault="00703ABB">
      <w:pPr>
        <w:spacing w:after="0" w:line="240" w:lineRule="auto"/>
      </w:pPr>
      <w:r>
        <w:separator/>
      </w:r>
    </w:p>
  </w:endnote>
  <w:endnote w:type="continuationSeparator" w:id="0">
    <w:p w14:paraId="749BAF6B" w14:textId="77777777" w:rsidR="00703ABB" w:rsidRDefault="00703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B0E66" w14:textId="77777777" w:rsidR="00C62FA8" w:rsidRDefault="00682E2E">
    <w:pPr>
      <w:pStyle w:val="Footer"/>
      <w:jc w:val="center"/>
    </w:pPr>
    <w:r>
      <w:rPr>
        <w:rFonts w:ascii="Times New Roman" w:hAnsi="Times New Roman"/>
        <w:sz w:val="20"/>
      </w:rPr>
      <w:fldChar w:fldCharType="begin"/>
    </w:r>
    <w:r>
      <w:rPr>
        <w:rFonts w:ascii="Times New Roman" w:hAnsi="Times New Roman"/>
        <w:sz w:val="20"/>
      </w:rPr>
      <w:instrText>PAGE</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8543" w14:textId="77777777" w:rsidR="00C62FA8" w:rsidRDefault="00682E2E">
    <w:pPr>
      <w:pStyle w:val="Footer"/>
      <w:jc w:val="center"/>
    </w:pPr>
    <w:r>
      <w:rPr>
        <w:rFonts w:ascii="Times New Roman" w:hAnsi="Times New Roman"/>
        <w:sz w:val="20"/>
      </w:rPr>
      <w:fldChar w:fldCharType="begin"/>
    </w:r>
    <w:r>
      <w:rPr>
        <w:rFonts w:ascii="Times New Roman" w:hAnsi="Times New Roman"/>
        <w:sz w:val="20"/>
      </w:rPr>
      <w:instrText>PAGE</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C91F0" w14:textId="77777777" w:rsidR="00C62FA8" w:rsidRDefault="00682E2E">
    <w:pPr>
      <w:pStyle w:val="Footer"/>
      <w:jc w:val="center"/>
    </w:pPr>
    <w:r>
      <w:rPr>
        <w:rFonts w:ascii="Times New Roman" w:hAnsi="Times New Roman"/>
        <w:sz w:val="20"/>
      </w:rPr>
      <w:fldChar w:fldCharType="begin"/>
    </w:r>
    <w:r>
      <w:rPr>
        <w:rFonts w:ascii="Times New Roman" w:hAnsi="Times New Roman"/>
        <w:sz w:val="20"/>
      </w:rPr>
      <w:instrText>PAGE</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87262" w14:textId="77777777" w:rsidR="00E9723F" w:rsidRDefault="000A7AAC">
    <w:pPr>
      <w:pStyle w:val="Footer"/>
      <w:jc w:val="center"/>
    </w:pPr>
    <w:r>
      <w:rPr>
        <w:rFonts w:ascii="Times New Roman" w:hAnsi="Times New Roman"/>
        <w:sz w:val="20"/>
      </w:rPr>
      <w:fldChar w:fldCharType="begin"/>
    </w:r>
    <w:r>
      <w:rPr>
        <w:rFonts w:ascii="Times New Roman" w:hAnsi="Times New Roman"/>
        <w:sz w:val="20"/>
      </w:rPr>
      <w:instrText>PAGE</w:instrText>
    </w:r>
    <w:r>
      <w:rPr>
        <w:rFonts w:ascii="Times New Roman" w:hAnsi="Times New Roman"/>
        <w:sz w:val="20"/>
      </w:rPr>
      <w:fldChar w:fldCharType="separate"/>
    </w:r>
    <w:r>
      <w:rPr>
        <w:rFonts w:ascii="Times New Roman" w:hAnsi="Times New Roman"/>
        <w:sz w:val="20"/>
      </w:rPr>
      <w:t>1</w:t>
    </w:r>
    <w:r>
      <w:rPr>
        <w:rFonts w:ascii="Times New Roman" w:hAnsi="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52D4F" w14:textId="77777777" w:rsidR="00703ABB" w:rsidRDefault="00703ABB">
      <w:pPr>
        <w:spacing w:after="0" w:line="240" w:lineRule="auto"/>
      </w:pPr>
      <w:r>
        <w:separator/>
      </w:r>
    </w:p>
  </w:footnote>
  <w:footnote w:type="continuationSeparator" w:id="0">
    <w:p w14:paraId="6155B97B" w14:textId="77777777" w:rsidR="00703ABB" w:rsidRDefault="00703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ED04194"/>
    <w:multiLevelType w:val="hybridMultilevel"/>
    <w:tmpl w:val="336AD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725908">
    <w:abstractNumId w:val="8"/>
  </w:num>
  <w:num w:numId="2" w16cid:durableId="687945645">
    <w:abstractNumId w:val="6"/>
  </w:num>
  <w:num w:numId="3" w16cid:durableId="1253507144">
    <w:abstractNumId w:val="5"/>
  </w:num>
  <w:num w:numId="4" w16cid:durableId="1553694090">
    <w:abstractNumId w:val="4"/>
  </w:num>
  <w:num w:numId="5" w16cid:durableId="858160381">
    <w:abstractNumId w:val="7"/>
  </w:num>
  <w:num w:numId="6" w16cid:durableId="2133594123">
    <w:abstractNumId w:val="3"/>
  </w:num>
  <w:num w:numId="7" w16cid:durableId="2095781465">
    <w:abstractNumId w:val="2"/>
  </w:num>
  <w:num w:numId="8" w16cid:durableId="860627000">
    <w:abstractNumId w:val="1"/>
  </w:num>
  <w:num w:numId="9" w16cid:durableId="1536189532">
    <w:abstractNumId w:val="0"/>
  </w:num>
  <w:num w:numId="10" w16cid:durableId="1506771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EDD"/>
    <w:rsid w:val="00016B88"/>
    <w:rsid w:val="0003259E"/>
    <w:rsid w:val="00034616"/>
    <w:rsid w:val="000527F8"/>
    <w:rsid w:val="0006063C"/>
    <w:rsid w:val="00066D58"/>
    <w:rsid w:val="0007229F"/>
    <w:rsid w:val="00073EA7"/>
    <w:rsid w:val="000A199D"/>
    <w:rsid w:val="000A7AAC"/>
    <w:rsid w:val="000C75D6"/>
    <w:rsid w:val="000D62FB"/>
    <w:rsid w:val="00101A3F"/>
    <w:rsid w:val="0010388D"/>
    <w:rsid w:val="001267C5"/>
    <w:rsid w:val="00134A13"/>
    <w:rsid w:val="00147086"/>
    <w:rsid w:val="0015074B"/>
    <w:rsid w:val="00150763"/>
    <w:rsid w:val="001604C1"/>
    <w:rsid w:val="00217D46"/>
    <w:rsid w:val="002515F1"/>
    <w:rsid w:val="00260819"/>
    <w:rsid w:val="00262FA9"/>
    <w:rsid w:val="00281E33"/>
    <w:rsid w:val="0029033B"/>
    <w:rsid w:val="0029639D"/>
    <w:rsid w:val="002B121D"/>
    <w:rsid w:val="002B2A89"/>
    <w:rsid w:val="002B37C9"/>
    <w:rsid w:val="002B4ADC"/>
    <w:rsid w:val="002B7592"/>
    <w:rsid w:val="002E3DAB"/>
    <w:rsid w:val="002F2595"/>
    <w:rsid w:val="002F5F4B"/>
    <w:rsid w:val="00301860"/>
    <w:rsid w:val="00313656"/>
    <w:rsid w:val="00315C77"/>
    <w:rsid w:val="00322F43"/>
    <w:rsid w:val="00326F90"/>
    <w:rsid w:val="00351715"/>
    <w:rsid w:val="00354B9D"/>
    <w:rsid w:val="00394397"/>
    <w:rsid w:val="003C182D"/>
    <w:rsid w:val="003F732F"/>
    <w:rsid w:val="00400A13"/>
    <w:rsid w:val="00432F17"/>
    <w:rsid w:val="00441CD2"/>
    <w:rsid w:val="00472F68"/>
    <w:rsid w:val="004B2B62"/>
    <w:rsid w:val="004B390E"/>
    <w:rsid w:val="004E2399"/>
    <w:rsid w:val="004F1676"/>
    <w:rsid w:val="005001C3"/>
    <w:rsid w:val="0051472A"/>
    <w:rsid w:val="0054279A"/>
    <w:rsid w:val="00547577"/>
    <w:rsid w:val="005507CB"/>
    <w:rsid w:val="00572677"/>
    <w:rsid w:val="005738C3"/>
    <w:rsid w:val="0058017F"/>
    <w:rsid w:val="005B76A9"/>
    <w:rsid w:val="005C37C4"/>
    <w:rsid w:val="005C63F0"/>
    <w:rsid w:val="005D0C9F"/>
    <w:rsid w:val="005D0D6F"/>
    <w:rsid w:val="005D4B3A"/>
    <w:rsid w:val="005D5605"/>
    <w:rsid w:val="005E02F7"/>
    <w:rsid w:val="005F5322"/>
    <w:rsid w:val="005F75E0"/>
    <w:rsid w:val="00602383"/>
    <w:rsid w:val="006037F7"/>
    <w:rsid w:val="00615ED6"/>
    <w:rsid w:val="00654EBF"/>
    <w:rsid w:val="00672E0B"/>
    <w:rsid w:val="006800E4"/>
    <w:rsid w:val="00682E2E"/>
    <w:rsid w:val="00691C56"/>
    <w:rsid w:val="006B43EE"/>
    <w:rsid w:val="006B7E9E"/>
    <w:rsid w:val="006E3434"/>
    <w:rsid w:val="006E7B60"/>
    <w:rsid w:val="00700598"/>
    <w:rsid w:val="00703ABB"/>
    <w:rsid w:val="00726940"/>
    <w:rsid w:val="0073628B"/>
    <w:rsid w:val="00766610"/>
    <w:rsid w:val="007857A7"/>
    <w:rsid w:val="007952DF"/>
    <w:rsid w:val="007A32E0"/>
    <w:rsid w:val="007A69B9"/>
    <w:rsid w:val="007E2ECF"/>
    <w:rsid w:val="007F1890"/>
    <w:rsid w:val="008054C8"/>
    <w:rsid w:val="0081181C"/>
    <w:rsid w:val="00815FAC"/>
    <w:rsid w:val="008164E5"/>
    <w:rsid w:val="00824A5B"/>
    <w:rsid w:val="00853964"/>
    <w:rsid w:val="00860017"/>
    <w:rsid w:val="008614AF"/>
    <w:rsid w:val="00863248"/>
    <w:rsid w:val="008661C6"/>
    <w:rsid w:val="00871C99"/>
    <w:rsid w:val="00886DF6"/>
    <w:rsid w:val="0089329D"/>
    <w:rsid w:val="008C31BF"/>
    <w:rsid w:val="008D1FA7"/>
    <w:rsid w:val="008F08B4"/>
    <w:rsid w:val="008F2F7D"/>
    <w:rsid w:val="009041FC"/>
    <w:rsid w:val="009055E0"/>
    <w:rsid w:val="0091116B"/>
    <w:rsid w:val="00935020"/>
    <w:rsid w:val="00952F03"/>
    <w:rsid w:val="00983E8F"/>
    <w:rsid w:val="009A731E"/>
    <w:rsid w:val="00A049AA"/>
    <w:rsid w:val="00A116A5"/>
    <w:rsid w:val="00A12B69"/>
    <w:rsid w:val="00A1390F"/>
    <w:rsid w:val="00A31A7E"/>
    <w:rsid w:val="00A40A85"/>
    <w:rsid w:val="00A65C4B"/>
    <w:rsid w:val="00A67A72"/>
    <w:rsid w:val="00A84FE9"/>
    <w:rsid w:val="00A873B5"/>
    <w:rsid w:val="00A930E4"/>
    <w:rsid w:val="00A97FB6"/>
    <w:rsid w:val="00AA1D8D"/>
    <w:rsid w:val="00AB1E1A"/>
    <w:rsid w:val="00AD21F0"/>
    <w:rsid w:val="00AE0283"/>
    <w:rsid w:val="00AE784D"/>
    <w:rsid w:val="00AE7B77"/>
    <w:rsid w:val="00B01715"/>
    <w:rsid w:val="00B439A7"/>
    <w:rsid w:val="00B43BB0"/>
    <w:rsid w:val="00B4706A"/>
    <w:rsid w:val="00B47730"/>
    <w:rsid w:val="00B7140C"/>
    <w:rsid w:val="00B9667C"/>
    <w:rsid w:val="00BD48CB"/>
    <w:rsid w:val="00BE7A28"/>
    <w:rsid w:val="00C01C0B"/>
    <w:rsid w:val="00C34F21"/>
    <w:rsid w:val="00C36883"/>
    <w:rsid w:val="00C46B2C"/>
    <w:rsid w:val="00C62FA8"/>
    <w:rsid w:val="00C66E11"/>
    <w:rsid w:val="00C709A3"/>
    <w:rsid w:val="00C84996"/>
    <w:rsid w:val="00C85115"/>
    <w:rsid w:val="00CA3B95"/>
    <w:rsid w:val="00CB0664"/>
    <w:rsid w:val="00CB5428"/>
    <w:rsid w:val="00D2354B"/>
    <w:rsid w:val="00D23C1B"/>
    <w:rsid w:val="00D248D6"/>
    <w:rsid w:val="00D30017"/>
    <w:rsid w:val="00D30D26"/>
    <w:rsid w:val="00D35CEF"/>
    <w:rsid w:val="00D5119F"/>
    <w:rsid w:val="00D55491"/>
    <w:rsid w:val="00D66D79"/>
    <w:rsid w:val="00D84FEA"/>
    <w:rsid w:val="00D93ED6"/>
    <w:rsid w:val="00DB45DE"/>
    <w:rsid w:val="00DB6F2A"/>
    <w:rsid w:val="00DC0B16"/>
    <w:rsid w:val="00DF1B4E"/>
    <w:rsid w:val="00DF52B7"/>
    <w:rsid w:val="00E122C2"/>
    <w:rsid w:val="00E152BD"/>
    <w:rsid w:val="00E339C8"/>
    <w:rsid w:val="00E4475C"/>
    <w:rsid w:val="00E6175A"/>
    <w:rsid w:val="00E77D9C"/>
    <w:rsid w:val="00E9723F"/>
    <w:rsid w:val="00EC0210"/>
    <w:rsid w:val="00EC621B"/>
    <w:rsid w:val="00EE517C"/>
    <w:rsid w:val="00F05F36"/>
    <w:rsid w:val="00F0713B"/>
    <w:rsid w:val="00F26240"/>
    <w:rsid w:val="00F43D53"/>
    <w:rsid w:val="00F6547C"/>
    <w:rsid w:val="00F70687"/>
    <w:rsid w:val="00F70D17"/>
    <w:rsid w:val="00F936FB"/>
    <w:rsid w:val="00FA0AD6"/>
    <w:rsid w:val="00FC693F"/>
    <w:rsid w:val="00FD570E"/>
    <w:rsid w:val="00FD5AA3"/>
    <w:rsid w:val="00FF082F"/>
    <w:rsid w:val="00FF36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EA7114"/>
  <w14:defaultImageDpi w14:val="300"/>
  <w15:docId w15:val="{9039E36D-2074-4E2D-970A-4C080805E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FF36E3"/>
    <w:pPr>
      <w:spacing w:before="100" w:beforeAutospacing="1" w:after="100" w:afterAutospacing="1" w:line="240" w:lineRule="auto"/>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DB45DE"/>
    <w:pPr>
      <w:spacing w:after="100"/>
    </w:pPr>
  </w:style>
  <w:style w:type="paragraph" w:styleId="TOC2">
    <w:name w:val="toc 2"/>
    <w:basedOn w:val="Normal"/>
    <w:next w:val="Normal"/>
    <w:autoRedefine/>
    <w:uiPriority w:val="39"/>
    <w:unhideWhenUsed/>
    <w:rsid w:val="00DB45DE"/>
    <w:pPr>
      <w:spacing w:after="100"/>
      <w:ind w:left="240"/>
    </w:pPr>
  </w:style>
  <w:style w:type="paragraph" w:styleId="TOC3">
    <w:name w:val="toc 3"/>
    <w:basedOn w:val="Normal"/>
    <w:next w:val="Normal"/>
    <w:autoRedefine/>
    <w:uiPriority w:val="39"/>
    <w:unhideWhenUsed/>
    <w:rsid w:val="00DB45DE"/>
    <w:pPr>
      <w:spacing w:after="100"/>
      <w:ind w:left="480"/>
    </w:pPr>
  </w:style>
  <w:style w:type="character" w:styleId="Hyperlink">
    <w:name w:val="Hyperlink"/>
    <w:basedOn w:val="DefaultParagraphFont"/>
    <w:uiPriority w:val="99"/>
    <w:unhideWhenUsed/>
    <w:rsid w:val="00DB45DE"/>
    <w:rPr>
      <w:color w:val="0000FF" w:themeColor="hyperlink"/>
      <w:u w:val="single"/>
    </w:rPr>
  </w:style>
  <w:style w:type="paragraph" w:customStyle="1" w:styleId="pdq2pgselectionanchorcontainer">
    <w:name w:val="pdq2pg_selectionanchorcontainer"/>
    <w:basedOn w:val="Normal"/>
    <w:rsid w:val="0089329D"/>
    <w:pPr>
      <w:spacing w:before="100" w:beforeAutospacing="1" w:after="100" w:afterAutospacing="1" w:line="240" w:lineRule="auto"/>
    </w:pPr>
    <w:rPr>
      <w:rFonts w:ascii="Times New Roman" w:eastAsia="Times New Roman" w:hAnsi="Times New Roman" w:cs="Times New Roman"/>
      <w:szCs w:val="24"/>
    </w:rPr>
  </w:style>
  <w:style w:type="character" w:styleId="UnresolvedMention">
    <w:name w:val="Unresolved Mention"/>
    <w:basedOn w:val="DefaultParagraphFont"/>
    <w:uiPriority w:val="99"/>
    <w:semiHidden/>
    <w:unhideWhenUsed/>
    <w:rsid w:val="00FA0AD6"/>
    <w:rPr>
      <w:color w:val="605E5C"/>
      <w:shd w:val="clear" w:color="auto" w:fill="E1DFDD"/>
    </w:rPr>
  </w:style>
  <w:style w:type="paragraph" w:styleId="TOC4">
    <w:name w:val="toc 4"/>
    <w:basedOn w:val="Normal"/>
    <w:next w:val="Normal"/>
    <w:autoRedefine/>
    <w:uiPriority w:val="39"/>
    <w:unhideWhenUsed/>
    <w:rsid w:val="0054279A"/>
    <w:pPr>
      <w:spacing w:after="100" w:line="259" w:lineRule="auto"/>
      <w:ind w:left="660"/>
    </w:pPr>
    <w:rPr>
      <w:rFonts w:asciiTheme="minorHAnsi" w:hAnsiTheme="minorHAnsi"/>
      <w:sz w:val="22"/>
    </w:rPr>
  </w:style>
  <w:style w:type="paragraph" w:styleId="TOC5">
    <w:name w:val="toc 5"/>
    <w:basedOn w:val="Normal"/>
    <w:next w:val="Normal"/>
    <w:autoRedefine/>
    <w:uiPriority w:val="39"/>
    <w:unhideWhenUsed/>
    <w:rsid w:val="0054279A"/>
    <w:pPr>
      <w:spacing w:after="100" w:line="259" w:lineRule="auto"/>
      <w:ind w:left="880"/>
    </w:pPr>
    <w:rPr>
      <w:rFonts w:asciiTheme="minorHAnsi" w:hAnsiTheme="minorHAnsi"/>
      <w:sz w:val="22"/>
    </w:rPr>
  </w:style>
  <w:style w:type="paragraph" w:styleId="TOC6">
    <w:name w:val="toc 6"/>
    <w:basedOn w:val="Normal"/>
    <w:next w:val="Normal"/>
    <w:autoRedefine/>
    <w:uiPriority w:val="39"/>
    <w:unhideWhenUsed/>
    <w:rsid w:val="0054279A"/>
    <w:pPr>
      <w:spacing w:after="100" w:line="259" w:lineRule="auto"/>
      <w:ind w:left="1100"/>
    </w:pPr>
    <w:rPr>
      <w:rFonts w:asciiTheme="minorHAnsi" w:hAnsiTheme="minorHAnsi"/>
      <w:sz w:val="22"/>
    </w:rPr>
  </w:style>
  <w:style w:type="paragraph" w:styleId="TOC7">
    <w:name w:val="toc 7"/>
    <w:basedOn w:val="Normal"/>
    <w:next w:val="Normal"/>
    <w:autoRedefine/>
    <w:uiPriority w:val="39"/>
    <w:unhideWhenUsed/>
    <w:rsid w:val="0054279A"/>
    <w:pPr>
      <w:spacing w:after="100" w:line="259" w:lineRule="auto"/>
      <w:ind w:left="1320"/>
    </w:pPr>
    <w:rPr>
      <w:rFonts w:asciiTheme="minorHAnsi" w:hAnsiTheme="minorHAnsi"/>
      <w:sz w:val="22"/>
    </w:rPr>
  </w:style>
  <w:style w:type="paragraph" w:styleId="TOC8">
    <w:name w:val="toc 8"/>
    <w:basedOn w:val="Normal"/>
    <w:next w:val="Normal"/>
    <w:autoRedefine/>
    <w:uiPriority w:val="39"/>
    <w:unhideWhenUsed/>
    <w:rsid w:val="0054279A"/>
    <w:pPr>
      <w:spacing w:after="100" w:line="259" w:lineRule="auto"/>
      <w:ind w:left="1540"/>
    </w:pPr>
    <w:rPr>
      <w:rFonts w:asciiTheme="minorHAnsi" w:hAnsiTheme="minorHAnsi"/>
      <w:sz w:val="22"/>
    </w:rPr>
  </w:style>
  <w:style w:type="paragraph" w:styleId="TOC9">
    <w:name w:val="toc 9"/>
    <w:basedOn w:val="Normal"/>
    <w:next w:val="Normal"/>
    <w:autoRedefine/>
    <w:uiPriority w:val="39"/>
    <w:unhideWhenUsed/>
    <w:rsid w:val="0054279A"/>
    <w:pPr>
      <w:spacing w:after="100" w:line="259" w:lineRule="auto"/>
      <w:ind w:left="176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18768">
      <w:bodyDiv w:val="1"/>
      <w:marLeft w:val="0"/>
      <w:marRight w:val="0"/>
      <w:marTop w:val="0"/>
      <w:marBottom w:val="0"/>
      <w:divBdr>
        <w:top w:val="none" w:sz="0" w:space="0" w:color="auto"/>
        <w:left w:val="none" w:sz="0" w:space="0" w:color="auto"/>
        <w:bottom w:val="none" w:sz="0" w:space="0" w:color="auto"/>
        <w:right w:val="none" w:sz="0" w:space="0" w:color="auto"/>
      </w:divBdr>
    </w:div>
    <w:div w:id="98374478">
      <w:bodyDiv w:val="1"/>
      <w:marLeft w:val="0"/>
      <w:marRight w:val="0"/>
      <w:marTop w:val="0"/>
      <w:marBottom w:val="0"/>
      <w:divBdr>
        <w:top w:val="none" w:sz="0" w:space="0" w:color="auto"/>
        <w:left w:val="none" w:sz="0" w:space="0" w:color="auto"/>
        <w:bottom w:val="none" w:sz="0" w:space="0" w:color="auto"/>
        <w:right w:val="none" w:sz="0" w:space="0" w:color="auto"/>
      </w:divBdr>
    </w:div>
    <w:div w:id="99377350">
      <w:bodyDiv w:val="1"/>
      <w:marLeft w:val="0"/>
      <w:marRight w:val="0"/>
      <w:marTop w:val="0"/>
      <w:marBottom w:val="0"/>
      <w:divBdr>
        <w:top w:val="none" w:sz="0" w:space="0" w:color="auto"/>
        <w:left w:val="none" w:sz="0" w:space="0" w:color="auto"/>
        <w:bottom w:val="none" w:sz="0" w:space="0" w:color="auto"/>
        <w:right w:val="none" w:sz="0" w:space="0" w:color="auto"/>
      </w:divBdr>
    </w:div>
    <w:div w:id="107552949">
      <w:bodyDiv w:val="1"/>
      <w:marLeft w:val="0"/>
      <w:marRight w:val="0"/>
      <w:marTop w:val="0"/>
      <w:marBottom w:val="0"/>
      <w:divBdr>
        <w:top w:val="none" w:sz="0" w:space="0" w:color="auto"/>
        <w:left w:val="none" w:sz="0" w:space="0" w:color="auto"/>
        <w:bottom w:val="none" w:sz="0" w:space="0" w:color="auto"/>
        <w:right w:val="none" w:sz="0" w:space="0" w:color="auto"/>
      </w:divBdr>
    </w:div>
    <w:div w:id="129327729">
      <w:bodyDiv w:val="1"/>
      <w:marLeft w:val="0"/>
      <w:marRight w:val="0"/>
      <w:marTop w:val="0"/>
      <w:marBottom w:val="0"/>
      <w:divBdr>
        <w:top w:val="none" w:sz="0" w:space="0" w:color="auto"/>
        <w:left w:val="none" w:sz="0" w:space="0" w:color="auto"/>
        <w:bottom w:val="none" w:sz="0" w:space="0" w:color="auto"/>
        <w:right w:val="none" w:sz="0" w:space="0" w:color="auto"/>
      </w:divBdr>
    </w:div>
    <w:div w:id="135149107">
      <w:bodyDiv w:val="1"/>
      <w:marLeft w:val="0"/>
      <w:marRight w:val="0"/>
      <w:marTop w:val="0"/>
      <w:marBottom w:val="0"/>
      <w:divBdr>
        <w:top w:val="none" w:sz="0" w:space="0" w:color="auto"/>
        <w:left w:val="none" w:sz="0" w:space="0" w:color="auto"/>
        <w:bottom w:val="none" w:sz="0" w:space="0" w:color="auto"/>
        <w:right w:val="none" w:sz="0" w:space="0" w:color="auto"/>
      </w:divBdr>
    </w:div>
    <w:div w:id="155340253">
      <w:bodyDiv w:val="1"/>
      <w:marLeft w:val="0"/>
      <w:marRight w:val="0"/>
      <w:marTop w:val="0"/>
      <w:marBottom w:val="0"/>
      <w:divBdr>
        <w:top w:val="none" w:sz="0" w:space="0" w:color="auto"/>
        <w:left w:val="none" w:sz="0" w:space="0" w:color="auto"/>
        <w:bottom w:val="none" w:sz="0" w:space="0" w:color="auto"/>
        <w:right w:val="none" w:sz="0" w:space="0" w:color="auto"/>
      </w:divBdr>
    </w:div>
    <w:div w:id="169568998">
      <w:bodyDiv w:val="1"/>
      <w:marLeft w:val="0"/>
      <w:marRight w:val="0"/>
      <w:marTop w:val="0"/>
      <w:marBottom w:val="0"/>
      <w:divBdr>
        <w:top w:val="none" w:sz="0" w:space="0" w:color="auto"/>
        <w:left w:val="none" w:sz="0" w:space="0" w:color="auto"/>
        <w:bottom w:val="none" w:sz="0" w:space="0" w:color="auto"/>
        <w:right w:val="none" w:sz="0" w:space="0" w:color="auto"/>
      </w:divBdr>
    </w:div>
    <w:div w:id="170030431">
      <w:bodyDiv w:val="1"/>
      <w:marLeft w:val="0"/>
      <w:marRight w:val="0"/>
      <w:marTop w:val="0"/>
      <w:marBottom w:val="0"/>
      <w:divBdr>
        <w:top w:val="none" w:sz="0" w:space="0" w:color="auto"/>
        <w:left w:val="none" w:sz="0" w:space="0" w:color="auto"/>
        <w:bottom w:val="none" w:sz="0" w:space="0" w:color="auto"/>
        <w:right w:val="none" w:sz="0" w:space="0" w:color="auto"/>
      </w:divBdr>
    </w:div>
    <w:div w:id="182942789">
      <w:bodyDiv w:val="1"/>
      <w:marLeft w:val="0"/>
      <w:marRight w:val="0"/>
      <w:marTop w:val="0"/>
      <w:marBottom w:val="0"/>
      <w:divBdr>
        <w:top w:val="none" w:sz="0" w:space="0" w:color="auto"/>
        <w:left w:val="none" w:sz="0" w:space="0" w:color="auto"/>
        <w:bottom w:val="none" w:sz="0" w:space="0" w:color="auto"/>
        <w:right w:val="none" w:sz="0" w:space="0" w:color="auto"/>
      </w:divBdr>
    </w:div>
    <w:div w:id="210654912">
      <w:bodyDiv w:val="1"/>
      <w:marLeft w:val="0"/>
      <w:marRight w:val="0"/>
      <w:marTop w:val="0"/>
      <w:marBottom w:val="0"/>
      <w:divBdr>
        <w:top w:val="none" w:sz="0" w:space="0" w:color="auto"/>
        <w:left w:val="none" w:sz="0" w:space="0" w:color="auto"/>
        <w:bottom w:val="none" w:sz="0" w:space="0" w:color="auto"/>
        <w:right w:val="none" w:sz="0" w:space="0" w:color="auto"/>
      </w:divBdr>
    </w:div>
    <w:div w:id="218833094">
      <w:bodyDiv w:val="1"/>
      <w:marLeft w:val="0"/>
      <w:marRight w:val="0"/>
      <w:marTop w:val="0"/>
      <w:marBottom w:val="0"/>
      <w:divBdr>
        <w:top w:val="none" w:sz="0" w:space="0" w:color="auto"/>
        <w:left w:val="none" w:sz="0" w:space="0" w:color="auto"/>
        <w:bottom w:val="none" w:sz="0" w:space="0" w:color="auto"/>
        <w:right w:val="none" w:sz="0" w:space="0" w:color="auto"/>
      </w:divBdr>
    </w:div>
    <w:div w:id="230504766">
      <w:bodyDiv w:val="1"/>
      <w:marLeft w:val="0"/>
      <w:marRight w:val="0"/>
      <w:marTop w:val="0"/>
      <w:marBottom w:val="0"/>
      <w:divBdr>
        <w:top w:val="none" w:sz="0" w:space="0" w:color="auto"/>
        <w:left w:val="none" w:sz="0" w:space="0" w:color="auto"/>
        <w:bottom w:val="none" w:sz="0" w:space="0" w:color="auto"/>
        <w:right w:val="none" w:sz="0" w:space="0" w:color="auto"/>
      </w:divBdr>
    </w:div>
    <w:div w:id="234516111">
      <w:bodyDiv w:val="1"/>
      <w:marLeft w:val="0"/>
      <w:marRight w:val="0"/>
      <w:marTop w:val="0"/>
      <w:marBottom w:val="0"/>
      <w:divBdr>
        <w:top w:val="none" w:sz="0" w:space="0" w:color="auto"/>
        <w:left w:val="none" w:sz="0" w:space="0" w:color="auto"/>
        <w:bottom w:val="none" w:sz="0" w:space="0" w:color="auto"/>
        <w:right w:val="none" w:sz="0" w:space="0" w:color="auto"/>
      </w:divBdr>
    </w:div>
    <w:div w:id="292254301">
      <w:bodyDiv w:val="1"/>
      <w:marLeft w:val="0"/>
      <w:marRight w:val="0"/>
      <w:marTop w:val="0"/>
      <w:marBottom w:val="0"/>
      <w:divBdr>
        <w:top w:val="none" w:sz="0" w:space="0" w:color="auto"/>
        <w:left w:val="none" w:sz="0" w:space="0" w:color="auto"/>
        <w:bottom w:val="none" w:sz="0" w:space="0" w:color="auto"/>
        <w:right w:val="none" w:sz="0" w:space="0" w:color="auto"/>
      </w:divBdr>
    </w:div>
    <w:div w:id="312610768">
      <w:bodyDiv w:val="1"/>
      <w:marLeft w:val="0"/>
      <w:marRight w:val="0"/>
      <w:marTop w:val="0"/>
      <w:marBottom w:val="0"/>
      <w:divBdr>
        <w:top w:val="none" w:sz="0" w:space="0" w:color="auto"/>
        <w:left w:val="none" w:sz="0" w:space="0" w:color="auto"/>
        <w:bottom w:val="none" w:sz="0" w:space="0" w:color="auto"/>
        <w:right w:val="none" w:sz="0" w:space="0" w:color="auto"/>
      </w:divBdr>
    </w:div>
    <w:div w:id="313484900">
      <w:bodyDiv w:val="1"/>
      <w:marLeft w:val="0"/>
      <w:marRight w:val="0"/>
      <w:marTop w:val="0"/>
      <w:marBottom w:val="0"/>
      <w:divBdr>
        <w:top w:val="none" w:sz="0" w:space="0" w:color="auto"/>
        <w:left w:val="none" w:sz="0" w:space="0" w:color="auto"/>
        <w:bottom w:val="none" w:sz="0" w:space="0" w:color="auto"/>
        <w:right w:val="none" w:sz="0" w:space="0" w:color="auto"/>
      </w:divBdr>
    </w:div>
    <w:div w:id="330254400">
      <w:bodyDiv w:val="1"/>
      <w:marLeft w:val="0"/>
      <w:marRight w:val="0"/>
      <w:marTop w:val="0"/>
      <w:marBottom w:val="0"/>
      <w:divBdr>
        <w:top w:val="none" w:sz="0" w:space="0" w:color="auto"/>
        <w:left w:val="none" w:sz="0" w:space="0" w:color="auto"/>
        <w:bottom w:val="none" w:sz="0" w:space="0" w:color="auto"/>
        <w:right w:val="none" w:sz="0" w:space="0" w:color="auto"/>
      </w:divBdr>
    </w:div>
    <w:div w:id="353116390">
      <w:bodyDiv w:val="1"/>
      <w:marLeft w:val="0"/>
      <w:marRight w:val="0"/>
      <w:marTop w:val="0"/>
      <w:marBottom w:val="0"/>
      <w:divBdr>
        <w:top w:val="none" w:sz="0" w:space="0" w:color="auto"/>
        <w:left w:val="none" w:sz="0" w:space="0" w:color="auto"/>
        <w:bottom w:val="none" w:sz="0" w:space="0" w:color="auto"/>
        <w:right w:val="none" w:sz="0" w:space="0" w:color="auto"/>
      </w:divBdr>
    </w:div>
    <w:div w:id="384649269">
      <w:bodyDiv w:val="1"/>
      <w:marLeft w:val="0"/>
      <w:marRight w:val="0"/>
      <w:marTop w:val="0"/>
      <w:marBottom w:val="0"/>
      <w:divBdr>
        <w:top w:val="none" w:sz="0" w:space="0" w:color="auto"/>
        <w:left w:val="none" w:sz="0" w:space="0" w:color="auto"/>
        <w:bottom w:val="none" w:sz="0" w:space="0" w:color="auto"/>
        <w:right w:val="none" w:sz="0" w:space="0" w:color="auto"/>
      </w:divBdr>
    </w:div>
    <w:div w:id="395708764">
      <w:bodyDiv w:val="1"/>
      <w:marLeft w:val="0"/>
      <w:marRight w:val="0"/>
      <w:marTop w:val="0"/>
      <w:marBottom w:val="0"/>
      <w:divBdr>
        <w:top w:val="none" w:sz="0" w:space="0" w:color="auto"/>
        <w:left w:val="none" w:sz="0" w:space="0" w:color="auto"/>
        <w:bottom w:val="none" w:sz="0" w:space="0" w:color="auto"/>
        <w:right w:val="none" w:sz="0" w:space="0" w:color="auto"/>
      </w:divBdr>
    </w:div>
    <w:div w:id="401758371">
      <w:bodyDiv w:val="1"/>
      <w:marLeft w:val="0"/>
      <w:marRight w:val="0"/>
      <w:marTop w:val="0"/>
      <w:marBottom w:val="0"/>
      <w:divBdr>
        <w:top w:val="none" w:sz="0" w:space="0" w:color="auto"/>
        <w:left w:val="none" w:sz="0" w:space="0" w:color="auto"/>
        <w:bottom w:val="none" w:sz="0" w:space="0" w:color="auto"/>
        <w:right w:val="none" w:sz="0" w:space="0" w:color="auto"/>
      </w:divBdr>
    </w:div>
    <w:div w:id="410390820">
      <w:bodyDiv w:val="1"/>
      <w:marLeft w:val="0"/>
      <w:marRight w:val="0"/>
      <w:marTop w:val="0"/>
      <w:marBottom w:val="0"/>
      <w:divBdr>
        <w:top w:val="none" w:sz="0" w:space="0" w:color="auto"/>
        <w:left w:val="none" w:sz="0" w:space="0" w:color="auto"/>
        <w:bottom w:val="none" w:sz="0" w:space="0" w:color="auto"/>
        <w:right w:val="none" w:sz="0" w:space="0" w:color="auto"/>
      </w:divBdr>
      <w:divsChild>
        <w:div w:id="1851869196">
          <w:marLeft w:val="0"/>
          <w:marRight w:val="0"/>
          <w:marTop w:val="0"/>
          <w:marBottom w:val="0"/>
          <w:divBdr>
            <w:top w:val="none" w:sz="0" w:space="0" w:color="auto"/>
            <w:left w:val="none" w:sz="0" w:space="0" w:color="auto"/>
            <w:bottom w:val="none" w:sz="0" w:space="0" w:color="auto"/>
            <w:right w:val="none" w:sz="0" w:space="0" w:color="auto"/>
          </w:divBdr>
          <w:divsChild>
            <w:div w:id="509174684">
              <w:marLeft w:val="0"/>
              <w:marRight w:val="0"/>
              <w:marTop w:val="0"/>
              <w:marBottom w:val="0"/>
              <w:divBdr>
                <w:top w:val="none" w:sz="0" w:space="0" w:color="auto"/>
                <w:left w:val="none" w:sz="0" w:space="0" w:color="auto"/>
                <w:bottom w:val="none" w:sz="0" w:space="0" w:color="auto"/>
                <w:right w:val="none" w:sz="0" w:space="0" w:color="auto"/>
              </w:divBdr>
              <w:divsChild>
                <w:div w:id="1138302979">
                  <w:marLeft w:val="0"/>
                  <w:marRight w:val="0"/>
                  <w:marTop w:val="0"/>
                  <w:marBottom w:val="0"/>
                  <w:divBdr>
                    <w:top w:val="none" w:sz="0" w:space="0" w:color="auto"/>
                    <w:left w:val="none" w:sz="0" w:space="0" w:color="auto"/>
                    <w:bottom w:val="none" w:sz="0" w:space="0" w:color="auto"/>
                    <w:right w:val="none" w:sz="0" w:space="0" w:color="auto"/>
                  </w:divBdr>
                  <w:divsChild>
                    <w:div w:id="112885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69120">
      <w:bodyDiv w:val="1"/>
      <w:marLeft w:val="0"/>
      <w:marRight w:val="0"/>
      <w:marTop w:val="0"/>
      <w:marBottom w:val="0"/>
      <w:divBdr>
        <w:top w:val="none" w:sz="0" w:space="0" w:color="auto"/>
        <w:left w:val="none" w:sz="0" w:space="0" w:color="auto"/>
        <w:bottom w:val="none" w:sz="0" w:space="0" w:color="auto"/>
        <w:right w:val="none" w:sz="0" w:space="0" w:color="auto"/>
      </w:divBdr>
      <w:divsChild>
        <w:div w:id="847213713">
          <w:marLeft w:val="0"/>
          <w:marRight w:val="0"/>
          <w:marTop w:val="0"/>
          <w:marBottom w:val="0"/>
          <w:divBdr>
            <w:top w:val="none" w:sz="0" w:space="0" w:color="auto"/>
            <w:left w:val="none" w:sz="0" w:space="0" w:color="auto"/>
            <w:bottom w:val="none" w:sz="0" w:space="0" w:color="auto"/>
            <w:right w:val="none" w:sz="0" w:space="0" w:color="auto"/>
          </w:divBdr>
          <w:divsChild>
            <w:div w:id="747731628">
              <w:marLeft w:val="0"/>
              <w:marRight w:val="0"/>
              <w:marTop w:val="0"/>
              <w:marBottom w:val="0"/>
              <w:divBdr>
                <w:top w:val="none" w:sz="0" w:space="0" w:color="auto"/>
                <w:left w:val="none" w:sz="0" w:space="0" w:color="auto"/>
                <w:bottom w:val="none" w:sz="0" w:space="0" w:color="auto"/>
                <w:right w:val="none" w:sz="0" w:space="0" w:color="auto"/>
              </w:divBdr>
              <w:divsChild>
                <w:div w:id="1129514422">
                  <w:marLeft w:val="0"/>
                  <w:marRight w:val="0"/>
                  <w:marTop w:val="0"/>
                  <w:marBottom w:val="0"/>
                  <w:divBdr>
                    <w:top w:val="none" w:sz="0" w:space="0" w:color="auto"/>
                    <w:left w:val="none" w:sz="0" w:space="0" w:color="auto"/>
                    <w:bottom w:val="none" w:sz="0" w:space="0" w:color="auto"/>
                    <w:right w:val="none" w:sz="0" w:space="0" w:color="auto"/>
                  </w:divBdr>
                  <w:divsChild>
                    <w:div w:id="201021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516096">
      <w:bodyDiv w:val="1"/>
      <w:marLeft w:val="0"/>
      <w:marRight w:val="0"/>
      <w:marTop w:val="0"/>
      <w:marBottom w:val="0"/>
      <w:divBdr>
        <w:top w:val="none" w:sz="0" w:space="0" w:color="auto"/>
        <w:left w:val="none" w:sz="0" w:space="0" w:color="auto"/>
        <w:bottom w:val="none" w:sz="0" w:space="0" w:color="auto"/>
        <w:right w:val="none" w:sz="0" w:space="0" w:color="auto"/>
      </w:divBdr>
    </w:div>
    <w:div w:id="439110503">
      <w:bodyDiv w:val="1"/>
      <w:marLeft w:val="0"/>
      <w:marRight w:val="0"/>
      <w:marTop w:val="0"/>
      <w:marBottom w:val="0"/>
      <w:divBdr>
        <w:top w:val="none" w:sz="0" w:space="0" w:color="auto"/>
        <w:left w:val="none" w:sz="0" w:space="0" w:color="auto"/>
        <w:bottom w:val="none" w:sz="0" w:space="0" w:color="auto"/>
        <w:right w:val="none" w:sz="0" w:space="0" w:color="auto"/>
      </w:divBdr>
    </w:div>
    <w:div w:id="457917885">
      <w:bodyDiv w:val="1"/>
      <w:marLeft w:val="0"/>
      <w:marRight w:val="0"/>
      <w:marTop w:val="0"/>
      <w:marBottom w:val="0"/>
      <w:divBdr>
        <w:top w:val="none" w:sz="0" w:space="0" w:color="auto"/>
        <w:left w:val="none" w:sz="0" w:space="0" w:color="auto"/>
        <w:bottom w:val="none" w:sz="0" w:space="0" w:color="auto"/>
        <w:right w:val="none" w:sz="0" w:space="0" w:color="auto"/>
      </w:divBdr>
    </w:div>
    <w:div w:id="464665762">
      <w:bodyDiv w:val="1"/>
      <w:marLeft w:val="0"/>
      <w:marRight w:val="0"/>
      <w:marTop w:val="0"/>
      <w:marBottom w:val="0"/>
      <w:divBdr>
        <w:top w:val="none" w:sz="0" w:space="0" w:color="auto"/>
        <w:left w:val="none" w:sz="0" w:space="0" w:color="auto"/>
        <w:bottom w:val="none" w:sz="0" w:space="0" w:color="auto"/>
        <w:right w:val="none" w:sz="0" w:space="0" w:color="auto"/>
      </w:divBdr>
    </w:div>
    <w:div w:id="473134636">
      <w:bodyDiv w:val="1"/>
      <w:marLeft w:val="0"/>
      <w:marRight w:val="0"/>
      <w:marTop w:val="0"/>
      <w:marBottom w:val="0"/>
      <w:divBdr>
        <w:top w:val="none" w:sz="0" w:space="0" w:color="auto"/>
        <w:left w:val="none" w:sz="0" w:space="0" w:color="auto"/>
        <w:bottom w:val="none" w:sz="0" w:space="0" w:color="auto"/>
        <w:right w:val="none" w:sz="0" w:space="0" w:color="auto"/>
      </w:divBdr>
    </w:div>
    <w:div w:id="482083862">
      <w:bodyDiv w:val="1"/>
      <w:marLeft w:val="0"/>
      <w:marRight w:val="0"/>
      <w:marTop w:val="0"/>
      <w:marBottom w:val="0"/>
      <w:divBdr>
        <w:top w:val="none" w:sz="0" w:space="0" w:color="auto"/>
        <w:left w:val="none" w:sz="0" w:space="0" w:color="auto"/>
        <w:bottom w:val="none" w:sz="0" w:space="0" w:color="auto"/>
        <w:right w:val="none" w:sz="0" w:space="0" w:color="auto"/>
      </w:divBdr>
    </w:div>
    <w:div w:id="494539081">
      <w:bodyDiv w:val="1"/>
      <w:marLeft w:val="0"/>
      <w:marRight w:val="0"/>
      <w:marTop w:val="0"/>
      <w:marBottom w:val="0"/>
      <w:divBdr>
        <w:top w:val="none" w:sz="0" w:space="0" w:color="auto"/>
        <w:left w:val="none" w:sz="0" w:space="0" w:color="auto"/>
        <w:bottom w:val="none" w:sz="0" w:space="0" w:color="auto"/>
        <w:right w:val="none" w:sz="0" w:space="0" w:color="auto"/>
      </w:divBdr>
    </w:div>
    <w:div w:id="496919031">
      <w:bodyDiv w:val="1"/>
      <w:marLeft w:val="0"/>
      <w:marRight w:val="0"/>
      <w:marTop w:val="0"/>
      <w:marBottom w:val="0"/>
      <w:divBdr>
        <w:top w:val="none" w:sz="0" w:space="0" w:color="auto"/>
        <w:left w:val="none" w:sz="0" w:space="0" w:color="auto"/>
        <w:bottom w:val="none" w:sz="0" w:space="0" w:color="auto"/>
        <w:right w:val="none" w:sz="0" w:space="0" w:color="auto"/>
      </w:divBdr>
    </w:div>
    <w:div w:id="516386066">
      <w:bodyDiv w:val="1"/>
      <w:marLeft w:val="0"/>
      <w:marRight w:val="0"/>
      <w:marTop w:val="0"/>
      <w:marBottom w:val="0"/>
      <w:divBdr>
        <w:top w:val="none" w:sz="0" w:space="0" w:color="auto"/>
        <w:left w:val="none" w:sz="0" w:space="0" w:color="auto"/>
        <w:bottom w:val="none" w:sz="0" w:space="0" w:color="auto"/>
        <w:right w:val="none" w:sz="0" w:space="0" w:color="auto"/>
      </w:divBdr>
    </w:div>
    <w:div w:id="554586320">
      <w:bodyDiv w:val="1"/>
      <w:marLeft w:val="0"/>
      <w:marRight w:val="0"/>
      <w:marTop w:val="0"/>
      <w:marBottom w:val="0"/>
      <w:divBdr>
        <w:top w:val="none" w:sz="0" w:space="0" w:color="auto"/>
        <w:left w:val="none" w:sz="0" w:space="0" w:color="auto"/>
        <w:bottom w:val="none" w:sz="0" w:space="0" w:color="auto"/>
        <w:right w:val="none" w:sz="0" w:space="0" w:color="auto"/>
      </w:divBdr>
    </w:div>
    <w:div w:id="595941512">
      <w:bodyDiv w:val="1"/>
      <w:marLeft w:val="0"/>
      <w:marRight w:val="0"/>
      <w:marTop w:val="0"/>
      <w:marBottom w:val="0"/>
      <w:divBdr>
        <w:top w:val="none" w:sz="0" w:space="0" w:color="auto"/>
        <w:left w:val="none" w:sz="0" w:space="0" w:color="auto"/>
        <w:bottom w:val="none" w:sz="0" w:space="0" w:color="auto"/>
        <w:right w:val="none" w:sz="0" w:space="0" w:color="auto"/>
      </w:divBdr>
    </w:div>
    <w:div w:id="612439453">
      <w:bodyDiv w:val="1"/>
      <w:marLeft w:val="0"/>
      <w:marRight w:val="0"/>
      <w:marTop w:val="0"/>
      <w:marBottom w:val="0"/>
      <w:divBdr>
        <w:top w:val="none" w:sz="0" w:space="0" w:color="auto"/>
        <w:left w:val="none" w:sz="0" w:space="0" w:color="auto"/>
        <w:bottom w:val="none" w:sz="0" w:space="0" w:color="auto"/>
        <w:right w:val="none" w:sz="0" w:space="0" w:color="auto"/>
      </w:divBdr>
    </w:div>
    <w:div w:id="613637707">
      <w:bodyDiv w:val="1"/>
      <w:marLeft w:val="0"/>
      <w:marRight w:val="0"/>
      <w:marTop w:val="0"/>
      <w:marBottom w:val="0"/>
      <w:divBdr>
        <w:top w:val="none" w:sz="0" w:space="0" w:color="auto"/>
        <w:left w:val="none" w:sz="0" w:space="0" w:color="auto"/>
        <w:bottom w:val="none" w:sz="0" w:space="0" w:color="auto"/>
        <w:right w:val="none" w:sz="0" w:space="0" w:color="auto"/>
      </w:divBdr>
    </w:div>
    <w:div w:id="616720168">
      <w:bodyDiv w:val="1"/>
      <w:marLeft w:val="0"/>
      <w:marRight w:val="0"/>
      <w:marTop w:val="0"/>
      <w:marBottom w:val="0"/>
      <w:divBdr>
        <w:top w:val="none" w:sz="0" w:space="0" w:color="auto"/>
        <w:left w:val="none" w:sz="0" w:space="0" w:color="auto"/>
        <w:bottom w:val="none" w:sz="0" w:space="0" w:color="auto"/>
        <w:right w:val="none" w:sz="0" w:space="0" w:color="auto"/>
      </w:divBdr>
    </w:div>
    <w:div w:id="617376304">
      <w:bodyDiv w:val="1"/>
      <w:marLeft w:val="0"/>
      <w:marRight w:val="0"/>
      <w:marTop w:val="0"/>
      <w:marBottom w:val="0"/>
      <w:divBdr>
        <w:top w:val="none" w:sz="0" w:space="0" w:color="auto"/>
        <w:left w:val="none" w:sz="0" w:space="0" w:color="auto"/>
        <w:bottom w:val="none" w:sz="0" w:space="0" w:color="auto"/>
        <w:right w:val="none" w:sz="0" w:space="0" w:color="auto"/>
      </w:divBdr>
    </w:div>
    <w:div w:id="619068695">
      <w:bodyDiv w:val="1"/>
      <w:marLeft w:val="0"/>
      <w:marRight w:val="0"/>
      <w:marTop w:val="0"/>
      <w:marBottom w:val="0"/>
      <w:divBdr>
        <w:top w:val="none" w:sz="0" w:space="0" w:color="auto"/>
        <w:left w:val="none" w:sz="0" w:space="0" w:color="auto"/>
        <w:bottom w:val="none" w:sz="0" w:space="0" w:color="auto"/>
        <w:right w:val="none" w:sz="0" w:space="0" w:color="auto"/>
      </w:divBdr>
    </w:div>
    <w:div w:id="623116645">
      <w:bodyDiv w:val="1"/>
      <w:marLeft w:val="0"/>
      <w:marRight w:val="0"/>
      <w:marTop w:val="0"/>
      <w:marBottom w:val="0"/>
      <w:divBdr>
        <w:top w:val="none" w:sz="0" w:space="0" w:color="auto"/>
        <w:left w:val="none" w:sz="0" w:space="0" w:color="auto"/>
        <w:bottom w:val="none" w:sz="0" w:space="0" w:color="auto"/>
        <w:right w:val="none" w:sz="0" w:space="0" w:color="auto"/>
      </w:divBdr>
    </w:div>
    <w:div w:id="623317336">
      <w:bodyDiv w:val="1"/>
      <w:marLeft w:val="0"/>
      <w:marRight w:val="0"/>
      <w:marTop w:val="0"/>
      <w:marBottom w:val="0"/>
      <w:divBdr>
        <w:top w:val="none" w:sz="0" w:space="0" w:color="auto"/>
        <w:left w:val="none" w:sz="0" w:space="0" w:color="auto"/>
        <w:bottom w:val="none" w:sz="0" w:space="0" w:color="auto"/>
        <w:right w:val="none" w:sz="0" w:space="0" w:color="auto"/>
      </w:divBdr>
    </w:div>
    <w:div w:id="660233229">
      <w:bodyDiv w:val="1"/>
      <w:marLeft w:val="0"/>
      <w:marRight w:val="0"/>
      <w:marTop w:val="0"/>
      <w:marBottom w:val="0"/>
      <w:divBdr>
        <w:top w:val="none" w:sz="0" w:space="0" w:color="auto"/>
        <w:left w:val="none" w:sz="0" w:space="0" w:color="auto"/>
        <w:bottom w:val="none" w:sz="0" w:space="0" w:color="auto"/>
        <w:right w:val="none" w:sz="0" w:space="0" w:color="auto"/>
      </w:divBdr>
    </w:div>
    <w:div w:id="671025591">
      <w:bodyDiv w:val="1"/>
      <w:marLeft w:val="0"/>
      <w:marRight w:val="0"/>
      <w:marTop w:val="0"/>
      <w:marBottom w:val="0"/>
      <w:divBdr>
        <w:top w:val="none" w:sz="0" w:space="0" w:color="auto"/>
        <w:left w:val="none" w:sz="0" w:space="0" w:color="auto"/>
        <w:bottom w:val="none" w:sz="0" w:space="0" w:color="auto"/>
        <w:right w:val="none" w:sz="0" w:space="0" w:color="auto"/>
      </w:divBdr>
    </w:div>
    <w:div w:id="675303673">
      <w:bodyDiv w:val="1"/>
      <w:marLeft w:val="0"/>
      <w:marRight w:val="0"/>
      <w:marTop w:val="0"/>
      <w:marBottom w:val="0"/>
      <w:divBdr>
        <w:top w:val="none" w:sz="0" w:space="0" w:color="auto"/>
        <w:left w:val="none" w:sz="0" w:space="0" w:color="auto"/>
        <w:bottom w:val="none" w:sz="0" w:space="0" w:color="auto"/>
        <w:right w:val="none" w:sz="0" w:space="0" w:color="auto"/>
      </w:divBdr>
    </w:div>
    <w:div w:id="683820695">
      <w:bodyDiv w:val="1"/>
      <w:marLeft w:val="0"/>
      <w:marRight w:val="0"/>
      <w:marTop w:val="0"/>
      <w:marBottom w:val="0"/>
      <w:divBdr>
        <w:top w:val="none" w:sz="0" w:space="0" w:color="auto"/>
        <w:left w:val="none" w:sz="0" w:space="0" w:color="auto"/>
        <w:bottom w:val="none" w:sz="0" w:space="0" w:color="auto"/>
        <w:right w:val="none" w:sz="0" w:space="0" w:color="auto"/>
      </w:divBdr>
    </w:div>
    <w:div w:id="699747765">
      <w:bodyDiv w:val="1"/>
      <w:marLeft w:val="0"/>
      <w:marRight w:val="0"/>
      <w:marTop w:val="0"/>
      <w:marBottom w:val="0"/>
      <w:divBdr>
        <w:top w:val="none" w:sz="0" w:space="0" w:color="auto"/>
        <w:left w:val="none" w:sz="0" w:space="0" w:color="auto"/>
        <w:bottom w:val="none" w:sz="0" w:space="0" w:color="auto"/>
        <w:right w:val="none" w:sz="0" w:space="0" w:color="auto"/>
      </w:divBdr>
    </w:div>
    <w:div w:id="705253857">
      <w:bodyDiv w:val="1"/>
      <w:marLeft w:val="0"/>
      <w:marRight w:val="0"/>
      <w:marTop w:val="0"/>
      <w:marBottom w:val="0"/>
      <w:divBdr>
        <w:top w:val="none" w:sz="0" w:space="0" w:color="auto"/>
        <w:left w:val="none" w:sz="0" w:space="0" w:color="auto"/>
        <w:bottom w:val="none" w:sz="0" w:space="0" w:color="auto"/>
        <w:right w:val="none" w:sz="0" w:space="0" w:color="auto"/>
      </w:divBdr>
    </w:div>
    <w:div w:id="744572843">
      <w:bodyDiv w:val="1"/>
      <w:marLeft w:val="0"/>
      <w:marRight w:val="0"/>
      <w:marTop w:val="0"/>
      <w:marBottom w:val="0"/>
      <w:divBdr>
        <w:top w:val="none" w:sz="0" w:space="0" w:color="auto"/>
        <w:left w:val="none" w:sz="0" w:space="0" w:color="auto"/>
        <w:bottom w:val="none" w:sz="0" w:space="0" w:color="auto"/>
        <w:right w:val="none" w:sz="0" w:space="0" w:color="auto"/>
      </w:divBdr>
    </w:div>
    <w:div w:id="751008790">
      <w:bodyDiv w:val="1"/>
      <w:marLeft w:val="0"/>
      <w:marRight w:val="0"/>
      <w:marTop w:val="0"/>
      <w:marBottom w:val="0"/>
      <w:divBdr>
        <w:top w:val="none" w:sz="0" w:space="0" w:color="auto"/>
        <w:left w:val="none" w:sz="0" w:space="0" w:color="auto"/>
        <w:bottom w:val="none" w:sz="0" w:space="0" w:color="auto"/>
        <w:right w:val="none" w:sz="0" w:space="0" w:color="auto"/>
      </w:divBdr>
    </w:div>
    <w:div w:id="751510700">
      <w:bodyDiv w:val="1"/>
      <w:marLeft w:val="0"/>
      <w:marRight w:val="0"/>
      <w:marTop w:val="0"/>
      <w:marBottom w:val="0"/>
      <w:divBdr>
        <w:top w:val="none" w:sz="0" w:space="0" w:color="auto"/>
        <w:left w:val="none" w:sz="0" w:space="0" w:color="auto"/>
        <w:bottom w:val="none" w:sz="0" w:space="0" w:color="auto"/>
        <w:right w:val="none" w:sz="0" w:space="0" w:color="auto"/>
      </w:divBdr>
    </w:div>
    <w:div w:id="767585134">
      <w:bodyDiv w:val="1"/>
      <w:marLeft w:val="0"/>
      <w:marRight w:val="0"/>
      <w:marTop w:val="0"/>
      <w:marBottom w:val="0"/>
      <w:divBdr>
        <w:top w:val="none" w:sz="0" w:space="0" w:color="auto"/>
        <w:left w:val="none" w:sz="0" w:space="0" w:color="auto"/>
        <w:bottom w:val="none" w:sz="0" w:space="0" w:color="auto"/>
        <w:right w:val="none" w:sz="0" w:space="0" w:color="auto"/>
      </w:divBdr>
    </w:div>
    <w:div w:id="821703672">
      <w:bodyDiv w:val="1"/>
      <w:marLeft w:val="0"/>
      <w:marRight w:val="0"/>
      <w:marTop w:val="0"/>
      <w:marBottom w:val="0"/>
      <w:divBdr>
        <w:top w:val="none" w:sz="0" w:space="0" w:color="auto"/>
        <w:left w:val="none" w:sz="0" w:space="0" w:color="auto"/>
        <w:bottom w:val="none" w:sz="0" w:space="0" w:color="auto"/>
        <w:right w:val="none" w:sz="0" w:space="0" w:color="auto"/>
      </w:divBdr>
    </w:div>
    <w:div w:id="828984787">
      <w:bodyDiv w:val="1"/>
      <w:marLeft w:val="0"/>
      <w:marRight w:val="0"/>
      <w:marTop w:val="0"/>
      <w:marBottom w:val="0"/>
      <w:divBdr>
        <w:top w:val="none" w:sz="0" w:space="0" w:color="auto"/>
        <w:left w:val="none" w:sz="0" w:space="0" w:color="auto"/>
        <w:bottom w:val="none" w:sz="0" w:space="0" w:color="auto"/>
        <w:right w:val="none" w:sz="0" w:space="0" w:color="auto"/>
      </w:divBdr>
    </w:div>
    <w:div w:id="832454954">
      <w:bodyDiv w:val="1"/>
      <w:marLeft w:val="0"/>
      <w:marRight w:val="0"/>
      <w:marTop w:val="0"/>
      <w:marBottom w:val="0"/>
      <w:divBdr>
        <w:top w:val="none" w:sz="0" w:space="0" w:color="auto"/>
        <w:left w:val="none" w:sz="0" w:space="0" w:color="auto"/>
        <w:bottom w:val="none" w:sz="0" w:space="0" w:color="auto"/>
        <w:right w:val="none" w:sz="0" w:space="0" w:color="auto"/>
      </w:divBdr>
    </w:div>
    <w:div w:id="890774935">
      <w:bodyDiv w:val="1"/>
      <w:marLeft w:val="0"/>
      <w:marRight w:val="0"/>
      <w:marTop w:val="0"/>
      <w:marBottom w:val="0"/>
      <w:divBdr>
        <w:top w:val="none" w:sz="0" w:space="0" w:color="auto"/>
        <w:left w:val="none" w:sz="0" w:space="0" w:color="auto"/>
        <w:bottom w:val="none" w:sz="0" w:space="0" w:color="auto"/>
        <w:right w:val="none" w:sz="0" w:space="0" w:color="auto"/>
      </w:divBdr>
    </w:div>
    <w:div w:id="894899788">
      <w:bodyDiv w:val="1"/>
      <w:marLeft w:val="0"/>
      <w:marRight w:val="0"/>
      <w:marTop w:val="0"/>
      <w:marBottom w:val="0"/>
      <w:divBdr>
        <w:top w:val="none" w:sz="0" w:space="0" w:color="auto"/>
        <w:left w:val="none" w:sz="0" w:space="0" w:color="auto"/>
        <w:bottom w:val="none" w:sz="0" w:space="0" w:color="auto"/>
        <w:right w:val="none" w:sz="0" w:space="0" w:color="auto"/>
      </w:divBdr>
    </w:div>
    <w:div w:id="936403077">
      <w:bodyDiv w:val="1"/>
      <w:marLeft w:val="0"/>
      <w:marRight w:val="0"/>
      <w:marTop w:val="0"/>
      <w:marBottom w:val="0"/>
      <w:divBdr>
        <w:top w:val="none" w:sz="0" w:space="0" w:color="auto"/>
        <w:left w:val="none" w:sz="0" w:space="0" w:color="auto"/>
        <w:bottom w:val="none" w:sz="0" w:space="0" w:color="auto"/>
        <w:right w:val="none" w:sz="0" w:space="0" w:color="auto"/>
      </w:divBdr>
    </w:div>
    <w:div w:id="939291234">
      <w:bodyDiv w:val="1"/>
      <w:marLeft w:val="0"/>
      <w:marRight w:val="0"/>
      <w:marTop w:val="0"/>
      <w:marBottom w:val="0"/>
      <w:divBdr>
        <w:top w:val="none" w:sz="0" w:space="0" w:color="auto"/>
        <w:left w:val="none" w:sz="0" w:space="0" w:color="auto"/>
        <w:bottom w:val="none" w:sz="0" w:space="0" w:color="auto"/>
        <w:right w:val="none" w:sz="0" w:space="0" w:color="auto"/>
      </w:divBdr>
    </w:div>
    <w:div w:id="986596113">
      <w:bodyDiv w:val="1"/>
      <w:marLeft w:val="0"/>
      <w:marRight w:val="0"/>
      <w:marTop w:val="0"/>
      <w:marBottom w:val="0"/>
      <w:divBdr>
        <w:top w:val="none" w:sz="0" w:space="0" w:color="auto"/>
        <w:left w:val="none" w:sz="0" w:space="0" w:color="auto"/>
        <w:bottom w:val="none" w:sz="0" w:space="0" w:color="auto"/>
        <w:right w:val="none" w:sz="0" w:space="0" w:color="auto"/>
      </w:divBdr>
    </w:div>
    <w:div w:id="988174976">
      <w:bodyDiv w:val="1"/>
      <w:marLeft w:val="0"/>
      <w:marRight w:val="0"/>
      <w:marTop w:val="0"/>
      <w:marBottom w:val="0"/>
      <w:divBdr>
        <w:top w:val="none" w:sz="0" w:space="0" w:color="auto"/>
        <w:left w:val="none" w:sz="0" w:space="0" w:color="auto"/>
        <w:bottom w:val="none" w:sz="0" w:space="0" w:color="auto"/>
        <w:right w:val="none" w:sz="0" w:space="0" w:color="auto"/>
      </w:divBdr>
    </w:div>
    <w:div w:id="1004043090">
      <w:bodyDiv w:val="1"/>
      <w:marLeft w:val="0"/>
      <w:marRight w:val="0"/>
      <w:marTop w:val="0"/>
      <w:marBottom w:val="0"/>
      <w:divBdr>
        <w:top w:val="none" w:sz="0" w:space="0" w:color="auto"/>
        <w:left w:val="none" w:sz="0" w:space="0" w:color="auto"/>
        <w:bottom w:val="none" w:sz="0" w:space="0" w:color="auto"/>
        <w:right w:val="none" w:sz="0" w:space="0" w:color="auto"/>
      </w:divBdr>
    </w:div>
    <w:div w:id="1013456721">
      <w:bodyDiv w:val="1"/>
      <w:marLeft w:val="0"/>
      <w:marRight w:val="0"/>
      <w:marTop w:val="0"/>
      <w:marBottom w:val="0"/>
      <w:divBdr>
        <w:top w:val="none" w:sz="0" w:space="0" w:color="auto"/>
        <w:left w:val="none" w:sz="0" w:space="0" w:color="auto"/>
        <w:bottom w:val="none" w:sz="0" w:space="0" w:color="auto"/>
        <w:right w:val="none" w:sz="0" w:space="0" w:color="auto"/>
      </w:divBdr>
    </w:div>
    <w:div w:id="1042098455">
      <w:bodyDiv w:val="1"/>
      <w:marLeft w:val="0"/>
      <w:marRight w:val="0"/>
      <w:marTop w:val="0"/>
      <w:marBottom w:val="0"/>
      <w:divBdr>
        <w:top w:val="none" w:sz="0" w:space="0" w:color="auto"/>
        <w:left w:val="none" w:sz="0" w:space="0" w:color="auto"/>
        <w:bottom w:val="none" w:sz="0" w:space="0" w:color="auto"/>
        <w:right w:val="none" w:sz="0" w:space="0" w:color="auto"/>
      </w:divBdr>
    </w:div>
    <w:div w:id="1063990619">
      <w:bodyDiv w:val="1"/>
      <w:marLeft w:val="0"/>
      <w:marRight w:val="0"/>
      <w:marTop w:val="0"/>
      <w:marBottom w:val="0"/>
      <w:divBdr>
        <w:top w:val="none" w:sz="0" w:space="0" w:color="auto"/>
        <w:left w:val="none" w:sz="0" w:space="0" w:color="auto"/>
        <w:bottom w:val="none" w:sz="0" w:space="0" w:color="auto"/>
        <w:right w:val="none" w:sz="0" w:space="0" w:color="auto"/>
      </w:divBdr>
    </w:div>
    <w:div w:id="1083264842">
      <w:bodyDiv w:val="1"/>
      <w:marLeft w:val="0"/>
      <w:marRight w:val="0"/>
      <w:marTop w:val="0"/>
      <w:marBottom w:val="0"/>
      <w:divBdr>
        <w:top w:val="none" w:sz="0" w:space="0" w:color="auto"/>
        <w:left w:val="none" w:sz="0" w:space="0" w:color="auto"/>
        <w:bottom w:val="none" w:sz="0" w:space="0" w:color="auto"/>
        <w:right w:val="none" w:sz="0" w:space="0" w:color="auto"/>
      </w:divBdr>
    </w:div>
    <w:div w:id="1092701739">
      <w:bodyDiv w:val="1"/>
      <w:marLeft w:val="0"/>
      <w:marRight w:val="0"/>
      <w:marTop w:val="0"/>
      <w:marBottom w:val="0"/>
      <w:divBdr>
        <w:top w:val="none" w:sz="0" w:space="0" w:color="auto"/>
        <w:left w:val="none" w:sz="0" w:space="0" w:color="auto"/>
        <w:bottom w:val="none" w:sz="0" w:space="0" w:color="auto"/>
        <w:right w:val="none" w:sz="0" w:space="0" w:color="auto"/>
      </w:divBdr>
    </w:div>
    <w:div w:id="1101027231">
      <w:bodyDiv w:val="1"/>
      <w:marLeft w:val="0"/>
      <w:marRight w:val="0"/>
      <w:marTop w:val="0"/>
      <w:marBottom w:val="0"/>
      <w:divBdr>
        <w:top w:val="none" w:sz="0" w:space="0" w:color="auto"/>
        <w:left w:val="none" w:sz="0" w:space="0" w:color="auto"/>
        <w:bottom w:val="none" w:sz="0" w:space="0" w:color="auto"/>
        <w:right w:val="none" w:sz="0" w:space="0" w:color="auto"/>
      </w:divBdr>
    </w:div>
    <w:div w:id="1103723366">
      <w:bodyDiv w:val="1"/>
      <w:marLeft w:val="0"/>
      <w:marRight w:val="0"/>
      <w:marTop w:val="0"/>
      <w:marBottom w:val="0"/>
      <w:divBdr>
        <w:top w:val="none" w:sz="0" w:space="0" w:color="auto"/>
        <w:left w:val="none" w:sz="0" w:space="0" w:color="auto"/>
        <w:bottom w:val="none" w:sz="0" w:space="0" w:color="auto"/>
        <w:right w:val="none" w:sz="0" w:space="0" w:color="auto"/>
      </w:divBdr>
    </w:div>
    <w:div w:id="1116213541">
      <w:bodyDiv w:val="1"/>
      <w:marLeft w:val="0"/>
      <w:marRight w:val="0"/>
      <w:marTop w:val="0"/>
      <w:marBottom w:val="0"/>
      <w:divBdr>
        <w:top w:val="none" w:sz="0" w:space="0" w:color="auto"/>
        <w:left w:val="none" w:sz="0" w:space="0" w:color="auto"/>
        <w:bottom w:val="none" w:sz="0" w:space="0" w:color="auto"/>
        <w:right w:val="none" w:sz="0" w:space="0" w:color="auto"/>
      </w:divBdr>
    </w:div>
    <w:div w:id="1140802163">
      <w:bodyDiv w:val="1"/>
      <w:marLeft w:val="0"/>
      <w:marRight w:val="0"/>
      <w:marTop w:val="0"/>
      <w:marBottom w:val="0"/>
      <w:divBdr>
        <w:top w:val="none" w:sz="0" w:space="0" w:color="auto"/>
        <w:left w:val="none" w:sz="0" w:space="0" w:color="auto"/>
        <w:bottom w:val="none" w:sz="0" w:space="0" w:color="auto"/>
        <w:right w:val="none" w:sz="0" w:space="0" w:color="auto"/>
      </w:divBdr>
    </w:div>
    <w:div w:id="1141994727">
      <w:bodyDiv w:val="1"/>
      <w:marLeft w:val="0"/>
      <w:marRight w:val="0"/>
      <w:marTop w:val="0"/>
      <w:marBottom w:val="0"/>
      <w:divBdr>
        <w:top w:val="none" w:sz="0" w:space="0" w:color="auto"/>
        <w:left w:val="none" w:sz="0" w:space="0" w:color="auto"/>
        <w:bottom w:val="none" w:sz="0" w:space="0" w:color="auto"/>
        <w:right w:val="none" w:sz="0" w:space="0" w:color="auto"/>
      </w:divBdr>
    </w:div>
    <w:div w:id="1148279803">
      <w:bodyDiv w:val="1"/>
      <w:marLeft w:val="0"/>
      <w:marRight w:val="0"/>
      <w:marTop w:val="0"/>
      <w:marBottom w:val="0"/>
      <w:divBdr>
        <w:top w:val="none" w:sz="0" w:space="0" w:color="auto"/>
        <w:left w:val="none" w:sz="0" w:space="0" w:color="auto"/>
        <w:bottom w:val="none" w:sz="0" w:space="0" w:color="auto"/>
        <w:right w:val="none" w:sz="0" w:space="0" w:color="auto"/>
      </w:divBdr>
    </w:div>
    <w:div w:id="1154562340">
      <w:bodyDiv w:val="1"/>
      <w:marLeft w:val="0"/>
      <w:marRight w:val="0"/>
      <w:marTop w:val="0"/>
      <w:marBottom w:val="0"/>
      <w:divBdr>
        <w:top w:val="none" w:sz="0" w:space="0" w:color="auto"/>
        <w:left w:val="none" w:sz="0" w:space="0" w:color="auto"/>
        <w:bottom w:val="none" w:sz="0" w:space="0" w:color="auto"/>
        <w:right w:val="none" w:sz="0" w:space="0" w:color="auto"/>
      </w:divBdr>
    </w:div>
    <w:div w:id="1168322948">
      <w:bodyDiv w:val="1"/>
      <w:marLeft w:val="0"/>
      <w:marRight w:val="0"/>
      <w:marTop w:val="0"/>
      <w:marBottom w:val="0"/>
      <w:divBdr>
        <w:top w:val="none" w:sz="0" w:space="0" w:color="auto"/>
        <w:left w:val="none" w:sz="0" w:space="0" w:color="auto"/>
        <w:bottom w:val="none" w:sz="0" w:space="0" w:color="auto"/>
        <w:right w:val="none" w:sz="0" w:space="0" w:color="auto"/>
      </w:divBdr>
    </w:div>
    <w:div w:id="1169562412">
      <w:bodyDiv w:val="1"/>
      <w:marLeft w:val="0"/>
      <w:marRight w:val="0"/>
      <w:marTop w:val="0"/>
      <w:marBottom w:val="0"/>
      <w:divBdr>
        <w:top w:val="none" w:sz="0" w:space="0" w:color="auto"/>
        <w:left w:val="none" w:sz="0" w:space="0" w:color="auto"/>
        <w:bottom w:val="none" w:sz="0" w:space="0" w:color="auto"/>
        <w:right w:val="none" w:sz="0" w:space="0" w:color="auto"/>
      </w:divBdr>
    </w:div>
    <w:div w:id="1221743654">
      <w:bodyDiv w:val="1"/>
      <w:marLeft w:val="0"/>
      <w:marRight w:val="0"/>
      <w:marTop w:val="0"/>
      <w:marBottom w:val="0"/>
      <w:divBdr>
        <w:top w:val="none" w:sz="0" w:space="0" w:color="auto"/>
        <w:left w:val="none" w:sz="0" w:space="0" w:color="auto"/>
        <w:bottom w:val="none" w:sz="0" w:space="0" w:color="auto"/>
        <w:right w:val="none" w:sz="0" w:space="0" w:color="auto"/>
      </w:divBdr>
    </w:div>
    <w:div w:id="1257327669">
      <w:bodyDiv w:val="1"/>
      <w:marLeft w:val="0"/>
      <w:marRight w:val="0"/>
      <w:marTop w:val="0"/>
      <w:marBottom w:val="0"/>
      <w:divBdr>
        <w:top w:val="none" w:sz="0" w:space="0" w:color="auto"/>
        <w:left w:val="none" w:sz="0" w:space="0" w:color="auto"/>
        <w:bottom w:val="none" w:sz="0" w:space="0" w:color="auto"/>
        <w:right w:val="none" w:sz="0" w:space="0" w:color="auto"/>
      </w:divBdr>
    </w:div>
    <w:div w:id="1269700988">
      <w:bodyDiv w:val="1"/>
      <w:marLeft w:val="0"/>
      <w:marRight w:val="0"/>
      <w:marTop w:val="0"/>
      <w:marBottom w:val="0"/>
      <w:divBdr>
        <w:top w:val="none" w:sz="0" w:space="0" w:color="auto"/>
        <w:left w:val="none" w:sz="0" w:space="0" w:color="auto"/>
        <w:bottom w:val="none" w:sz="0" w:space="0" w:color="auto"/>
        <w:right w:val="none" w:sz="0" w:space="0" w:color="auto"/>
      </w:divBdr>
    </w:div>
    <w:div w:id="1290669403">
      <w:bodyDiv w:val="1"/>
      <w:marLeft w:val="0"/>
      <w:marRight w:val="0"/>
      <w:marTop w:val="0"/>
      <w:marBottom w:val="0"/>
      <w:divBdr>
        <w:top w:val="none" w:sz="0" w:space="0" w:color="auto"/>
        <w:left w:val="none" w:sz="0" w:space="0" w:color="auto"/>
        <w:bottom w:val="none" w:sz="0" w:space="0" w:color="auto"/>
        <w:right w:val="none" w:sz="0" w:space="0" w:color="auto"/>
      </w:divBdr>
    </w:div>
    <w:div w:id="1290890795">
      <w:bodyDiv w:val="1"/>
      <w:marLeft w:val="0"/>
      <w:marRight w:val="0"/>
      <w:marTop w:val="0"/>
      <w:marBottom w:val="0"/>
      <w:divBdr>
        <w:top w:val="none" w:sz="0" w:space="0" w:color="auto"/>
        <w:left w:val="none" w:sz="0" w:space="0" w:color="auto"/>
        <w:bottom w:val="none" w:sz="0" w:space="0" w:color="auto"/>
        <w:right w:val="none" w:sz="0" w:space="0" w:color="auto"/>
      </w:divBdr>
    </w:div>
    <w:div w:id="1310792225">
      <w:bodyDiv w:val="1"/>
      <w:marLeft w:val="0"/>
      <w:marRight w:val="0"/>
      <w:marTop w:val="0"/>
      <w:marBottom w:val="0"/>
      <w:divBdr>
        <w:top w:val="none" w:sz="0" w:space="0" w:color="auto"/>
        <w:left w:val="none" w:sz="0" w:space="0" w:color="auto"/>
        <w:bottom w:val="none" w:sz="0" w:space="0" w:color="auto"/>
        <w:right w:val="none" w:sz="0" w:space="0" w:color="auto"/>
      </w:divBdr>
    </w:div>
    <w:div w:id="1324626120">
      <w:bodyDiv w:val="1"/>
      <w:marLeft w:val="0"/>
      <w:marRight w:val="0"/>
      <w:marTop w:val="0"/>
      <w:marBottom w:val="0"/>
      <w:divBdr>
        <w:top w:val="none" w:sz="0" w:space="0" w:color="auto"/>
        <w:left w:val="none" w:sz="0" w:space="0" w:color="auto"/>
        <w:bottom w:val="none" w:sz="0" w:space="0" w:color="auto"/>
        <w:right w:val="none" w:sz="0" w:space="0" w:color="auto"/>
      </w:divBdr>
    </w:div>
    <w:div w:id="1353265865">
      <w:bodyDiv w:val="1"/>
      <w:marLeft w:val="0"/>
      <w:marRight w:val="0"/>
      <w:marTop w:val="0"/>
      <w:marBottom w:val="0"/>
      <w:divBdr>
        <w:top w:val="none" w:sz="0" w:space="0" w:color="auto"/>
        <w:left w:val="none" w:sz="0" w:space="0" w:color="auto"/>
        <w:bottom w:val="none" w:sz="0" w:space="0" w:color="auto"/>
        <w:right w:val="none" w:sz="0" w:space="0" w:color="auto"/>
      </w:divBdr>
    </w:div>
    <w:div w:id="1396657162">
      <w:bodyDiv w:val="1"/>
      <w:marLeft w:val="0"/>
      <w:marRight w:val="0"/>
      <w:marTop w:val="0"/>
      <w:marBottom w:val="0"/>
      <w:divBdr>
        <w:top w:val="none" w:sz="0" w:space="0" w:color="auto"/>
        <w:left w:val="none" w:sz="0" w:space="0" w:color="auto"/>
        <w:bottom w:val="none" w:sz="0" w:space="0" w:color="auto"/>
        <w:right w:val="none" w:sz="0" w:space="0" w:color="auto"/>
      </w:divBdr>
    </w:div>
    <w:div w:id="1400518086">
      <w:bodyDiv w:val="1"/>
      <w:marLeft w:val="0"/>
      <w:marRight w:val="0"/>
      <w:marTop w:val="0"/>
      <w:marBottom w:val="0"/>
      <w:divBdr>
        <w:top w:val="none" w:sz="0" w:space="0" w:color="auto"/>
        <w:left w:val="none" w:sz="0" w:space="0" w:color="auto"/>
        <w:bottom w:val="none" w:sz="0" w:space="0" w:color="auto"/>
        <w:right w:val="none" w:sz="0" w:space="0" w:color="auto"/>
      </w:divBdr>
    </w:div>
    <w:div w:id="1408768599">
      <w:bodyDiv w:val="1"/>
      <w:marLeft w:val="0"/>
      <w:marRight w:val="0"/>
      <w:marTop w:val="0"/>
      <w:marBottom w:val="0"/>
      <w:divBdr>
        <w:top w:val="none" w:sz="0" w:space="0" w:color="auto"/>
        <w:left w:val="none" w:sz="0" w:space="0" w:color="auto"/>
        <w:bottom w:val="none" w:sz="0" w:space="0" w:color="auto"/>
        <w:right w:val="none" w:sz="0" w:space="0" w:color="auto"/>
      </w:divBdr>
    </w:div>
    <w:div w:id="1424303968">
      <w:bodyDiv w:val="1"/>
      <w:marLeft w:val="0"/>
      <w:marRight w:val="0"/>
      <w:marTop w:val="0"/>
      <w:marBottom w:val="0"/>
      <w:divBdr>
        <w:top w:val="none" w:sz="0" w:space="0" w:color="auto"/>
        <w:left w:val="none" w:sz="0" w:space="0" w:color="auto"/>
        <w:bottom w:val="none" w:sz="0" w:space="0" w:color="auto"/>
        <w:right w:val="none" w:sz="0" w:space="0" w:color="auto"/>
      </w:divBdr>
    </w:div>
    <w:div w:id="1428620397">
      <w:bodyDiv w:val="1"/>
      <w:marLeft w:val="0"/>
      <w:marRight w:val="0"/>
      <w:marTop w:val="0"/>
      <w:marBottom w:val="0"/>
      <w:divBdr>
        <w:top w:val="none" w:sz="0" w:space="0" w:color="auto"/>
        <w:left w:val="none" w:sz="0" w:space="0" w:color="auto"/>
        <w:bottom w:val="none" w:sz="0" w:space="0" w:color="auto"/>
        <w:right w:val="none" w:sz="0" w:space="0" w:color="auto"/>
      </w:divBdr>
    </w:div>
    <w:div w:id="1476288877">
      <w:bodyDiv w:val="1"/>
      <w:marLeft w:val="0"/>
      <w:marRight w:val="0"/>
      <w:marTop w:val="0"/>
      <w:marBottom w:val="0"/>
      <w:divBdr>
        <w:top w:val="none" w:sz="0" w:space="0" w:color="auto"/>
        <w:left w:val="none" w:sz="0" w:space="0" w:color="auto"/>
        <w:bottom w:val="none" w:sz="0" w:space="0" w:color="auto"/>
        <w:right w:val="none" w:sz="0" w:space="0" w:color="auto"/>
      </w:divBdr>
    </w:div>
    <w:div w:id="1478641901">
      <w:bodyDiv w:val="1"/>
      <w:marLeft w:val="0"/>
      <w:marRight w:val="0"/>
      <w:marTop w:val="0"/>
      <w:marBottom w:val="0"/>
      <w:divBdr>
        <w:top w:val="none" w:sz="0" w:space="0" w:color="auto"/>
        <w:left w:val="none" w:sz="0" w:space="0" w:color="auto"/>
        <w:bottom w:val="none" w:sz="0" w:space="0" w:color="auto"/>
        <w:right w:val="none" w:sz="0" w:space="0" w:color="auto"/>
      </w:divBdr>
    </w:div>
    <w:div w:id="1495995261">
      <w:bodyDiv w:val="1"/>
      <w:marLeft w:val="0"/>
      <w:marRight w:val="0"/>
      <w:marTop w:val="0"/>
      <w:marBottom w:val="0"/>
      <w:divBdr>
        <w:top w:val="none" w:sz="0" w:space="0" w:color="auto"/>
        <w:left w:val="none" w:sz="0" w:space="0" w:color="auto"/>
        <w:bottom w:val="none" w:sz="0" w:space="0" w:color="auto"/>
        <w:right w:val="none" w:sz="0" w:space="0" w:color="auto"/>
      </w:divBdr>
    </w:div>
    <w:div w:id="1498808471">
      <w:bodyDiv w:val="1"/>
      <w:marLeft w:val="0"/>
      <w:marRight w:val="0"/>
      <w:marTop w:val="0"/>
      <w:marBottom w:val="0"/>
      <w:divBdr>
        <w:top w:val="none" w:sz="0" w:space="0" w:color="auto"/>
        <w:left w:val="none" w:sz="0" w:space="0" w:color="auto"/>
        <w:bottom w:val="none" w:sz="0" w:space="0" w:color="auto"/>
        <w:right w:val="none" w:sz="0" w:space="0" w:color="auto"/>
      </w:divBdr>
    </w:div>
    <w:div w:id="1498809803">
      <w:bodyDiv w:val="1"/>
      <w:marLeft w:val="0"/>
      <w:marRight w:val="0"/>
      <w:marTop w:val="0"/>
      <w:marBottom w:val="0"/>
      <w:divBdr>
        <w:top w:val="none" w:sz="0" w:space="0" w:color="auto"/>
        <w:left w:val="none" w:sz="0" w:space="0" w:color="auto"/>
        <w:bottom w:val="none" w:sz="0" w:space="0" w:color="auto"/>
        <w:right w:val="none" w:sz="0" w:space="0" w:color="auto"/>
      </w:divBdr>
    </w:div>
    <w:div w:id="1501040067">
      <w:bodyDiv w:val="1"/>
      <w:marLeft w:val="0"/>
      <w:marRight w:val="0"/>
      <w:marTop w:val="0"/>
      <w:marBottom w:val="0"/>
      <w:divBdr>
        <w:top w:val="none" w:sz="0" w:space="0" w:color="auto"/>
        <w:left w:val="none" w:sz="0" w:space="0" w:color="auto"/>
        <w:bottom w:val="none" w:sz="0" w:space="0" w:color="auto"/>
        <w:right w:val="none" w:sz="0" w:space="0" w:color="auto"/>
      </w:divBdr>
    </w:div>
    <w:div w:id="1542202506">
      <w:bodyDiv w:val="1"/>
      <w:marLeft w:val="0"/>
      <w:marRight w:val="0"/>
      <w:marTop w:val="0"/>
      <w:marBottom w:val="0"/>
      <w:divBdr>
        <w:top w:val="none" w:sz="0" w:space="0" w:color="auto"/>
        <w:left w:val="none" w:sz="0" w:space="0" w:color="auto"/>
        <w:bottom w:val="none" w:sz="0" w:space="0" w:color="auto"/>
        <w:right w:val="none" w:sz="0" w:space="0" w:color="auto"/>
      </w:divBdr>
    </w:div>
    <w:div w:id="1578055108">
      <w:bodyDiv w:val="1"/>
      <w:marLeft w:val="0"/>
      <w:marRight w:val="0"/>
      <w:marTop w:val="0"/>
      <w:marBottom w:val="0"/>
      <w:divBdr>
        <w:top w:val="none" w:sz="0" w:space="0" w:color="auto"/>
        <w:left w:val="none" w:sz="0" w:space="0" w:color="auto"/>
        <w:bottom w:val="none" w:sz="0" w:space="0" w:color="auto"/>
        <w:right w:val="none" w:sz="0" w:space="0" w:color="auto"/>
      </w:divBdr>
    </w:div>
    <w:div w:id="1588686962">
      <w:bodyDiv w:val="1"/>
      <w:marLeft w:val="0"/>
      <w:marRight w:val="0"/>
      <w:marTop w:val="0"/>
      <w:marBottom w:val="0"/>
      <w:divBdr>
        <w:top w:val="none" w:sz="0" w:space="0" w:color="auto"/>
        <w:left w:val="none" w:sz="0" w:space="0" w:color="auto"/>
        <w:bottom w:val="none" w:sz="0" w:space="0" w:color="auto"/>
        <w:right w:val="none" w:sz="0" w:space="0" w:color="auto"/>
      </w:divBdr>
    </w:div>
    <w:div w:id="1614903881">
      <w:bodyDiv w:val="1"/>
      <w:marLeft w:val="0"/>
      <w:marRight w:val="0"/>
      <w:marTop w:val="0"/>
      <w:marBottom w:val="0"/>
      <w:divBdr>
        <w:top w:val="none" w:sz="0" w:space="0" w:color="auto"/>
        <w:left w:val="none" w:sz="0" w:space="0" w:color="auto"/>
        <w:bottom w:val="none" w:sz="0" w:space="0" w:color="auto"/>
        <w:right w:val="none" w:sz="0" w:space="0" w:color="auto"/>
      </w:divBdr>
    </w:div>
    <w:div w:id="1615163171">
      <w:bodyDiv w:val="1"/>
      <w:marLeft w:val="0"/>
      <w:marRight w:val="0"/>
      <w:marTop w:val="0"/>
      <w:marBottom w:val="0"/>
      <w:divBdr>
        <w:top w:val="none" w:sz="0" w:space="0" w:color="auto"/>
        <w:left w:val="none" w:sz="0" w:space="0" w:color="auto"/>
        <w:bottom w:val="none" w:sz="0" w:space="0" w:color="auto"/>
        <w:right w:val="none" w:sz="0" w:space="0" w:color="auto"/>
      </w:divBdr>
    </w:div>
    <w:div w:id="1617832495">
      <w:bodyDiv w:val="1"/>
      <w:marLeft w:val="0"/>
      <w:marRight w:val="0"/>
      <w:marTop w:val="0"/>
      <w:marBottom w:val="0"/>
      <w:divBdr>
        <w:top w:val="none" w:sz="0" w:space="0" w:color="auto"/>
        <w:left w:val="none" w:sz="0" w:space="0" w:color="auto"/>
        <w:bottom w:val="none" w:sz="0" w:space="0" w:color="auto"/>
        <w:right w:val="none" w:sz="0" w:space="0" w:color="auto"/>
      </w:divBdr>
    </w:div>
    <w:div w:id="1637833698">
      <w:bodyDiv w:val="1"/>
      <w:marLeft w:val="0"/>
      <w:marRight w:val="0"/>
      <w:marTop w:val="0"/>
      <w:marBottom w:val="0"/>
      <w:divBdr>
        <w:top w:val="none" w:sz="0" w:space="0" w:color="auto"/>
        <w:left w:val="none" w:sz="0" w:space="0" w:color="auto"/>
        <w:bottom w:val="none" w:sz="0" w:space="0" w:color="auto"/>
        <w:right w:val="none" w:sz="0" w:space="0" w:color="auto"/>
      </w:divBdr>
    </w:div>
    <w:div w:id="1649168826">
      <w:bodyDiv w:val="1"/>
      <w:marLeft w:val="0"/>
      <w:marRight w:val="0"/>
      <w:marTop w:val="0"/>
      <w:marBottom w:val="0"/>
      <w:divBdr>
        <w:top w:val="none" w:sz="0" w:space="0" w:color="auto"/>
        <w:left w:val="none" w:sz="0" w:space="0" w:color="auto"/>
        <w:bottom w:val="none" w:sz="0" w:space="0" w:color="auto"/>
        <w:right w:val="none" w:sz="0" w:space="0" w:color="auto"/>
      </w:divBdr>
    </w:div>
    <w:div w:id="1652249001">
      <w:bodyDiv w:val="1"/>
      <w:marLeft w:val="0"/>
      <w:marRight w:val="0"/>
      <w:marTop w:val="0"/>
      <w:marBottom w:val="0"/>
      <w:divBdr>
        <w:top w:val="none" w:sz="0" w:space="0" w:color="auto"/>
        <w:left w:val="none" w:sz="0" w:space="0" w:color="auto"/>
        <w:bottom w:val="none" w:sz="0" w:space="0" w:color="auto"/>
        <w:right w:val="none" w:sz="0" w:space="0" w:color="auto"/>
      </w:divBdr>
    </w:div>
    <w:div w:id="1660301384">
      <w:bodyDiv w:val="1"/>
      <w:marLeft w:val="0"/>
      <w:marRight w:val="0"/>
      <w:marTop w:val="0"/>
      <w:marBottom w:val="0"/>
      <w:divBdr>
        <w:top w:val="none" w:sz="0" w:space="0" w:color="auto"/>
        <w:left w:val="none" w:sz="0" w:space="0" w:color="auto"/>
        <w:bottom w:val="none" w:sz="0" w:space="0" w:color="auto"/>
        <w:right w:val="none" w:sz="0" w:space="0" w:color="auto"/>
      </w:divBdr>
    </w:div>
    <w:div w:id="1673992087">
      <w:bodyDiv w:val="1"/>
      <w:marLeft w:val="0"/>
      <w:marRight w:val="0"/>
      <w:marTop w:val="0"/>
      <w:marBottom w:val="0"/>
      <w:divBdr>
        <w:top w:val="none" w:sz="0" w:space="0" w:color="auto"/>
        <w:left w:val="none" w:sz="0" w:space="0" w:color="auto"/>
        <w:bottom w:val="none" w:sz="0" w:space="0" w:color="auto"/>
        <w:right w:val="none" w:sz="0" w:space="0" w:color="auto"/>
      </w:divBdr>
    </w:div>
    <w:div w:id="1680160586">
      <w:bodyDiv w:val="1"/>
      <w:marLeft w:val="0"/>
      <w:marRight w:val="0"/>
      <w:marTop w:val="0"/>
      <w:marBottom w:val="0"/>
      <w:divBdr>
        <w:top w:val="none" w:sz="0" w:space="0" w:color="auto"/>
        <w:left w:val="none" w:sz="0" w:space="0" w:color="auto"/>
        <w:bottom w:val="none" w:sz="0" w:space="0" w:color="auto"/>
        <w:right w:val="none" w:sz="0" w:space="0" w:color="auto"/>
      </w:divBdr>
    </w:div>
    <w:div w:id="1707371209">
      <w:bodyDiv w:val="1"/>
      <w:marLeft w:val="0"/>
      <w:marRight w:val="0"/>
      <w:marTop w:val="0"/>
      <w:marBottom w:val="0"/>
      <w:divBdr>
        <w:top w:val="none" w:sz="0" w:space="0" w:color="auto"/>
        <w:left w:val="none" w:sz="0" w:space="0" w:color="auto"/>
        <w:bottom w:val="none" w:sz="0" w:space="0" w:color="auto"/>
        <w:right w:val="none" w:sz="0" w:space="0" w:color="auto"/>
      </w:divBdr>
    </w:div>
    <w:div w:id="1722286697">
      <w:bodyDiv w:val="1"/>
      <w:marLeft w:val="0"/>
      <w:marRight w:val="0"/>
      <w:marTop w:val="0"/>
      <w:marBottom w:val="0"/>
      <w:divBdr>
        <w:top w:val="none" w:sz="0" w:space="0" w:color="auto"/>
        <w:left w:val="none" w:sz="0" w:space="0" w:color="auto"/>
        <w:bottom w:val="none" w:sz="0" w:space="0" w:color="auto"/>
        <w:right w:val="none" w:sz="0" w:space="0" w:color="auto"/>
      </w:divBdr>
    </w:div>
    <w:div w:id="1723870254">
      <w:bodyDiv w:val="1"/>
      <w:marLeft w:val="0"/>
      <w:marRight w:val="0"/>
      <w:marTop w:val="0"/>
      <w:marBottom w:val="0"/>
      <w:divBdr>
        <w:top w:val="none" w:sz="0" w:space="0" w:color="auto"/>
        <w:left w:val="none" w:sz="0" w:space="0" w:color="auto"/>
        <w:bottom w:val="none" w:sz="0" w:space="0" w:color="auto"/>
        <w:right w:val="none" w:sz="0" w:space="0" w:color="auto"/>
      </w:divBdr>
    </w:div>
    <w:div w:id="1740128464">
      <w:bodyDiv w:val="1"/>
      <w:marLeft w:val="0"/>
      <w:marRight w:val="0"/>
      <w:marTop w:val="0"/>
      <w:marBottom w:val="0"/>
      <w:divBdr>
        <w:top w:val="none" w:sz="0" w:space="0" w:color="auto"/>
        <w:left w:val="none" w:sz="0" w:space="0" w:color="auto"/>
        <w:bottom w:val="none" w:sz="0" w:space="0" w:color="auto"/>
        <w:right w:val="none" w:sz="0" w:space="0" w:color="auto"/>
      </w:divBdr>
    </w:div>
    <w:div w:id="1771438131">
      <w:bodyDiv w:val="1"/>
      <w:marLeft w:val="0"/>
      <w:marRight w:val="0"/>
      <w:marTop w:val="0"/>
      <w:marBottom w:val="0"/>
      <w:divBdr>
        <w:top w:val="none" w:sz="0" w:space="0" w:color="auto"/>
        <w:left w:val="none" w:sz="0" w:space="0" w:color="auto"/>
        <w:bottom w:val="none" w:sz="0" w:space="0" w:color="auto"/>
        <w:right w:val="none" w:sz="0" w:space="0" w:color="auto"/>
      </w:divBdr>
    </w:div>
    <w:div w:id="1812479868">
      <w:bodyDiv w:val="1"/>
      <w:marLeft w:val="0"/>
      <w:marRight w:val="0"/>
      <w:marTop w:val="0"/>
      <w:marBottom w:val="0"/>
      <w:divBdr>
        <w:top w:val="none" w:sz="0" w:space="0" w:color="auto"/>
        <w:left w:val="none" w:sz="0" w:space="0" w:color="auto"/>
        <w:bottom w:val="none" w:sz="0" w:space="0" w:color="auto"/>
        <w:right w:val="none" w:sz="0" w:space="0" w:color="auto"/>
      </w:divBdr>
    </w:div>
    <w:div w:id="1822232091">
      <w:bodyDiv w:val="1"/>
      <w:marLeft w:val="0"/>
      <w:marRight w:val="0"/>
      <w:marTop w:val="0"/>
      <w:marBottom w:val="0"/>
      <w:divBdr>
        <w:top w:val="none" w:sz="0" w:space="0" w:color="auto"/>
        <w:left w:val="none" w:sz="0" w:space="0" w:color="auto"/>
        <w:bottom w:val="none" w:sz="0" w:space="0" w:color="auto"/>
        <w:right w:val="none" w:sz="0" w:space="0" w:color="auto"/>
      </w:divBdr>
    </w:div>
    <w:div w:id="1834370381">
      <w:bodyDiv w:val="1"/>
      <w:marLeft w:val="0"/>
      <w:marRight w:val="0"/>
      <w:marTop w:val="0"/>
      <w:marBottom w:val="0"/>
      <w:divBdr>
        <w:top w:val="none" w:sz="0" w:space="0" w:color="auto"/>
        <w:left w:val="none" w:sz="0" w:space="0" w:color="auto"/>
        <w:bottom w:val="none" w:sz="0" w:space="0" w:color="auto"/>
        <w:right w:val="none" w:sz="0" w:space="0" w:color="auto"/>
      </w:divBdr>
    </w:div>
    <w:div w:id="1834838702">
      <w:bodyDiv w:val="1"/>
      <w:marLeft w:val="0"/>
      <w:marRight w:val="0"/>
      <w:marTop w:val="0"/>
      <w:marBottom w:val="0"/>
      <w:divBdr>
        <w:top w:val="none" w:sz="0" w:space="0" w:color="auto"/>
        <w:left w:val="none" w:sz="0" w:space="0" w:color="auto"/>
        <w:bottom w:val="none" w:sz="0" w:space="0" w:color="auto"/>
        <w:right w:val="none" w:sz="0" w:space="0" w:color="auto"/>
      </w:divBdr>
      <w:divsChild>
        <w:div w:id="806168214">
          <w:marLeft w:val="0"/>
          <w:marRight w:val="0"/>
          <w:marTop w:val="0"/>
          <w:marBottom w:val="0"/>
          <w:divBdr>
            <w:top w:val="none" w:sz="0" w:space="0" w:color="auto"/>
            <w:left w:val="none" w:sz="0" w:space="0" w:color="auto"/>
            <w:bottom w:val="none" w:sz="0" w:space="0" w:color="auto"/>
            <w:right w:val="none" w:sz="0" w:space="0" w:color="auto"/>
          </w:divBdr>
          <w:divsChild>
            <w:div w:id="57677660">
              <w:marLeft w:val="0"/>
              <w:marRight w:val="0"/>
              <w:marTop w:val="0"/>
              <w:marBottom w:val="0"/>
              <w:divBdr>
                <w:top w:val="none" w:sz="0" w:space="0" w:color="auto"/>
                <w:left w:val="none" w:sz="0" w:space="0" w:color="auto"/>
                <w:bottom w:val="none" w:sz="0" w:space="0" w:color="auto"/>
                <w:right w:val="none" w:sz="0" w:space="0" w:color="auto"/>
              </w:divBdr>
              <w:divsChild>
                <w:div w:id="517812314">
                  <w:marLeft w:val="0"/>
                  <w:marRight w:val="0"/>
                  <w:marTop w:val="0"/>
                  <w:marBottom w:val="0"/>
                  <w:divBdr>
                    <w:top w:val="none" w:sz="0" w:space="0" w:color="auto"/>
                    <w:left w:val="none" w:sz="0" w:space="0" w:color="auto"/>
                    <w:bottom w:val="none" w:sz="0" w:space="0" w:color="auto"/>
                    <w:right w:val="none" w:sz="0" w:space="0" w:color="auto"/>
                  </w:divBdr>
                  <w:divsChild>
                    <w:div w:id="177701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344199">
      <w:bodyDiv w:val="1"/>
      <w:marLeft w:val="0"/>
      <w:marRight w:val="0"/>
      <w:marTop w:val="0"/>
      <w:marBottom w:val="0"/>
      <w:divBdr>
        <w:top w:val="none" w:sz="0" w:space="0" w:color="auto"/>
        <w:left w:val="none" w:sz="0" w:space="0" w:color="auto"/>
        <w:bottom w:val="none" w:sz="0" w:space="0" w:color="auto"/>
        <w:right w:val="none" w:sz="0" w:space="0" w:color="auto"/>
      </w:divBdr>
    </w:div>
    <w:div w:id="1875577061">
      <w:bodyDiv w:val="1"/>
      <w:marLeft w:val="0"/>
      <w:marRight w:val="0"/>
      <w:marTop w:val="0"/>
      <w:marBottom w:val="0"/>
      <w:divBdr>
        <w:top w:val="none" w:sz="0" w:space="0" w:color="auto"/>
        <w:left w:val="none" w:sz="0" w:space="0" w:color="auto"/>
        <w:bottom w:val="none" w:sz="0" w:space="0" w:color="auto"/>
        <w:right w:val="none" w:sz="0" w:space="0" w:color="auto"/>
      </w:divBdr>
    </w:div>
    <w:div w:id="1877350815">
      <w:bodyDiv w:val="1"/>
      <w:marLeft w:val="0"/>
      <w:marRight w:val="0"/>
      <w:marTop w:val="0"/>
      <w:marBottom w:val="0"/>
      <w:divBdr>
        <w:top w:val="none" w:sz="0" w:space="0" w:color="auto"/>
        <w:left w:val="none" w:sz="0" w:space="0" w:color="auto"/>
        <w:bottom w:val="none" w:sz="0" w:space="0" w:color="auto"/>
        <w:right w:val="none" w:sz="0" w:space="0" w:color="auto"/>
      </w:divBdr>
    </w:div>
    <w:div w:id="1919442652">
      <w:bodyDiv w:val="1"/>
      <w:marLeft w:val="0"/>
      <w:marRight w:val="0"/>
      <w:marTop w:val="0"/>
      <w:marBottom w:val="0"/>
      <w:divBdr>
        <w:top w:val="none" w:sz="0" w:space="0" w:color="auto"/>
        <w:left w:val="none" w:sz="0" w:space="0" w:color="auto"/>
        <w:bottom w:val="none" w:sz="0" w:space="0" w:color="auto"/>
        <w:right w:val="none" w:sz="0" w:space="0" w:color="auto"/>
      </w:divBdr>
    </w:div>
    <w:div w:id="1943757602">
      <w:bodyDiv w:val="1"/>
      <w:marLeft w:val="0"/>
      <w:marRight w:val="0"/>
      <w:marTop w:val="0"/>
      <w:marBottom w:val="0"/>
      <w:divBdr>
        <w:top w:val="none" w:sz="0" w:space="0" w:color="auto"/>
        <w:left w:val="none" w:sz="0" w:space="0" w:color="auto"/>
        <w:bottom w:val="none" w:sz="0" w:space="0" w:color="auto"/>
        <w:right w:val="none" w:sz="0" w:space="0" w:color="auto"/>
      </w:divBdr>
    </w:div>
    <w:div w:id="1999263316">
      <w:bodyDiv w:val="1"/>
      <w:marLeft w:val="0"/>
      <w:marRight w:val="0"/>
      <w:marTop w:val="0"/>
      <w:marBottom w:val="0"/>
      <w:divBdr>
        <w:top w:val="none" w:sz="0" w:space="0" w:color="auto"/>
        <w:left w:val="none" w:sz="0" w:space="0" w:color="auto"/>
        <w:bottom w:val="none" w:sz="0" w:space="0" w:color="auto"/>
        <w:right w:val="none" w:sz="0" w:space="0" w:color="auto"/>
      </w:divBdr>
    </w:div>
    <w:div w:id="2006667064">
      <w:bodyDiv w:val="1"/>
      <w:marLeft w:val="0"/>
      <w:marRight w:val="0"/>
      <w:marTop w:val="0"/>
      <w:marBottom w:val="0"/>
      <w:divBdr>
        <w:top w:val="none" w:sz="0" w:space="0" w:color="auto"/>
        <w:left w:val="none" w:sz="0" w:space="0" w:color="auto"/>
        <w:bottom w:val="none" w:sz="0" w:space="0" w:color="auto"/>
        <w:right w:val="none" w:sz="0" w:space="0" w:color="auto"/>
      </w:divBdr>
    </w:div>
    <w:div w:id="2019770455">
      <w:bodyDiv w:val="1"/>
      <w:marLeft w:val="0"/>
      <w:marRight w:val="0"/>
      <w:marTop w:val="0"/>
      <w:marBottom w:val="0"/>
      <w:divBdr>
        <w:top w:val="none" w:sz="0" w:space="0" w:color="auto"/>
        <w:left w:val="none" w:sz="0" w:space="0" w:color="auto"/>
        <w:bottom w:val="none" w:sz="0" w:space="0" w:color="auto"/>
        <w:right w:val="none" w:sz="0" w:space="0" w:color="auto"/>
      </w:divBdr>
    </w:div>
    <w:div w:id="2049529867">
      <w:bodyDiv w:val="1"/>
      <w:marLeft w:val="0"/>
      <w:marRight w:val="0"/>
      <w:marTop w:val="0"/>
      <w:marBottom w:val="0"/>
      <w:divBdr>
        <w:top w:val="none" w:sz="0" w:space="0" w:color="auto"/>
        <w:left w:val="none" w:sz="0" w:space="0" w:color="auto"/>
        <w:bottom w:val="none" w:sz="0" w:space="0" w:color="auto"/>
        <w:right w:val="none" w:sz="0" w:space="0" w:color="auto"/>
      </w:divBdr>
    </w:div>
    <w:div w:id="2059282797">
      <w:bodyDiv w:val="1"/>
      <w:marLeft w:val="0"/>
      <w:marRight w:val="0"/>
      <w:marTop w:val="0"/>
      <w:marBottom w:val="0"/>
      <w:divBdr>
        <w:top w:val="none" w:sz="0" w:space="0" w:color="auto"/>
        <w:left w:val="none" w:sz="0" w:space="0" w:color="auto"/>
        <w:bottom w:val="none" w:sz="0" w:space="0" w:color="auto"/>
        <w:right w:val="none" w:sz="0" w:space="0" w:color="auto"/>
      </w:divBdr>
    </w:div>
    <w:div w:id="2068257766">
      <w:bodyDiv w:val="1"/>
      <w:marLeft w:val="0"/>
      <w:marRight w:val="0"/>
      <w:marTop w:val="0"/>
      <w:marBottom w:val="0"/>
      <w:divBdr>
        <w:top w:val="none" w:sz="0" w:space="0" w:color="auto"/>
        <w:left w:val="none" w:sz="0" w:space="0" w:color="auto"/>
        <w:bottom w:val="none" w:sz="0" w:space="0" w:color="auto"/>
        <w:right w:val="none" w:sz="0" w:space="0" w:color="auto"/>
      </w:divBdr>
    </w:div>
    <w:div w:id="2069187529">
      <w:bodyDiv w:val="1"/>
      <w:marLeft w:val="0"/>
      <w:marRight w:val="0"/>
      <w:marTop w:val="0"/>
      <w:marBottom w:val="0"/>
      <w:divBdr>
        <w:top w:val="none" w:sz="0" w:space="0" w:color="auto"/>
        <w:left w:val="none" w:sz="0" w:space="0" w:color="auto"/>
        <w:bottom w:val="none" w:sz="0" w:space="0" w:color="auto"/>
        <w:right w:val="none" w:sz="0" w:space="0" w:color="auto"/>
      </w:divBdr>
    </w:div>
    <w:div w:id="2069839583">
      <w:bodyDiv w:val="1"/>
      <w:marLeft w:val="0"/>
      <w:marRight w:val="0"/>
      <w:marTop w:val="0"/>
      <w:marBottom w:val="0"/>
      <w:divBdr>
        <w:top w:val="none" w:sz="0" w:space="0" w:color="auto"/>
        <w:left w:val="none" w:sz="0" w:space="0" w:color="auto"/>
        <w:bottom w:val="none" w:sz="0" w:space="0" w:color="auto"/>
        <w:right w:val="none" w:sz="0" w:space="0" w:color="auto"/>
      </w:divBdr>
    </w:div>
    <w:div w:id="2075928143">
      <w:bodyDiv w:val="1"/>
      <w:marLeft w:val="0"/>
      <w:marRight w:val="0"/>
      <w:marTop w:val="0"/>
      <w:marBottom w:val="0"/>
      <w:divBdr>
        <w:top w:val="none" w:sz="0" w:space="0" w:color="auto"/>
        <w:left w:val="none" w:sz="0" w:space="0" w:color="auto"/>
        <w:bottom w:val="none" w:sz="0" w:space="0" w:color="auto"/>
        <w:right w:val="none" w:sz="0" w:space="0" w:color="auto"/>
      </w:divBdr>
    </w:div>
    <w:div w:id="2085376786">
      <w:bodyDiv w:val="1"/>
      <w:marLeft w:val="0"/>
      <w:marRight w:val="0"/>
      <w:marTop w:val="0"/>
      <w:marBottom w:val="0"/>
      <w:divBdr>
        <w:top w:val="none" w:sz="0" w:space="0" w:color="auto"/>
        <w:left w:val="none" w:sz="0" w:space="0" w:color="auto"/>
        <w:bottom w:val="none" w:sz="0" w:space="0" w:color="auto"/>
        <w:right w:val="none" w:sz="0" w:space="0" w:color="auto"/>
      </w:divBdr>
    </w:div>
    <w:div w:id="2092508033">
      <w:bodyDiv w:val="1"/>
      <w:marLeft w:val="0"/>
      <w:marRight w:val="0"/>
      <w:marTop w:val="0"/>
      <w:marBottom w:val="0"/>
      <w:divBdr>
        <w:top w:val="none" w:sz="0" w:space="0" w:color="auto"/>
        <w:left w:val="none" w:sz="0" w:space="0" w:color="auto"/>
        <w:bottom w:val="none" w:sz="0" w:space="0" w:color="auto"/>
        <w:right w:val="none" w:sz="0" w:space="0" w:color="auto"/>
      </w:divBdr>
    </w:div>
    <w:div w:id="2138376591">
      <w:bodyDiv w:val="1"/>
      <w:marLeft w:val="0"/>
      <w:marRight w:val="0"/>
      <w:marTop w:val="0"/>
      <w:marBottom w:val="0"/>
      <w:divBdr>
        <w:top w:val="none" w:sz="0" w:space="0" w:color="auto"/>
        <w:left w:val="none" w:sz="0" w:space="0" w:color="auto"/>
        <w:bottom w:val="none" w:sz="0" w:space="0" w:color="auto"/>
        <w:right w:val="none" w:sz="0" w:space="0" w:color="auto"/>
      </w:divBdr>
    </w:div>
    <w:div w:id="2144150952">
      <w:bodyDiv w:val="1"/>
      <w:marLeft w:val="0"/>
      <w:marRight w:val="0"/>
      <w:marTop w:val="0"/>
      <w:marBottom w:val="0"/>
      <w:divBdr>
        <w:top w:val="none" w:sz="0" w:space="0" w:color="auto"/>
        <w:left w:val="none" w:sz="0" w:space="0" w:color="auto"/>
        <w:bottom w:val="none" w:sz="0" w:space="0" w:color="auto"/>
        <w:right w:val="none" w:sz="0" w:space="0" w:color="auto"/>
      </w:divBdr>
    </w:div>
    <w:div w:id="21442264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jbusres.2018.07.008" TargetMode="External"/><Relationship Id="rId21" Type="http://schemas.openxmlformats.org/officeDocument/2006/relationships/hyperlink" Target="https://www.asa.org.uk/static/3f7df70c-ca5c-499c-8aaa56e8b3e9572e/ASA-influencer-ad-disclosure-report.pdf?utm_source=chatgpt.com" TargetMode="External"/><Relationship Id="rId42" Type="http://schemas.openxmlformats.org/officeDocument/2006/relationships/hyperlink" Target="https://doi.org/10.1016/j.jretconser.2020.102371" TargetMode="External"/><Relationship Id="rId47" Type="http://schemas.openxmlformats.org/officeDocument/2006/relationships/hyperlink" Target="https://doi.org/10.1080/02650487.2020.1836925" TargetMode="External"/><Relationship Id="rId63" Type="http://schemas.openxmlformats.org/officeDocument/2006/relationships/hyperlink" Target="https://www.ofcom.org.uk/media-use-and-attitudes/media-habits-adults/passive-social-media-use-ai-companionship-and-online-side-hustles-uk-adults-media-and-online-lives-revealed" TargetMode="External"/><Relationship Id="rId68" Type="http://schemas.openxmlformats.org/officeDocument/2006/relationships/hyperlink" Target="https://doi.org/10.1080/1553118X.2019.1609965" TargetMode="External"/><Relationship Id="rId84" Type="http://schemas.openxmlformats.org/officeDocument/2006/relationships/hyperlink" Target="https://www.manchester.ac.uk/collaborate/business-engagement-knowledge-exchange/case-studies/no7/?utm_source=chatgpt.com" TargetMode="External"/><Relationship Id="rId89"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footer" Target="footer2.xml"/><Relationship Id="rId32" Type="http://schemas.openxmlformats.org/officeDocument/2006/relationships/hyperlink" Target="https://doi.org/10.2501/JAR-2019-030" TargetMode="External"/><Relationship Id="rId37" Type="http://schemas.openxmlformats.org/officeDocument/2006/relationships/hyperlink" Target="https://doi.org/10.1080/02650487.2020.1801198" TargetMode="External"/><Relationship Id="rId53" Type="http://schemas.openxmlformats.org/officeDocument/2006/relationships/hyperlink" Target="https://doi.org/10.1016/j.jbusres.2021.05.024" TargetMode="External"/><Relationship Id="rId58" Type="http://schemas.openxmlformats.org/officeDocument/2006/relationships/hyperlink" Target="https://doi.org/10.1016/j.digbus.2021.100008" TargetMode="External"/><Relationship Id="rId74" Type="http://schemas.openxmlformats.org/officeDocument/2006/relationships/hyperlink" Target="https://www.skinandme.com/?utm_source=chatgpt.com" TargetMode="External"/><Relationship Id="rId79" Type="http://schemas.openxmlformats.org/officeDocument/2006/relationships/hyperlink" Target="https://uk.theinkeylist.com/pages/about-us?utm_source=chatgpt.com" TargetMode="External"/><Relationship Id="rId5"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asa.org.uk/news/influencer-ad-disclosure-on-social-media-instagram-and-tiktok-report-2024.html?utm_source=chatgpt.com" TargetMode="External"/><Relationship Id="rId27" Type="http://schemas.openxmlformats.org/officeDocument/2006/relationships/hyperlink" Target="https://doi.org/10.17645/mac.v10i1.4765" TargetMode="External"/><Relationship Id="rId30" Type="http://schemas.openxmlformats.org/officeDocument/2006/relationships/hyperlink" Target="https://doi.org/10.1016/j.intmar.2016.12.002" TargetMode="External"/><Relationship Id="rId35" Type="http://schemas.openxmlformats.org/officeDocument/2006/relationships/hyperlink" Target="https://www.asa.org.uk/type/non_broadcast/code_section/02.html?utm_source=chatgpt.com" TargetMode="External"/><Relationship Id="rId43" Type="http://schemas.openxmlformats.org/officeDocument/2006/relationships/hyperlink" Target="https://www.emarketer.com/content/uk-influencer-marketing-2025?utm_source=chatgpt.com" TargetMode="External"/><Relationship Id="rId48" Type="http://schemas.openxmlformats.org/officeDocument/2006/relationships/hyperlink" Target="https://doi.org/10.1177/0022242919854374" TargetMode="External"/><Relationship Id="rId56" Type="http://schemas.openxmlformats.org/officeDocument/2006/relationships/hyperlink" Target="https://store.mintel.com/report/uk-facial-skincare-market-report-2024?utm_source=chatgpt.com" TargetMode="External"/><Relationship Id="rId64" Type="http://schemas.openxmlformats.org/officeDocument/2006/relationships/hyperlink" Target="https://doi.org/10.1080/00913367.1990.10673191" TargetMode="External"/><Relationship Id="rId69" Type="http://schemas.openxmlformats.org/officeDocument/2006/relationships/hyperlink" Target="https://doi.org/10.1080/0267257X.2019.1708781" TargetMode="External"/><Relationship Id="rId77" Type="http://schemas.openxmlformats.org/officeDocument/2006/relationships/hyperlink" Target="https://doi.org/10.1016/j.jretconser.2019.01.011" TargetMode="External"/><Relationship Id="rId8" Type="http://schemas.openxmlformats.org/officeDocument/2006/relationships/image" Target="media/image1.png"/><Relationship Id="rId51" Type="http://schemas.openxmlformats.org/officeDocument/2006/relationships/hyperlink" Target="https://www.cosmeticsbusiness.com/revolution-beauty-reports-revenue-drop-amid-major-restructuring?utm_source=chatgpt.com" TargetMode="External"/><Relationship Id="rId72" Type="http://schemas.openxmlformats.org/officeDocument/2006/relationships/hyperlink" Target="https://revolutionbeautyplc.com/?utm_source=chatgpt.com" TargetMode="External"/><Relationship Id="rId80" Type="http://schemas.openxmlformats.org/officeDocument/2006/relationships/hyperlink" Target="https://www.theinkeylist.com/?utm_source=chatgpt.com" TargetMode="External"/><Relationship Id="rId85" Type="http://schemas.openxmlformats.org/officeDocument/2006/relationships/hyperlink" Target="https://doi.org/10.1111/ijcs.12647?utm_source=chatgpt.com"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hyperlink" Target="https://www.deloitte.com/us/en/insights/industry/technology/digital-media-trends-consumption-habits-survey/2024/digital-media-trends-introduction.html?utm_source=chatgpt.com" TargetMode="External"/><Relationship Id="rId33" Type="http://schemas.openxmlformats.org/officeDocument/2006/relationships/hyperlink" Target="https://doi.org/10.1016/j.jbusres.2018.07.005" TargetMode="External"/><Relationship Id="rId38" Type="http://schemas.openxmlformats.org/officeDocument/2006/relationships/hyperlink" Target="https://doi.org/10.1080/02650487.2017.1348035" TargetMode="External"/><Relationship Id="rId46" Type="http://schemas.openxmlformats.org/officeDocument/2006/relationships/hyperlink" Target="https://www.hubspot.com/startups/reports/social-trends?utm_source=chatgpt.com" TargetMode="External"/><Relationship Id="rId59" Type="http://schemas.openxmlformats.org/officeDocument/2006/relationships/hyperlink" Target="https://www.no7company.com/news/2023/no7-reveals-its-biggest-ever-scientific-innovation-no7-future-renew?utm_source=chatgpt.com" TargetMode="External"/><Relationship Id="rId67" Type="http://schemas.openxmlformats.org/officeDocument/2006/relationships/hyperlink" Target="https://www.paiskincare.com/pages/sarahs-story?utm_source=chatgpt.com" TargetMode="External"/><Relationship Id="rId20" Type="http://schemas.openxmlformats.org/officeDocument/2006/relationships/chart" Target="charts/chart3.xml"/><Relationship Id="rId41" Type="http://schemas.openxmlformats.org/officeDocument/2006/relationships/hyperlink" Target="https://doi.org/10.1080/00913367.2020.1765909" TargetMode="External"/><Relationship Id="rId54" Type="http://schemas.openxmlformats.org/officeDocument/2006/relationships/hyperlink" Target="https://doi.org/10.1007/s11747-021-00829-4" TargetMode="External"/><Relationship Id="rId62" Type="http://schemas.openxmlformats.org/officeDocument/2006/relationships/hyperlink" Target="https://www.ofcom.org.uk/siteassets/resources/documents/research-and-data/online-research/online-nation/2024/online-nation-2024-report.pdf?v=386238&amp;utm_source=chatgpt.com" TargetMode="External"/><Relationship Id="rId70" Type="http://schemas.openxmlformats.org/officeDocument/2006/relationships/hyperlink" Target="https://www.revolutionbeauty.com/pages/about?utm_source=chatgpt.com" TargetMode="External"/><Relationship Id="rId75" Type="http://schemas.openxmlformats.org/officeDocument/2006/relationships/hyperlink" Target="https://www.skinandme.com/info/support/getting-started/what-is-skin-me/?utm_source=chatgpt.com" TargetMode="External"/><Relationship Id="rId83" Type="http://schemas.openxmlformats.org/officeDocument/2006/relationships/hyperlink" Target="https://doi.org/10.1111/1467-8551.00375?utm_source=chatgpt.co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asa.org.uk/resource/asa-and-cap-annual-report-2023.html?utm_source=chatgpt.com" TargetMode="External"/><Relationship Id="rId28" Type="http://schemas.openxmlformats.org/officeDocument/2006/relationships/hyperlink" Target="https://doi.org/10.1016/j.jretconser.2021.102585" TargetMode="External"/><Relationship Id="rId36" Type="http://schemas.openxmlformats.org/officeDocument/2006/relationships/hyperlink" Target="https://doi.org/10.1016/j.chb.2021.106910" TargetMode="External"/><Relationship Id="rId49" Type="http://schemas.openxmlformats.org/officeDocument/2006/relationships/hyperlink" Target="https://hypeauditor.com/resources/whitepapers/state-of-influencer-marketing-2024/?utm_source=chatgpt.com" TargetMode="External"/><Relationship Id="rId57" Type="http://schemas.openxmlformats.org/officeDocument/2006/relationships/hyperlink" Target="https://doi.org/10.1016/j.chb.2018.12.014" TargetMode="External"/><Relationship Id="rId10" Type="http://schemas.openxmlformats.org/officeDocument/2006/relationships/chart" Target="charts/chart1.xml"/><Relationship Id="rId31" Type="http://schemas.openxmlformats.org/officeDocument/2006/relationships/hyperlink" Target="https://doi.org/10.1191/1478088706qp063oa" TargetMode="External"/><Relationship Id="rId44" Type="http://schemas.openxmlformats.org/officeDocument/2006/relationships/hyperlink" Target="https://www.statista.com/topics/2496/influence-marketing/?utm_source=chatgpt.com" TargetMode="External"/><Relationship Id="rId52" Type="http://schemas.openxmlformats.org/officeDocument/2006/relationships/hyperlink" Target="https://doi.org/10.1002/mar.21244" TargetMode="External"/><Relationship Id="rId60" Type="http://schemas.openxmlformats.org/officeDocument/2006/relationships/hyperlink" Target="https://www.no7company.com/our-brands/no7?utm_source=chatgpt.com" TargetMode="External"/><Relationship Id="rId65" Type="http://schemas.openxmlformats.org/officeDocument/2006/relationships/hyperlink" Target="https://doi.org/10.1136/bmj.n71" TargetMode="External"/><Relationship Id="rId73" Type="http://schemas.openxmlformats.org/officeDocument/2006/relationships/hyperlink" Target="https://doi.org/10.1080/02650487.2019.1634898" TargetMode="External"/><Relationship Id="rId78" Type="http://schemas.openxmlformats.org/officeDocument/2006/relationships/hyperlink" Target="https://www.statista.com/topics/5940/skin-care-in-the-uk/?utm_source=chatgpt.com" TargetMode="External"/><Relationship Id="rId81" Type="http://schemas.openxmlformats.org/officeDocument/2006/relationships/hyperlink" Target="https://school.theinkeylist.com/?utm_source=chatgpt.com" TargetMode="External"/><Relationship Id="rId86" Type="http://schemas.openxmlformats.org/officeDocument/2006/relationships/hyperlink" Target="https://doi.org/10.1080/00913367.2020.1857888"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1016/j.jretconser.2020.102345" TargetMode="External"/><Relationship Id="rId34" Type="http://schemas.openxmlformats.org/officeDocument/2006/relationships/hyperlink" Target="https://www.asa.org.uk/advice-online/recognising-ads-social-media.html?utm_source=chatgpt.com" TargetMode="External"/><Relationship Id="rId50" Type="http://schemas.openxmlformats.org/officeDocument/2006/relationships/hyperlink" Target="https://influencermarketinghub.com/influencer-marketing-benchmark-report-2024/?utm_source=chatgpt.com" TargetMode="External"/><Relationship Id="rId55" Type="http://schemas.openxmlformats.org/officeDocument/2006/relationships/hyperlink" Target="https://doi.org/10.1080/15252019.2018.1533501" TargetMode="External"/><Relationship Id="rId76" Type="http://schemas.openxmlformats.org/officeDocument/2006/relationships/hyperlink" Target="https://doi.org/10.1016/j.jbusres.2019.07.039?utm_source=chatgpt.com" TargetMode="External"/><Relationship Id="rId7" Type="http://schemas.openxmlformats.org/officeDocument/2006/relationships/endnotes" Target="endnotes.xml"/><Relationship Id="rId71" Type="http://schemas.openxmlformats.org/officeDocument/2006/relationships/hyperlink" Target="https://www.londonstockexchange.com/news-article/REVB/final-results/17697266?utm_source=chatgpt.com" TargetMode="External"/><Relationship Id="rId2" Type="http://schemas.openxmlformats.org/officeDocument/2006/relationships/numbering" Target="numbering.xml"/><Relationship Id="rId29" Type="http://schemas.openxmlformats.org/officeDocument/2006/relationships/hyperlink" Target="https://doi.org/10.1016/j.chb.2019.09.015" TargetMode="External"/><Relationship Id="rId24" Type="http://schemas.openxmlformats.org/officeDocument/2006/relationships/hyperlink" Target="https://doi.org/10.1016/0749-5978(91)90020-T?utm_source=chatgpt.com" TargetMode="External"/><Relationship Id="rId40" Type="http://schemas.openxmlformats.org/officeDocument/2006/relationships/hyperlink" Target="https://www.edelman.com/uk/trust/2024/trust-barometer?utm_source=chatgpt.com" TargetMode="External"/><Relationship Id="rId45" Type="http://schemas.openxmlformats.org/officeDocument/2006/relationships/hyperlink" Target="https://doi.org/10.1086/266350?utm_source=chatgpt.com" TargetMode="External"/><Relationship Id="rId66" Type="http://schemas.openxmlformats.org/officeDocument/2006/relationships/hyperlink" Target="https://www.paiskincare.com/?utm_source=chatgpt.com" TargetMode="External"/><Relationship Id="rId87" Type="http://schemas.openxmlformats.org/officeDocument/2006/relationships/footer" Target="footer4.xml"/><Relationship Id="rId61" Type="http://schemas.openxmlformats.org/officeDocument/2006/relationships/hyperlink" Target="https://doi.org/10.1177/1609406917733847" TargetMode="External"/><Relationship Id="rId82" Type="http://schemas.openxmlformats.org/officeDocument/2006/relationships/hyperlink" Target="https://doi.org/10.1002/mar.21274" TargetMode="External"/><Relationship Id="rId1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title>
      <c:tx>
        <c:rich>
          <a:bodyPr rot="0" spcFirstLastPara="1" vertOverflow="ellipsis" wrap="square" anchor="ctr" anchorCtr="1"/>
          <a:lstStyle/>
          <a:p>
            <a:pPr>
              <a:defRPr sz="1400" b="1" i="0" u="none" strike="noStrike" kern="1200" baseline="0">
                <a:solidFill>
                  <a:srgbClr val="000000"/>
                </a:solidFill>
                <a:latin typeface="Arial"/>
                <a:ea typeface="Arial"/>
                <a:cs typeface="Arial"/>
              </a:defRPr>
            </a:pPr>
            <a:r>
              <a:rPr lang="en-GB" sz="1400" b="1">
                <a:latin typeface="Arial"/>
                <a:ea typeface="Arial"/>
                <a:cs typeface="Arial"/>
              </a:rPr>
              <a:t>Average Instagram Engagement Rate by Influencer Tier (UK, 2024)</a:t>
            </a:r>
          </a:p>
        </c:rich>
      </c:tx>
      <c:overlay val="0"/>
      <c:spPr>
        <a:noFill/>
        <a:ln>
          <a:noFill/>
        </a:ln>
      </c:spPr>
    </c:title>
    <c:autoTitleDeleted val="0"/>
    <c:plotArea>
      <c:layout/>
      <c:barChart>
        <c:barDir val="col"/>
        <c:grouping val="clustered"/>
        <c:varyColors val="0"/>
        <c:ser>
          <c:idx val="0"/>
          <c:order val="0"/>
          <c:tx>
            <c:strRef>
              <c:f>Sheet1!$B$1</c:f>
              <c:strCache>
                <c:ptCount val="1"/>
                <c:pt idx="0">
                  <c:v>Engagement Rate (%)</c:v>
                </c:pt>
              </c:strCache>
            </c:strRef>
          </c:tx>
          <c:spPr>
            <a:solidFill>
              <a:srgbClr val="2E75B6"/>
            </a:solidFill>
            <a:ln>
              <a:noFill/>
            </a:ln>
          </c:spPr>
          <c:invertIfNegative val="0"/>
          <c:dLbls>
            <c:spPr>
              <a:noFill/>
              <a:ln>
                <a:noFill/>
              </a:ln>
            </c:spPr>
            <c:txPr>
              <a:bodyPr rot="0" spcFirstLastPara="1" vertOverflow="ellipsis" wrap="square" lIns="38100" tIns="19050" rIns="38100" bIns="19050" anchor="ctr" anchorCtr="1"/>
              <a:lstStyle/>
              <a:p>
                <a:pPr>
                  <a:defRPr sz="1000" b="1" i="0" u="none" strike="noStrike" kern="1200" baseline="0">
                    <a:solidFill>
                      <a:srgbClr val="000000"/>
                    </a:solidFill>
                    <a:latin typeface="Arial"/>
                    <a:ea typeface="Arial"/>
                    <a:cs typeface="Arial"/>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0"/>
              </c:ext>
            </c:extLst>
          </c:dLbls>
          <c:cat>
            <c:strRef>
              <c:f>Sheet1!$A$2:$A$6</c:f>
              <c:strCache>
                <c:ptCount val="5"/>
                <c:pt idx="0">
                  <c:v>Nano (1K–10K)</c:v>
                </c:pt>
                <c:pt idx="1">
                  <c:v>Micro (10K–100K)</c:v>
                </c:pt>
                <c:pt idx="2">
                  <c:v>Mid-tier (100K–500K)</c:v>
                </c:pt>
                <c:pt idx="3">
                  <c:v>Macro (500K–1M)</c:v>
                </c:pt>
                <c:pt idx="4">
                  <c:v>Mega (1M+)</c:v>
                </c:pt>
              </c:strCache>
            </c:strRef>
          </c:cat>
          <c:val>
            <c:numRef>
              <c:f>Sheet1!$B$2:$B$6</c:f>
              <c:numCache>
                <c:formatCode>0.00</c:formatCode>
                <c:ptCount val="5"/>
                <c:pt idx="0">
                  <c:v>2.5</c:v>
                </c:pt>
                <c:pt idx="1">
                  <c:v>1.4</c:v>
                </c:pt>
                <c:pt idx="2">
                  <c:v>1.1000000000000001</c:v>
                </c:pt>
                <c:pt idx="3">
                  <c:v>0.9</c:v>
                </c:pt>
                <c:pt idx="4">
                  <c:v>0.8</c:v>
                </c:pt>
              </c:numCache>
            </c:numRef>
          </c:val>
          <c:extLst>
            <c:ext xmlns:c16="http://schemas.microsoft.com/office/drawing/2014/chart" uri="{C3380CC4-5D6E-409C-BE32-E72D297353CC}">
              <c16:uniqueId val="{00000000-880D-4F3D-B635-55D7E8123C5A}"/>
            </c:ext>
          </c:extLst>
        </c:ser>
        <c:dLbls>
          <c:showLegendKey val="0"/>
          <c:showVal val="0"/>
          <c:showCatName val="0"/>
          <c:showSerName val="0"/>
          <c:showPercent val="0"/>
          <c:showBubbleSize val="0"/>
        </c:dLbls>
        <c:gapWidth val="80"/>
        <c:axId val="111111111"/>
        <c:axId val="222222222"/>
      </c:barChart>
      <c:catAx>
        <c:axId val="111111111"/>
        <c:scaling>
          <c:orientation val="minMax"/>
        </c:scaling>
        <c:delete val="0"/>
        <c:axPos val="b"/>
        <c:numFmt formatCode="General" sourceLinked="0"/>
        <c:majorTickMark val="cross"/>
        <c:minorTickMark val="cross"/>
        <c:tickLblPos val="nextTo"/>
        <c:txPr>
          <a:bodyPr rot="-1800000" spcFirstLastPara="1" vertOverflow="ellipsis" wrap="square" anchor="ctr" anchorCtr="1"/>
          <a:lstStyle/>
          <a:p>
            <a:pPr>
              <a:defRPr sz="1000" b="0" i="0" u="none" strike="noStrike" kern="1200" baseline="0">
                <a:solidFill>
                  <a:srgbClr val="000000"/>
                </a:solidFill>
                <a:latin typeface="Arial"/>
                <a:ea typeface="Arial"/>
                <a:cs typeface="Arial"/>
              </a:defRPr>
            </a:pPr>
            <a:endParaRPr lang="en-US"/>
          </a:p>
        </c:txPr>
        <c:crossAx val="222222222"/>
        <c:crosses val="autoZero"/>
        <c:auto val="1"/>
        <c:lblAlgn val="ctr"/>
        <c:lblOffset val="100"/>
        <c:noMultiLvlLbl val="0"/>
      </c:catAx>
      <c:valAx>
        <c:axId val="222222222"/>
        <c:scaling>
          <c:orientation val="minMax"/>
          <c:min val="0"/>
        </c:scaling>
        <c:delete val="0"/>
        <c:axPos val="l"/>
        <c:majorGridlines>
          <c:spPr>
            <a:ln w="9525" cap="flat" cmpd="sng" algn="ctr">
              <a:solidFill>
                <a:srgbClr val="D9D9D9"/>
              </a:solidFill>
              <a:round/>
            </a:ln>
          </c:spPr>
        </c:majorGridlines>
        <c:title>
          <c:tx>
            <c:rich>
              <a:bodyPr rot="-5400000" spcFirstLastPara="1" vertOverflow="ellipsis" wrap="square" anchor="ctr" anchorCtr="1"/>
              <a:lstStyle/>
              <a:p>
                <a:pPr>
                  <a:defRPr sz="1100" b="1">
                    <a:solidFill>
                      <a:srgbClr val="000000"/>
                    </a:solidFill>
                    <a:latin typeface="Arial"/>
                    <a:ea typeface="Arial"/>
                    <a:cs typeface="Arial"/>
                  </a:defRPr>
                </a:pPr>
                <a:r>
                  <a:rPr lang="en-GB" sz="1100" b="1">
                    <a:latin typeface="Arial"/>
                    <a:ea typeface="Arial"/>
                    <a:cs typeface="Arial"/>
                  </a:rPr>
                  <a:t>Engagement Rate (%)</a:t>
                </a:r>
              </a:p>
            </c:rich>
          </c:tx>
          <c:overlay val="0"/>
        </c:title>
        <c:numFmt formatCode="0.00" sourceLinked="0"/>
        <c:majorTickMark val="out"/>
        <c:minorTickMark val="none"/>
        <c:tickLblPos val="nextTo"/>
        <c:txPr>
          <a:bodyPr rot="-60000000" spcFirstLastPara="1" vertOverflow="ellipsis" wrap="square" anchor="ctr" anchorCtr="1"/>
          <a:lstStyle/>
          <a:p>
            <a:pPr>
              <a:defRPr sz="1000" b="0">
                <a:solidFill>
                  <a:srgbClr val="000000"/>
                </a:solidFill>
                <a:latin typeface="Arial"/>
                <a:ea typeface="Arial"/>
                <a:cs typeface="Arial"/>
              </a:defRPr>
            </a:pPr>
            <a:endParaRPr lang="en-US"/>
          </a:p>
        </c:txPr>
        <c:crossAx val="111111111"/>
        <c:crosses val="autoZero"/>
        <c:crossBetween val="between"/>
      </c:valAx>
      <c:spPr>
        <a:noFill/>
        <a:ln>
          <a:noFill/>
        </a:ln>
      </c:spPr>
    </c:plotArea>
    <c:plotVisOnly val="1"/>
    <c:dispBlanksAs val="gap"/>
    <c:showDLblsOverMax val="1"/>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sz="1100" b="1"/>
              <a:t>ASA influencer-ad disclosure (%)</a:t>
            </a:r>
          </a:p>
        </c:rich>
      </c:tx>
      <c:overlay val="0"/>
    </c:title>
    <c:autoTitleDeleted val="0"/>
    <c:plotArea>
      <c:layout/>
      <c:barChart>
        <c:barDir val="col"/>
        <c:grouping val="clustered"/>
        <c:varyColors val="1"/>
        <c:ser>
          <c:idx val="0"/>
          <c:order val="0"/>
          <c:tx>
            <c:v>Value</c:v>
          </c:tx>
          <c:invertIfNegative val="1"/>
          <c:dLbls>
            <c:spPr>
              <a:noFill/>
              <a:ln>
                <a:noFill/>
              </a:ln>
              <a:effectLst/>
            </c:spPr>
            <c:showLegendKey val="0"/>
            <c:showVal val="1"/>
            <c:showCatName val="0"/>
            <c:showSerName val="1"/>
            <c:showPercent val="1"/>
            <c:showBubbleSize val="1"/>
            <c:showLeaderLines val="0"/>
            <c:extLst>
              <c:ext xmlns:c15="http://schemas.microsoft.com/office/drawing/2012/chart" uri="{CE6537A1-D6FC-4f65-9D91-7224C49458BB}">
                <c15:showLeaderLines val="0"/>
              </c:ext>
            </c:extLst>
          </c:dLbls>
          <c:cat>
            <c:strLit>
              <c:ptCount val="3"/>
              <c:pt idx="0">
                <c:v>Compliant</c:v>
              </c:pt>
              <c:pt idx="1">
                <c:v>Unclear label</c:v>
              </c:pt>
              <c:pt idx="2">
                <c:v>No disclosure</c:v>
              </c:pt>
            </c:strLit>
          </c:cat>
          <c:val>
            <c:numLit>
              <c:formatCode>0</c:formatCode>
              <c:ptCount val="3"/>
              <c:pt idx="0">
                <c:v>57</c:v>
              </c:pt>
              <c:pt idx="1">
                <c:v>9</c:v>
              </c:pt>
              <c:pt idx="2">
                <c:v>34</c:v>
              </c:pt>
            </c:numLit>
          </c:val>
          <c:extLst>
            <c:ext xmlns:c16="http://schemas.microsoft.com/office/drawing/2014/chart" uri="{C3380CC4-5D6E-409C-BE32-E72D297353CC}">
              <c16:uniqueId val="{00000000-9114-4A38-BC44-421D160ED807}"/>
            </c:ext>
          </c:extLst>
        </c:ser>
        <c:dLbls>
          <c:showLegendKey val="0"/>
          <c:showVal val="1"/>
          <c:showCatName val="0"/>
          <c:showSerName val="1"/>
          <c:showPercent val="1"/>
          <c:showBubbleSize val="1"/>
        </c:dLbls>
        <c:gapWidth val="150"/>
        <c:axId val="48650112"/>
        <c:axId val="48672768"/>
      </c:barChart>
      <c:catAx>
        <c:axId val="48650112"/>
        <c:scaling>
          <c:orientation val="minMax"/>
        </c:scaling>
        <c:delete val="0"/>
        <c:axPos val="b"/>
        <c:numFmt formatCode="General" sourceLinked="0"/>
        <c:majorTickMark val="cross"/>
        <c:minorTickMark val="cross"/>
        <c:tickLblPos val="nextTo"/>
        <c:crossAx val="48672768"/>
        <c:crosses val="autoZero"/>
        <c:auto val="1"/>
        <c:lblAlgn val="ctr"/>
        <c:lblOffset val="100"/>
        <c:noMultiLvlLbl val="1"/>
      </c:catAx>
      <c:valAx>
        <c:axId val="48672768"/>
        <c:scaling>
          <c:orientation val="minMax"/>
          <c:max val="57"/>
          <c:min val="0"/>
        </c:scaling>
        <c:delete val="0"/>
        <c:axPos val="l"/>
        <c:majorGridlines/>
        <c:numFmt formatCode="0" sourceLinked="0"/>
        <c:majorTickMark val="cross"/>
        <c:minorTickMark val="cross"/>
        <c:tickLblPos val="nextTo"/>
        <c:crossAx val="4865011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GB" sz="1100" b="1"/>
              <a:t>Evidence confidence by theme</a:t>
            </a:r>
          </a:p>
        </c:rich>
      </c:tx>
      <c:overlay val="0"/>
    </c:title>
    <c:autoTitleDeleted val="0"/>
    <c:plotArea>
      <c:layout/>
      <c:barChart>
        <c:barDir val="col"/>
        <c:grouping val="clustered"/>
        <c:varyColors val="1"/>
        <c:ser>
          <c:idx val="0"/>
          <c:order val="0"/>
          <c:tx>
            <c:v>Value</c:v>
          </c:tx>
          <c:invertIfNegative val="1"/>
          <c:dLbls>
            <c:spPr>
              <a:noFill/>
              <a:ln>
                <a:noFill/>
              </a:ln>
              <a:effectLst/>
            </c:spPr>
            <c:showLegendKey val="0"/>
            <c:showVal val="1"/>
            <c:showCatName val="0"/>
            <c:showSerName val="1"/>
            <c:showPercent val="1"/>
            <c:showBubbleSize val="1"/>
            <c:showLeaderLines val="0"/>
            <c:extLst>
              <c:ext xmlns:c15="http://schemas.microsoft.com/office/drawing/2012/chart" uri="{CE6537A1-D6FC-4f65-9D91-7224C49458BB}">
                <c15:showLeaderLines val="0"/>
              </c:ext>
            </c:extLst>
          </c:dLbls>
          <c:cat>
            <c:strLit>
              <c:ptCount val="8"/>
              <c:pt idx="0">
                <c:v>Trust</c:v>
              </c:pt>
              <c:pt idx="1">
                <c:v>Expertise</c:v>
              </c:pt>
              <c:pt idx="2">
                <c:v>Attractiveness</c:v>
              </c:pt>
              <c:pt idx="3">
                <c:v>Authenticity</c:v>
              </c:pt>
              <c:pt idx="4">
                <c:v>Homophily</c:v>
              </c:pt>
              <c:pt idx="5">
                <c:v>Parasocial</c:v>
              </c:pt>
              <c:pt idx="6">
                <c:v>Disclosure</c:v>
              </c:pt>
              <c:pt idx="7">
                <c:v>Platform</c:v>
              </c:pt>
            </c:strLit>
          </c:cat>
          <c:val>
            <c:numLit>
              <c:formatCode>0</c:formatCode>
              <c:ptCount val="8"/>
              <c:pt idx="0">
                <c:v>3</c:v>
              </c:pt>
              <c:pt idx="1">
                <c:v>3</c:v>
              </c:pt>
              <c:pt idx="2">
                <c:v>1</c:v>
              </c:pt>
              <c:pt idx="3">
                <c:v>2</c:v>
              </c:pt>
              <c:pt idx="4">
                <c:v>2</c:v>
              </c:pt>
              <c:pt idx="5">
                <c:v>3</c:v>
              </c:pt>
              <c:pt idx="6">
                <c:v>2</c:v>
              </c:pt>
              <c:pt idx="7">
                <c:v>1</c:v>
              </c:pt>
            </c:numLit>
          </c:val>
          <c:extLst>
            <c:ext xmlns:c16="http://schemas.microsoft.com/office/drawing/2014/chart" uri="{C3380CC4-5D6E-409C-BE32-E72D297353CC}">
              <c16:uniqueId val="{00000000-269B-46FE-ADC6-4C114A810B44}"/>
            </c:ext>
          </c:extLst>
        </c:ser>
        <c:dLbls>
          <c:showLegendKey val="0"/>
          <c:showVal val="1"/>
          <c:showCatName val="0"/>
          <c:showSerName val="1"/>
          <c:showPercent val="1"/>
          <c:showBubbleSize val="1"/>
        </c:dLbls>
        <c:gapWidth val="150"/>
        <c:axId val="48650112"/>
        <c:axId val="48672768"/>
      </c:barChart>
      <c:catAx>
        <c:axId val="48650112"/>
        <c:scaling>
          <c:orientation val="minMax"/>
        </c:scaling>
        <c:delete val="0"/>
        <c:axPos val="b"/>
        <c:numFmt formatCode="General" sourceLinked="0"/>
        <c:majorTickMark val="cross"/>
        <c:minorTickMark val="cross"/>
        <c:tickLblPos val="nextTo"/>
        <c:crossAx val="48672768"/>
        <c:crosses val="autoZero"/>
        <c:auto val="1"/>
        <c:lblAlgn val="ctr"/>
        <c:lblOffset val="100"/>
        <c:noMultiLvlLbl val="1"/>
      </c:catAx>
      <c:valAx>
        <c:axId val="48672768"/>
        <c:scaling>
          <c:orientation val="minMax"/>
          <c:max val="3"/>
          <c:min val="0"/>
        </c:scaling>
        <c:delete val="0"/>
        <c:axPos val="l"/>
        <c:majorGridlines/>
        <c:numFmt formatCode="0" sourceLinked="0"/>
        <c:majorTickMark val="cross"/>
        <c:minorTickMark val="cross"/>
        <c:tickLblPos val="nextTo"/>
        <c:crossAx val="4865011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78</Pages>
  <Words>23970</Words>
  <Characters>136629</Characters>
  <Application>Microsoft Office Word</Application>
  <DocSecurity>0</DocSecurity>
  <Lines>1138</Lines>
  <Paragraphs>320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160279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Ahram Parvej Shanto</cp:lastModifiedBy>
  <cp:revision>14</cp:revision>
  <dcterms:created xsi:type="dcterms:W3CDTF">2013-12-23T23:15:00Z</dcterms:created>
  <dcterms:modified xsi:type="dcterms:W3CDTF">2026-09-16T14:06:00Z</dcterms:modified>
  <cp:category/>
</cp:coreProperties>
</file>