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20C201AC" w:rsidR="00646406" w:rsidRPr="00D73FA2" w:rsidRDefault="00C57D61" w:rsidP="00DA2A69">
      <w:pPr>
        <w:spacing w:before="0" w:after="0" w:line="276" w:lineRule="auto"/>
        <w:jc w:val="center"/>
      </w:pPr>
      <w:r w:rsidRPr="00D73FA2">
        <w:rPr>
          <w:noProof/>
        </w:rPr>
        <w:drawing>
          <wp:inline distT="0" distB="0" distL="0" distR="0" wp14:anchorId="6412E298" wp14:editId="00F59B3E">
            <wp:extent cx="5753100" cy="2301240"/>
            <wp:effectExtent l="0" t="0" r="0"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pic:spPr>
                </pic:pic>
              </a:graphicData>
            </a:graphic>
          </wp:inline>
        </w:drawing>
      </w:r>
      <w:r w:rsidR="00646406" w:rsidRPr="00D73FA2">
        <w:fldChar w:fldCharType="begin"/>
      </w:r>
      <w:r w:rsidRPr="00D73FA2">
        <w:instrText xml:space="preserve"> INCLUDEPICTURE "C:\\Users\\AzZedin01\\Library\\Group Containers\\UBF8T346G9.ms\\WebArchiveCopyPasteTempFiles\\com.microsoft.Word\\8P2xdp3q1g646AAAAAElFTkSuQmCC" \* MERGEFORMAT </w:instrText>
      </w:r>
      <w:r w:rsidR="00646406" w:rsidRPr="00D73FA2">
        <w:fldChar w:fldCharType="separate"/>
      </w:r>
      <w:r w:rsidR="00646406" w:rsidRPr="00D73FA2">
        <w:fldChar w:fldCharType="end"/>
      </w:r>
    </w:p>
    <w:p w14:paraId="6D0C4720" w14:textId="77777777" w:rsidR="00646406" w:rsidRPr="00D73FA2" w:rsidRDefault="00646406" w:rsidP="00DA2A69">
      <w:pPr>
        <w:spacing w:before="0" w:after="0" w:line="276" w:lineRule="auto"/>
        <w:jc w:val="center"/>
      </w:pPr>
    </w:p>
    <w:p w14:paraId="384AD48D" w14:textId="77777777" w:rsidR="00646406" w:rsidRPr="00D73FA2" w:rsidRDefault="00646406" w:rsidP="00DA2A69">
      <w:pPr>
        <w:spacing w:before="0" w:after="0" w:line="276" w:lineRule="auto"/>
        <w:jc w:val="center"/>
      </w:pPr>
    </w:p>
    <w:p w14:paraId="1C4A58E1" w14:textId="77777777" w:rsidR="00646406" w:rsidRPr="00D73FA2" w:rsidRDefault="00646406" w:rsidP="00DA2A69">
      <w:pPr>
        <w:spacing w:before="0" w:after="0" w:line="276" w:lineRule="auto"/>
        <w:jc w:val="center"/>
      </w:pPr>
    </w:p>
    <w:p w14:paraId="21811744" w14:textId="77777777" w:rsidR="00646406" w:rsidRPr="00D73FA2" w:rsidRDefault="00646406" w:rsidP="00DA2A69">
      <w:pPr>
        <w:spacing w:before="0" w:after="0" w:line="276" w:lineRule="auto"/>
        <w:jc w:val="center"/>
      </w:pPr>
    </w:p>
    <w:p w14:paraId="1EC34BAD" w14:textId="77777777" w:rsidR="00646406" w:rsidRPr="00D73FA2" w:rsidRDefault="00646406" w:rsidP="00DA2A69">
      <w:pPr>
        <w:spacing w:before="0" w:after="0" w:line="276" w:lineRule="auto"/>
        <w:jc w:val="center"/>
      </w:pPr>
    </w:p>
    <w:p w14:paraId="5AD70FA4"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Name:</w:t>
      </w:r>
      <w:r>
        <w:rPr>
          <w:rFonts w:ascii="Arial" w:hAnsi="Arial" w:cs="Arial"/>
          <w:b/>
          <w:bCs/>
        </w:rPr>
        <w:t xml:space="preserve"> Jay Prajapati</w:t>
      </w:r>
    </w:p>
    <w:p w14:paraId="077FEA63" w14:textId="77777777" w:rsidR="006C44B4" w:rsidRPr="00646406" w:rsidRDefault="006C44B4" w:rsidP="006C44B4">
      <w:pPr>
        <w:spacing w:before="0" w:after="0" w:line="276" w:lineRule="auto"/>
        <w:jc w:val="left"/>
        <w:rPr>
          <w:rFonts w:ascii="Arial" w:hAnsi="Arial" w:cs="Arial"/>
          <w:b/>
          <w:bCs/>
        </w:rPr>
      </w:pPr>
    </w:p>
    <w:p w14:paraId="514F8958"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ID:</w:t>
      </w:r>
      <w:r>
        <w:rPr>
          <w:rFonts w:ascii="Arial" w:hAnsi="Arial" w:cs="Arial"/>
          <w:b/>
          <w:bCs/>
        </w:rPr>
        <w:t xml:space="preserve"> 2436028</w:t>
      </w:r>
    </w:p>
    <w:p w14:paraId="7354C357" w14:textId="77777777" w:rsidR="006C44B4" w:rsidRPr="00646406" w:rsidRDefault="006C44B4" w:rsidP="006C44B4">
      <w:pPr>
        <w:spacing w:before="0" w:after="0" w:line="276" w:lineRule="auto"/>
        <w:jc w:val="left"/>
        <w:rPr>
          <w:rFonts w:ascii="Arial" w:hAnsi="Arial" w:cs="Arial"/>
        </w:rPr>
      </w:pPr>
    </w:p>
    <w:p w14:paraId="15D6E0A9" w14:textId="608E6E59"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Name: </w:t>
      </w:r>
      <w:r w:rsidR="00720760" w:rsidRPr="00720760">
        <w:rPr>
          <w:rFonts w:ascii="Arial" w:hAnsi="Arial" w:cs="Arial"/>
          <w:b/>
          <w:bCs/>
        </w:rPr>
        <w:t>Strategic Management</w:t>
      </w:r>
    </w:p>
    <w:p w14:paraId="6F757734" w14:textId="77777777" w:rsidR="006C44B4" w:rsidRPr="00646406" w:rsidRDefault="006C44B4" w:rsidP="006C44B4">
      <w:pPr>
        <w:spacing w:before="0" w:after="0" w:line="276" w:lineRule="auto"/>
        <w:jc w:val="left"/>
        <w:rPr>
          <w:rFonts w:ascii="Arial" w:hAnsi="Arial" w:cs="Arial"/>
          <w:b/>
          <w:bCs/>
        </w:rPr>
      </w:pPr>
    </w:p>
    <w:p w14:paraId="086AEE7F" w14:textId="40D0B3DD"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Code: </w:t>
      </w:r>
      <w:r w:rsidR="001F0C7D" w:rsidRPr="001F0C7D">
        <w:rPr>
          <w:rFonts w:ascii="Arial" w:hAnsi="Arial" w:cs="Arial"/>
          <w:b/>
          <w:bCs/>
        </w:rPr>
        <w:t>LCMB70</w:t>
      </w:r>
      <w:r w:rsidR="00720760">
        <w:rPr>
          <w:rFonts w:ascii="Arial" w:hAnsi="Arial" w:cs="Arial"/>
          <w:b/>
          <w:bCs/>
        </w:rPr>
        <w:t>03</w:t>
      </w:r>
    </w:p>
    <w:p w14:paraId="094C2122" w14:textId="77777777" w:rsidR="006C44B4" w:rsidRPr="00646406" w:rsidRDefault="006C44B4" w:rsidP="006C44B4">
      <w:pPr>
        <w:spacing w:before="0" w:after="0" w:line="276" w:lineRule="auto"/>
        <w:jc w:val="left"/>
        <w:rPr>
          <w:rFonts w:ascii="Arial" w:hAnsi="Arial" w:cs="Arial"/>
          <w:b/>
          <w:bCs/>
        </w:rPr>
      </w:pPr>
    </w:p>
    <w:p w14:paraId="489FC229" w14:textId="24265574"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Lecturer’s Name:</w:t>
      </w:r>
      <w:r>
        <w:rPr>
          <w:rFonts w:ascii="Arial" w:hAnsi="Arial" w:cs="Arial"/>
          <w:b/>
          <w:bCs/>
        </w:rPr>
        <w:t xml:space="preserve"> </w:t>
      </w:r>
      <w:r w:rsidR="00215D9E" w:rsidRPr="00C54660">
        <w:rPr>
          <w:rFonts w:ascii="Arial" w:hAnsi="Arial" w:cs="Arial"/>
          <w:b/>
          <w:bCs/>
        </w:rPr>
        <w:t>Dr. Jayalakhshmi Gopalkrishnan</w:t>
      </w:r>
    </w:p>
    <w:p w14:paraId="33E86A33" w14:textId="77777777" w:rsidR="006C44B4" w:rsidRPr="00646406" w:rsidRDefault="006C44B4" w:rsidP="006C44B4">
      <w:pPr>
        <w:spacing w:before="0" w:after="0" w:line="276" w:lineRule="auto"/>
        <w:jc w:val="left"/>
        <w:rPr>
          <w:rFonts w:ascii="Arial" w:hAnsi="Arial" w:cs="Arial"/>
          <w:b/>
          <w:bCs/>
        </w:rPr>
      </w:pPr>
    </w:p>
    <w:p w14:paraId="2CC2A054" w14:textId="77777777" w:rsidR="00646406" w:rsidRPr="00D73FA2" w:rsidRDefault="00646406" w:rsidP="00DA2A69">
      <w:pPr>
        <w:spacing w:before="0" w:after="0" w:line="276" w:lineRule="auto"/>
        <w:jc w:val="center"/>
        <w:rPr>
          <w:rFonts w:ascii="Arial" w:hAnsi="Arial" w:cs="Arial"/>
          <w:b/>
          <w:bCs/>
        </w:rPr>
      </w:pPr>
    </w:p>
    <w:p w14:paraId="6A8F56C7" w14:textId="77777777" w:rsidR="00646406" w:rsidRPr="00D73FA2" w:rsidRDefault="00646406" w:rsidP="00DA2A69">
      <w:pPr>
        <w:spacing w:before="0" w:after="0" w:line="276" w:lineRule="auto"/>
        <w:jc w:val="center"/>
        <w:rPr>
          <w:rFonts w:ascii="Arial" w:hAnsi="Arial" w:cs="Arial"/>
          <w:b/>
          <w:bCs/>
        </w:rPr>
      </w:pPr>
    </w:p>
    <w:p w14:paraId="74532E5F" w14:textId="77777777" w:rsidR="00646406" w:rsidRPr="00D73FA2" w:rsidRDefault="00646406" w:rsidP="00DA2A69">
      <w:pPr>
        <w:spacing w:before="0" w:after="0" w:line="276" w:lineRule="auto"/>
        <w:jc w:val="center"/>
        <w:rPr>
          <w:rFonts w:ascii="Arial" w:hAnsi="Arial" w:cs="Arial"/>
          <w:b/>
          <w:bCs/>
        </w:rPr>
      </w:pPr>
    </w:p>
    <w:p w14:paraId="102B9D5E" w14:textId="77777777" w:rsidR="00646406" w:rsidRPr="00D73FA2" w:rsidRDefault="00646406" w:rsidP="00DA2A69">
      <w:pPr>
        <w:spacing w:before="0" w:after="0" w:line="276" w:lineRule="auto"/>
        <w:jc w:val="center"/>
        <w:rPr>
          <w:rFonts w:ascii="Arial" w:hAnsi="Arial" w:cs="Arial"/>
          <w:b/>
          <w:bCs/>
        </w:rPr>
      </w:pPr>
    </w:p>
    <w:p w14:paraId="795BE6E7" w14:textId="16C05007" w:rsidR="00646406" w:rsidRPr="00D73FA2" w:rsidRDefault="00646406" w:rsidP="00DA2A69">
      <w:pPr>
        <w:spacing w:before="0" w:after="0"/>
        <w:rPr>
          <w:b/>
          <w:bCs/>
        </w:rPr>
      </w:pPr>
      <w:r w:rsidRPr="00D73FA2">
        <w:rPr>
          <w:b/>
          <w:bCs/>
        </w:rPr>
        <w:br w:type="page"/>
      </w:r>
    </w:p>
    <w:sdt>
      <w:sdtPr>
        <w:rPr>
          <w:rFonts w:eastAsiaTheme="minorHAnsi" w:cstheme="minorBidi"/>
          <w:bCs w:val="0"/>
          <w:kern w:val="2"/>
          <w:sz w:val="24"/>
          <w:szCs w:val="24"/>
          <w:lang w:val="en-GB"/>
          <w14:ligatures w14:val="standardContextual"/>
        </w:rPr>
        <w:id w:val="1534770230"/>
        <w:docPartObj>
          <w:docPartGallery w:val="Table of Contents"/>
          <w:docPartUnique/>
        </w:docPartObj>
      </w:sdtPr>
      <w:sdtEndPr>
        <w:rPr>
          <w:b/>
          <w:noProof/>
        </w:rPr>
      </w:sdtEndPr>
      <w:sdtContent>
        <w:p w14:paraId="7055B393" w14:textId="2AD32712" w:rsidR="006B701B" w:rsidRDefault="006B701B">
          <w:pPr>
            <w:pStyle w:val="TOCHeading"/>
          </w:pPr>
          <w:r>
            <w:t>Contents</w:t>
          </w:r>
        </w:p>
        <w:p w14:paraId="65F69128" w14:textId="11FCCD22" w:rsidR="002C00DF" w:rsidRDefault="006B701B">
          <w:pPr>
            <w:pStyle w:val="TOC1"/>
            <w:tabs>
              <w:tab w:val="right" w:leader="dot" w:pos="9016"/>
            </w:tabs>
            <w:rPr>
              <w:rFonts w:asciiTheme="minorHAnsi" w:eastAsiaTheme="minorEastAsia" w:hAnsiTheme="minorHAnsi"/>
              <w:bCs w:val="0"/>
              <w:iCs w:val="0"/>
              <w:noProof/>
              <w:color w:val="auto"/>
              <w:lang w:val="en-US"/>
            </w:rPr>
          </w:pPr>
          <w:r>
            <w:fldChar w:fldCharType="begin"/>
          </w:r>
          <w:r>
            <w:instrText xml:space="preserve"> TOC \o "1-3" \h \z \u </w:instrText>
          </w:r>
          <w:r>
            <w:fldChar w:fldCharType="separate"/>
          </w:r>
          <w:hyperlink w:anchor="_Toc217140965" w:history="1">
            <w:r w:rsidR="002C00DF" w:rsidRPr="004453EB">
              <w:rPr>
                <w:rStyle w:val="Hyperlink"/>
                <w:noProof/>
                <w:lang w:val="en-US"/>
              </w:rPr>
              <w:t>Overview of the Organization and Target Market</w:t>
            </w:r>
            <w:r w:rsidR="002C00DF">
              <w:rPr>
                <w:noProof/>
                <w:webHidden/>
              </w:rPr>
              <w:tab/>
            </w:r>
            <w:r w:rsidR="002C00DF">
              <w:rPr>
                <w:noProof/>
                <w:webHidden/>
              </w:rPr>
              <w:fldChar w:fldCharType="begin"/>
            </w:r>
            <w:r w:rsidR="002C00DF">
              <w:rPr>
                <w:noProof/>
                <w:webHidden/>
              </w:rPr>
              <w:instrText xml:space="preserve"> PAGEREF _Toc217140965 \h </w:instrText>
            </w:r>
            <w:r w:rsidR="002C00DF">
              <w:rPr>
                <w:noProof/>
                <w:webHidden/>
              </w:rPr>
            </w:r>
            <w:r w:rsidR="002C00DF">
              <w:rPr>
                <w:noProof/>
                <w:webHidden/>
              </w:rPr>
              <w:fldChar w:fldCharType="separate"/>
            </w:r>
            <w:r w:rsidR="002C00DF">
              <w:rPr>
                <w:noProof/>
                <w:webHidden/>
              </w:rPr>
              <w:t>4</w:t>
            </w:r>
            <w:r w:rsidR="002C00DF">
              <w:rPr>
                <w:noProof/>
                <w:webHidden/>
              </w:rPr>
              <w:fldChar w:fldCharType="end"/>
            </w:r>
          </w:hyperlink>
        </w:p>
        <w:p w14:paraId="3F2B896B" w14:textId="4A9B4AB0"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66" w:history="1">
            <w:r w:rsidRPr="004453EB">
              <w:rPr>
                <w:rStyle w:val="Hyperlink"/>
                <w:noProof/>
              </w:rPr>
              <w:t>Introduction and Company Background</w:t>
            </w:r>
            <w:r>
              <w:rPr>
                <w:noProof/>
                <w:webHidden/>
              </w:rPr>
              <w:tab/>
            </w:r>
            <w:r>
              <w:rPr>
                <w:noProof/>
                <w:webHidden/>
              </w:rPr>
              <w:fldChar w:fldCharType="begin"/>
            </w:r>
            <w:r>
              <w:rPr>
                <w:noProof/>
                <w:webHidden/>
              </w:rPr>
              <w:instrText xml:space="preserve"> PAGEREF _Toc217140966 \h </w:instrText>
            </w:r>
            <w:r>
              <w:rPr>
                <w:noProof/>
                <w:webHidden/>
              </w:rPr>
            </w:r>
            <w:r>
              <w:rPr>
                <w:noProof/>
                <w:webHidden/>
              </w:rPr>
              <w:fldChar w:fldCharType="separate"/>
            </w:r>
            <w:r>
              <w:rPr>
                <w:noProof/>
                <w:webHidden/>
              </w:rPr>
              <w:t>4</w:t>
            </w:r>
            <w:r>
              <w:rPr>
                <w:noProof/>
                <w:webHidden/>
              </w:rPr>
              <w:fldChar w:fldCharType="end"/>
            </w:r>
          </w:hyperlink>
        </w:p>
        <w:p w14:paraId="04439834" w14:textId="3A5E33BE"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67" w:history="1">
            <w:r w:rsidRPr="004453EB">
              <w:rPr>
                <w:rStyle w:val="Hyperlink"/>
                <w:noProof/>
              </w:rPr>
              <w:t>Justification for Selecting Sainsbury’s for International Expansion</w:t>
            </w:r>
            <w:r>
              <w:rPr>
                <w:noProof/>
                <w:webHidden/>
              </w:rPr>
              <w:tab/>
            </w:r>
            <w:r>
              <w:rPr>
                <w:noProof/>
                <w:webHidden/>
              </w:rPr>
              <w:fldChar w:fldCharType="begin"/>
            </w:r>
            <w:r>
              <w:rPr>
                <w:noProof/>
                <w:webHidden/>
              </w:rPr>
              <w:instrText xml:space="preserve"> PAGEREF _Toc217140967 \h </w:instrText>
            </w:r>
            <w:r>
              <w:rPr>
                <w:noProof/>
                <w:webHidden/>
              </w:rPr>
            </w:r>
            <w:r>
              <w:rPr>
                <w:noProof/>
                <w:webHidden/>
              </w:rPr>
              <w:fldChar w:fldCharType="separate"/>
            </w:r>
            <w:r>
              <w:rPr>
                <w:noProof/>
                <w:webHidden/>
              </w:rPr>
              <w:t>5</w:t>
            </w:r>
            <w:r>
              <w:rPr>
                <w:noProof/>
                <w:webHidden/>
              </w:rPr>
              <w:fldChar w:fldCharType="end"/>
            </w:r>
          </w:hyperlink>
        </w:p>
        <w:p w14:paraId="3032BD90" w14:textId="05DD5D46"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68" w:history="1">
            <w:r w:rsidRPr="004453EB">
              <w:rPr>
                <w:rStyle w:val="Hyperlink"/>
                <w:noProof/>
              </w:rPr>
              <w:t>Justification for Selecting India as the Target Market</w:t>
            </w:r>
            <w:r>
              <w:rPr>
                <w:noProof/>
                <w:webHidden/>
              </w:rPr>
              <w:tab/>
            </w:r>
            <w:r>
              <w:rPr>
                <w:noProof/>
                <w:webHidden/>
              </w:rPr>
              <w:fldChar w:fldCharType="begin"/>
            </w:r>
            <w:r>
              <w:rPr>
                <w:noProof/>
                <w:webHidden/>
              </w:rPr>
              <w:instrText xml:space="preserve"> PAGEREF _Toc217140968 \h </w:instrText>
            </w:r>
            <w:r>
              <w:rPr>
                <w:noProof/>
                <w:webHidden/>
              </w:rPr>
            </w:r>
            <w:r>
              <w:rPr>
                <w:noProof/>
                <w:webHidden/>
              </w:rPr>
              <w:fldChar w:fldCharType="separate"/>
            </w:r>
            <w:r>
              <w:rPr>
                <w:noProof/>
                <w:webHidden/>
              </w:rPr>
              <w:t>6</w:t>
            </w:r>
            <w:r>
              <w:rPr>
                <w:noProof/>
                <w:webHidden/>
              </w:rPr>
              <w:fldChar w:fldCharType="end"/>
            </w:r>
          </w:hyperlink>
        </w:p>
        <w:p w14:paraId="259EF968" w14:textId="50413ECC"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69" w:history="1">
            <w:r w:rsidRPr="004453EB">
              <w:rPr>
                <w:rStyle w:val="Hyperlink"/>
                <w:noProof/>
              </w:rPr>
              <w:t>Strategic Objectives of the Expansion</w:t>
            </w:r>
            <w:r>
              <w:rPr>
                <w:noProof/>
                <w:webHidden/>
              </w:rPr>
              <w:tab/>
            </w:r>
            <w:r>
              <w:rPr>
                <w:noProof/>
                <w:webHidden/>
              </w:rPr>
              <w:fldChar w:fldCharType="begin"/>
            </w:r>
            <w:r>
              <w:rPr>
                <w:noProof/>
                <w:webHidden/>
              </w:rPr>
              <w:instrText xml:space="preserve"> PAGEREF _Toc217140969 \h </w:instrText>
            </w:r>
            <w:r>
              <w:rPr>
                <w:noProof/>
                <w:webHidden/>
              </w:rPr>
            </w:r>
            <w:r>
              <w:rPr>
                <w:noProof/>
                <w:webHidden/>
              </w:rPr>
              <w:fldChar w:fldCharType="separate"/>
            </w:r>
            <w:r>
              <w:rPr>
                <w:noProof/>
                <w:webHidden/>
              </w:rPr>
              <w:t>6</w:t>
            </w:r>
            <w:r>
              <w:rPr>
                <w:noProof/>
                <w:webHidden/>
              </w:rPr>
              <w:fldChar w:fldCharType="end"/>
            </w:r>
          </w:hyperlink>
        </w:p>
        <w:p w14:paraId="5ED2D82E" w14:textId="5B37D031" w:rsidR="002C00DF" w:rsidRDefault="002C00DF">
          <w:pPr>
            <w:pStyle w:val="TOC1"/>
            <w:tabs>
              <w:tab w:val="right" w:leader="dot" w:pos="9016"/>
            </w:tabs>
            <w:rPr>
              <w:rFonts w:asciiTheme="minorHAnsi" w:eastAsiaTheme="minorEastAsia" w:hAnsiTheme="minorHAnsi"/>
              <w:bCs w:val="0"/>
              <w:iCs w:val="0"/>
              <w:noProof/>
              <w:color w:val="auto"/>
              <w:lang w:val="en-US"/>
            </w:rPr>
          </w:pPr>
          <w:hyperlink w:anchor="_Toc217140970" w:history="1">
            <w:r w:rsidRPr="004453EB">
              <w:rPr>
                <w:rStyle w:val="Hyperlink"/>
                <w:noProof/>
                <w:lang w:val="en-US"/>
              </w:rPr>
              <w:t>Strategic analysis of Target Market</w:t>
            </w:r>
            <w:r>
              <w:rPr>
                <w:noProof/>
                <w:webHidden/>
              </w:rPr>
              <w:tab/>
            </w:r>
            <w:r>
              <w:rPr>
                <w:noProof/>
                <w:webHidden/>
              </w:rPr>
              <w:fldChar w:fldCharType="begin"/>
            </w:r>
            <w:r>
              <w:rPr>
                <w:noProof/>
                <w:webHidden/>
              </w:rPr>
              <w:instrText xml:space="preserve"> PAGEREF _Toc217140970 \h </w:instrText>
            </w:r>
            <w:r>
              <w:rPr>
                <w:noProof/>
                <w:webHidden/>
              </w:rPr>
            </w:r>
            <w:r>
              <w:rPr>
                <w:noProof/>
                <w:webHidden/>
              </w:rPr>
              <w:fldChar w:fldCharType="separate"/>
            </w:r>
            <w:r>
              <w:rPr>
                <w:noProof/>
                <w:webHidden/>
              </w:rPr>
              <w:t>7</w:t>
            </w:r>
            <w:r>
              <w:rPr>
                <w:noProof/>
                <w:webHidden/>
              </w:rPr>
              <w:fldChar w:fldCharType="end"/>
            </w:r>
          </w:hyperlink>
        </w:p>
        <w:p w14:paraId="59BC4EE7" w14:textId="742F01BB"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71" w:history="1">
            <w:r w:rsidRPr="004453EB">
              <w:rPr>
                <w:rStyle w:val="Hyperlink"/>
                <w:noProof/>
              </w:rPr>
              <w:t>Macro-Environmental Analysis: PESTLE</w:t>
            </w:r>
            <w:r>
              <w:rPr>
                <w:noProof/>
                <w:webHidden/>
              </w:rPr>
              <w:tab/>
            </w:r>
            <w:r>
              <w:rPr>
                <w:noProof/>
                <w:webHidden/>
              </w:rPr>
              <w:fldChar w:fldCharType="begin"/>
            </w:r>
            <w:r>
              <w:rPr>
                <w:noProof/>
                <w:webHidden/>
              </w:rPr>
              <w:instrText xml:space="preserve"> PAGEREF _Toc217140971 \h </w:instrText>
            </w:r>
            <w:r>
              <w:rPr>
                <w:noProof/>
                <w:webHidden/>
              </w:rPr>
            </w:r>
            <w:r>
              <w:rPr>
                <w:noProof/>
                <w:webHidden/>
              </w:rPr>
              <w:fldChar w:fldCharType="separate"/>
            </w:r>
            <w:r>
              <w:rPr>
                <w:noProof/>
                <w:webHidden/>
              </w:rPr>
              <w:t>7</w:t>
            </w:r>
            <w:r>
              <w:rPr>
                <w:noProof/>
                <w:webHidden/>
              </w:rPr>
              <w:fldChar w:fldCharType="end"/>
            </w:r>
          </w:hyperlink>
        </w:p>
        <w:p w14:paraId="282BC6DE" w14:textId="38F864B1"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2" w:history="1">
            <w:r w:rsidRPr="004453EB">
              <w:rPr>
                <w:rStyle w:val="Hyperlink"/>
                <w:noProof/>
              </w:rPr>
              <w:t>Political Factor</w:t>
            </w:r>
            <w:r>
              <w:rPr>
                <w:noProof/>
                <w:webHidden/>
              </w:rPr>
              <w:tab/>
            </w:r>
            <w:r>
              <w:rPr>
                <w:noProof/>
                <w:webHidden/>
              </w:rPr>
              <w:fldChar w:fldCharType="begin"/>
            </w:r>
            <w:r>
              <w:rPr>
                <w:noProof/>
                <w:webHidden/>
              </w:rPr>
              <w:instrText xml:space="preserve"> PAGEREF _Toc217140972 \h </w:instrText>
            </w:r>
            <w:r>
              <w:rPr>
                <w:noProof/>
                <w:webHidden/>
              </w:rPr>
            </w:r>
            <w:r>
              <w:rPr>
                <w:noProof/>
                <w:webHidden/>
              </w:rPr>
              <w:fldChar w:fldCharType="separate"/>
            </w:r>
            <w:r>
              <w:rPr>
                <w:noProof/>
                <w:webHidden/>
              </w:rPr>
              <w:t>8</w:t>
            </w:r>
            <w:r>
              <w:rPr>
                <w:noProof/>
                <w:webHidden/>
              </w:rPr>
              <w:fldChar w:fldCharType="end"/>
            </w:r>
          </w:hyperlink>
        </w:p>
        <w:p w14:paraId="3278E90C" w14:textId="064D1F5A"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3" w:history="1">
            <w:r w:rsidRPr="004453EB">
              <w:rPr>
                <w:rStyle w:val="Hyperlink"/>
                <w:noProof/>
                <w:lang w:val="en-US"/>
              </w:rPr>
              <w:t>Economic Factor</w:t>
            </w:r>
            <w:r>
              <w:rPr>
                <w:noProof/>
                <w:webHidden/>
              </w:rPr>
              <w:tab/>
            </w:r>
            <w:r>
              <w:rPr>
                <w:noProof/>
                <w:webHidden/>
              </w:rPr>
              <w:fldChar w:fldCharType="begin"/>
            </w:r>
            <w:r>
              <w:rPr>
                <w:noProof/>
                <w:webHidden/>
              </w:rPr>
              <w:instrText xml:space="preserve"> PAGEREF _Toc217140973 \h </w:instrText>
            </w:r>
            <w:r>
              <w:rPr>
                <w:noProof/>
                <w:webHidden/>
              </w:rPr>
            </w:r>
            <w:r>
              <w:rPr>
                <w:noProof/>
                <w:webHidden/>
              </w:rPr>
              <w:fldChar w:fldCharType="separate"/>
            </w:r>
            <w:r>
              <w:rPr>
                <w:noProof/>
                <w:webHidden/>
              </w:rPr>
              <w:t>8</w:t>
            </w:r>
            <w:r>
              <w:rPr>
                <w:noProof/>
                <w:webHidden/>
              </w:rPr>
              <w:fldChar w:fldCharType="end"/>
            </w:r>
          </w:hyperlink>
        </w:p>
        <w:p w14:paraId="63914640" w14:textId="5C6336EB"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4" w:history="1">
            <w:r w:rsidRPr="004453EB">
              <w:rPr>
                <w:rStyle w:val="Hyperlink"/>
                <w:noProof/>
                <w:lang w:val="en-US"/>
              </w:rPr>
              <w:t>Social Factor</w:t>
            </w:r>
            <w:r>
              <w:rPr>
                <w:noProof/>
                <w:webHidden/>
              </w:rPr>
              <w:tab/>
            </w:r>
            <w:r>
              <w:rPr>
                <w:noProof/>
                <w:webHidden/>
              </w:rPr>
              <w:fldChar w:fldCharType="begin"/>
            </w:r>
            <w:r>
              <w:rPr>
                <w:noProof/>
                <w:webHidden/>
              </w:rPr>
              <w:instrText xml:space="preserve"> PAGEREF _Toc217140974 \h </w:instrText>
            </w:r>
            <w:r>
              <w:rPr>
                <w:noProof/>
                <w:webHidden/>
              </w:rPr>
            </w:r>
            <w:r>
              <w:rPr>
                <w:noProof/>
                <w:webHidden/>
              </w:rPr>
              <w:fldChar w:fldCharType="separate"/>
            </w:r>
            <w:r>
              <w:rPr>
                <w:noProof/>
                <w:webHidden/>
              </w:rPr>
              <w:t>8</w:t>
            </w:r>
            <w:r>
              <w:rPr>
                <w:noProof/>
                <w:webHidden/>
              </w:rPr>
              <w:fldChar w:fldCharType="end"/>
            </w:r>
          </w:hyperlink>
        </w:p>
        <w:p w14:paraId="5740FDBC" w14:textId="345833D0"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5" w:history="1">
            <w:r w:rsidRPr="004453EB">
              <w:rPr>
                <w:rStyle w:val="Hyperlink"/>
                <w:noProof/>
                <w:lang w:val="en-US"/>
              </w:rPr>
              <w:t>Technological Factor</w:t>
            </w:r>
            <w:r>
              <w:rPr>
                <w:noProof/>
                <w:webHidden/>
              </w:rPr>
              <w:tab/>
            </w:r>
            <w:r>
              <w:rPr>
                <w:noProof/>
                <w:webHidden/>
              </w:rPr>
              <w:fldChar w:fldCharType="begin"/>
            </w:r>
            <w:r>
              <w:rPr>
                <w:noProof/>
                <w:webHidden/>
              </w:rPr>
              <w:instrText xml:space="preserve"> PAGEREF _Toc217140975 \h </w:instrText>
            </w:r>
            <w:r>
              <w:rPr>
                <w:noProof/>
                <w:webHidden/>
              </w:rPr>
            </w:r>
            <w:r>
              <w:rPr>
                <w:noProof/>
                <w:webHidden/>
              </w:rPr>
              <w:fldChar w:fldCharType="separate"/>
            </w:r>
            <w:r>
              <w:rPr>
                <w:noProof/>
                <w:webHidden/>
              </w:rPr>
              <w:t>9</w:t>
            </w:r>
            <w:r>
              <w:rPr>
                <w:noProof/>
                <w:webHidden/>
              </w:rPr>
              <w:fldChar w:fldCharType="end"/>
            </w:r>
          </w:hyperlink>
        </w:p>
        <w:p w14:paraId="7352F221" w14:textId="4318E71F"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6" w:history="1">
            <w:r w:rsidRPr="004453EB">
              <w:rPr>
                <w:rStyle w:val="Hyperlink"/>
                <w:noProof/>
                <w:lang w:val="en-US"/>
              </w:rPr>
              <w:t>Legal Factor</w:t>
            </w:r>
            <w:r>
              <w:rPr>
                <w:noProof/>
                <w:webHidden/>
              </w:rPr>
              <w:tab/>
            </w:r>
            <w:r>
              <w:rPr>
                <w:noProof/>
                <w:webHidden/>
              </w:rPr>
              <w:fldChar w:fldCharType="begin"/>
            </w:r>
            <w:r>
              <w:rPr>
                <w:noProof/>
                <w:webHidden/>
              </w:rPr>
              <w:instrText xml:space="preserve"> PAGEREF _Toc217140976 \h </w:instrText>
            </w:r>
            <w:r>
              <w:rPr>
                <w:noProof/>
                <w:webHidden/>
              </w:rPr>
            </w:r>
            <w:r>
              <w:rPr>
                <w:noProof/>
                <w:webHidden/>
              </w:rPr>
              <w:fldChar w:fldCharType="separate"/>
            </w:r>
            <w:r>
              <w:rPr>
                <w:noProof/>
                <w:webHidden/>
              </w:rPr>
              <w:t>10</w:t>
            </w:r>
            <w:r>
              <w:rPr>
                <w:noProof/>
                <w:webHidden/>
              </w:rPr>
              <w:fldChar w:fldCharType="end"/>
            </w:r>
          </w:hyperlink>
        </w:p>
        <w:p w14:paraId="501FDE37" w14:textId="72CB9FB6"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7" w:history="1">
            <w:r w:rsidRPr="004453EB">
              <w:rPr>
                <w:rStyle w:val="Hyperlink"/>
                <w:noProof/>
                <w:lang w:val="en-US"/>
              </w:rPr>
              <w:t>Environmental Factor</w:t>
            </w:r>
            <w:r>
              <w:rPr>
                <w:noProof/>
                <w:webHidden/>
              </w:rPr>
              <w:tab/>
            </w:r>
            <w:r>
              <w:rPr>
                <w:noProof/>
                <w:webHidden/>
              </w:rPr>
              <w:fldChar w:fldCharType="begin"/>
            </w:r>
            <w:r>
              <w:rPr>
                <w:noProof/>
                <w:webHidden/>
              </w:rPr>
              <w:instrText xml:space="preserve"> PAGEREF _Toc217140977 \h </w:instrText>
            </w:r>
            <w:r>
              <w:rPr>
                <w:noProof/>
                <w:webHidden/>
              </w:rPr>
            </w:r>
            <w:r>
              <w:rPr>
                <w:noProof/>
                <w:webHidden/>
              </w:rPr>
              <w:fldChar w:fldCharType="separate"/>
            </w:r>
            <w:r>
              <w:rPr>
                <w:noProof/>
                <w:webHidden/>
              </w:rPr>
              <w:t>10</w:t>
            </w:r>
            <w:r>
              <w:rPr>
                <w:noProof/>
                <w:webHidden/>
              </w:rPr>
              <w:fldChar w:fldCharType="end"/>
            </w:r>
          </w:hyperlink>
        </w:p>
        <w:p w14:paraId="719CB221" w14:textId="0750A3EC"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78" w:history="1">
            <w:r w:rsidRPr="004453EB">
              <w:rPr>
                <w:rStyle w:val="Hyperlink"/>
                <w:noProof/>
                <w:lang w:val="en-US"/>
              </w:rPr>
              <w:t>The Industry and Competition – Porter’s Five Forces</w:t>
            </w:r>
            <w:r>
              <w:rPr>
                <w:noProof/>
                <w:webHidden/>
              </w:rPr>
              <w:tab/>
            </w:r>
            <w:r>
              <w:rPr>
                <w:noProof/>
                <w:webHidden/>
              </w:rPr>
              <w:fldChar w:fldCharType="begin"/>
            </w:r>
            <w:r>
              <w:rPr>
                <w:noProof/>
                <w:webHidden/>
              </w:rPr>
              <w:instrText xml:space="preserve"> PAGEREF _Toc217140978 \h </w:instrText>
            </w:r>
            <w:r>
              <w:rPr>
                <w:noProof/>
                <w:webHidden/>
              </w:rPr>
            </w:r>
            <w:r>
              <w:rPr>
                <w:noProof/>
                <w:webHidden/>
              </w:rPr>
              <w:fldChar w:fldCharType="separate"/>
            </w:r>
            <w:r>
              <w:rPr>
                <w:noProof/>
                <w:webHidden/>
              </w:rPr>
              <w:t>11</w:t>
            </w:r>
            <w:r>
              <w:rPr>
                <w:noProof/>
                <w:webHidden/>
              </w:rPr>
              <w:fldChar w:fldCharType="end"/>
            </w:r>
          </w:hyperlink>
        </w:p>
        <w:p w14:paraId="236A8723" w14:textId="7FDDC6A0"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79" w:history="1">
            <w:r w:rsidRPr="004453EB">
              <w:rPr>
                <w:rStyle w:val="Hyperlink"/>
                <w:noProof/>
              </w:rPr>
              <w:t>Competitive Rivalry</w:t>
            </w:r>
            <w:r>
              <w:rPr>
                <w:noProof/>
                <w:webHidden/>
              </w:rPr>
              <w:tab/>
            </w:r>
            <w:r>
              <w:rPr>
                <w:noProof/>
                <w:webHidden/>
              </w:rPr>
              <w:fldChar w:fldCharType="begin"/>
            </w:r>
            <w:r>
              <w:rPr>
                <w:noProof/>
                <w:webHidden/>
              </w:rPr>
              <w:instrText xml:space="preserve"> PAGEREF _Toc217140979 \h </w:instrText>
            </w:r>
            <w:r>
              <w:rPr>
                <w:noProof/>
                <w:webHidden/>
              </w:rPr>
            </w:r>
            <w:r>
              <w:rPr>
                <w:noProof/>
                <w:webHidden/>
              </w:rPr>
              <w:fldChar w:fldCharType="separate"/>
            </w:r>
            <w:r>
              <w:rPr>
                <w:noProof/>
                <w:webHidden/>
              </w:rPr>
              <w:t>11</w:t>
            </w:r>
            <w:r>
              <w:rPr>
                <w:noProof/>
                <w:webHidden/>
              </w:rPr>
              <w:fldChar w:fldCharType="end"/>
            </w:r>
          </w:hyperlink>
        </w:p>
        <w:p w14:paraId="48CF19F6" w14:textId="4D4C2333"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0" w:history="1">
            <w:r w:rsidRPr="004453EB">
              <w:rPr>
                <w:rStyle w:val="Hyperlink"/>
                <w:noProof/>
              </w:rPr>
              <w:t>Threat of New Entrants</w:t>
            </w:r>
            <w:r>
              <w:rPr>
                <w:noProof/>
                <w:webHidden/>
              </w:rPr>
              <w:tab/>
            </w:r>
            <w:r>
              <w:rPr>
                <w:noProof/>
                <w:webHidden/>
              </w:rPr>
              <w:fldChar w:fldCharType="begin"/>
            </w:r>
            <w:r>
              <w:rPr>
                <w:noProof/>
                <w:webHidden/>
              </w:rPr>
              <w:instrText xml:space="preserve"> PAGEREF _Toc217140980 \h </w:instrText>
            </w:r>
            <w:r>
              <w:rPr>
                <w:noProof/>
                <w:webHidden/>
              </w:rPr>
            </w:r>
            <w:r>
              <w:rPr>
                <w:noProof/>
                <w:webHidden/>
              </w:rPr>
              <w:fldChar w:fldCharType="separate"/>
            </w:r>
            <w:r>
              <w:rPr>
                <w:noProof/>
                <w:webHidden/>
              </w:rPr>
              <w:t>11</w:t>
            </w:r>
            <w:r>
              <w:rPr>
                <w:noProof/>
                <w:webHidden/>
              </w:rPr>
              <w:fldChar w:fldCharType="end"/>
            </w:r>
          </w:hyperlink>
        </w:p>
        <w:p w14:paraId="4C23E0D0" w14:textId="7E9D374D"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1" w:history="1">
            <w:r w:rsidRPr="004453EB">
              <w:rPr>
                <w:rStyle w:val="Hyperlink"/>
                <w:noProof/>
              </w:rPr>
              <w:t>Bargaining Power of Suppliers</w:t>
            </w:r>
            <w:r>
              <w:rPr>
                <w:noProof/>
                <w:webHidden/>
              </w:rPr>
              <w:tab/>
            </w:r>
            <w:r>
              <w:rPr>
                <w:noProof/>
                <w:webHidden/>
              </w:rPr>
              <w:fldChar w:fldCharType="begin"/>
            </w:r>
            <w:r>
              <w:rPr>
                <w:noProof/>
                <w:webHidden/>
              </w:rPr>
              <w:instrText xml:space="preserve"> PAGEREF _Toc217140981 \h </w:instrText>
            </w:r>
            <w:r>
              <w:rPr>
                <w:noProof/>
                <w:webHidden/>
              </w:rPr>
            </w:r>
            <w:r>
              <w:rPr>
                <w:noProof/>
                <w:webHidden/>
              </w:rPr>
              <w:fldChar w:fldCharType="separate"/>
            </w:r>
            <w:r>
              <w:rPr>
                <w:noProof/>
                <w:webHidden/>
              </w:rPr>
              <w:t>12</w:t>
            </w:r>
            <w:r>
              <w:rPr>
                <w:noProof/>
                <w:webHidden/>
              </w:rPr>
              <w:fldChar w:fldCharType="end"/>
            </w:r>
          </w:hyperlink>
        </w:p>
        <w:p w14:paraId="17745B5D" w14:textId="1BA75F8C"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2" w:history="1">
            <w:r w:rsidRPr="004453EB">
              <w:rPr>
                <w:rStyle w:val="Hyperlink"/>
                <w:noProof/>
              </w:rPr>
              <w:t>Bargaining Power of Buyers</w:t>
            </w:r>
            <w:r>
              <w:rPr>
                <w:noProof/>
                <w:webHidden/>
              </w:rPr>
              <w:tab/>
            </w:r>
            <w:r>
              <w:rPr>
                <w:noProof/>
                <w:webHidden/>
              </w:rPr>
              <w:fldChar w:fldCharType="begin"/>
            </w:r>
            <w:r>
              <w:rPr>
                <w:noProof/>
                <w:webHidden/>
              </w:rPr>
              <w:instrText xml:space="preserve"> PAGEREF _Toc217140982 \h </w:instrText>
            </w:r>
            <w:r>
              <w:rPr>
                <w:noProof/>
                <w:webHidden/>
              </w:rPr>
            </w:r>
            <w:r>
              <w:rPr>
                <w:noProof/>
                <w:webHidden/>
              </w:rPr>
              <w:fldChar w:fldCharType="separate"/>
            </w:r>
            <w:r>
              <w:rPr>
                <w:noProof/>
                <w:webHidden/>
              </w:rPr>
              <w:t>12</w:t>
            </w:r>
            <w:r>
              <w:rPr>
                <w:noProof/>
                <w:webHidden/>
              </w:rPr>
              <w:fldChar w:fldCharType="end"/>
            </w:r>
          </w:hyperlink>
        </w:p>
        <w:p w14:paraId="65E1C36B" w14:textId="1E0A09AD"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3" w:history="1">
            <w:r w:rsidRPr="004453EB">
              <w:rPr>
                <w:rStyle w:val="Hyperlink"/>
                <w:noProof/>
              </w:rPr>
              <w:t>Threat of Substitutes</w:t>
            </w:r>
            <w:r>
              <w:rPr>
                <w:noProof/>
                <w:webHidden/>
              </w:rPr>
              <w:tab/>
            </w:r>
            <w:r>
              <w:rPr>
                <w:noProof/>
                <w:webHidden/>
              </w:rPr>
              <w:fldChar w:fldCharType="begin"/>
            </w:r>
            <w:r>
              <w:rPr>
                <w:noProof/>
                <w:webHidden/>
              </w:rPr>
              <w:instrText xml:space="preserve"> PAGEREF _Toc217140983 \h </w:instrText>
            </w:r>
            <w:r>
              <w:rPr>
                <w:noProof/>
                <w:webHidden/>
              </w:rPr>
            </w:r>
            <w:r>
              <w:rPr>
                <w:noProof/>
                <w:webHidden/>
              </w:rPr>
              <w:fldChar w:fldCharType="separate"/>
            </w:r>
            <w:r>
              <w:rPr>
                <w:noProof/>
                <w:webHidden/>
              </w:rPr>
              <w:t>12</w:t>
            </w:r>
            <w:r>
              <w:rPr>
                <w:noProof/>
                <w:webHidden/>
              </w:rPr>
              <w:fldChar w:fldCharType="end"/>
            </w:r>
          </w:hyperlink>
        </w:p>
        <w:p w14:paraId="2112C866" w14:textId="6BEB55DA"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84" w:history="1">
            <w:r w:rsidRPr="004453EB">
              <w:rPr>
                <w:rStyle w:val="Hyperlink"/>
                <w:noProof/>
              </w:rPr>
              <w:t>Internal Capabilities &amp; Competitive Advantage – VRIO</w:t>
            </w:r>
            <w:r>
              <w:rPr>
                <w:noProof/>
                <w:webHidden/>
              </w:rPr>
              <w:tab/>
            </w:r>
            <w:r>
              <w:rPr>
                <w:noProof/>
                <w:webHidden/>
              </w:rPr>
              <w:fldChar w:fldCharType="begin"/>
            </w:r>
            <w:r>
              <w:rPr>
                <w:noProof/>
                <w:webHidden/>
              </w:rPr>
              <w:instrText xml:space="preserve"> PAGEREF _Toc217140984 \h </w:instrText>
            </w:r>
            <w:r>
              <w:rPr>
                <w:noProof/>
                <w:webHidden/>
              </w:rPr>
            </w:r>
            <w:r>
              <w:rPr>
                <w:noProof/>
                <w:webHidden/>
              </w:rPr>
              <w:fldChar w:fldCharType="separate"/>
            </w:r>
            <w:r>
              <w:rPr>
                <w:noProof/>
                <w:webHidden/>
              </w:rPr>
              <w:t>13</w:t>
            </w:r>
            <w:r>
              <w:rPr>
                <w:noProof/>
                <w:webHidden/>
              </w:rPr>
              <w:fldChar w:fldCharType="end"/>
            </w:r>
          </w:hyperlink>
        </w:p>
        <w:p w14:paraId="689EB370" w14:textId="262ED2A5"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5" w:history="1">
            <w:r w:rsidRPr="004453EB">
              <w:rPr>
                <w:rStyle w:val="Hyperlink"/>
                <w:noProof/>
              </w:rPr>
              <w:t>Brand Reputation (Valuable, Rare, Inimitable, Organised)</w:t>
            </w:r>
            <w:r>
              <w:rPr>
                <w:noProof/>
                <w:webHidden/>
              </w:rPr>
              <w:tab/>
            </w:r>
            <w:r>
              <w:rPr>
                <w:noProof/>
                <w:webHidden/>
              </w:rPr>
              <w:fldChar w:fldCharType="begin"/>
            </w:r>
            <w:r>
              <w:rPr>
                <w:noProof/>
                <w:webHidden/>
              </w:rPr>
              <w:instrText xml:space="preserve"> PAGEREF _Toc217140985 \h </w:instrText>
            </w:r>
            <w:r>
              <w:rPr>
                <w:noProof/>
                <w:webHidden/>
              </w:rPr>
            </w:r>
            <w:r>
              <w:rPr>
                <w:noProof/>
                <w:webHidden/>
              </w:rPr>
              <w:fldChar w:fldCharType="separate"/>
            </w:r>
            <w:r>
              <w:rPr>
                <w:noProof/>
                <w:webHidden/>
              </w:rPr>
              <w:t>13</w:t>
            </w:r>
            <w:r>
              <w:rPr>
                <w:noProof/>
                <w:webHidden/>
              </w:rPr>
              <w:fldChar w:fldCharType="end"/>
            </w:r>
          </w:hyperlink>
        </w:p>
        <w:p w14:paraId="2B56CD58" w14:textId="447BBE52"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6" w:history="1">
            <w:r w:rsidRPr="004453EB">
              <w:rPr>
                <w:rStyle w:val="Hyperlink"/>
                <w:noProof/>
                <w:lang w:val="en-US"/>
              </w:rPr>
              <w:t>Supply Chain Strength (Valuable, Common, Inimitable, Organized)</w:t>
            </w:r>
            <w:r>
              <w:rPr>
                <w:noProof/>
                <w:webHidden/>
              </w:rPr>
              <w:tab/>
            </w:r>
            <w:r>
              <w:rPr>
                <w:noProof/>
                <w:webHidden/>
              </w:rPr>
              <w:fldChar w:fldCharType="begin"/>
            </w:r>
            <w:r>
              <w:rPr>
                <w:noProof/>
                <w:webHidden/>
              </w:rPr>
              <w:instrText xml:space="preserve"> PAGEREF _Toc217140986 \h </w:instrText>
            </w:r>
            <w:r>
              <w:rPr>
                <w:noProof/>
                <w:webHidden/>
              </w:rPr>
            </w:r>
            <w:r>
              <w:rPr>
                <w:noProof/>
                <w:webHidden/>
              </w:rPr>
              <w:fldChar w:fldCharType="separate"/>
            </w:r>
            <w:r>
              <w:rPr>
                <w:noProof/>
                <w:webHidden/>
              </w:rPr>
              <w:t>14</w:t>
            </w:r>
            <w:r>
              <w:rPr>
                <w:noProof/>
                <w:webHidden/>
              </w:rPr>
              <w:fldChar w:fldCharType="end"/>
            </w:r>
          </w:hyperlink>
        </w:p>
        <w:p w14:paraId="3C1073E6" w14:textId="11990F25"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7" w:history="1">
            <w:r w:rsidRPr="004453EB">
              <w:rPr>
                <w:rStyle w:val="Hyperlink"/>
                <w:noProof/>
                <w:lang w:val="en-US"/>
              </w:rPr>
              <w:t>Private Label Capability (Valuable, Rare, Inimitable, Organized)</w:t>
            </w:r>
            <w:r>
              <w:rPr>
                <w:noProof/>
                <w:webHidden/>
              </w:rPr>
              <w:tab/>
            </w:r>
            <w:r>
              <w:rPr>
                <w:noProof/>
                <w:webHidden/>
              </w:rPr>
              <w:fldChar w:fldCharType="begin"/>
            </w:r>
            <w:r>
              <w:rPr>
                <w:noProof/>
                <w:webHidden/>
              </w:rPr>
              <w:instrText xml:space="preserve"> PAGEREF _Toc217140987 \h </w:instrText>
            </w:r>
            <w:r>
              <w:rPr>
                <w:noProof/>
                <w:webHidden/>
              </w:rPr>
            </w:r>
            <w:r>
              <w:rPr>
                <w:noProof/>
                <w:webHidden/>
              </w:rPr>
              <w:fldChar w:fldCharType="separate"/>
            </w:r>
            <w:r>
              <w:rPr>
                <w:noProof/>
                <w:webHidden/>
              </w:rPr>
              <w:t>14</w:t>
            </w:r>
            <w:r>
              <w:rPr>
                <w:noProof/>
                <w:webHidden/>
              </w:rPr>
              <w:fldChar w:fldCharType="end"/>
            </w:r>
          </w:hyperlink>
        </w:p>
        <w:p w14:paraId="5E3B0A9B" w14:textId="2A274051"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8" w:history="1">
            <w:r w:rsidRPr="004453EB">
              <w:rPr>
                <w:rStyle w:val="Hyperlink"/>
                <w:noProof/>
                <w:lang w:val="en-US"/>
              </w:rPr>
              <w:t>Omnichannel Integration (Valuable, Common, Organized)</w:t>
            </w:r>
            <w:r>
              <w:rPr>
                <w:noProof/>
                <w:webHidden/>
              </w:rPr>
              <w:tab/>
            </w:r>
            <w:r>
              <w:rPr>
                <w:noProof/>
                <w:webHidden/>
              </w:rPr>
              <w:fldChar w:fldCharType="begin"/>
            </w:r>
            <w:r>
              <w:rPr>
                <w:noProof/>
                <w:webHidden/>
              </w:rPr>
              <w:instrText xml:space="preserve"> PAGEREF _Toc217140988 \h </w:instrText>
            </w:r>
            <w:r>
              <w:rPr>
                <w:noProof/>
                <w:webHidden/>
              </w:rPr>
            </w:r>
            <w:r>
              <w:rPr>
                <w:noProof/>
                <w:webHidden/>
              </w:rPr>
              <w:fldChar w:fldCharType="separate"/>
            </w:r>
            <w:r>
              <w:rPr>
                <w:noProof/>
                <w:webHidden/>
              </w:rPr>
              <w:t>14</w:t>
            </w:r>
            <w:r>
              <w:rPr>
                <w:noProof/>
                <w:webHidden/>
              </w:rPr>
              <w:fldChar w:fldCharType="end"/>
            </w:r>
          </w:hyperlink>
        </w:p>
        <w:p w14:paraId="1A12C429" w14:textId="7B73EF40"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89" w:history="1">
            <w:r w:rsidRPr="004453EB">
              <w:rPr>
                <w:rStyle w:val="Hyperlink"/>
                <w:noProof/>
                <w:lang w:val="en-US"/>
              </w:rPr>
              <w:t>Operational Efficiency and Store Management (Valuable, Common, Organized)</w:t>
            </w:r>
            <w:r>
              <w:rPr>
                <w:noProof/>
                <w:webHidden/>
              </w:rPr>
              <w:tab/>
            </w:r>
            <w:r>
              <w:rPr>
                <w:noProof/>
                <w:webHidden/>
              </w:rPr>
              <w:fldChar w:fldCharType="begin"/>
            </w:r>
            <w:r>
              <w:rPr>
                <w:noProof/>
                <w:webHidden/>
              </w:rPr>
              <w:instrText xml:space="preserve"> PAGEREF _Toc217140989 \h </w:instrText>
            </w:r>
            <w:r>
              <w:rPr>
                <w:noProof/>
                <w:webHidden/>
              </w:rPr>
            </w:r>
            <w:r>
              <w:rPr>
                <w:noProof/>
                <w:webHidden/>
              </w:rPr>
              <w:fldChar w:fldCharType="separate"/>
            </w:r>
            <w:r>
              <w:rPr>
                <w:noProof/>
                <w:webHidden/>
              </w:rPr>
              <w:t>15</w:t>
            </w:r>
            <w:r>
              <w:rPr>
                <w:noProof/>
                <w:webHidden/>
              </w:rPr>
              <w:fldChar w:fldCharType="end"/>
            </w:r>
          </w:hyperlink>
        </w:p>
        <w:p w14:paraId="5CFC294B" w14:textId="246D27EC"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90" w:history="1">
            <w:r w:rsidRPr="004453EB">
              <w:rPr>
                <w:rStyle w:val="Hyperlink"/>
                <w:noProof/>
                <w:lang w:val="en-US"/>
              </w:rPr>
              <w:t>Porter’s Diamond Model</w:t>
            </w:r>
            <w:r>
              <w:rPr>
                <w:noProof/>
                <w:webHidden/>
              </w:rPr>
              <w:tab/>
            </w:r>
            <w:r>
              <w:rPr>
                <w:noProof/>
                <w:webHidden/>
              </w:rPr>
              <w:fldChar w:fldCharType="begin"/>
            </w:r>
            <w:r>
              <w:rPr>
                <w:noProof/>
                <w:webHidden/>
              </w:rPr>
              <w:instrText xml:space="preserve"> PAGEREF _Toc217140990 \h </w:instrText>
            </w:r>
            <w:r>
              <w:rPr>
                <w:noProof/>
                <w:webHidden/>
              </w:rPr>
            </w:r>
            <w:r>
              <w:rPr>
                <w:noProof/>
                <w:webHidden/>
              </w:rPr>
              <w:fldChar w:fldCharType="separate"/>
            </w:r>
            <w:r>
              <w:rPr>
                <w:noProof/>
                <w:webHidden/>
              </w:rPr>
              <w:t>15</w:t>
            </w:r>
            <w:r>
              <w:rPr>
                <w:noProof/>
                <w:webHidden/>
              </w:rPr>
              <w:fldChar w:fldCharType="end"/>
            </w:r>
          </w:hyperlink>
        </w:p>
        <w:p w14:paraId="50C8F843" w14:textId="69D42FA7"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1" w:history="1">
            <w:r w:rsidRPr="004453EB">
              <w:rPr>
                <w:rStyle w:val="Hyperlink"/>
                <w:noProof/>
                <w:lang w:val="en-US"/>
              </w:rPr>
              <w:t>Factor Conditions</w:t>
            </w:r>
            <w:r>
              <w:rPr>
                <w:noProof/>
                <w:webHidden/>
              </w:rPr>
              <w:tab/>
            </w:r>
            <w:r>
              <w:rPr>
                <w:noProof/>
                <w:webHidden/>
              </w:rPr>
              <w:fldChar w:fldCharType="begin"/>
            </w:r>
            <w:r>
              <w:rPr>
                <w:noProof/>
                <w:webHidden/>
              </w:rPr>
              <w:instrText xml:space="preserve"> PAGEREF _Toc217140991 \h </w:instrText>
            </w:r>
            <w:r>
              <w:rPr>
                <w:noProof/>
                <w:webHidden/>
              </w:rPr>
            </w:r>
            <w:r>
              <w:rPr>
                <w:noProof/>
                <w:webHidden/>
              </w:rPr>
              <w:fldChar w:fldCharType="separate"/>
            </w:r>
            <w:r>
              <w:rPr>
                <w:noProof/>
                <w:webHidden/>
              </w:rPr>
              <w:t>16</w:t>
            </w:r>
            <w:r>
              <w:rPr>
                <w:noProof/>
                <w:webHidden/>
              </w:rPr>
              <w:fldChar w:fldCharType="end"/>
            </w:r>
          </w:hyperlink>
        </w:p>
        <w:p w14:paraId="48E91042" w14:textId="6A9EC3A8"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2" w:history="1">
            <w:r w:rsidRPr="004453EB">
              <w:rPr>
                <w:rStyle w:val="Hyperlink"/>
                <w:noProof/>
                <w:lang w:val="en-US"/>
              </w:rPr>
              <w:t>Demand Conditions</w:t>
            </w:r>
            <w:r>
              <w:rPr>
                <w:noProof/>
                <w:webHidden/>
              </w:rPr>
              <w:tab/>
            </w:r>
            <w:r>
              <w:rPr>
                <w:noProof/>
                <w:webHidden/>
              </w:rPr>
              <w:fldChar w:fldCharType="begin"/>
            </w:r>
            <w:r>
              <w:rPr>
                <w:noProof/>
                <w:webHidden/>
              </w:rPr>
              <w:instrText xml:space="preserve"> PAGEREF _Toc217140992 \h </w:instrText>
            </w:r>
            <w:r>
              <w:rPr>
                <w:noProof/>
                <w:webHidden/>
              </w:rPr>
            </w:r>
            <w:r>
              <w:rPr>
                <w:noProof/>
                <w:webHidden/>
              </w:rPr>
              <w:fldChar w:fldCharType="separate"/>
            </w:r>
            <w:r>
              <w:rPr>
                <w:noProof/>
                <w:webHidden/>
              </w:rPr>
              <w:t>16</w:t>
            </w:r>
            <w:r>
              <w:rPr>
                <w:noProof/>
                <w:webHidden/>
              </w:rPr>
              <w:fldChar w:fldCharType="end"/>
            </w:r>
          </w:hyperlink>
        </w:p>
        <w:p w14:paraId="30219FBA" w14:textId="0BCA68C6"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3" w:history="1">
            <w:r w:rsidRPr="004453EB">
              <w:rPr>
                <w:rStyle w:val="Hyperlink"/>
                <w:noProof/>
                <w:lang w:val="en-US"/>
              </w:rPr>
              <w:t>Related and Supporting Industries</w:t>
            </w:r>
            <w:r>
              <w:rPr>
                <w:noProof/>
                <w:webHidden/>
              </w:rPr>
              <w:tab/>
            </w:r>
            <w:r>
              <w:rPr>
                <w:noProof/>
                <w:webHidden/>
              </w:rPr>
              <w:fldChar w:fldCharType="begin"/>
            </w:r>
            <w:r>
              <w:rPr>
                <w:noProof/>
                <w:webHidden/>
              </w:rPr>
              <w:instrText xml:space="preserve"> PAGEREF _Toc217140993 \h </w:instrText>
            </w:r>
            <w:r>
              <w:rPr>
                <w:noProof/>
                <w:webHidden/>
              </w:rPr>
            </w:r>
            <w:r>
              <w:rPr>
                <w:noProof/>
                <w:webHidden/>
              </w:rPr>
              <w:fldChar w:fldCharType="separate"/>
            </w:r>
            <w:r>
              <w:rPr>
                <w:noProof/>
                <w:webHidden/>
              </w:rPr>
              <w:t>16</w:t>
            </w:r>
            <w:r>
              <w:rPr>
                <w:noProof/>
                <w:webHidden/>
              </w:rPr>
              <w:fldChar w:fldCharType="end"/>
            </w:r>
          </w:hyperlink>
        </w:p>
        <w:p w14:paraId="14F95DB1" w14:textId="0E905876"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4" w:history="1">
            <w:r w:rsidRPr="004453EB">
              <w:rPr>
                <w:rStyle w:val="Hyperlink"/>
                <w:noProof/>
                <w:lang w:val="en-US"/>
              </w:rPr>
              <w:t>Firm Strategy, Structure and Rivalry</w:t>
            </w:r>
            <w:r>
              <w:rPr>
                <w:noProof/>
                <w:webHidden/>
              </w:rPr>
              <w:tab/>
            </w:r>
            <w:r>
              <w:rPr>
                <w:noProof/>
                <w:webHidden/>
              </w:rPr>
              <w:fldChar w:fldCharType="begin"/>
            </w:r>
            <w:r>
              <w:rPr>
                <w:noProof/>
                <w:webHidden/>
              </w:rPr>
              <w:instrText xml:space="preserve"> PAGEREF _Toc217140994 \h </w:instrText>
            </w:r>
            <w:r>
              <w:rPr>
                <w:noProof/>
                <w:webHidden/>
              </w:rPr>
            </w:r>
            <w:r>
              <w:rPr>
                <w:noProof/>
                <w:webHidden/>
              </w:rPr>
              <w:fldChar w:fldCharType="separate"/>
            </w:r>
            <w:r>
              <w:rPr>
                <w:noProof/>
                <w:webHidden/>
              </w:rPr>
              <w:t>16</w:t>
            </w:r>
            <w:r>
              <w:rPr>
                <w:noProof/>
                <w:webHidden/>
              </w:rPr>
              <w:fldChar w:fldCharType="end"/>
            </w:r>
          </w:hyperlink>
        </w:p>
        <w:p w14:paraId="3D8C0ED7" w14:textId="22471943"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5" w:history="1">
            <w:r w:rsidRPr="004453EB">
              <w:rPr>
                <w:rStyle w:val="Hyperlink"/>
                <w:noProof/>
                <w:lang w:val="en-US"/>
              </w:rPr>
              <w:t>Government</w:t>
            </w:r>
            <w:r>
              <w:rPr>
                <w:noProof/>
                <w:webHidden/>
              </w:rPr>
              <w:tab/>
            </w:r>
            <w:r>
              <w:rPr>
                <w:noProof/>
                <w:webHidden/>
              </w:rPr>
              <w:fldChar w:fldCharType="begin"/>
            </w:r>
            <w:r>
              <w:rPr>
                <w:noProof/>
                <w:webHidden/>
              </w:rPr>
              <w:instrText xml:space="preserve"> PAGEREF _Toc217140995 \h </w:instrText>
            </w:r>
            <w:r>
              <w:rPr>
                <w:noProof/>
                <w:webHidden/>
              </w:rPr>
            </w:r>
            <w:r>
              <w:rPr>
                <w:noProof/>
                <w:webHidden/>
              </w:rPr>
              <w:fldChar w:fldCharType="separate"/>
            </w:r>
            <w:r>
              <w:rPr>
                <w:noProof/>
                <w:webHidden/>
              </w:rPr>
              <w:t>17</w:t>
            </w:r>
            <w:r>
              <w:rPr>
                <w:noProof/>
                <w:webHidden/>
              </w:rPr>
              <w:fldChar w:fldCharType="end"/>
            </w:r>
          </w:hyperlink>
        </w:p>
        <w:p w14:paraId="41222925" w14:textId="6131A8AE"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0996" w:history="1">
            <w:r w:rsidRPr="004453EB">
              <w:rPr>
                <w:rStyle w:val="Hyperlink"/>
                <w:noProof/>
                <w:lang w:val="en-US"/>
              </w:rPr>
              <w:t>Chance</w:t>
            </w:r>
            <w:r>
              <w:rPr>
                <w:noProof/>
                <w:webHidden/>
              </w:rPr>
              <w:tab/>
            </w:r>
            <w:r>
              <w:rPr>
                <w:noProof/>
                <w:webHidden/>
              </w:rPr>
              <w:fldChar w:fldCharType="begin"/>
            </w:r>
            <w:r>
              <w:rPr>
                <w:noProof/>
                <w:webHidden/>
              </w:rPr>
              <w:instrText xml:space="preserve"> PAGEREF _Toc217140996 \h </w:instrText>
            </w:r>
            <w:r>
              <w:rPr>
                <w:noProof/>
                <w:webHidden/>
              </w:rPr>
            </w:r>
            <w:r>
              <w:rPr>
                <w:noProof/>
                <w:webHidden/>
              </w:rPr>
              <w:fldChar w:fldCharType="separate"/>
            </w:r>
            <w:r>
              <w:rPr>
                <w:noProof/>
                <w:webHidden/>
              </w:rPr>
              <w:t>17</w:t>
            </w:r>
            <w:r>
              <w:rPr>
                <w:noProof/>
                <w:webHidden/>
              </w:rPr>
              <w:fldChar w:fldCharType="end"/>
            </w:r>
          </w:hyperlink>
        </w:p>
        <w:p w14:paraId="56913E84" w14:textId="159B8964"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97" w:history="1">
            <w:r w:rsidRPr="004453EB">
              <w:rPr>
                <w:rStyle w:val="Hyperlink"/>
                <w:noProof/>
              </w:rPr>
              <w:t>Critical Evaluation of Strategic Frameworks</w:t>
            </w:r>
            <w:r>
              <w:rPr>
                <w:noProof/>
                <w:webHidden/>
              </w:rPr>
              <w:tab/>
            </w:r>
            <w:r>
              <w:rPr>
                <w:noProof/>
                <w:webHidden/>
              </w:rPr>
              <w:fldChar w:fldCharType="begin"/>
            </w:r>
            <w:r>
              <w:rPr>
                <w:noProof/>
                <w:webHidden/>
              </w:rPr>
              <w:instrText xml:space="preserve"> PAGEREF _Toc217140997 \h </w:instrText>
            </w:r>
            <w:r>
              <w:rPr>
                <w:noProof/>
                <w:webHidden/>
              </w:rPr>
            </w:r>
            <w:r>
              <w:rPr>
                <w:noProof/>
                <w:webHidden/>
              </w:rPr>
              <w:fldChar w:fldCharType="separate"/>
            </w:r>
            <w:r>
              <w:rPr>
                <w:noProof/>
                <w:webHidden/>
              </w:rPr>
              <w:t>17</w:t>
            </w:r>
            <w:r>
              <w:rPr>
                <w:noProof/>
                <w:webHidden/>
              </w:rPr>
              <w:fldChar w:fldCharType="end"/>
            </w:r>
          </w:hyperlink>
        </w:p>
        <w:p w14:paraId="1D183222" w14:textId="134C8AF1" w:rsidR="002C00DF" w:rsidRDefault="002C00DF">
          <w:pPr>
            <w:pStyle w:val="TOC1"/>
            <w:tabs>
              <w:tab w:val="right" w:leader="dot" w:pos="9016"/>
            </w:tabs>
            <w:rPr>
              <w:rFonts w:asciiTheme="minorHAnsi" w:eastAsiaTheme="minorEastAsia" w:hAnsiTheme="minorHAnsi"/>
              <w:bCs w:val="0"/>
              <w:iCs w:val="0"/>
              <w:noProof/>
              <w:color w:val="auto"/>
              <w:lang w:val="en-US"/>
            </w:rPr>
          </w:pPr>
          <w:hyperlink w:anchor="_Toc217140998" w:history="1">
            <w:r w:rsidRPr="004453EB">
              <w:rPr>
                <w:rStyle w:val="Hyperlink"/>
                <w:noProof/>
                <w:lang w:val="en-US"/>
              </w:rPr>
              <w:t>Strategy Formulation for Market Entry</w:t>
            </w:r>
            <w:r>
              <w:rPr>
                <w:noProof/>
                <w:webHidden/>
              </w:rPr>
              <w:tab/>
            </w:r>
            <w:r>
              <w:rPr>
                <w:noProof/>
                <w:webHidden/>
              </w:rPr>
              <w:fldChar w:fldCharType="begin"/>
            </w:r>
            <w:r>
              <w:rPr>
                <w:noProof/>
                <w:webHidden/>
              </w:rPr>
              <w:instrText xml:space="preserve"> PAGEREF _Toc217140998 \h </w:instrText>
            </w:r>
            <w:r>
              <w:rPr>
                <w:noProof/>
                <w:webHidden/>
              </w:rPr>
            </w:r>
            <w:r>
              <w:rPr>
                <w:noProof/>
                <w:webHidden/>
              </w:rPr>
              <w:fldChar w:fldCharType="separate"/>
            </w:r>
            <w:r>
              <w:rPr>
                <w:noProof/>
                <w:webHidden/>
              </w:rPr>
              <w:t>18</w:t>
            </w:r>
            <w:r>
              <w:rPr>
                <w:noProof/>
                <w:webHidden/>
              </w:rPr>
              <w:fldChar w:fldCharType="end"/>
            </w:r>
          </w:hyperlink>
        </w:p>
        <w:p w14:paraId="44481692" w14:textId="5A03A2A1"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0999" w:history="1">
            <w:r w:rsidRPr="004453EB">
              <w:rPr>
                <w:rStyle w:val="Hyperlink"/>
                <w:noProof/>
              </w:rPr>
              <w:t>Market Entry Mode Strategy and Implementation</w:t>
            </w:r>
            <w:r>
              <w:rPr>
                <w:noProof/>
                <w:webHidden/>
              </w:rPr>
              <w:tab/>
            </w:r>
            <w:r>
              <w:rPr>
                <w:noProof/>
                <w:webHidden/>
              </w:rPr>
              <w:fldChar w:fldCharType="begin"/>
            </w:r>
            <w:r>
              <w:rPr>
                <w:noProof/>
                <w:webHidden/>
              </w:rPr>
              <w:instrText xml:space="preserve"> PAGEREF _Toc217140999 \h </w:instrText>
            </w:r>
            <w:r>
              <w:rPr>
                <w:noProof/>
                <w:webHidden/>
              </w:rPr>
            </w:r>
            <w:r>
              <w:rPr>
                <w:noProof/>
                <w:webHidden/>
              </w:rPr>
              <w:fldChar w:fldCharType="separate"/>
            </w:r>
            <w:r>
              <w:rPr>
                <w:noProof/>
                <w:webHidden/>
              </w:rPr>
              <w:t>19</w:t>
            </w:r>
            <w:r>
              <w:rPr>
                <w:noProof/>
                <w:webHidden/>
              </w:rPr>
              <w:fldChar w:fldCharType="end"/>
            </w:r>
          </w:hyperlink>
        </w:p>
        <w:p w14:paraId="1C96BF2D" w14:textId="2D327689"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0" w:history="1">
            <w:r w:rsidRPr="004453EB">
              <w:rPr>
                <w:rStyle w:val="Hyperlink"/>
                <w:noProof/>
              </w:rPr>
              <w:t>Critical Assessment of Alternative Market Entry Modes</w:t>
            </w:r>
            <w:r>
              <w:rPr>
                <w:noProof/>
                <w:webHidden/>
              </w:rPr>
              <w:tab/>
            </w:r>
            <w:r>
              <w:rPr>
                <w:noProof/>
                <w:webHidden/>
              </w:rPr>
              <w:fldChar w:fldCharType="begin"/>
            </w:r>
            <w:r>
              <w:rPr>
                <w:noProof/>
                <w:webHidden/>
              </w:rPr>
              <w:instrText xml:space="preserve"> PAGEREF _Toc217141000 \h </w:instrText>
            </w:r>
            <w:r>
              <w:rPr>
                <w:noProof/>
                <w:webHidden/>
              </w:rPr>
            </w:r>
            <w:r>
              <w:rPr>
                <w:noProof/>
                <w:webHidden/>
              </w:rPr>
              <w:fldChar w:fldCharType="separate"/>
            </w:r>
            <w:r>
              <w:rPr>
                <w:noProof/>
                <w:webHidden/>
              </w:rPr>
              <w:t>19</w:t>
            </w:r>
            <w:r>
              <w:rPr>
                <w:noProof/>
                <w:webHidden/>
              </w:rPr>
              <w:fldChar w:fldCharType="end"/>
            </w:r>
          </w:hyperlink>
        </w:p>
        <w:p w14:paraId="5E30D68C" w14:textId="2FFFF105"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1" w:history="1">
            <w:r w:rsidRPr="004453EB">
              <w:rPr>
                <w:rStyle w:val="Hyperlink"/>
                <w:noProof/>
              </w:rPr>
              <w:t>Competitive Strategy and Positioning</w:t>
            </w:r>
            <w:r>
              <w:rPr>
                <w:noProof/>
                <w:webHidden/>
              </w:rPr>
              <w:tab/>
            </w:r>
            <w:r>
              <w:rPr>
                <w:noProof/>
                <w:webHidden/>
              </w:rPr>
              <w:fldChar w:fldCharType="begin"/>
            </w:r>
            <w:r>
              <w:rPr>
                <w:noProof/>
                <w:webHidden/>
              </w:rPr>
              <w:instrText xml:space="preserve"> PAGEREF _Toc217141001 \h </w:instrText>
            </w:r>
            <w:r>
              <w:rPr>
                <w:noProof/>
                <w:webHidden/>
              </w:rPr>
            </w:r>
            <w:r>
              <w:rPr>
                <w:noProof/>
                <w:webHidden/>
              </w:rPr>
              <w:fldChar w:fldCharType="separate"/>
            </w:r>
            <w:r>
              <w:rPr>
                <w:noProof/>
                <w:webHidden/>
              </w:rPr>
              <w:t>20</w:t>
            </w:r>
            <w:r>
              <w:rPr>
                <w:noProof/>
                <w:webHidden/>
              </w:rPr>
              <w:fldChar w:fldCharType="end"/>
            </w:r>
          </w:hyperlink>
        </w:p>
        <w:p w14:paraId="12A3915A" w14:textId="678B4E41"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2" w:history="1">
            <w:r w:rsidRPr="004453EB">
              <w:rPr>
                <w:rStyle w:val="Hyperlink"/>
                <w:noProof/>
              </w:rPr>
              <w:t>Growth Strategy (Ansoff Matrix + BCG Matrix)</w:t>
            </w:r>
            <w:r>
              <w:rPr>
                <w:noProof/>
                <w:webHidden/>
              </w:rPr>
              <w:tab/>
            </w:r>
            <w:r>
              <w:rPr>
                <w:noProof/>
                <w:webHidden/>
              </w:rPr>
              <w:fldChar w:fldCharType="begin"/>
            </w:r>
            <w:r>
              <w:rPr>
                <w:noProof/>
                <w:webHidden/>
              </w:rPr>
              <w:instrText xml:space="preserve"> PAGEREF _Toc217141002 \h </w:instrText>
            </w:r>
            <w:r>
              <w:rPr>
                <w:noProof/>
                <w:webHidden/>
              </w:rPr>
            </w:r>
            <w:r>
              <w:rPr>
                <w:noProof/>
                <w:webHidden/>
              </w:rPr>
              <w:fldChar w:fldCharType="separate"/>
            </w:r>
            <w:r>
              <w:rPr>
                <w:noProof/>
                <w:webHidden/>
              </w:rPr>
              <w:t>21</w:t>
            </w:r>
            <w:r>
              <w:rPr>
                <w:noProof/>
                <w:webHidden/>
              </w:rPr>
              <w:fldChar w:fldCharType="end"/>
            </w:r>
          </w:hyperlink>
        </w:p>
        <w:p w14:paraId="280BF107" w14:textId="254B7A73"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1003" w:history="1">
            <w:r w:rsidRPr="004453EB">
              <w:rPr>
                <w:rStyle w:val="Hyperlink"/>
                <w:noProof/>
              </w:rPr>
              <w:t>Ansoff Matrix</w:t>
            </w:r>
            <w:r>
              <w:rPr>
                <w:noProof/>
                <w:webHidden/>
              </w:rPr>
              <w:tab/>
            </w:r>
            <w:r>
              <w:rPr>
                <w:noProof/>
                <w:webHidden/>
              </w:rPr>
              <w:fldChar w:fldCharType="begin"/>
            </w:r>
            <w:r>
              <w:rPr>
                <w:noProof/>
                <w:webHidden/>
              </w:rPr>
              <w:instrText xml:space="preserve"> PAGEREF _Toc217141003 \h </w:instrText>
            </w:r>
            <w:r>
              <w:rPr>
                <w:noProof/>
                <w:webHidden/>
              </w:rPr>
            </w:r>
            <w:r>
              <w:rPr>
                <w:noProof/>
                <w:webHidden/>
              </w:rPr>
              <w:fldChar w:fldCharType="separate"/>
            </w:r>
            <w:r>
              <w:rPr>
                <w:noProof/>
                <w:webHidden/>
              </w:rPr>
              <w:t>21</w:t>
            </w:r>
            <w:r>
              <w:rPr>
                <w:noProof/>
                <w:webHidden/>
              </w:rPr>
              <w:fldChar w:fldCharType="end"/>
            </w:r>
          </w:hyperlink>
        </w:p>
        <w:p w14:paraId="6D2A7062" w14:textId="71FDFBA8" w:rsidR="002C00DF" w:rsidRDefault="002C00DF">
          <w:pPr>
            <w:pStyle w:val="TOC3"/>
            <w:tabs>
              <w:tab w:val="right" w:leader="dot" w:pos="9016"/>
            </w:tabs>
            <w:rPr>
              <w:rFonts w:asciiTheme="minorHAnsi" w:eastAsiaTheme="minorEastAsia" w:hAnsiTheme="minorHAnsi"/>
              <w:noProof/>
              <w:color w:val="auto"/>
              <w:szCs w:val="24"/>
              <w:lang w:val="en-US"/>
            </w:rPr>
          </w:pPr>
          <w:hyperlink w:anchor="_Toc217141004" w:history="1">
            <w:r w:rsidRPr="004453EB">
              <w:rPr>
                <w:rStyle w:val="Hyperlink"/>
                <w:noProof/>
              </w:rPr>
              <w:t>BCG Matrix</w:t>
            </w:r>
            <w:r>
              <w:rPr>
                <w:noProof/>
                <w:webHidden/>
              </w:rPr>
              <w:tab/>
            </w:r>
            <w:r>
              <w:rPr>
                <w:noProof/>
                <w:webHidden/>
              </w:rPr>
              <w:fldChar w:fldCharType="begin"/>
            </w:r>
            <w:r>
              <w:rPr>
                <w:noProof/>
                <w:webHidden/>
              </w:rPr>
              <w:instrText xml:space="preserve"> PAGEREF _Toc217141004 \h </w:instrText>
            </w:r>
            <w:r>
              <w:rPr>
                <w:noProof/>
                <w:webHidden/>
              </w:rPr>
            </w:r>
            <w:r>
              <w:rPr>
                <w:noProof/>
                <w:webHidden/>
              </w:rPr>
              <w:fldChar w:fldCharType="separate"/>
            </w:r>
            <w:r>
              <w:rPr>
                <w:noProof/>
                <w:webHidden/>
              </w:rPr>
              <w:t>23</w:t>
            </w:r>
            <w:r>
              <w:rPr>
                <w:noProof/>
                <w:webHidden/>
              </w:rPr>
              <w:fldChar w:fldCharType="end"/>
            </w:r>
          </w:hyperlink>
        </w:p>
        <w:p w14:paraId="10264D73" w14:textId="680B162F"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5" w:history="1">
            <w:r w:rsidRPr="004453EB">
              <w:rPr>
                <w:rStyle w:val="Hyperlink"/>
                <w:noProof/>
              </w:rPr>
              <w:t>Strategic Implications</w:t>
            </w:r>
            <w:r>
              <w:rPr>
                <w:noProof/>
                <w:webHidden/>
              </w:rPr>
              <w:tab/>
            </w:r>
            <w:r>
              <w:rPr>
                <w:noProof/>
                <w:webHidden/>
              </w:rPr>
              <w:fldChar w:fldCharType="begin"/>
            </w:r>
            <w:r>
              <w:rPr>
                <w:noProof/>
                <w:webHidden/>
              </w:rPr>
              <w:instrText xml:space="preserve"> PAGEREF _Toc217141005 \h </w:instrText>
            </w:r>
            <w:r>
              <w:rPr>
                <w:noProof/>
                <w:webHidden/>
              </w:rPr>
            </w:r>
            <w:r>
              <w:rPr>
                <w:noProof/>
                <w:webHidden/>
              </w:rPr>
              <w:fldChar w:fldCharType="separate"/>
            </w:r>
            <w:r>
              <w:rPr>
                <w:noProof/>
                <w:webHidden/>
              </w:rPr>
              <w:t>24</w:t>
            </w:r>
            <w:r>
              <w:rPr>
                <w:noProof/>
                <w:webHidden/>
              </w:rPr>
              <w:fldChar w:fldCharType="end"/>
            </w:r>
          </w:hyperlink>
        </w:p>
        <w:p w14:paraId="2875F358" w14:textId="30EBC8E5"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6" w:history="1">
            <w:r w:rsidRPr="004453EB">
              <w:rPr>
                <w:rStyle w:val="Hyperlink"/>
                <w:noProof/>
              </w:rPr>
              <w:t>Strategic Initiatives</w:t>
            </w:r>
            <w:r>
              <w:rPr>
                <w:noProof/>
                <w:webHidden/>
              </w:rPr>
              <w:tab/>
            </w:r>
            <w:r>
              <w:rPr>
                <w:noProof/>
                <w:webHidden/>
              </w:rPr>
              <w:fldChar w:fldCharType="begin"/>
            </w:r>
            <w:r>
              <w:rPr>
                <w:noProof/>
                <w:webHidden/>
              </w:rPr>
              <w:instrText xml:space="preserve"> PAGEREF _Toc217141006 \h </w:instrText>
            </w:r>
            <w:r>
              <w:rPr>
                <w:noProof/>
                <w:webHidden/>
              </w:rPr>
            </w:r>
            <w:r>
              <w:rPr>
                <w:noProof/>
                <w:webHidden/>
              </w:rPr>
              <w:fldChar w:fldCharType="separate"/>
            </w:r>
            <w:r>
              <w:rPr>
                <w:noProof/>
                <w:webHidden/>
              </w:rPr>
              <w:t>24</w:t>
            </w:r>
            <w:r>
              <w:rPr>
                <w:noProof/>
                <w:webHidden/>
              </w:rPr>
              <w:fldChar w:fldCharType="end"/>
            </w:r>
          </w:hyperlink>
        </w:p>
        <w:p w14:paraId="50054425" w14:textId="2CC86932" w:rsidR="002C00DF" w:rsidRDefault="002C00DF">
          <w:pPr>
            <w:pStyle w:val="TOC1"/>
            <w:tabs>
              <w:tab w:val="right" w:leader="dot" w:pos="9016"/>
            </w:tabs>
            <w:rPr>
              <w:rFonts w:asciiTheme="minorHAnsi" w:eastAsiaTheme="minorEastAsia" w:hAnsiTheme="minorHAnsi"/>
              <w:bCs w:val="0"/>
              <w:iCs w:val="0"/>
              <w:noProof/>
              <w:color w:val="auto"/>
              <w:lang w:val="en-US"/>
            </w:rPr>
          </w:pPr>
          <w:hyperlink w:anchor="_Toc217141007" w:history="1">
            <w:r w:rsidRPr="004453EB">
              <w:rPr>
                <w:rStyle w:val="Hyperlink"/>
                <w:noProof/>
              </w:rPr>
              <w:t>Performance Measurement System</w:t>
            </w:r>
            <w:r>
              <w:rPr>
                <w:noProof/>
                <w:webHidden/>
              </w:rPr>
              <w:tab/>
            </w:r>
            <w:r>
              <w:rPr>
                <w:noProof/>
                <w:webHidden/>
              </w:rPr>
              <w:fldChar w:fldCharType="begin"/>
            </w:r>
            <w:r>
              <w:rPr>
                <w:noProof/>
                <w:webHidden/>
              </w:rPr>
              <w:instrText xml:space="preserve"> PAGEREF _Toc217141007 \h </w:instrText>
            </w:r>
            <w:r>
              <w:rPr>
                <w:noProof/>
                <w:webHidden/>
              </w:rPr>
            </w:r>
            <w:r>
              <w:rPr>
                <w:noProof/>
                <w:webHidden/>
              </w:rPr>
              <w:fldChar w:fldCharType="separate"/>
            </w:r>
            <w:r>
              <w:rPr>
                <w:noProof/>
                <w:webHidden/>
              </w:rPr>
              <w:t>26</w:t>
            </w:r>
            <w:r>
              <w:rPr>
                <w:noProof/>
                <w:webHidden/>
              </w:rPr>
              <w:fldChar w:fldCharType="end"/>
            </w:r>
          </w:hyperlink>
        </w:p>
        <w:p w14:paraId="75141CB9" w14:textId="6A01DC52"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8" w:history="1">
            <w:r w:rsidRPr="004453EB">
              <w:rPr>
                <w:rStyle w:val="Hyperlink"/>
                <w:noProof/>
              </w:rPr>
              <w:t>Choice of Framework &amp; Justification</w:t>
            </w:r>
            <w:r>
              <w:rPr>
                <w:noProof/>
                <w:webHidden/>
              </w:rPr>
              <w:tab/>
            </w:r>
            <w:r>
              <w:rPr>
                <w:noProof/>
                <w:webHidden/>
              </w:rPr>
              <w:fldChar w:fldCharType="begin"/>
            </w:r>
            <w:r>
              <w:rPr>
                <w:noProof/>
                <w:webHidden/>
              </w:rPr>
              <w:instrText xml:space="preserve"> PAGEREF _Toc217141008 \h </w:instrText>
            </w:r>
            <w:r>
              <w:rPr>
                <w:noProof/>
                <w:webHidden/>
              </w:rPr>
            </w:r>
            <w:r>
              <w:rPr>
                <w:noProof/>
                <w:webHidden/>
              </w:rPr>
              <w:fldChar w:fldCharType="separate"/>
            </w:r>
            <w:r>
              <w:rPr>
                <w:noProof/>
                <w:webHidden/>
              </w:rPr>
              <w:t>26</w:t>
            </w:r>
            <w:r>
              <w:rPr>
                <w:noProof/>
                <w:webHidden/>
              </w:rPr>
              <w:fldChar w:fldCharType="end"/>
            </w:r>
          </w:hyperlink>
        </w:p>
        <w:p w14:paraId="1F9EEAE2" w14:textId="711D59D5"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09" w:history="1">
            <w:r w:rsidRPr="004453EB">
              <w:rPr>
                <w:rStyle w:val="Hyperlink"/>
                <w:noProof/>
              </w:rPr>
              <w:t>Balanced Scorecard Objectives, KPIs &amp; Targets</w:t>
            </w:r>
            <w:r>
              <w:rPr>
                <w:noProof/>
                <w:webHidden/>
              </w:rPr>
              <w:tab/>
            </w:r>
            <w:r>
              <w:rPr>
                <w:noProof/>
                <w:webHidden/>
              </w:rPr>
              <w:fldChar w:fldCharType="begin"/>
            </w:r>
            <w:r>
              <w:rPr>
                <w:noProof/>
                <w:webHidden/>
              </w:rPr>
              <w:instrText xml:space="preserve"> PAGEREF _Toc217141009 \h </w:instrText>
            </w:r>
            <w:r>
              <w:rPr>
                <w:noProof/>
                <w:webHidden/>
              </w:rPr>
            </w:r>
            <w:r>
              <w:rPr>
                <w:noProof/>
                <w:webHidden/>
              </w:rPr>
              <w:fldChar w:fldCharType="separate"/>
            </w:r>
            <w:r>
              <w:rPr>
                <w:noProof/>
                <w:webHidden/>
              </w:rPr>
              <w:t>27</w:t>
            </w:r>
            <w:r>
              <w:rPr>
                <w:noProof/>
                <w:webHidden/>
              </w:rPr>
              <w:fldChar w:fldCharType="end"/>
            </w:r>
          </w:hyperlink>
        </w:p>
        <w:p w14:paraId="2EA59561" w14:textId="071945AD" w:rsidR="002C00DF" w:rsidRDefault="002C00DF">
          <w:pPr>
            <w:pStyle w:val="TOC2"/>
            <w:tabs>
              <w:tab w:val="right" w:leader="dot" w:pos="9016"/>
            </w:tabs>
            <w:rPr>
              <w:rFonts w:asciiTheme="minorHAnsi" w:eastAsiaTheme="minorEastAsia" w:hAnsiTheme="minorHAnsi"/>
              <w:bCs w:val="0"/>
              <w:noProof/>
              <w:color w:val="auto"/>
              <w:szCs w:val="24"/>
              <w:lang w:val="en-US"/>
            </w:rPr>
          </w:pPr>
          <w:hyperlink w:anchor="_Toc217141010" w:history="1">
            <w:r w:rsidRPr="004453EB">
              <w:rPr>
                <w:rStyle w:val="Hyperlink"/>
                <w:noProof/>
              </w:rPr>
              <w:t>Limitations of the Balanced Scorecard</w:t>
            </w:r>
            <w:r>
              <w:rPr>
                <w:noProof/>
                <w:webHidden/>
              </w:rPr>
              <w:tab/>
            </w:r>
            <w:r>
              <w:rPr>
                <w:noProof/>
                <w:webHidden/>
              </w:rPr>
              <w:fldChar w:fldCharType="begin"/>
            </w:r>
            <w:r>
              <w:rPr>
                <w:noProof/>
                <w:webHidden/>
              </w:rPr>
              <w:instrText xml:space="preserve"> PAGEREF _Toc217141010 \h </w:instrText>
            </w:r>
            <w:r>
              <w:rPr>
                <w:noProof/>
                <w:webHidden/>
              </w:rPr>
            </w:r>
            <w:r>
              <w:rPr>
                <w:noProof/>
                <w:webHidden/>
              </w:rPr>
              <w:fldChar w:fldCharType="separate"/>
            </w:r>
            <w:r>
              <w:rPr>
                <w:noProof/>
                <w:webHidden/>
              </w:rPr>
              <w:t>28</w:t>
            </w:r>
            <w:r>
              <w:rPr>
                <w:noProof/>
                <w:webHidden/>
              </w:rPr>
              <w:fldChar w:fldCharType="end"/>
            </w:r>
          </w:hyperlink>
        </w:p>
        <w:p w14:paraId="21606356" w14:textId="68FA36B6" w:rsidR="002C00DF" w:rsidRDefault="002C00DF">
          <w:pPr>
            <w:pStyle w:val="TOC1"/>
            <w:tabs>
              <w:tab w:val="right" w:leader="dot" w:pos="9016"/>
            </w:tabs>
            <w:rPr>
              <w:rFonts w:asciiTheme="minorHAnsi" w:eastAsiaTheme="minorEastAsia" w:hAnsiTheme="minorHAnsi"/>
              <w:bCs w:val="0"/>
              <w:iCs w:val="0"/>
              <w:noProof/>
              <w:color w:val="auto"/>
              <w:lang w:val="en-US"/>
            </w:rPr>
          </w:pPr>
          <w:hyperlink w:anchor="_Toc217141011" w:history="1">
            <w:r w:rsidRPr="004453EB">
              <w:rPr>
                <w:rStyle w:val="Hyperlink"/>
                <w:noProof/>
              </w:rPr>
              <w:t>Conclusion</w:t>
            </w:r>
            <w:r>
              <w:rPr>
                <w:noProof/>
                <w:webHidden/>
              </w:rPr>
              <w:tab/>
            </w:r>
            <w:r>
              <w:rPr>
                <w:noProof/>
                <w:webHidden/>
              </w:rPr>
              <w:fldChar w:fldCharType="begin"/>
            </w:r>
            <w:r>
              <w:rPr>
                <w:noProof/>
                <w:webHidden/>
              </w:rPr>
              <w:instrText xml:space="preserve"> PAGEREF _Toc217141011 \h </w:instrText>
            </w:r>
            <w:r>
              <w:rPr>
                <w:noProof/>
                <w:webHidden/>
              </w:rPr>
            </w:r>
            <w:r>
              <w:rPr>
                <w:noProof/>
                <w:webHidden/>
              </w:rPr>
              <w:fldChar w:fldCharType="separate"/>
            </w:r>
            <w:r>
              <w:rPr>
                <w:noProof/>
                <w:webHidden/>
              </w:rPr>
              <w:t>29</w:t>
            </w:r>
            <w:r>
              <w:rPr>
                <w:noProof/>
                <w:webHidden/>
              </w:rPr>
              <w:fldChar w:fldCharType="end"/>
            </w:r>
          </w:hyperlink>
        </w:p>
        <w:p w14:paraId="09CF9D75" w14:textId="60D04DB9" w:rsidR="002C00DF" w:rsidRDefault="002C00DF">
          <w:pPr>
            <w:pStyle w:val="TOC1"/>
            <w:tabs>
              <w:tab w:val="right" w:leader="dot" w:pos="9016"/>
            </w:tabs>
            <w:rPr>
              <w:rFonts w:asciiTheme="minorHAnsi" w:eastAsiaTheme="minorEastAsia" w:hAnsiTheme="minorHAnsi"/>
              <w:bCs w:val="0"/>
              <w:iCs w:val="0"/>
              <w:noProof/>
              <w:color w:val="auto"/>
              <w:lang w:val="en-US"/>
            </w:rPr>
          </w:pPr>
          <w:hyperlink w:anchor="_Toc217141012" w:history="1">
            <w:r w:rsidRPr="004453EB">
              <w:rPr>
                <w:rStyle w:val="Hyperlink"/>
                <w:noProof/>
                <w:lang w:val="en-US"/>
              </w:rPr>
              <w:t>References</w:t>
            </w:r>
            <w:r>
              <w:rPr>
                <w:noProof/>
                <w:webHidden/>
              </w:rPr>
              <w:tab/>
            </w:r>
            <w:r>
              <w:rPr>
                <w:noProof/>
                <w:webHidden/>
              </w:rPr>
              <w:fldChar w:fldCharType="begin"/>
            </w:r>
            <w:r>
              <w:rPr>
                <w:noProof/>
                <w:webHidden/>
              </w:rPr>
              <w:instrText xml:space="preserve"> PAGEREF _Toc217141012 \h </w:instrText>
            </w:r>
            <w:r>
              <w:rPr>
                <w:noProof/>
                <w:webHidden/>
              </w:rPr>
            </w:r>
            <w:r>
              <w:rPr>
                <w:noProof/>
                <w:webHidden/>
              </w:rPr>
              <w:fldChar w:fldCharType="separate"/>
            </w:r>
            <w:r>
              <w:rPr>
                <w:noProof/>
                <w:webHidden/>
              </w:rPr>
              <w:t>30</w:t>
            </w:r>
            <w:r>
              <w:rPr>
                <w:noProof/>
                <w:webHidden/>
              </w:rPr>
              <w:fldChar w:fldCharType="end"/>
            </w:r>
          </w:hyperlink>
        </w:p>
        <w:p w14:paraId="51D644AB" w14:textId="7CD8425B" w:rsidR="003A2FCB" w:rsidRPr="00696AB3" w:rsidRDefault="006B701B" w:rsidP="00A73B0D">
          <w:pPr>
            <w:rPr>
              <w:rStyle w:val="Heading1Char"/>
              <w:rFonts w:eastAsiaTheme="minorHAnsi" w:cstheme="minorBidi"/>
              <w:bCs/>
              <w:noProof/>
              <w:sz w:val="24"/>
              <w:szCs w:val="24"/>
            </w:rPr>
          </w:pPr>
          <w:r>
            <w:rPr>
              <w:b/>
              <w:bCs/>
              <w:noProof/>
            </w:rPr>
            <w:fldChar w:fldCharType="end"/>
          </w:r>
        </w:p>
      </w:sdtContent>
    </w:sdt>
    <w:p w14:paraId="6826D256" w14:textId="698B9500" w:rsidR="00865149" w:rsidRPr="00865149" w:rsidRDefault="00865149" w:rsidP="00A01695">
      <w:pPr>
        <w:pStyle w:val="Heading1"/>
        <w:rPr>
          <w:lang w:val="en-US"/>
        </w:rPr>
      </w:pPr>
      <w:bookmarkStart w:id="0" w:name="_Toc217140965"/>
      <w:r w:rsidRPr="00865149">
        <w:rPr>
          <w:lang w:val="en-US"/>
        </w:rPr>
        <w:lastRenderedPageBreak/>
        <w:t>Overview of the Organization and Target Market</w:t>
      </w:r>
      <w:bookmarkEnd w:id="0"/>
    </w:p>
    <w:p w14:paraId="76C56748" w14:textId="2ACF2763" w:rsidR="00D369BB" w:rsidRDefault="00D369BB" w:rsidP="00865149">
      <w:pPr>
        <w:pStyle w:val="Heading2"/>
      </w:pPr>
      <w:bookmarkStart w:id="1" w:name="_Toc217140966"/>
      <w:r w:rsidRPr="00D369BB">
        <w:t>Introduction and Company Background</w:t>
      </w:r>
      <w:bookmarkEnd w:id="1"/>
    </w:p>
    <w:p w14:paraId="3E4C0719" w14:textId="77777777" w:rsidR="00B42691" w:rsidRDefault="00541D68" w:rsidP="00B42691">
      <w:pPr>
        <w:keepNext/>
        <w:ind w:left="1843"/>
      </w:pPr>
      <w:r w:rsidRPr="00541D68">
        <w:rPr>
          <w:noProof/>
        </w:rPr>
        <w:drawing>
          <wp:inline distT="0" distB="0" distL="0" distR="0" wp14:anchorId="0BE76F2B" wp14:editId="48A0837C">
            <wp:extent cx="3543795" cy="1590897"/>
            <wp:effectExtent l="0" t="0" r="0" b="9525"/>
            <wp:docPr id="406982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82571" name=""/>
                    <pic:cNvPicPr/>
                  </pic:nvPicPr>
                  <pic:blipFill>
                    <a:blip r:embed="rId9"/>
                    <a:stretch>
                      <a:fillRect/>
                    </a:stretch>
                  </pic:blipFill>
                  <pic:spPr>
                    <a:xfrm>
                      <a:off x="0" y="0"/>
                      <a:ext cx="3543795" cy="1590897"/>
                    </a:xfrm>
                    <a:prstGeom prst="rect">
                      <a:avLst/>
                    </a:prstGeom>
                  </pic:spPr>
                </pic:pic>
              </a:graphicData>
            </a:graphic>
          </wp:inline>
        </w:drawing>
      </w:r>
    </w:p>
    <w:p w14:paraId="5728F5EF" w14:textId="23C2803A" w:rsidR="005462FB" w:rsidRPr="005462FB" w:rsidRDefault="00B42691" w:rsidP="00B42691">
      <w:pPr>
        <w:pStyle w:val="Caption"/>
      </w:pPr>
      <w:r>
        <w:t xml:space="preserve">Figure </w:t>
      </w:r>
      <w:fldSimple w:instr=" SEQ Figure \* ARABIC ">
        <w:r w:rsidR="00166E15">
          <w:rPr>
            <w:noProof/>
          </w:rPr>
          <w:t>1</w:t>
        </w:r>
      </w:fldSimple>
      <w:r>
        <w:t xml:space="preserve"> </w:t>
      </w:r>
      <w:r w:rsidRPr="004F1C4D">
        <w:t>Sainsbury’s property estate (J Sainsbury plc, 2025)</w:t>
      </w:r>
    </w:p>
    <w:p w14:paraId="0E9D756C" w14:textId="77777777" w:rsidR="005A7173" w:rsidRPr="005A7173" w:rsidRDefault="005A7173" w:rsidP="005A7173">
      <w:pPr>
        <w:rPr>
          <w:lang w:val="en-US"/>
        </w:rPr>
      </w:pPr>
      <w:bookmarkStart w:id="2" w:name="_Toc217140967"/>
      <w:r w:rsidRPr="005A7173">
        <w:rPr>
          <w:lang w:val="en-US"/>
        </w:rPr>
        <w:t>J Sainsbury plc, or Sainsbury’s, is the UK’s second-largest supermarket chain, holding a 15.2% market share as of November 2024 (Retail Gazette, 2024). Founded in 1869 as a single dairy shop in London, it has grown into a multi-format retailer with over 1,400 stores, including supermarkets, convenience stores, and online platforms (J Sainsbury plc, 2024). Its operations span three main segments: Retail Food, General Merchandise and Clothing, and Financial Services, positioning Sainsbury’s as a lifestyle brand rather than just a grocer (AnnualReports.com, 2024).</w:t>
      </w:r>
    </w:p>
    <w:p w14:paraId="49AE6C8D" w14:textId="77777777" w:rsidR="005A7173" w:rsidRPr="005A7173" w:rsidRDefault="005A7173" w:rsidP="005A7173">
      <w:pPr>
        <w:rPr>
          <w:lang w:val="en-US"/>
        </w:rPr>
      </w:pPr>
      <w:r w:rsidRPr="005A7173">
        <w:rPr>
          <w:lang w:val="en-US"/>
        </w:rPr>
        <w:t>Sainsbury’s emphasizes quality products, competitive pricing, and customer-focused services, such as its own-label range, the Nectar rewards program, and online shopping. While its primary market is the UK, it has explored international opportunities, including the acquisition of Shaw’s Supermarkets in the US (1987–2004) and a potential entry into India around 2010 (Financial Times, 2010; Sainsbury's, 2024).</w:t>
      </w:r>
    </w:p>
    <w:p w14:paraId="43873F87" w14:textId="77777777" w:rsidR="005A7173" w:rsidRPr="005A7173" w:rsidRDefault="005A7173" w:rsidP="005A7173">
      <w:pPr>
        <w:rPr>
          <w:lang w:val="en-US"/>
        </w:rPr>
      </w:pPr>
      <w:r w:rsidRPr="005A7173">
        <w:rPr>
          <w:lang w:val="en-US"/>
        </w:rPr>
        <w:t>Competitive advantages include the Nectar program, offering savings over £2 billion annually, and the Aldi Price Match initiative across all channels in 2024 (J Sainsbury plc, 2025). The company also leads in sustainability, achieving ten consecutive 'A' ratings from the Carbon Disclosure Project and transitioning to 100% renewable electricity (J Sainsbury plc, 2024). These strengths highlight Sainsbury’s readiness for international expansion in sustainability-conscious markets.</w:t>
      </w:r>
    </w:p>
    <w:p w14:paraId="3486B830" w14:textId="5180FD41" w:rsidR="00A01695" w:rsidRDefault="00A01695" w:rsidP="0098698D">
      <w:pPr>
        <w:pStyle w:val="Heading2"/>
      </w:pPr>
      <w:r w:rsidRPr="00A01695">
        <w:lastRenderedPageBreak/>
        <w:t>Justification for Selecting Sainsbury’s</w:t>
      </w:r>
      <w:r>
        <w:t xml:space="preserve"> for International Expansion</w:t>
      </w:r>
      <w:bookmarkEnd w:id="2"/>
    </w:p>
    <w:p w14:paraId="483A354A" w14:textId="2C1C8BA3" w:rsidR="00A01695" w:rsidRDefault="00A01695" w:rsidP="00A01695">
      <w:pPr>
        <w:rPr>
          <w:lang w:val="en-US"/>
        </w:rPr>
      </w:pPr>
      <w:r w:rsidRPr="00A01695">
        <w:rPr>
          <w:lang w:val="en-US"/>
        </w:rPr>
        <w:t xml:space="preserve">Sainsbury’s is well placed to expand internationally because it combines strong operational expertise with a brand that consumers trust and respect. Over many years, the company has built a reputation for responsible sourcing, sustainability, and fairness, which strengthens customer confidence and differentiates it from competitors. Its ability to respond to changing shopping habits is also clear, particularly through the growth of its online grocery services and the effective use of customer insights from the Nectar loyalty </w:t>
      </w:r>
      <w:r>
        <w:rPr>
          <w:lang w:val="en-US"/>
        </w:rPr>
        <w:t>program.</w:t>
      </w:r>
    </w:p>
    <w:p w14:paraId="6917E52C" w14:textId="07062EC3" w:rsidR="00A01695" w:rsidRPr="00A01695" w:rsidRDefault="00A01695" w:rsidP="00A01695">
      <w:pPr>
        <w:rPr>
          <w:lang w:val="en-US"/>
        </w:rPr>
      </w:pPr>
      <w:r w:rsidRPr="00A01695">
        <w:t>From a strategic viewpoint, Sainsbury’s holds several strengths that give it an advantage when entering new markets. These include efficient supply chain management, well</w:t>
      </w:r>
      <w:r w:rsidR="00C51F1D">
        <w:t xml:space="preserve"> </w:t>
      </w:r>
      <w:r w:rsidRPr="00A01695">
        <w:t>established own</w:t>
      </w:r>
      <w:r w:rsidR="00C51F1D">
        <w:t xml:space="preserve"> </w:t>
      </w:r>
      <w:r w:rsidRPr="00A01695">
        <w:t>label products, robust quality control systems, and a clear commitment to corporate responsibility. Such strengths are especially relevant in countries like India, where modern retail is still evolving and where consumers are becoming more aware of issues such as food safety, product authenticity, and ethical standards.</w:t>
      </w:r>
    </w:p>
    <w:p w14:paraId="61D35BE0" w14:textId="12A3E8B1" w:rsidR="00A93F95" w:rsidRDefault="00FC2F85" w:rsidP="00A01695">
      <w:r w:rsidRPr="00FC2F85">
        <w:t>Sainsbury’s competitive positioning focuses on offering good quality at fair prices rather than competing solely on low cost. This balanced approach aligns well with the preferences of India’s growing urban middle class, who seek both value and quality. As a result, Sainsbury’s represents an appropriate and credible organisation for expansion into the Indian market.</w:t>
      </w:r>
    </w:p>
    <w:p w14:paraId="3A943319" w14:textId="3522952F" w:rsidR="00AF2F8C" w:rsidRPr="00AF2F8C" w:rsidRDefault="0062562B" w:rsidP="00C44F65">
      <w:pPr>
        <w:pStyle w:val="Heading2"/>
      </w:pPr>
      <w:bookmarkStart w:id="3" w:name="_Toc217140968"/>
      <w:r w:rsidRPr="0062562B">
        <w:t>Justification for Selecting India as the Target Market</w:t>
      </w:r>
      <w:bookmarkEnd w:id="3"/>
    </w:p>
    <w:p w14:paraId="6C358D87" w14:textId="08197F42" w:rsidR="00990034" w:rsidRPr="00990034" w:rsidRDefault="00990034" w:rsidP="00990034">
      <w:pPr>
        <w:rPr>
          <w:lang w:val="en-US"/>
        </w:rPr>
      </w:pPr>
      <w:r w:rsidRPr="00990034">
        <w:rPr>
          <w:lang w:val="en-US"/>
        </w:rPr>
        <w:t xml:space="preserve">India offers a highly promising environment for Sainsbury’s international expansion, supported by strong economic growth and a rapidly evolving retail landscape. The food and grocery market, valued at 50 trillion rupees (£471 billion) in 2023, is projected to exceed 67 trillion rupees by 2027, growing at around 8.5 percent annually (Statista, 2024; Technavio, 2024). Growth is driven by </w:t>
      </w:r>
      <w:r w:rsidR="00A66EB3" w:rsidRPr="00990034">
        <w:rPr>
          <w:lang w:val="en-US"/>
        </w:rPr>
        <w:t>urbanization</w:t>
      </w:r>
      <w:r w:rsidRPr="00990034">
        <w:rPr>
          <w:lang w:val="en-US"/>
        </w:rPr>
        <w:t xml:space="preserve">, rising incomes, and a shift toward </w:t>
      </w:r>
      <w:r w:rsidR="00A66EB3" w:rsidRPr="00990034">
        <w:rPr>
          <w:lang w:val="en-US"/>
        </w:rPr>
        <w:t>organized</w:t>
      </w:r>
      <w:r w:rsidRPr="00990034">
        <w:rPr>
          <w:lang w:val="en-US"/>
        </w:rPr>
        <w:t xml:space="preserve"> retail and quality food products, with urban populations expected to reach nearly 600 million by 2036 (IMARC Group, 2025). The broader grocery, foodservice, and packaged food sectors are also expanding rapidly, highlighting increasing demand for branded, convenient, and safe offerings (Research and Markets, 2024; Mordor Intelligence, 2025; IMARC Group, 2024).</w:t>
      </w:r>
    </w:p>
    <w:p w14:paraId="00E35EA8" w14:textId="627928E9" w:rsidR="00990034" w:rsidRPr="00AF2F8C" w:rsidRDefault="00990034" w:rsidP="00990034">
      <w:pPr>
        <w:rPr>
          <w:lang w:val="en-US"/>
        </w:rPr>
      </w:pPr>
      <w:r w:rsidRPr="00990034">
        <w:rPr>
          <w:lang w:val="en-US"/>
        </w:rPr>
        <w:lastRenderedPageBreak/>
        <w:t xml:space="preserve">The CAGE framework underscores India’s suitability. Cultural diversity and dietary preferences require product adaptation, but English usage and familiarity with British brands reduce communication challenges (Pew Research Center, 2021). Administratively, </w:t>
      </w:r>
      <w:r w:rsidR="00A66EB3" w:rsidRPr="00990034">
        <w:rPr>
          <w:lang w:val="en-US"/>
        </w:rPr>
        <w:t>liberalized</w:t>
      </w:r>
      <w:r w:rsidRPr="00990034">
        <w:rPr>
          <w:lang w:val="en-US"/>
        </w:rPr>
        <w:t xml:space="preserve"> FDI policies allow single-brand retailers up to 49 percent automatic investment, with higher levels approved by the government, while cumulative FDI inflows since 2000 surpass USD 1 trillion (Baker McKenzie, 2024; White &amp; Case, 2025). Geographically, improved transport and cold chain infrastructure, supported by initiatives like the Agri-Infrastructure Fund, enhance operational feasibility (Ken Research, 2024). Overall, India’s market size, growth potential, regulatory progress, and infrastructure improvements make it a strong and practical target for Sainsbury’s expansion.</w:t>
      </w:r>
    </w:p>
    <w:p w14:paraId="4F92C524" w14:textId="0292E816" w:rsidR="004F3891" w:rsidRPr="00B86BCF" w:rsidRDefault="004F3891" w:rsidP="00B9537B">
      <w:pPr>
        <w:pStyle w:val="Heading2"/>
        <w:rPr>
          <w:lang w:val="en-US"/>
        </w:rPr>
      </w:pPr>
      <w:bookmarkStart w:id="4" w:name="_Toc217140969"/>
      <w:r w:rsidRPr="004F3891">
        <w:t>Strategic Objectives of the Expansion</w:t>
      </w:r>
      <w:bookmarkEnd w:id="4"/>
    </w:p>
    <w:p w14:paraId="4D7E4EF8" w14:textId="4AB04C68" w:rsidR="00373BDA" w:rsidRPr="00373BDA" w:rsidRDefault="00373BDA" w:rsidP="00373BDA">
      <w:pPr>
        <w:rPr>
          <w:lang w:val="en-US"/>
        </w:rPr>
      </w:pPr>
      <w:r w:rsidRPr="00373BDA">
        <w:rPr>
          <w:lang w:val="en-US"/>
        </w:rPr>
        <w:t xml:space="preserve">The primary aim of Sainsbury’s expansion into India is to establish a strong, sustainable, and profitable foothold within the </w:t>
      </w:r>
      <w:r w:rsidR="00E2154C" w:rsidRPr="00373BDA">
        <w:rPr>
          <w:lang w:val="en-US"/>
        </w:rPr>
        <w:t>organized</w:t>
      </w:r>
      <w:r w:rsidRPr="00373BDA">
        <w:rPr>
          <w:lang w:val="en-US"/>
        </w:rPr>
        <w:t xml:space="preserve"> grocery retail sector. This is supported by four strategic goals designed to guide its growth and ensure long-term success.</w:t>
      </w:r>
    </w:p>
    <w:p w14:paraId="01A86C12" w14:textId="0AA0BF84" w:rsidR="00373BDA" w:rsidRPr="00373BDA" w:rsidRDefault="00373BDA" w:rsidP="00373BDA">
      <w:pPr>
        <w:rPr>
          <w:lang w:val="en-US"/>
        </w:rPr>
      </w:pPr>
      <w:r w:rsidRPr="00373BDA">
        <w:rPr>
          <w:lang w:val="en-US"/>
        </w:rPr>
        <w:t xml:space="preserve">Firstly, Sainsbury’s plans to build strong brand recognition and a visible market presence in key metropolitan cities such as Delhi NCR, Mumbai, Bengaluru, and Hyderabad within the first three years of operations. These urban </w:t>
      </w:r>
      <w:r w:rsidR="00E2154C" w:rsidRPr="00373BDA">
        <w:rPr>
          <w:lang w:val="en-US"/>
        </w:rPr>
        <w:t>centers</w:t>
      </w:r>
      <w:r w:rsidRPr="00373BDA">
        <w:rPr>
          <w:lang w:val="en-US"/>
        </w:rPr>
        <w:t xml:space="preserve"> are attractive due to their higher disposable incomes, well-developed infrastructure, and consumer familiarity with international retail brands, providing a </w:t>
      </w:r>
      <w:r w:rsidR="00E2154C" w:rsidRPr="00373BDA">
        <w:rPr>
          <w:lang w:val="en-US"/>
        </w:rPr>
        <w:t>favorable</w:t>
      </w:r>
      <w:r w:rsidRPr="00373BDA">
        <w:rPr>
          <w:lang w:val="en-US"/>
        </w:rPr>
        <w:t xml:space="preserve"> environment for introducing premium grocery offerings.</w:t>
      </w:r>
    </w:p>
    <w:p w14:paraId="35469833" w14:textId="77777777" w:rsidR="00373BDA" w:rsidRPr="00373BDA" w:rsidRDefault="00373BDA" w:rsidP="00373BDA">
      <w:pPr>
        <w:rPr>
          <w:lang w:val="en-US"/>
        </w:rPr>
      </w:pPr>
      <w:r w:rsidRPr="00373BDA">
        <w:rPr>
          <w:lang w:val="en-US"/>
        </w:rPr>
        <w:t>Secondly, the company intends to leverage its expertise in private-label products to deliver high-quality offerings while providing good value to customers. By focusing on private labels, Sainsbury’s can differentiate itself from competitors, maintain tighter control over costs, and improve profit margins in a price-sensitive market.</w:t>
      </w:r>
    </w:p>
    <w:p w14:paraId="7049B611" w14:textId="4EBB2FC1" w:rsidR="00373BDA" w:rsidRPr="00373BDA" w:rsidRDefault="00373BDA" w:rsidP="00373BDA">
      <w:pPr>
        <w:rPr>
          <w:lang w:val="en-US"/>
        </w:rPr>
      </w:pPr>
      <w:r w:rsidRPr="00373BDA">
        <w:rPr>
          <w:lang w:val="en-US"/>
        </w:rPr>
        <w:t xml:space="preserve">Thirdly, Sainsbury’s aims to establish a </w:t>
      </w:r>
      <w:r w:rsidR="00E2154C" w:rsidRPr="00373BDA">
        <w:rPr>
          <w:lang w:val="en-US"/>
        </w:rPr>
        <w:t>localized</w:t>
      </w:r>
      <w:r w:rsidRPr="00373BDA">
        <w:rPr>
          <w:lang w:val="en-US"/>
        </w:rPr>
        <w:t xml:space="preserve"> and efficient supply chain that adheres to Indian regulatory standards while upholding the company’s global benchmarks for food safety, quality, and sustainability. This approach ensures reliable product availability and reinforces customer trust.</w:t>
      </w:r>
    </w:p>
    <w:p w14:paraId="56DA91D7" w14:textId="77777777" w:rsidR="00373BDA" w:rsidRDefault="00373BDA" w:rsidP="00373BDA">
      <w:pPr>
        <w:rPr>
          <w:lang w:val="en-US"/>
        </w:rPr>
      </w:pPr>
      <w:r w:rsidRPr="00373BDA">
        <w:rPr>
          <w:lang w:val="en-US"/>
        </w:rPr>
        <w:lastRenderedPageBreak/>
        <w:t>Finally, the expansion seeks to create long-term shareholder value by diversifying revenue streams and developing strategic capabilities. These capabilities, built in India, can be leveraged in other emerging markets, positioning Sainsbury’s for sustained international growth and competitive advantage.</w:t>
      </w:r>
    </w:p>
    <w:p w14:paraId="3EEDE9D5" w14:textId="7F2B1E1F" w:rsidR="00E2154C" w:rsidRDefault="002F5C4E" w:rsidP="00012E64">
      <w:pPr>
        <w:pStyle w:val="Heading1"/>
        <w:rPr>
          <w:lang w:val="en-US"/>
        </w:rPr>
      </w:pPr>
      <w:bookmarkStart w:id="5" w:name="_Toc217140970"/>
      <w:r w:rsidRPr="002F5C4E">
        <w:rPr>
          <w:lang w:val="en-US"/>
        </w:rPr>
        <w:t xml:space="preserve">Strategic analysis of </w:t>
      </w:r>
      <w:r w:rsidR="00BA7B76">
        <w:rPr>
          <w:lang w:val="en-US"/>
        </w:rPr>
        <w:t>T</w:t>
      </w:r>
      <w:r w:rsidRPr="002F5C4E">
        <w:rPr>
          <w:lang w:val="en-US"/>
        </w:rPr>
        <w:t xml:space="preserve">arget </w:t>
      </w:r>
      <w:r w:rsidR="00BA7B76">
        <w:rPr>
          <w:lang w:val="en-US"/>
        </w:rPr>
        <w:t>M</w:t>
      </w:r>
      <w:r w:rsidRPr="002F5C4E">
        <w:rPr>
          <w:lang w:val="en-US"/>
        </w:rPr>
        <w:t>arket</w:t>
      </w:r>
      <w:bookmarkEnd w:id="5"/>
    </w:p>
    <w:p w14:paraId="3E29773B" w14:textId="6595F81A" w:rsidR="00BC1E32" w:rsidRDefault="004F51A2" w:rsidP="004F51A2">
      <w:pPr>
        <w:pStyle w:val="Heading2"/>
      </w:pPr>
      <w:bookmarkStart w:id="6" w:name="_Toc217140971"/>
      <w:r w:rsidRPr="004F51A2">
        <w:t>Macro-Environmental Analysis: PESTLE</w:t>
      </w:r>
      <w:bookmarkEnd w:id="6"/>
    </w:p>
    <w:p w14:paraId="3891F93A" w14:textId="77777777" w:rsidR="002C7E68" w:rsidRDefault="002C7E68" w:rsidP="002C7E68">
      <w:pPr>
        <w:keepNext/>
        <w:ind w:left="1418" w:firstLine="142"/>
      </w:pPr>
      <w:r w:rsidRPr="002C7E68">
        <w:rPr>
          <w:noProof/>
        </w:rPr>
        <w:drawing>
          <wp:inline distT="0" distB="0" distL="0" distR="0" wp14:anchorId="288BD5D5" wp14:editId="5D7FF4E9">
            <wp:extent cx="3617937" cy="2834640"/>
            <wp:effectExtent l="0" t="0" r="1905" b="3810"/>
            <wp:docPr id="86110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09878" name=""/>
                    <pic:cNvPicPr/>
                  </pic:nvPicPr>
                  <pic:blipFill>
                    <a:blip r:embed="rId10"/>
                    <a:stretch>
                      <a:fillRect/>
                    </a:stretch>
                  </pic:blipFill>
                  <pic:spPr>
                    <a:xfrm>
                      <a:off x="0" y="0"/>
                      <a:ext cx="3632280" cy="2845878"/>
                    </a:xfrm>
                    <a:prstGeom prst="rect">
                      <a:avLst/>
                    </a:prstGeom>
                  </pic:spPr>
                </pic:pic>
              </a:graphicData>
            </a:graphic>
          </wp:inline>
        </w:drawing>
      </w:r>
    </w:p>
    <w:p w14:paraId="34250CC1" w14:textId="07F79B00" w:rsidR="002C7E68" w:rsidRPr="002C7E68" w:rsidRDefault="002C7E68" w:rsidP="002C7E68">
      <w:pPr>
        <w:pStyle w:val="Caption"/>
      </w:pPr>
      <w:r>
        <w:t xml:space="preserve">Figure </w:t>
      </w:r>
      <w:fldSimple w:instr=" SEQ Figure \* ARABIC ">
        <w:r w:rsidR="00166E15">
          <w:rPr>
            <w:noProof/>
          </w:rPr>
          <w:t>2</w:t>
        </w:r>
      </w:fldSimple>
      <w:r>
        <w:t xml:space="preserve"> </w:t>
      </w:r>
      <w:r w:rsidRPr="001C22DF">
        <w:t>PESTLE analysis framework (Heubel, 2024)</w:t>
      </w:r>
    </w:p>
    <w:p w14:paraId="73081A74" w14:textId="3FE624A2" w:rsidR="0062562B" w:rsidRDefault="004F51A2" w:rsidP="004F51A2">
      <w:pPr>
        <w:pStyle w:val="Heading3"/>
      </w:pPr>
      <w:bookmarkStart w:id="7" w:name="_Toc217140972"/>
      <w:r>
        <w:t>Political</w:t>
      </w:r>
      <w:r w:rsidR="00C16F5E">
        <w:t xml:space="preserve"> Facto</w:t>
      </w:r>
      <w:r w:rsidR="002C7E68">
        <w:t>r</w:t>
      </w:r>
      <w:bookmarkEnd w:id="7"/>
    </w:p>
    <w:p w14:paraId="4519B865" w14:textId="77777777" w:rsidR="00ED732C" w:rsidRPr="00ED732C" w:rsidRDefault="00ED732C" w:rsidP="00ED732C">
      <w:pPr>
        <w:rPr>
          <w:lang w:val="en-US"/>
        </w:rPr>
      </w:pPr>
      <w:r w:rsidRPr="00ED732C">
        <w:rPr>
          <w:lang w:val="en-US"/>
        </w:rPr>
        <w:t>India’s political and regulatory landscape provides both opportunities and challenges for foreign grocery retailers. The government has gradually opened up the sector to foreign investment, allowing up to 100% FDI in single-brand retail through the automatic route for investments up to 49%, with higher amounts requiring government approval (Baker McKenzie, 2024). For multi-brand retail, FDI is limited to 51%, with rules such as a minimum investment of USD 100 million and at least half of the funds invested in backend infrastructure within three years (USDA Foreign Agricultural Service, 2024). Recent moves, like proposals for 100% FDI in insurance and a committee to simplify regulations, show the government’s efforts to make India more business-friendly (White &amp; Case, 2025).</w:t>
      </w:r>
    </w:p>
    <w:p w14:paraId="06C3CACB" w14:textId="724C15E3" w:rsidR="00ED732C" w:rsidRDefault="00ED732C" w:rsidP="00ED732C">
      <w:pPr>
        <w:rPr>
          <w:lang w:val="en-US"/>
        </w:rPr>
      </w:pPr>
      <w:r w:rsidRPr="00ED732C">
        <w:rPr>
          <w:lang w:val="en-US"/>
        </w:rPr>
        <w:lastRenderedPageBreak/>
        <w:t xml:space="preserve">Food safety is closely monitored by the FSSAI, which sets strict standards on labelling, hygiene, traceability, and quality checks. To comply, retailers need reliable certified suppliers, strong quality control systems, and proper documentation (Bhurat, Bhurat and Dhoot, 2025). Rules can also vary across states, covering land, </w:t>
      </w:r>
      <w:r w:rsidR="00EF4D52" w:rsidRPr="00ED732C">
        <w:rPr>
          <w:lang w:val="en-US"/>
        </w:rPr>
        <w:t>labor</w:t>
      </w:r>
      <w:r w:rsidRPr="00ED732C">
        <w:rPr>
          <w:lang w:val="en-US"/>
        </w:rPr>
        <w:t>, and local taxes, so companies must navigate these differences carefully. The rollout of GST in 2016 has made taxes simpler and easier to manage, providing a smoother operating environment for retailers (Baker McKenzie, 2024).</w:t>
      </w:r>
    </w:p>
    <w:p w14:paraId="598C6369" w14:textId="62E230D2" w:rsidR="00A8015A" w:rsidRDefault="00D62479" w:rsidP="00D62479">
      <w:pPr>
        <w:pStyle w:val="Heading3"/>
        <w:rPr>
          <w:lang w:val="en-US"/>
        </w:rPr>
      </w:pPr>
      <w:bookmarkStart w:id="8" w:name="_Toc217140973"/>
      <w:r>
        <w:rPr>
          <w:lang w:val="en-US"/>
        </w:rPr>
        <w:t>Economic Factor</w:t>
      </w:r>
      <w:bookmarkEnd w:id="8"/>
    </w:p>
    <w:p w14:paraId="4C6229D9" w14:textId="77777777" w:rsidR="00C15820" w:rsidRDefault="00266C89" w:rsidP="00C15820">
      <w:pPr>
        <w:rPr>
          <w:lang w:val="en-US"/>
        </w:rPr>
      </w:pPr>
      <w:r w:rsidRPr="00266C89">
        <w:rPr>
          <w:lang w:val="en-US"/>
        </w:rPr>
        <w:t>India’s economy continues to grow rapidly, with GDP consistently exceeding 6%, and rising urban incomes driving demand for premium and international food products, though regional income differences call for targeted strategies (White &amp; Case, 2025; Aggarwal, 2025). The country is also a leading market for online food delivery, with platforms like Swiggy and Zomato handling thousands of orders every minute, and the sector is expected to reach around INR 2.12 lakh crore (£20 billion) by 2030 (Mordor Intelligence, 2025; Expert Market Research, 2025). Stabilized grocery inflation and the widespread use of digital payments, including UPI, make transactions smoother and support the integration of advanced loyalty programs (Ken Research, 2024).</w:t>
      </w:r>
      <w:bookmarkStart w:id="9" w:name="_Toc217140974"/>
    </w:p>
    <w:p w14:paraId="40E6D865" w14:textId="77777777" w:rsidR="00C15820" w:rsidRDefault="00987071" w:rsidP="00C15820">
      <w:pPr>
        <w:pStyle w:val="Heading3"/>
        <w:rPr>
          <w:lang w:val="en-US"/>
        </w:rPr>
      </w:pPr>
      <w:r>
        <w:rPr>
          <w:lang w:val="en-US"/>
        </w:rPr>
        <w:t>Social Factor</w:t>
      </w:r>
      <w:bookmarkStart w:id="10" w:name="_Toc217140975"/>
      <w:bookmarkEnd w:id="9"/>
    </w:p>
    <w:p w14:paraId="67759F1E" w14:textId="77777777" w:rsidR="00C23FA8" w:rsidRDefault="00681D4B" w:rsidP="00C23FA8">
      <w:r w:rsidRPr="00681D4B">
        <w:t xml:space="preserve">India offers significant potential for grocery retailers, with over 65% of the population under 35, creating a young, tech-savvy, and brand-conscious consumer base with rising disposable incomes (Aggarwal, 2025). Urbanization and the growth of nuclear families are increasing demand for convenient shopping and packaged foods. Dietary habits are diverse: 39% of adults are vegetarian, 81% follow some meat restrictions, yet meat consumption is growing, with 80% of adults aged 15–49 consuming animal protein in 2021, up from 74% in 2006 (Pew Research </w:t>
      </w:r>
      <w:r w:rsidRPr="00681D4B">
        <w:rPr>
          <w:b/>
        </w:rPr>
        <w:t>Centre</w:t>
      </w:r>
      <w:r w:rsidRPr="00681D4B">
        <w:t>, 2021; Suresh, 2025). The vegan and plant-based segment is expanding rapidly, projected to grow from USD 1,468.3 million in 2024 to USD 3,822.3 million by 2033, driven by health awareness and ethical concerns (IMARC Group, 2025). Health-conscious trends, interest in organic and functional foods, and the popularity of Western cuisines among urban millennials make local adaptation essential (Ken Research, 2024).</w:t>
      </w:r>
    </w:p>
    <w:p w14:paraId="095E208F" w14:textId="767451DE" w:rsidR="00C23FA8" w:rsidRPr="00C23FA8" w:rsidRDefault="001B0F78" w:rsidP="00C23FA8">
      <w:pPr>
        <w:pStyle w:val="Heading3"/>
        <w:rPr>
          <w:lang w:val="en-US"/>
        </w:rPr>
      </w:pPr>
      <w:r w:rsidRPr="00C23FA8">
        <w:lastRenderedPageBreak/>
        <w:t>Technological Factor</w:t>
      </w:r>
      <w:bookmarkStart w:id="11" w:name="_Toc217140976"/>
      <w:bookmarkEnd w:id="10"/>
    </w:p>
    <w:p w14:paraId="58149133" w14:textId="6258F28E" w:rsidR="00C15820" w:rsidRPr="00C23FA8" w:rsidRDefault="00C15820" w:rsidP="00737B11">
      <w:pPr>
        <w:pStyle w:val="Heading3"/>
      </w:pPr>
      <w:r w:rsidRPr="00C15820">
        <w:rPr>
          <w:rFonts w:eastAsiaTheme="minorHAnsi" w:cstheme="minorBidi"/>
          <w:b w:val="0"/>
          <w:color w:val="auto"/>
          <w:sz w:val="24"/>
          <w:szCs w:val="24"/>
        </w:rPr>
        <w:t>With over 600 million smartphone users and growing internet access, urban consumers increasingly shop via apps, use digital loyalty programs, and make mobile payments (Technavio, 2024). Cloud kitchens are expanding at an estimated 17% CAGR from 2024–2029, driven by food delivery apps and shifting habits (Mordor Intelligence, 2025). Retailers leverage analytics, inventory systems, and CRM tools for personalized, data-driven services. Cold chain logistics have improved through initiatives like the INR 25,000 crore Agri-Infrastructure Fund, reducing post-harvest losses (Ken Research, 2024). Startups are adopting blockchain for sourcing transparency, while e-commerce platforms such as Amazon and Flipkart offer curated plant-based and premium foods, reaching over 120 million rural households. Quick commerce, like Swiggy’s Snacc app with 10–15-minute deliveries, is further reshaping grocery access and intensifying competition (IMARC Group, 2025).</w:t>
      </w:r>
    </w:p>
    <w:p w14:paraId="321444B2" w14:textId="42808900" w:rsidR="00737B11" w:rsidRDefault="00737B11" w:rsidP="00737B11">
      <w:pPr>
        <w:pStyle w:val="Heading3"/>
        <w:rPr>
          <w:lang w:val="en-US"/>
        </w:rPr>
      </w:pPr>
      <w:r>
        <w:rPr>
          <w:lang w:val="en-US"/>
        </w:rPr>
        <w:t>Legal Factor</w:t>
      </w:r>
      <w:bookmarkEnd w:id="11"/>
    </w:p>
    <w:p w14:paraId="22BCFF41" w14:textId="77777777" w:rsidR="00280414" w:rsidRPr="00280414" w:rsidRDefault="00280414" w:rsidP="00280414">
      <w:pPr>
        <w:rPr>
          <w:lang w:val="en-US"/>
        </w:rPr>
      </w:pPr>
      <w:r w:rsidRPr="00280414">
        <w:rPr>
          <w:lang w:val="en-US"/>
        </w:rPr>
        <w:t>India’s retail legal environment has become more supportive, though careful compliance is essential. Single-brand retailers with over 51% foreign investment generally must source at least 30% of products locally, with exceptions for specialized goods (Chambers and Partners, 2025). Labor laws vary by state, requiring adaptable HR strategies, and competition law reforms have made mergers and acquisitions more transparent (Baker McKenzie, 2024).</w:t>
      </w:r>
    </w:p>
    <w:p w14:paraId="2DF81BB5" w14:textId="13F82D53" w:rsidR="00280414" w:rsidRPr="00280414" w:rsidRDefault="00280414" w:rsidP="00280414">
      <w:pPr>
        <w:rPr>
          <w:lang w:val="en-US"/>
        </w:rPr>
      </w:pPr>
      <w:r w:rsidRPr="00280414">
        <w:rPr>
          <w:lang w:val="en-US"/>
        </w:rPr>
        <w:t>Food safety is strictly regulated by FSSAI, covering licensing, inspections, traceability, and labeling. Strong intellectual property protections safeguard brands, and franchising rules support structured partnerships. Environmental regulations increasingly require retailers to manage waste, reduce plastics, enhance energy efficiency, and comply with packaging rules under the Extended Producer Responsibility framework (Chambers and Partners, 2025).</w:t>
      </w:r>
    </w:p>
    <w:p w14:paraId="54066EE1" w14:textId="37FCE8B2" w:rsidR="00890186" w:rsidRDefault="00BD629C" w:rsidP="00BD629C">
      <w:pPr>
        <w:pStyle w:val="Heading3"/>
        <w:rPr>
          <w:lang w:val="en-US"/>
        </w:rPr>
      </w:pPr>
      <w:bookmarkStart w:id="12" w:name="_Toc217140977"/>
      <w:r>
        <w:rPr>
          <w:lang w:val="en-US"/>
        </w:rPr>
        <w:t>Environmental Factor</w:t>
      </w:r>
      <w:bookmarkEnd w:id="12"/>
    </w:p>
    <w:p w14:paraId="1AD93C7B" w14:textId="77777777" w:rsidR="00A43C09" w:rsidRPr="00A43C09" w:rsidRDefault="00A43C09" w:rsidP="00A43C09">
      <w:pPr>
        <w:rPr>
          <w:lang w:val="en-US"/>
        </w:rPr>
      </w:pPr>
      <w:r w:rsidRPr="00A43C09">
        <w:rPr>
          <w:lang w:val="en-US"/>
        </w:rPr>
        <w:t xml:space="preserve">Environmental sustainability is increasingly critical in India’s retail sector. Consumers demand eco-friendly solutions, driving brands to adopt minimalist and biodegradable packaging to reduce plastic waste (Expert Market Research, 2025). Policies like the National Food Processing Policy promote resource efficiency, while climate challenges </w:t>
      </w:r>
      <w:r w:rsidRPr="00A43C09">
        <w:rPr>
          <w:lang w:val="en-US"/>
        </w:rPr>
        <w:lastRenderedPageBreak/>
        <w:t>such as water scarcity and temperature shifts encourage investment in resilient supply chains (Ken Research, 2024).</w:t>
      </w:r>
    </w:p>
    <w:p w14:paraId="1AF1F91A" w14:textId="021EAB27" w:rsidR="00A43C09" w:rsidRPr="00A43C09" w:rsidRDefault="00A43C09" w:rsidP="00A43C09">
      <w:pPr>
        <w:rPr>
          <w:lang w:val="en-US"/>
        </w:rPr>
      </w:pPr>
      <w:r w:rsidRPr="00A43C09">
        <w:rPr>
          <w:lang w:val="en-US"/>
        </w:rPr>
        <w:t>Energy use and waste management are key priorities. Retailers are urged to implement renewable energy, design energy-efficient stores, and minimize food waste, balancing operational efficiency with sustainability. Expanding cold chain infrastructure reduces post-harvest losses but increases energy demands. Consumers now favor brands with strong environmental credentials, giving Sainsbury’s</w:t>
      </w:r>
      <w:r w:rsidR="00062EFB">
        <w:rPr>
          <w:lang w:val="en-US"/>
        </w:rPr>
        <w:t xml:space="preserve"> </w:t>
      </w:r>
      <w:r w:rsidRPr="00A43C09">
        <w:rPr>
          <w:lang w:val="en-US"/>
        </w:rPr>
        <w:t>backed by consecutive A-ratings from the Carbon Disclosure Project and 100% renewable electricity</w:t>
      </w:r>
      <w:r w:rsidR="00062EFB">
        <w:rPr>
          <w:lang w:val="en-US"/>
        </w:rPr>
        <w:t xml:space="preserve"> </w:t>
      </w:r>
      <w:r w:rsidRPr="00A43C09">
        <w:rPr>
          <w:lang w:val="en-US"/>
        </w:rPr>
        <w:t>a distinct competitive edge (J Sainsbury plc, 2024).</w:t>
      </w:r>
    </w:p>
    <w:p w14:paraId="0A434FE7" w14:textId="77777777" w:rsidR="00A43C09" w:rsidRPr="00A43C09" w:rsidRDefault="00A43C09" w:rsidP="00A43C09">
      <w:pPr>
        <w:rPr>
          <w:lang w:val="en-US"/>
        </w:rPr>
      </w:pPr>
    </w:p>
    <w:p w14:paraId="169B4A0E" w14:textId="77777777" w:rsidR="003D2F7F" w:rsidRDefault="003D2F7F" w:rsidP="00305C5F">
      <w:pPr>
        <w:pStyle w:val="Heading2"/>
        <w:rPr>
          <w:lang w:val="en-US"/>
        </w:rPr>
      </w:pPr>
      <w:bookmarkStart w:id="13" w:name="_Toc217140978"/>
      <w:r w:rsidRPr="003D2F7F">
        <w:rPr>
          <w:lang w:val="en-US"/>
        </w:rPr>
        <w:t>The Industry and Competition – Porter’s Five Forces</w:t>
      </w:r>
      <w:bookmarkEnd w:id="13"/>
    </w:p>
    <w:p w14:paraId="76A8BDA8" w14:textId="77777777" w:rsidR="00B12685" w:rsidRDefault="00B12685" w:rsidP="00B12685">
      <w:pPr>
        <w:keepNext/>
      </w:pPr>
      <w:r w:rsidRPr="00B12685">
        <w:rPr>
          <w:noProof/>
          <w:lang w:val="en-US"/>
        </w:rPr>
        <w:drawing>
          <wp:inline distT="0" distB="0" distL="0" distR="0" wp14:anchorId="34C53591" wp14:editId="0429D725">
            <wp:extent cx="5731510" cy="3245485"/>
            <wp:effectExtent l="0" t="0" r="2540" b="0"/>
            <wp:docPr id="15216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8434" name=""/>
                    <pic:cNvPicPr/>
                  </pic:nvPicPr>
                  <pic:blipFill>
                    <a:blip r:embed="rId11"/>
                    <a:stretch>
                      <a:fillRect/>
                    </a:stretch>
                  </pic:blipFill>
                  <pic:spPr>
                    <a:xfrm>
                      <a:off x="0" y="0"/>
                      <a:ext cx="5731510" cy="3245485"/>
                    </a:xfrm>
                    <a:prstGeom prst="rect">
                      <a:avLst/>
                    </a:prstGeom>
                  </pic:spPr>
                </pic:pic>
              </a:graphicData>
            </a:graphic>
          </wp:inline>
        </w:drawing>
      </w:r>
    </w:p>
    <w:p w14:paraId="299BEEE1" w14:textId="6F895F51" w:rsidR="00B12685" w:rsidRPr="00B12685" w:rsidRDefault="00B12685" w:rsidP="00B12685">
      <w:pPr>
        <w:pStyle w:val="Caption"/>
        <w:rPr>
          <w:lang w:val="en-US"/>
        </w:rPr>
      </w:pPr>
      <w:r>
        <w:t xml:space="preserve">Figure </w:t>
      </w:r>
      <w:fldSimple w:instr=" SEQ Figure \* ARABIC ">
        <w:r w:rsidR="00166E15">
          <w:rPr>
            <w:noProof/>
          </w:rPr>
          <w:t>3</w:t>
        </w:r>
      </w:fldSimple>
      <w:r>
        <w:t xml:space="preserve"> </w:t>
      </w:r>
      <w:r w:rsidRPr="00066D96">
        <w:t>Porter’s Five Forces framework (Chatterjee, 2024)</w:t>
      </w:r>
    </w:p>
    <w:p w14:paraId="2A8FA0EF" w14:textId="2F217E00" w:rsidR="00305C5F" w:rsidRDefault="00FF4272" w:rsidP="00FF4272">
      <w:pPr>
        <w:pStyle w:val="Heading3"/>
      </w:pPr>
      <w:bookmarkStart w:id="14" w:name="_Toc217140979"/>
      <w:r>
        <w:t>Competitive Rivalry</w:t>
      </w:r>
      <w:bookmarkEnd w:id="14"/>
    </w:p>
    <w:p w14:paraId="47534CE3" w14:textId="6CA3A826" w:rsidR="006246F1" w:rsidRDefault="00AD4FD2" w:rsidP="006246F1">
      <w:r w:rsidRPr="00AD4FD2">
        <w:t xml:space="preserve">India’s grocery market is highly fragmented and competitive. Traditional kiranas dominate with over 95% of the country’s roughly 12 million stores, relying on strong local ties and flexible credit for customers (Stock Gro, 2025). Modern organised retailers such as Reliance Fresh, D-Mart, Big Bazaar, and Spencer’s Retail are growing in urban areas, while international players like Metro, Amazon, and Walmart </w:t>
      </w:r>
      <w:r w:rsidRPr="00AD4FD2">
        <w:lastRenderedPageBreak/>
        <w:t>(through Flipkart) operate via wholesale or online channels. Competition is fierce, particularly on price, though premium and gourmet stores target affluent consumers seeking imported and specialty products (USDA Foreign Agricultural Service, 2024).</w:t>
      </w:r>
    </w:p>
    <w:p w14:paraId="2E794FF7" w14:textId="2C98019F" w:rsidR="00CE729D" w:rsidRDefault="005B72FD" w:rsidP="005B72FD">
      <w:pPr>
        <w:pStyle w:val="Heading3"/>
      </w:pPr>
      <w:bookmarkStart w:id="15" w:name="_Toc217140980"/>
      <w:r>
        <w:t>Threat of New Entrants</w:t>
      </w:r>
      <w:bookmarkEnd w:id="15"/>
    </w:p>
    <w:p w14:paraId="7D241FD5" w14:textId="7F6EFDDE" w:rsidR="00914704" w:rsidRDefault="00220FE0" w:rsidP="006246F1">
      <w:r w:rsidRPr="00220FE0">
        <w:t>Entering India’s grocery sector requires substantial investment in infrastructure, supply chain systems, technology, and brand development, which can deter smaller players (Singh et al., 2022). However, alternative models such as franchising and online grocery platforms lower the barriers, allowing new players to enter with reduced physical presence. Digital channels in particular have opened opportunities for innovative startups, though sustaining long-term success remains challenging due to intense price competition and high consumer expectations (Online Grocery Market Analysis, 2025).</w:t>
      </w:r>
    </w:p>
    <w:p w14:paraId="50EA8033" w14:textId="77777777" w:rsidR="00D575D5" w:rsidRDefault="00D575D5" w:rsidP="00D575D5">
      <w:pPr>
        <w:pStyle w:val="Heading3"/>
      </w:pPr>
      <w:bookmarkStart w:id="16" w:name="_Toc217140981"/>
      <w:r>
        <w:t>Bargaining Power of Suppliers</w:t>
      </w:r>
      <w:bookmarkEnd w:id="16"/>
      <w:r w:rsidRPr="000E4033">
        <w:t xml:space="preserve"> </w:t>
      </w:r>
    </w:p>
    <w:p w14:paraId="7946C5D4" w14:textId="7A2DFA5B" w:rsidR="006218A9" w:rsidRDefault="000E4033" w:rsidP="006246F1">
      <w:r w:rsidRPr="000E4033">
        <w:t>Supplier influence varies across product types. For basic staples and fresh produce, suppliers have relatively low bargaining power due to a large, fragmented network of farmers. By contrast, suppliers of processed, branded, or imported goods hold more leverage because of quality requirements and fewer alternatives (Journal of Academic Research, 2025). Retailers often address this by creating private</w:t>
      </w:r>
      <w:r w:rsidR="00FC6FF8">
        <w:t xml:space="preserve"> </w:t>
      </w:r>
      <w:r w:rsidRPr="000E4033">
        <w:t>label products, exclusive sourcing agreements, and direct procurement channels, while investments in cold chain logistics improve reliability and reduce dependency on individual suppliers.</w:t>
      </w:r>
    </w:p>
    <w:p w14:paraId="2E07C015" w14:textId="256F3A70" w:rsidR="00647951" w:rsidRPr="001605A5" w:rsidRDefault="008C3CAF" w:rsidP="008C3CAF">
      <w:pPr>
        <w:pStyle w:val="Heading3"/>
        <w:rPr>
          <w:lang w:val="en-US"/>
        </w:rPr>
      </w:pPr>
      <w:bookmarkStart w:id="17" w:name="_Toc217140982"/>
      <w:r>
        <w:t>Bargaining Power of Buyers</w:t>
      </w:r>
      <w:bookmarkEnd w:id="17"/>
    </w:p>
    <w:p w14:paraId="1A17A99A" w14:textId="1175723B" w:rsidR="00BD629C" w:rsidRDefault="001E1E70" w:rsidP="00737B11">
      <w:pPr>
        <w:rPr>
          <w:lang w:val="en-US"/>
        </w:rPr>
      </w:pPr>
      <w:r w:rsidRPr="001E1E70">
        <w:t>Consumers in India hold significant bargaining power. With so many choices</w:t>
      </w:r>
      <w:r w:rsidR="00F106E6">
        <w:t xml:space="preserve"> </w:t>
      </w:r>
      <w:r w:rsidRPr="001E1E70">
        <w:t>from local kiranas and supermarkets to online platforms</w:t>
      </w:r>
      <w:r>
        <w:t xml:space="preserve"> </w:t>
      </w:r>
      <w:r w:rsidRPr="001E1E70">
        <w:t>shoppers can easily switch based on price, convenience, or quality (Yadav &amp; Sagar, 2018). While price sensitivity is high among the majority, urban and health-conscious consumers show willingness to pay more for quality, convenience, and premium offerings. Retailers can tap into these segments through differentiated products, loyalty programmes, and superior customer experience.</w:t>
      </w:r>
    </w:p>
    <w:p w14:paraId="3828373A" w14:textId="79DB725A" w:rsidR="009D7BD1" w:rsidRDefault="009D7BD1" w:rsidP="009D7BD1">
      <w:pPr>
        <w:pStyle w:val="Heading3"/>
      </w:pPr>
      <w:bookmarkStart w:id="18" w:name="_Toc217140983"/>
      <w:r>
        <w:lastRenderedPageBreak/>
        <w:t>Threat of Substitutes</w:t>
      </w:r>
      <w:bookmarkEnd w:id="18"/>
    </w:p>
    <w:p w14:paraId="359CD27C" w14:textId="6252EF0A" w:rsidR="009D7BD1" w:rsidRDefault="00FE4800" w:rsidP="00737B11">
      <w:r w:rsidRPr="00FE4800">
        <w:t>Substitute channels pose a constant challenge. Traditional markets, kiranas, and street vendors provide convenient access to groceries, while online grocery and quick-commerce platforms, including cloud kitchens and D2C brands, cater to fast-paced, convenience-seeking consumers (IMARC Group, 2025; Mordor Intelligence, 2025). Despite these alternatives, organised retailers retain advantages in planned shopping, product variety, and quality assurance. For Sainsbury’s, success in India will depend on combining high-quality products, localised offerings, and a seamless online-offline experience to differentiate itself in a crowded and price-sensitive market.</w:t>
      </w:r>
    </w:p>
    <w:p w14:paraId="6DF24F9B" w14:textId="60325AFB" w:rsidR="002963AE" w:rsidRDefault="00831973" w:rsidP="00831973">
      <w:pPr>
        <w:pStyle w:val="Heading2"/>
      </w:pPr>
      <w:bookmarkStart w:id="19" w:name="_Toc217140984"/>
      <w:r>
        <w:t>Internal Capabilities &amp; Competitive Advantage – VRIO</w:t>
      </w:r>
      <w:bookmarkEnd w:id="19"/>
    </w:p>
    <w:p w14:paraId="161EC5F9" w14:textId="77777777" w:rsidR="00B12685" w:rsidRDefault="00B12685" w:rsidP="00B12685">
      <w:pPr>
        <w:keepNext/>
      </w:pPr>
      <w:r w:rsidRPr="00B12685">
        <w:rPr>
          <w:noProof/>
        </w:rPr>
        <w:drawing>
          <wp:inline distT="0" distB="0" distL="0" distR="0" wp14:anchorId="137FA5B5" wp14:editId="295737A5">
            <wp:extent cx="5731510" cy="2712720"/>
            <wp:effectExtent l="0" t="0" r="2540" b="0"/>
            <wp:docPr id="608115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115823" name=""/>
                    <pic:cNvPicPr/>
                  </pic:nvPicPr>
                  <pic:blipFill>
                    <a:blip r:embed="rId12"/>
                    <a:stretch>
                      <a:fillRect/>
                    </a:stretch>
                  </pic:blipFill>
                  <pic:spPr>
                    <a:xfrm>
                      <a:off x="0" y="0"/>
                      <a:ext cx="5731510" cy="2712720"/>
                    </a:xfrm>
                    <a:prstGeom prst="rect">
                      <a:avLst/>
                    </a:prstGeom>
                  </pic:spPr>
                </pic:pic>
              </a:graphicData>
            </a:graphic>
          </wp:inline>
        </w:drawing>
      </w:r>
    </w:p>
    <w:p w14:paraId="4FE81857" w14:textId="65057C62" w:rsidR="00B12685" w:rsidRDefault="00B12685" w:rsidP="00B12685">
      <w:pPr>
        <w:pStyle w:val="Caption"/>
      </w:pPr>
      <w:r>
        <w:t xml:space="preserve">Figure </w:t>
      </w:r>
      <w:fldSimple w:instr=" SEQ Figure \* ARABIC ">
        <w:r w:rsidR="00166E15">
          <w:rPr>
            <w:noProof/>
          </w:rPr>
          <w:t>4</w:t>
        </w:r>
      </w:fldSimple>
      <w:r>
        <w:t xml:space="preserve"> </w:t>
      </w:r>
      <w:r w:rsidRPr="00287761">
        <w:t>VRIO framework diagram (de Bruin, 2016)</w:t>
      </w:r>
    </w:p>
    <w:p w14:paraId="59D23A4B" w14:textId="77777777" w:rsidR="00B12685" w:rsidRPr="00B12685" w:rsidRDefault="00B12685" w:rsidP="00B12685"/>
    <w:p w14:paraId="1E98095B" w14:textId="2CFF0D14" w:rsidR="000107B3" w:rsidRPr="000107B3" w:rsidRDefault="000107B3" w:rsidP="000107B3">
      <w:r w:rsidRPr="000107B3">
        <w:rPr>
          <w:b/>
          <w:bCs/>
        </w:rPr>
        <w:t>VRIO Analysis</w:t>
      </w:r>
      <w:r w:rsidRPr="000107B3">
        <w:t xml:space="preserve"> is a strategic framework used to evaluate a company’s internal resources and capabilities to identify potential sources of sustainable competitive advantage. The acronym stands for </w:t>
      </w:r>
      <w:r w:rsidRPr="000107B3">
        <w:rPr>
          <w:b/>
          <w:bCs/>
        </w:rPr>
        <w:t>Value, Rarity, Imitability, and Organisation</w:t>
      </w:r>
      <w:r w:rsidRPr="000107B3">
        <w:t>, helping firms assess whether resources create value, are scarce, hard to copy, and effectively leveraged by the organisation. It is used to guide strategic decisions, focus on key strengths, and prioritise resources that can differentiate a company from competitors (Barney and Hesterly, 2019).</w:t>
      </w:r>
    </w:p>
    <w:p w14:paraId="3D39E19D" w14:textId="3CE89A28" w:rsidR="00831973" w:rsidRDefault="00DA4AE7" w:rsidP="00DA4AE7">
      <w:pPr>
        <w:pStyle w:val="Heading3"/>
      </w:pPr>
      <w:bookmarkStart w:id="20" w:name="_Toc217140985"/>
      <w:r w:rsidRPr="00DA4AE7">
        <w:lastRenderedPageBreak/>
        <w:t xml:space="preserve">Brand </w:t>
      </w:r>
      <w:r w:rsidRPr="007D2999">
        <w:t>Reputation (Valuable, Rare, Inimitable, Organised</w:t>
      </w:r>
      <w:r w:rsidRPr="00DA4AE7">
        <w:t>)</w:t>
      </w:r>
      <w:bookmarkEnd w:id="20"/>
    </w:p>
    <w:p w14:paraId="3595D707" w14:textId="29785C3D" w:rsidR="0081589E" w:rsidRDefault="0081589E" w:rsidP="0081589E">
      <w:r w:rsidRPr="0081589E">
        <w:t>Sainsbury’s long-standing heritage has built a strong brand synonymous with quality, reliability, and customer trust. With over 150 years in the UK market, the company’s focus on consistent product quality and excellent service has created a powerful intangible asset (J Sainsbury plc, 2025; Reuters, 2024). Loyalty initiatives, such as the Nectar programme, deepen customer engagement by offering personalised rewards and promotions, which strengthens brand loyalty and reduces acquisition costs (Retail Gazette, 2025; J Sainsbury plc, 2025). Internationally, British brands are often viewed as premium and trustworthy, giving Sainsbury’s a rare and hard</w:t>
      </w:r>
      <w:r w:rsidR="000C08AA">
        <w:t xml:space="preserve"> </w:t>
      </w:r>
      <w:r w:rsidRPr="0081589E">
        <w:t>to</w:t>
      </w:r>
      <w:r w:rsidR="000C08AA">
        <w:t xml:space="preserve"> </w:t>
      </w:r>
      <w:r w:rsidRPr="0081589E">
        <w:t>replicate advantage that new entrants would find difficult to achieve quickly.</w:t>
      </w:r>
    </w:p>
    <w:p w14:paraId="2B1617A9" w14:textId="7252461D" w:rsidR="007D2999" w:rsidRPr="007D2999" w:rsidRDefault="007D2999" w:rsidP="007D2999">
      <w:pPr>
        <w:pStyle w:val="Heading3"/>
        <w:rPr>
          <w:lang w:val="en-US"/>
        </w:rPr>
      </w:pPr>
      <w:bookmarkStart w:id="21" w:name="_Toc217140986"/>
      <w:r w:rsidRPr="007D2999">
        <w:rPr>
          <w:lang w:val="en-US"/>
        </w:rPr>
        <w:t>Supply Chain Strength (Valuable, Common, Inimitable, Organized)</w:t>
      </w:r>
      <w:bookmarkEnd w:id="21"/>
    </w:p>
    <w:p w14:paraId="09967E59" w14:textId="6A8E238D" w:rsidR="007D2999" w:rsidRDefault="007D2999" w:rsidP="007D2999">
      <w:pPr>
        <w:rPr>
          <w:lang w:val="en-US"/>
        </w:rPr>
      </w:pPr>
      <w:r w:rsidRPr="007D2999">
        <w:rPr>
          <w:lang w:val="en-US"/>
        </w:rPr>
        <w:t xml:space="preserve">Sainsbury’s supply chain is a core operational strength, integrating sophisticated procurement, quality checks, inventory management, and distribution networks to ensure product freshness and availability. These systems are valuable because they drive cost efficiency, reduce waste, and improve customer satisfaction. While supply chain excellence is common among large grocery retailers, Sainsbury’s experience in managing complex logistics and building long-term supplier relationships is difficult to imitate (McKinsey &amp; Company, 2025; J Sainsbury plc, 2025). </w:t>
      </w:r>
      <w:r w:rsidR="009B43B0" w:rsidRPr="007D2999">
        <w:rPr>
          <w:lang w:val="en-US"/>
        </w:rPr>
        <w:t>Organizationally</w:t>
      </w:r>
      <w:r w:rsidRPr="007D2999">
        <w:rPr>
          <w:lang w:val="en-US"/>
        </w:rPr>
        <w:t xml:space="preserve">, established teams and continuous improvement processes allow Sainsbury’s to leverage these capabilities effectively, although </w:t>
      </w:r>
      <w:r w:rsidR="009B43B0" w:rsidRPr="007D2999">
        <w:rPr>
          <w:lang w:val="en-US"/>
        </w:rPr>
        <w:t>localization</w:t>
      </w:r>
      <w:r w:rsidRPr="007D2999">
        <w:rPr>
          <w:lang w:val="en-US"/>
        </w:rPr>
        <w:t xml:space="preserve"> will be needed to adapt to India’s diverse sourcing and infrastructure conditions.</w:t>
      </w:r>
    </w:p>
    <w:p w14:paraId="16ECD416" w14:textId="1828B67B" w:rsidR="007C4978" w:rsidRPr="007C4978" w:rsidRDefault="007C4978" w:rsidP="007C4978">
      <w:pPr>
        <w:pStyle w:val="Heading3"/>
        <w:rPr>
          <w:lang w:val="en-US"/>
        </w:rPr>
      </w:pPr>
      <w:bookmarkStart w:id="22" w:name="_Toc217140987"/>
      <w:r w:rsidRPr="007C4978">
        <w:rPr>
          <w:lang w:val="en-US"/>
        </w:rPr>
        <w:t>Private Label Capability (Valuable, Rare, Inimitable, Organized)</w:t>
      </w:r>
      <w:bookmarkEnd w:id="22"/>
    </w:p>
    <w:p w14:paraId="16911C0C" w14:textId="021F9277" w:rsidR="007C4978" w:rsidRDefault="007C4978" w:rsidP="007C4978">
      <w:pPr>
        <w:rPr>
          <w:lang w:val="en-US"/>
        </w:rPr>
      </w:pPr>
      <w:r w:rsidRPr="007C4978">
        <w:rPr>
          <w:lang w:val="en-US"/>
        </w:rPr>
        <w:t>Sainsbury’s has extensive expertise in developing private label products, from market research and supplier coordination to packaging and pricing strategies. Private labels provide higher margins, supply chain control, and differentiation</w:t>
      </w:r>
      <w:r>
        <w:rPr>
          <w:lang w:val="en-US"/>
        </w:rPr>
        <w:t xml:space="preserve"> </w:t>
      </w:r>
      <w:r w:rsidRPr="007C4978">
        <w:rPr>
          <w:lang w:val="en-US"/>
        </w:rPr>
        <w:t xml:space="preserve">particularly important in price-sensitive markets like India. With the rising popularity of in-house brands, Sainsbury’s can capitalize on this growing segment (Ernst &amp; Young, 2025; Entrepreneur India, 2025). The know-how required to design, source, and maintain quality for private labels is hard for competitors to replicate quickly. By leveraging dedicated teams and structured processes, Sainsbury’s can successfully introduce </w:t>
      </w:r>
      <w:r w:rsidRPr="007C4978">
        <w:rPr>
          <w:lang w:val="en-US"/>
        </w:rPr>
        <w:lastRenderedPageBreak/>
        <w:t xml:space="preserve">private labels in India, though </w:t>
      </w:r>
      <w:r w:rsidR="00C67211" w:rsidRPr="007C4978">
        <w:rPr>
          <w:lang w:val="en-US"/>
        </w:rPr>
        <w:t>localization</w:t>
      </w:r>
      <w:r w:rsidRPr="007C4978">
        <w:rPr>
          <w:lang w:val="en-US"/>
        </w:rPr>
        <w:t xml:space="preserve"> and regulatory compliance will be crucial for consumer trust.</w:t>
      </w:r>
    </w:p>
    <w:p w14:paraId="2B808897" w14:textId="685E0325" w:rsidR="00BB65D5" w:rsidRPr="00BB65D5" w:rsidRDefault="00BB65D5" w:rsidP="00EE5A4B">
      <w:pPr>
        <w:pStyle w:val="Heading3"/>
        <w:rPr>
          <w:lang w:val="en-US"/>
        </w:rPr>
      </w:pPr>
      <w:bookmarkStart w:id="23" w:name="_Toc217140988"/>
      <w:r w:rsidRPr="00BB65D5">
        <w:rPr>
          <w:lang w:val="en-US"/>
        </w:rPr>
        <w:t>Omnichannel Integration (Valuable, Common, Organized)</w:t>
      </w:r>
      <w:bookmarkEnd w:id="23"/>
    </w:p>
    <w:p w14:paraId="7D04D774" w14:textId="2A8BF3B4" w:rsidR="00BB65D5" w:rsidRDefault="00BB65D5" w:rsidP="00BB65D5">
      <w:pPr>
        <w:rPr>
          <w:lang w:val="en-US"/>
        </w:rPr>
      </w:pPr>
      <w:r w:rsidRPr="00BB65D5">
        <w:rPr>
          <w:lang w:val="en-US"/>
        </w:rPr>
        <w:t>Sainsbury’s combines physical stores, e-commerce, mobile apps, and loyalty systems to create seamless shopping experiences. These capabilities are valuable in India, where consumers increasingly mix online and offline shopping (McKinsey &amp; Company, 2025). However, omnichannel strategies are becoming common in both global and Indian retail, with players such as BigBasket, JioMart, and Blinkit already leveraging advanced digital platforms (Retail Gazette, 2025). Sainsbury’s strength lies in integrating physical and digital channels effectively, supported by technology, logistics, and data analytics, though the company must localize experiences to gain a competitive edge in India.</w:t>
      </w:r>
    </w:p>
    <w:p w14:paraId="78460252" w14:textId="512C435F" w:rsidR="00334BE5" w:rsidRPr="00334BE5" w:rsidRDefault="00334BE5" w:rsidP="00334BE5">
      <w:pPr>
        <w:pStyle w:val="Heading3"/>
        <w:rPr>
          <w:lang w:val="en-US"/>
        </w:rPr>
      </w:pPr>
      <w:bookmarkStart w:id="24" w:name="_Toc217140989"/>
      <w:r w:rsidRPr="00334BE5">
        <w:rPr>
          <w:lang w:val="en-US"/>
        </w:rPr>
        <w:t>Operational Efficiency and Store Management (Valuable, Common, Organized)</w:t>
      </w:r>
      <w:bookmarkEnd w:id="24"/>
    </w:p>
    <w:p w14:paraId="30D3F0BC" w14:textId="11B28920" w:rsidR="00334BE5" w:rsidRPr="00334BE5" w:rsidRDefault="00334BE5" w:rsidP="00334BE5">
      <w:pPr>
        <w:rPr>
          <w:lang w:val="en-US"/>
        </w:rPr>
      </w:pPr>
      <w:r w:rsidRPr="00334BE5">
        <w:rPr>
          <w:lang w:val="en-US"/>
        </w:rPr>
        <w:t>Sainsbury’s standardized store procedures, workforce training, point</w:t>
      </w:r>
      <w:r w:rsidR="000F5F49">
        <w:rPr>
          <w:lang w:val="en-US"/>
        </w:rPr>
        <w:t xml:space="preserve"> </w:t>
      </w:r>
      <w:r w:rsidRPr="00334BE5">
        <w:rPr>
          <w:lang w:val="en-US"/>
        </w:rPr>
        <w:t>of</w:t>
      </w:r>
      <w:r w:rsidR="000F5F49">
        <w:rPr>
          <w:lang w:val="en-US"/>
        </w:rPr>
        <w:t xml:space="preserve"> </w:t>
      </w:r>
      <w:r w:rsidRPr="00334BE5">
        <w:rPr>
          <w:lang w:val="en-US"/>
        </w:rPr>
        <w:t>sale systems, and service standards enable consistent customer experiences and efficient operations. These systems allow rapid store rollout and scalability, while maintaining quality. Although operational efficiency is common among leading grocery retailers, Sainsbury’s strong organizational focus on training and continuous improvement supports a smooth market entry in India (McKinsey &amp; Company, 2025). Local adaptations for labor laws, service expectations, and regulatory requirements will be necessary, but the company’s structured approach provides a solid foundation for sustained growth.</w:t>
      </w:r>
    </w:p>
    <w:p w14:paraId="2C6EFD98" w14:textId="5C85860E" w:rsidR="00EE5A4B" w:rsidRDefault="009A2C9A" w:rsidP="00862B76">
      <w:pPr>
        <w:pStyle w:val="Heading2"/>
        <w:rPr>
          <w:lang w:val="en-US"/>
        </w:rPr>
      </w:pPr>
      <w:bookmarkStart w:id="25" w:name="_Toc217140990"/>
      <w:r>
        <w:rPr>
          <w:lang w:val="en-US"/>
        </w:rPr>
        <w:lastRenderedPageBreak/>
        <w:t xml:space="preserve">Porter’s </w:t>
      </w:r>
      <w:r w:rsidR="00862B76">
        <w:rPr>
          <w:lang w:val="en-US"/>
        </w:rPr>
        <w:t>Diamond Model</w:t>
      </w:r>
      <w:bookmarkEnd w:id="25"/>
      <w:r w:rsidR="00862B76">
        <w:rPr>
          <w:lang w:val="en-US"/>
        </w:rPr>
        <w:t xml:space="preserve"> </w:t>
      </w:r>
    </w:p>
    <w:p w14:paraId="0653E574" w14:textId="77777777" w:rsidR="0045792E" w:rsidRDefault="0045792E" w:rsidP="0045792E">
      <w:pPr>
        <w:keepNext/>
        <w:ind w:left="1134" w:firstLine="284"/>
      </w:pPr>
      <w:r w:rsidRPr="0045792E">
        <w:rPr>
          <w:noProof/>
          <w:lang w:val="en-US"/>
        </w:rPr>
        <w:drawing>
          <wp:inline distT="0" distB="0" distL="0" distR="0" wp14:anchorId="248B4E07" wp14:editId="0F3D31AC">
            <wp:extent cx="3600953" cy="3277057"/>
            <wp:effectExtent l="0" t="0" r="0" b="0"/>
            <wp:docPr id="97994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940728" name=""/>
                    <pic:cNvPicPr/>
                  </pic:nvPicPr>
                  <pic:blipFill>
                    <a:blip r:embed="rId13"/>
                    <a:stretch>
                      <a:fillRect/>
                    </a:stretch>
                  </pic:blipFill>
                  <pic:spPr>
                    <a:xfrm>
                      <a:off x="0" y="0"/>
                      <a:ext cx="3600953" cy="3277057"/>
                    </a:xfrm>
                    <a:prstGeom prst="rect">
                      <a:avLst/>
                    </a:prstGeom>
                  </pic:spPr>
                </pic:pic>
              </a:graphicData>
            </a:graphic>
          </wp:inline>
        </w:drawing>
      </w:r>
    </w:p>
    <w:p w14:paraId="5D62B60B" w14:textId="1DE9CCF8" w:rsidR="0045792E" w:rsidRDefault="0045792E" w:rsidP="0045792E">
      <w:pPr>
        <w:pStyle w:val="Caption"/>
      </w:pPr>
      <w:r>
        <w:t xml:space="preserve">Figure </w:t>
      </w:r>
      <w:fldSimple w:instr=" SEQ Figure \* ARABIC ">
        <w:r w:rsidR="00166E15">
          <w:rPr>
            <w:noProof/>
          </w:rPr>
          <w:t>5</w:t>
        </w:r>
      </w:fldSimple>
      <w:r>
        <w:t xml:space="preserve"> </w:t>
      </w:r>
      <w:r w:rsidRPr="002E1385">
        <w:t>Porter’s Diamond Model diagram (G, 2018)</w:t>
      </w:r>
    </w:p>
    <w:p w14:paraId="04CA7A94" w14:textId="77777777" w:rsidR="0045792E" w:rsidRPr="0045792E" w:rsidRDefault="0045792E" w:rsidP="0045792E">
      <w:pPr>
        <w:rPr>
          <w:lang w:val="en-US"/>
        </w:rPr>
      </w:pPr>
    </w:p>
    <w:p w14:paraId="5CFA96FD" w14:textId="4D30386D" w:rsidR="00862B76" w:rsidRDefault="004A17C1" w:rsidP="00BB65D5">
      <w:r w:rsidRPr="004A17C1">
        <w:rPr>
          <w:b/>
          <w:bCs/>
        </w:rPr>
        <w:t>Porter’s Diamond Model</w:t>
      </w:r>
      <w:r w:rsidRPr="004A17C1">
        <w:t xml:space="preserve"> is a framework that explains why some nations gain competitive advantage in specific industries. It examines </w:t>
      </w:r>
      <w:r w:rsidRPr="004A17C1">
        <w:rPr>
          <w:b/>
          <w:bCs/>
        </w:rPr>
        <w:t>factor conditions, demand, related industries, and firm strategy</w:t>
      </w:r>
      <w:r w:rsidRPr="004A17C1">
        <w:t xml:space="preserve">, along with the influence of </w:t>
      </w:r>
      <w:r w:rsidRPr="004A17C1">
        <w:rPr>
          <w:b/>
          <w:bCs/>
        </w:rPr>
        <w:t>government and chance</w:t>
      </w:r>
      <w:r w:rsidRPr="004A17C1">
        <w:t>, to assess national competitiveness and guide investment decisions (Porter, 1990; Rugman and Collinson, 2012).</w:t>
      </w:r>
    </w:p>
    <w:p w14:paraId="387238D9" w14:textId="77777777" w:rsidR="00496FE9" w:rsidRPr="00496FE9" w:rsidRDefault="00496FE9" w:rsidP="00496FE9">
      <w:pPr>
        <w:pStyle w:val="Heading3"/>
        <w:rPr>
          <w:lang w:val="en-US"/>
        </w:rPr>
      </w:pPr>
      <w:bookmarkStart w:id="26" w:name="_Toc217140991"/>
      <w:r w:rsidRPr="00496FE9">
        <w:rPr>
          <w:lang w:val="en-US"/>
        </w:rPr>
        <w:t>Factor Conditions</w:t>
      </w:r>
      <w:bookmarkEnd w:id="26"/>
    </w:p>
    <w:p w14:paraId="10FB9F26" w14:textId="61EE7F38" w:rsidR="00496FE9" w:rsidRDefault="00496FE9" w:rsidP="00496FE9">
      <w:pPr>
        <w:rPr>
          <w:lang w:val="en-US"/>
        </w:rPr>
      </w:pPr>
      <w:r w:rsidRPr="00496FE9">
        <w:rPr>
          <w:lang w:val="en-US"/>
        </w:rPr>
        <w:t>India offers several key advantages that make it attractive for organized retail. Its retail market is huge, and while still developing, it provides opportunities for foreign retailers to scale efficiently. The country has a large workforce and is gradually improving infrastructure and technology, which makes operations like supply chain management and digital payments easier to implement. These conditions give retailers like Sainsbury’s the chance to set up modern stores while keeping costs relatively competitive (Kaushal, 2016; Mathew, 2025).</w:t>
      </w:r>
    </w:p>
    <w:p w14:paraId="161C14F0" w14:textId="77777777" w:rsidR="00645AA2" w:rsidRPr="00645AA2" w:rsidRDefault="00645AA2" w:rsidP="00645AA2">
      <w:pPr>
        <w:pStyle w:val="Heading3"/>
        <w:rPr>
          <w:lang w:val="en-US"/>
        </w:rPr>
      </w:pPr>
      <w:bookmarkStart w:id="27" w:name="_Toc217140992"/>
      <w:r w:rsidRPr="00645AA2">
        <w:rPr>
          <w:lang w:val="en-US"/>
        </w:rPr>
        <w:lastRenderedPageBreak/>
        <w:t>Demand Conditions</w:t>
      </w:r>
      <w:bookmarkEnd w:id="27"/>
    </w:p>
    <w:p w14:paraId="4E5BF961" w14:textId="194D7A9A" w:rsidR="00645AA2" w:rsidRDefault="00645AA2" w:rsidP="00645AA2">
      <w:pPr>
        <w:rPr>
          <w:lang w:val="en-US"/>
        </w:rPr>
      </w:pPr>
      <w:r w:rsidRPr="00645AA2">
        <w:rPr>
          <w:lang w:val="en-US"/>
        </w:rPr>
        <w:t>Indian consumers are increasingly looking for variety, quality, and convenience. Rising incomes and urbanization are changing shopping habits, with more people seeking organized retail experiences. This trend is expected to continue, with the market projected to reach around US$1 trillion by 2030. For Sainsbury’s, this means a large and growing customer base that is receptive to international retail brands and higher-quality products (Saluja, 2025; Economic Times, 2025).</w:t>
      </w:r>
    </w:p>
    <w:p w14:paraId="737B5B8F" w14:textId="77777777" w:rsidR="00645AA2" w:rsidRPr="00645AA2" w:rsidRDefault="00645AA2" w:rsidP="004010FA">
      <w:pPr>
        <w:pStyle w:val="Heading3"/>
        <w:rPr>
          <w:lang w:val="en-US"/>
        </w:rPr>
      </w:pPr>
      <w:bookmarkStart w:id="28" w:name="_Toc217140993"/>
      <w:r w:rsidRPr="00645AA2">
        <w:rPr>
          <w:lang w:val="en-US"/>
        </w:rPr>
        <w:t>Related and Supporting Industries</w:t>
      </w:r>
      <w:bookmarkEnd w:id="28"/>
    </w:p>
    <w:p w14:paraId="5E746C5E" w14:textId="0214B43E" w:rsidR="00645AA2" w:rsidRDefault="00645AA2" w:rsidP="00645AA2">
      <w:pPr>
        <w:rPr>
          <w:lang w:val="en-US"/>
        </w:rPr>
      </w:pPr>
      <w:r w:rsidRPr="00645AA2">
        <w:rPr>
          <w:lang w:val="en-US"/>
        </w:rPr>
        <w:t>India’s retail growth is supported by industries like logistics, e-commerce, and retail real estate. Modern supply chains and the expansion of online shopping platforms make it easier for international retailers to integrate physical and digital stores. Rapid infrastructure development, including the rise of modern retail spaces, further supports this growth. These related industries provide a strong backbone for Sainsbury’s to establish a smooth and efficient operation (Economic Times, 2025).</w:t>
      </w:r>
    </w:p>
    <w:p w14:paraId="225D22D4" w14:textId="77777777" w:rsidR="004010FA" w:rsidRPr="004010FA" w:rsidRDefault="004010FA" w:rsidP="004010FA">
      <w:pPr>
        <w:pStyle w:val="Heading3"/>
        <w:rPr>
          <w:lang w:val="en-US"/>
        </w:rPr>
      </w:pPr>
      <w:bookmarkStart w:id="29" w:name="_Toc217140994"/>
      <w:r w:rsidRPr="004010FA">
        <w:rPr>
          <w:lang w:val="en-US"/>
        </w:rPr>
        <w:t>Firm Strategy, Structure and Rivalry</w:t>
      </w:r>
      <w:bookmarkEnd w:id="29"/>
    </w:p>
    <w:p w14:paraId="6A0DE718" w14:textId="66C5E8E0" w:rsidR="004010FA" w:rsidRDefault="004010FA" w:rsidP="004010FA">
      <w:pPr>
        <w:rPr>
          <w:lang w:val="en-US"/>
        </w:rPr>
      </w:pPr>
      <w:r w:rsidRPr="004010FA">
        <w:rPr>
          <w:lang w:val="en-US"/>
        </w:rPr>
        <w:t xml:space="preserve">Competition in India is intense, with both established domestic chains and smaller traditional shops vying for market share. This competitive pressure encourages innovation in pricing, store formats, and customer service. For Sainsbury’s, entering this market means it must combine its global expertise with local insights to stand out. The relatively low penetration of </w:t>
      </w:r>
      <w:r w:rsidR="00A66EB3" w:rsidRPr="004010FA">
        <w:rPr>
          <w:lang w:val="en-US"/>
        </w:rPr>
        <w:t>organized</w:t>
      </w:r>
      <w:r w:rsidRPr="004010FA">
        <w:rPr>
          <w:lang w:val="en-US"/>
        </w:rPr>
        <w:t xml:space="preserve"> retail provides room to differentiate through quality, service, and unique product offerings (Kaushal, 2016).</w:t>
      </w:r>
    </w:p>
    <w:p w14:paraId="2D9C567E" w14:textId="77777777" w:rsidR="004010FA" w:rsidRPr="004010FA" w:rsidRDefault="004010FA" w:rsidP="004010FA">
      <w:pPr>
        <w:pStyle w:val="Heading3"/>
        <w:rPr>
          <w:lang w:val="en-US"/>
        </w:rPr>
      </w:pPr>
      <w:bookmarkStart w:id="30" w:name="_Toc217140995"/>
      <w:r w:rsidRPr="004010FA">
        <w:rPr>
          <w:lang w:val="en-US"/>
        </w:rPr>
        <w:t>Government</w:t>
      </w:r>
      <w:bookmarkEnd w:id="30"/>
    </w:p>
    <w:p w14:paraId="61AEDBCA" w14:textId="77777777" w:rsidR="004010FA" w:rsidRDefault="004010FA" w:rsidP="004010FA">
      <w:pPr>
        <w:rPr>
          <w:lang w:val="en-US"/>
        </w:rPr>
      </w:pPr>
      <w:r w:rsidRPr="004010FA">
        <w:rPr>
          <w:lang w:val="en-US"/>
        </w:rPr>
        <w:t>India has implemented policies that encourage foreign investment in retail, including allowing 100% FDI in single-brand stores and up to 51% in multi-brand stores with certain conditions. Coupled with reforms like digital payments and GST, these measures make it easier for international companies to operate while ensuring compliance with local regulations. While bureaucracy can sometimes slow things down, the overall policy environment supports foreign retailers entering the market (Kundgir, 2024).</w:t>
      </w:r>
    </w:p>
    <w:p w14:paraId="3314F438" w14:textId="77777777" w:rsidR="00D120E3" w:rsidRPr="00D120E3" w:rsidRDefault="00D120E3" w:rsidP="00D120E3">
      <w:pPr>
        <w:pStyle w:val="Heading3"/>
        <w:rPr>
          <w:lang w:val="en-US"/>
        </w:rPr>
      </w:pPr>
      <w:bookmarkStart w:id="31" w:name="_Toc217140996"/>
      <w:r w:rsidRPr="00D120E3">
        <w:rPr>
          <w:lang w:val="en-US"/>
        </w:rPr>
        <w:lastRenderedPageBreak/>
        <w:t>Chance</w:t>
      </w:r>
      <w:bookmarkEnd w:id="31"/>
    </w:p>
    <w:p w14:paraId="45E9C8DB" w14:textId="533377AF" w:rsidR="00D120E3" w:rsidRPr="00D120E3" w:rsidRDefault="00D120E3" w:rsidP="00D120E3">
      <w:pPr>
        <w:rPr>
          <w:lang w:val="en-US"/>
        </w:rPr>
      </w:pPr>
      <w:r w:rsidRPr="00D120E3">
        <w:rPr>
          <w:lang w:val="en-US"/>
        </w:rPr>
        <w:t>Global retail trends, such as the move toward online shopping, sustainability, and omnichannel retail, fit well with India’s tech</w:t>
      </w:r>
      <w:r>
        <w:rPr>
          <w:lang w:val="en-US"/>
        </w:rPr>
        <w:t xml:space="preserve"> </w:t>
      </w:r>
      <w:r w:rsidRPr="00D120E3">
        <w:rPr>
          <w:lang w:val="en-US"/>
        </w:rPr>
        <w:t>savvy population. Young consumers are increasingly comfortable with e-commerce and digital services, which creates opportunities for retailers like Sainsbury’s to innovate and integrate technology into their business model. These chance factors can accelerate growth and help establish a competitive presence (Economic Times, 2025).</w:t>
      </w:r>
    </w:p>
    <w:p w14:paraId="68544C19" w14:textId="650866B9" w:rsidR="004010FA" w:rsidRDefault="0092261D" w:rsidP="0092261D">
      <w:pPr>
        <w:pStyle w:val="Heading2"/>
      </w:pPr>
      <w:bookmarkStart w:id="32" w:name="_Toc217140997"/>
      <w:r w:rsidRPr="0092261D">
        <w:t>Critical Evaluation of Strategic Frameworks</w:t>
      </w:r>
      <w:bookmarkEnd w:id="32"/>
    </w:p>
    <w:p w14:paraId="62467CC6" w14:textId="1F9AB6D0" w:rsidR="0013281D" w:rsidRPr="0013281D" w:rsidRDefault="0013281D" w:rsidP="0013281D">
      <w:pPr>
        <w:rPr>
          <w:lang w:val="en-US"/>
        </w:rPr>
      </w:pPr>
      <w:r w:rsidRPr="0013281D">
        <w:rPr>
          <w:lang w:val="en-US"/>
        </w:rPr>
        <w:t>Sainsbury’s expansion into India offers significant growth opportunities but comes with challenges. Regulatory reforms like 100% FDI in single-brand retail and limits for multi-brand investment create a supportive environment, yet navigating state</w:t>
      </w:r>
      <w:r w:rsidR="00F169F6">
        <w:rPr>
          <w:lang w:val="en-US"/>
        </w:rPr>
        <w:t xml:space="preserve"> </w:t>
      </w:r>
      <w:r w:rsidRPr="0013281D">
        <w:rPr>
          <w:lang w:val="en-US"/>
        </w:rPr>
        <w:t>specific rules and strict food safety standards may increase costs and slow entry (Baker McKenzie, 2024; Bhurat, Bhurat &amp; Dhoot, 2025).</w:t>
      </w:r>
    </w:p>
    <w:p w14:paraId="452D91EB" w14:textId="46989E78" w:rsidR="0013281D" w:rsidRPr="0013281D" w:rsidRDefault="0013281D" w:rsidP="0013281D">
      <w:pPr>
        <w:rPr>
          <w:lang w:val="en-US"/>
        </w:rPr>
      </w:pPr>
      <w:r w:rsidRPr="0013281D">
        <w:rPr>
          <w:lang w:val="en-US"/>
        </w:rPr>
        <w:t xml:space="preserve">Economic growth, rising urban incomes, and digital adoption support demand for premium and convenient grocery products and enable omnichannel strategies (Aggarwal, 2025; Ken Research, 2024). A young, urban, and health-conscious population, combined with technological advances such as cold chain logistics and cloud kitchens, enhances opportunities, though diverse dietary preferences require </w:t>
      </w:r>
      <w:r w:rsidR="00A66EB3" w:rsidRPr="0013281D">
        <w:rPr>
          <w:lang w:val="en-US"/>
        </w:rPr>
        <w:t>localized</w:t>
      </w:r>
      <w:r w:rsidRPr="0013281D">
        <w:rPr>
          <w:lang w:val="en-US"/>
        </w:rPr>
        <w:t xml:space="preserve"> offerings (IMARC Group, 2025).</w:t>
      </w:r>
    </w:p>
    <w:p w14:paraId="0043C3FC" w14:textId="04D64998" w:rsidR="0013281D" w:rsidRPr="0013281D" w:rsidRDefault="0013281D" w:rsidP="0013281D">
      <w:pPr>
        <w:rPr>
          <w:lang w:val="en-US"/>
        </w:rPr>
      </w:pPr>
      <w:r w:rsidRPr="0013281D">
        <w:rPr>
          <w:lang w:val="en-US"/>
        </w:rPr>
        <w:t xml:space="preserve">Porter’s Five Forces indicate high competition from kiranas and </w:t>
      </w:r>
      <w:r w:rsidR="00A66EB3" w:rsidRPr="0013281D">
        <w:rPr>
          <w:lang w:val="en-US"/>
        </w:rPr>
        <w:t>organized</w:t>
      </w:r>
      <w:r w:rsidRPr="0013281D">
        <w:rPr>
          <w:lang w:val="en-US"/>
        </w:rPr>
        <w:t xml:space="preserve"> chains like D-Mart and Reliance Fresh, with moderate entry barriers and supplier power varying by product type. Differentiation through quality, private labels, and loyalty programs is essential to compete effectively (Stock Gro, 2025; Singh et al., 2022).</w:t>
      </w:r>
    </w:p>
    <w:p w14:paraId="42C24555" w14:textId="16407718" w:rsidR="0013281D" w:rsidRPr="0013281D" w:rsidRDefault="0013281D" w:rsidP="0013281D">
      <w:pPr>
        <w:rPr>
          <w:lang w:val="en-US"/>
        </w:rPr>
      </w:pPr>
      <w:r w:rsidRPr="0013281D">
        <w:rPr>
          <w:lang w:val="en-US"/>
        </w:rPr>
        <w:t>VRIO analysis shows Sainsbury’s brand, supply chain, private label expertise, operational efficiency, and omnichannel integration as potential advantages, but these require adaptation to India’s fragmented supply chains and diverse consumer expectations to be sustainable (Barney &amp; Hesterly, 2019).</w:t>
      </w:r>
    </w:p>
    <w:p w14:paraId="31EA9CDB" w14:textId="34FA226E" w:rsidR="0013281D" w:rsidRPr="0013281D" w:rsidRDefault="0013281D" w:rsidP="0013281D">
      <w:pPr>
        <w:rPr>
          <w:lang w:val="en-US"/>
        </w:rPr>
      </w:pPr>
      <w:r w:rsidRPr="0013281D">
        <w:rPr>
          <w:lang w:val="en-US"/>
        </w:rPr>
        <w:t xml:space="preserve">Porter’s Diamond Model highlights </w:t>
      </w:r>
      <w:r w:rsidR="00A66EB3" w:rsidRPr="0013281D">
        <w:rPr>
          <w:lang w:val="en-US"/>
        </w:rPr>
        <w:t>favorable</w:t>
      </w:r>
      <w:r w:rsidRPr="0013281D">
        <w:rPr>
          <w:lang w:val="en-US"/>
        </w:rPr>
        <w:t xml:space="preserve"> factor conditions, strong demand, and supportive related industries, yet intense domestic competition and operational complexity necessitate innovation and local partnerships. Government initiatives and </w:t>
      </w:r>
      <w:r w:rsidRPr="0013281D">
        <w:rPr>
          <w:lang w:val="en-US"/>
        </w:rPr>
        <w:lastRenderedPageBreak/>
        <w:t>global trends like sustainability and digital retail offer additional opportunities, but effective execution is key (Economic Times, 2025; Kundgir, 2024).</w:t>
      </w:r>
    </w:p>
    <w:p w14:paraId="109050A8" w14:textId="6CFF2A89" w:rsidR="0013281D" w:rsidRDefault="0013281D" w:rsidP="0013281D">
      <w:pPr>
        <w:rPr>
          <w:lang w:val="en-US"/>
        </w:rPr>
      </w:pPr>
      <w:r w:rsidRPr="0013281D">
        <w:rPr>
          <w:lang w:val="en-US"/>
        </w:rPr>
        <w:t xml:space="preserve">In summary, India is a high-potential market for Sainsbury’s. Success depends on leveraging global strengths while </w:t>
      </w:r>
      <w:r w:rsidR="00A66EB3" w:rsidRPr="0013281D">
        <w:rPr>
          <w:lang w:val="en-US"/>
        </w:rPr>
        <w:t>localizing</w:t>
      </w:r>
      <w:r w:rsidRPr="0013281D">
        <w:rPr>
          <w:lang w:val="en-US"/>
        </w:rPr>
        <w:t xml:space="preserve"> offerings, integrating digital channels, and embedding sustainable practices to achieve a differentiated and profitable presence.</w:t>
      </w:r>
    </w:p>
    <w:p w14:paraId="3494FE86" w14:textId="7D190099" w:rsidR="00D96D6B" w:rsidRDefault="00DC71A5" w:rsidP="00110A84">
      <w:pPr>
        <w:pStyle w:val="Heading1"/>
        <w:rPr>
          <w:lang w:val="en-US"/>
        </w:rPr>
      </w:pPr>
      <w:bookmarkStart w:id="33" w:name="_Toc217140998"/>
      <w:r>
        <w:rPr>
          <w:lang w:val="en-US"/>
        </w:rPr>
        <w:t>Strategy Formulation for Market Entry</w:t>
      </w:r>
      <w:bookmarkEnd w:id="33"/>
    </w:p>
    <w:p w14:paraId="06602E01" w14:textId="77777777" w:rsidR="008B3374" w:rsidRDefault="008B3374" w:rsidP="008B3374">
      <w:pPr>
        <w:keepNext/>
        <w:ind w:firstLine="993"/>
      </w:pPr>
      <w:r w:rsidRPr="008B3374">
        <w:rPr>
          <w:noProof/>
          <w:lang w:val="en-US"/>
        </w:rPr>
        <w:drawing>
          <wp:inline distT="0" distB="0" distL="0" distR="0" wp14:anchorId="32258DFC" wp14:editId="65C4C1DB">
            <wp:extent cx="4058216" cy="2876951"/>
            <wp:effectExtent l="0" t="0" r="0" b="0"/>
            <wp:docPr id="693730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730607" name=""/>
                    <pic:cNvPicPr/>
                  </pic:nvPicPr>
                  <pic:blipFill>
                    <a:blip r:embed="rId14"/>
                    <a:stretch>
                      <a:fillRect/>
                    </a:stretch>
                  </pic:blipFill>
                  <pic:spPr>
                    <a:xfrm>
                      <a:off x="0" y="0"/>
                      <a:ext cx="4058216" cy="2876951"/>
                    </a:xfrm>
                    <a:prstGeom prst="rect">
                      <a:avLst/>
                    </a:prstGeom>
                  </pic:spPr>
                </pic:pic>
              </a:graphicData>
            </a:graphic>
          </wp:inline>
        </w:drawing>
      </w:r>
    </w:p>
    <w:p w14:paraId="0E71ADFF" w14:textId="3C39925D" w:rsidR="008B3374" w:rsidRPr="008B3374" w:rsidRDefault="008B3374" w:rsidP="008B3374">
      <w:pPr>
        <w:pStyle w:val="Caption"/>
        <w:rPr>
          <w:lang w:val="en-US"/>
        </w:rPr>
      </w:pPr>
      <w:r>
        <w:t xml:space="preserve">Figure </w:t>
      </w:r>
      <w:fldSimple w:instr=" SEQ Figure \* ARABIC ">
        <w:r w:rsidR="00166E15">
          <w:rPr>
            <w:noProof/>
          </w:rPr>
          <w:t>6</w:t>
        </w:r>
      </w:fldSimple>
      <w:r>
        <w:t xml:space="preserve"> </w:t>
      </w:r>
      <w:r w:rsidRPr="00723FFA">
        <w:t>5 common international expansion entry modes (Manuel, 2022)</w:t>
      </w:r>
    </w:p>
    <w:p w14:paraId="2A4C5D99" w14:textId="5662013E" w:rsidR="00627825" w:rsidRDefault="00627825" w:rsidP="00627825">
      <w:pPr>
        <w:pStyle w:val="Heading2"/>
      </w:pPr>
      <w:bookmarkStart w:id="34" w:name="_Toc217140999"/>
      <w:r>
        <w:t>Market Entry Mode Strategy</w:t>
      </w:r>
      <w:r w:rsidR="00843482">
        <w:t xml:space="preserve"> and Implementation</w:t>
      </w:r>
      <w:bookmarkEnd w:id="34"/>
    </w:p>
    <w:p w14:paraId="4BBE5D2F" w14:textId="77777777" w:rsidR="006E79AF" w:rsidRPr="006E79AF" w:rsidRDefault="006E79AF" w:rsidP="006E79AF">
      <w:pPr>
        <w:rPr>
          <w:lang w:val="en-US"/>
        </w:rPr>
      </w:pPr>
      <w:r w:rsidRPr="006E79AF">
        <w:rPr>
          <w:lang w:val="en-US"/>
        </w:rPr>
        <w:t xml:space="preserve">Sainsbury’s should enter India through a </w:t>
      </w:r>
      <w:r w:rsidRPr="002E4370">
        <w:rPr>
          <w:b/>
          <w:bCs/>
          <w:lang w:val="en-US"/>
        </w:rPr>
        <w:t>joint venture</w:t>
      </w:r>
      <w:r w:rsidRPr="006E79AF">
        <w:rPr>
          <w:lang w:val="en-US"/>
        </w:rPr>
        <w:t xml:space="preserve"> with a major local retailer like Reliance Retail or Future Group, enabling rapid market entry while sharing risk and accessing local expertise, supply chains, and regulatory knowledge (Hasan et al., 2024; Batschauer da Cruz, Floriani &amp; Amal, 2020).</w:t>
      </w:r>
    </w:p>
    <w:p w14:paraId="6109AD89" w14:textId="77777777" w:rsidR="006E79AF" w:rsidRPr="006E79AF" w:rsidRDefault="006E79AF" w:rsidP="006E79AF">
      <w:pPr>
        <w:rPr>
          <w:lang w:val="en-US"/>
        </w:rPr>
      </w:pPr>
      <w:r w:rsidRPr="006E79AF">
        <w:rPr>
          <w:lang w:val="en-US"/>
        </w:rPr>
        <w:t>The strategy aligns with transaction cost economics and the OLI paradigm, allowing Sainsbury’s to protect its supply chain efficiency, private-label strengths, and quality standards while leveraging local insights. India’s urban growth, rising incomes, and improving retail infrastructure complement these ownership advantages, reducing the risks of a wholly owned subsidiary (Williamson, 1985; Dunning, 1980; Geegan et al., 2025).</w:t>
      </w:r>
    </w:p>
    <w:p w14:paraId="4B535C53" w14:textId="77777777" w:rsidR="006E79AF" w:rsidRPr="006E79AF" w:rsidRDefault="006E79AF" w:rsidP="006E79AF">
      <w:pPr>
        <w:rPr>
          <w:lang w:val="en-US"/>
        </w:rPr>
      </w:pPr>
      <w:r w:rsidRPr="006E79AF">
        <w:rPr>
          <w:lang w:val="en-US"/>
        </w:rPr>
        <w:lastRenderedPageBreak/>
        <w:t>A joint venture also supports regulatory compliance, local sourcing, and cultural adaptation. Initial operations should focus on Tier-1 cities with pilot stores to test supply chains and consumer response, followed by selective expansion through controlled franchising. This approach ensures operational efficiency, brand integrity, and sustainable profitability in a high-potential market (Chambers and Partners, 2025; Hasan et al., 2024).</w:t>
      </w:r>
    </w:p>
    <w:p w14:paraId="75954DE0" w14:textId="71260923" w:rsidR="00A8642F" w:rsidRDefault="00FE50BB" w:rsidP="00FE50BB">
      <w:pPr>
        <w:pStyle w:val="Heading2"/>
      </w:pPr>
      <w:bookmarkStart w:id="35" w:name="_Toc217141000"/>
      <w:r w:rsidRPr="00FE50BB">
        <w:t>Critical Assessment of Alternative Market Entry Modes</w:t>
      </w:r>
      <w:bookmarkEnd w:id="35"/>
    </w:p>
    <w:p w14:paraId="36F35ECD" w14:textId="77777777" w:rsidR="00FA0D80" w:rsidRDefault="00AF29CD" w:rsidP="009C7352">
      <w:r w:rsidRPr="00AF29CD">
        <w:rPr>
          <w:b/>
          <w:bCs/>
          <w:lang w:val="en-US"/>
        </w:rPr>
        <w:t>W</w:t>
      </w:r>
      <w:r w:rsidR="009C7352" w:rsidRPr="009C7352">
        <w:rPr>
          <w:b/>
          <w:bCs/>
          <w:lang w:val="en-US"/>
        </w:rPr>
        <w:t>holly owned subsidiary</w:t>
      </w:r>
      <w:r>
        <w:rPr>
          <w:b/>
          <w:bCs/>
          <w:lang w:val="en-US"/>
        </w:rPr>
        <w:t xml:space="preserve"> – </w:t>
      </w:r>
      <w:r w:rsidR="00FA0D80" w:rsidRPr="00FA0D80">
        <w:t>Provides full managerial and operational control, safeguarding brand reputation and service quality. However, in India, it demands significant investment and exposes Sainsbury’s to regulatory, operational, and market risks. Establishing supply chains, obtaining approvals, and building local expertise would be costly and time-intensive, making this a high-risk, inflexible option with uncertain early-stage returns.</w:t>
      </w:r>
    </w:p>
    <w:p w14:paraId="60F4DD77" w14:textId="77777777" w:rsidR="00FA0D80" w:rsidRDefault="00B53110" w:rsidP="009C7352">
      <w:r>
        <w:rPr>
          <w:b/>
          <w:bCs/>
          <w:lang w:val="en-US"/>
        </w:rPr>
        <w:t>M</w:t>
      </w:r>
      <w:r w:rsidR="009C7352" w:rsidRPr="009C7352">
        <w:rPr>
          <w:b/>
          <w:bCs/>
          <w:lang w:val="en-US"/>
        </w:rPr>
        <w:t>aster franchising model</w:t>
      </w:r>
      <w:r>
        <w:rPr>
          <w:b/>
          <w:bCs/>
          <w:lang w:val="en-US"/>
        </w:rPr>
        <w:t xml:space="preserve"> –</w:t>
      </w:r>
      <w:r w:rsidR="009C7352" w:rsidRPr="009C7352">
        <w:rPr>
          <w:lang w:val="en-US"/>
        </w:rPr>
        <w:t xml:space="preserve"> </w:t>
      </w:r>
      <w:r w:rsidR="00FA0D80" w:rsidRPr="00FA0D80">
        <w:t>Enables faster expansion with lower capital outlay but limits strategic control. Franchisees may prioritize speed and cost over quality and brand consistency, which is risky in India’s diverse markets. Close oversight is essential during initial operations, which franchising cannot fully support (Ogunsola-Saliu &amp; Alotaibi, 2025).</w:t>
      </w:r>
    </w:p>
    <w:p w14:paraId="2906A535" w14:textId="77777777" w:rsidR="00D9285F" w:rsidRDefault="009C7352" w:rsidP="009C7352">
      <w:r w:rsidRPr="009C7352">
        <w:rPr>
          <w:b/>
          <w:bCs/>
          <w:lang w:val="en-US"/>
        </w:rPr>
        <w:t>Licensing</w:t>
      </w:r>
      <w:r w:rsidRPr="009C7352">
        <w:rPr>
          <w:lang w:val="en-US"/>
        </w:rPr>
        <w:t xml:space="preserve"> </w:t>
      </w:r>
      <w:r w:rsidR="00DD386F">
        <w:rPr>
          <w:lang w:val="en-US"/>
        </w:rPr>
        <w:t xml:space="preserve">- </w:t>
      </w:r>
      <w:r w:rsidR="00D9285F" w:rsidRPr="00D9285F">
        <w:t>Offers minimal control over product standards, supply chains, and customer experience, while poorly protecting proprietary processes. Licensees’ focus on short-term profit can undermine long-term brand value, making this approach unsuitable for Sainsbury’s quality-focused grocery model.</w:t>
      </w:r>
    </w:p>
    <w:p w14:paraId="4192F89B" w14:textId="43182E1A" w:rsidR="009C7352" w:rsidRDefault="009C7352" w:rsidP="009C7352">
      <w:pPr>
        <w:rPr>
          <w:lang w:val="en-US"/>
        </w:rPr>
      </w:pPr>
      <w:r w:rsidRPr="009C7352">
        <w:rPr>
          <w:b/>
          <w:bCs/>
          <w:lang w:val="en-US"/>
        </w:rPr>
        <w:t>Strategic partnerships with e-commerce platforms</w:t>
      </w:r>
      <w:r w:rsidRPr="009C7352">
        <w:rPr>
          <w:lang w:val="en-US"/>
        </w:rPr>
        <w:t xml:space="preserve"> </w:t>
      </w:r>
      <w:r w:rsidR="00FA1376">
        <w:rPr>
          <w:lang w:val="en-US"/>
        </w:rPr>
        <w:t xml:space="preserve">- </w:t>
      </w:r>
      <w:r w:rsidR="00220D36" w:rsidRPr="00220D36">
        <w:t>Collaborations with Amazon or Flipkart can boost digital sales and visibility but cannot replace physical presence, supply chain integration, or quality control. Dependence on third-party platforms limits control over pricing, data, and brand presentation, making them suitable only as complementary channels.</w:t>
      </w:r>
    </w:p>
    <w:p w14:paraId="2A3CF493" w14:textId="3C69EB18" w:rsidR="00843482" w:rsidRDefault="005C1BE5" w:rsidP="005C1BE5">
      <w:pPr>
        <w:pStyle w:val="Heading2"/>
      </w:pPr>
      <w:bookmarkStart w:id="36" w:name="_Toc217141001"/>
      <w:r w:rsidRPr="005C1BE5">
        <w:t>Competitive Strategy and Positioning</w:t>
      </w:r>
      <w:bookmarkEnd w:id="36"/>
    </w:p>
    <w:p w14:paraId="2C17ECDD" w14:textId="77777777" w:rsidR="00291E57" w:rsidRPr="00291E57" w:rsidRDefault="00291E57" w:rsidP="00291E57">
      <w:pPr>
        <w:rPr>
          <w:lang w:val="en-US"/>
        </w:rPr>
      </w:pPr>
      <w:r w:rsidRPr="00291E57">
        <w:rPr>
          <w:lang w:val="en-US"/>
        </w:rPr>
        <w:t xml:space="preserve">Sainsbury’s should pursue a </w:t>
      </w:r>
      <w:r w:rsidRPr="00291E57">
        <w:rPr>
          <w:b/>
          <w:bCs/>
          <w:lang w:val="en-US"/>
        </w:rPr>
        <w:t>differentiation</w:t>
      </w:r>
      <w:r w:rsidRPr="00291E57">
        <w:rPr>
          <w:lang w:val="en-US"/>
        </w:rPr>
        <w:t xml:space="preserve"> strategy in India, following Porter’s Generic Strategies and its global brand positioning. While the Indian grocery market is highly price-driven, Sainsbury’s can distinguish itself through superior product </w:t>
      </w:r>
      <w:r w:rsidRPr="00291E57">
        <w:rPr>
          <w:lang w:val="en-US"/>
        </w:rPr>
        <w:lastRenderedPageBreak/>
        <w:t>quality, strong private-label offerings, ethical sourcing, and its British retail heritage. This approach positions the brand as a trustworthy alternative to mass-market supermarkets, emphasizing food safety, reliability, and consumer confidence (Banerjee, 2024).</w:t>
      </w:r>
    </w:p>
    <w:p w14:paraId="2CE69A6D" w14:textId="507E332A" w:rsidR="00291E57" w:rsidRPr="00291E57" w:rsidRDefault="00291E57" w:rsidP="00291E57">
      <w:pPr>
        <w:rPr>
          <w:lang w:val="en-US"/>
        </w:rPr>
      </w:pPr>
      <w:r w:rsidRPr="00291E57">
        <w:rPr>
          <w:lang w:val="en-US"/>
        </w:rPr>
        <w:t>The strategy fits India’s evolving social and economic landscape. Urbanization, rising incomes, and a growing middle class are shifting consumer preferences toward health, quality, and shopping experience over low prices. By offering premium own-brand products, fresh items, and assortments tailored to local tastes</w:t>
      </w:r>
      <w:r w:rsidR="001C318D">
        <w:rPr>
          <w:lang w:val="en-US"/>
        </w:rPr>
        <w:t xml:space="preserve"> </w:t>
      </w:r>
      <w:r w:rsidRPr="00291E57">
        <w:rPr>
          <w:lang w:val="en-US"/>
        </w:rPr>
        <w:t>including vegetarian and region-specific options</w:t>
      </w:r>
      <w:r w:rsidR="001C318D">
        <w:rPr>
          <w:lang w:val="en-US"/>
        </w:rPr>
        <w:t xml:space="preserve"> </w:t>
      </w:r>
      <w:r w:rsidRPr="00291E57">
        <w:rPr>
          <w:lang w:val="en-US"/>
        </w:rPr>
        <w:t>Sainsbury’s can attract consumers who value nutrition, authenticity, and international standards (Sinha, 2021).</w:t>
      </w:r>
    </w:p>
    <w:p w14:paraId="25BF0DA8" w14:textId="77777777" w:rsidR="00291E57" w:rsidRPr="00291E57" w:rsidRDefault="00291E57" w:rsidP="00291E57">
      <w:pPr>
        <w:rPr>
          <w:lang w:val="en-US"/>
        </w:rPr>
      </w:pPr>
      <w:r w:rsidRPr="00291E57">
        <w:rPr>
          <w:lang w:val="en-US"/>
        </w:rPr>
        <w:t>Pricing and in-store experience are key to sustaining differentiation. Consumers are willing to pay more for clear value, so Sainsbury’s should adopt a value-based premium pricing model: above discount retailers but below high-end gourmet stores. This should be reinforced through consistent quality, competitively priced private labels, modern store layouts, digital integration, and visible sustainability initiatives. Selective localization ensures cultural relevance while maintaining brand integrity. Overall, differentiation enables Sainsbury’s to leverage its strengths and appeal to the growing premium grocery segment in India (Banerjee, 2024; Sinha, 2021).</w:t>
      </w:r>
    </w:p>
    <w:p w14:paraId="0D8F6A21" w14:textId="11926729" w:rsidR="003950B9" w:rsidRPr="00024552" w:rsidRDefault="003950B9" w:rsidP="003950B9">
      <w:pPr>
        <w:pStyle w:val="Heading2"/>
        <w:rPr>
          <w:lang w:val="en-US"/>
        </w:rPr>
      </w:pPr>
      <w:bookmarkStart w:id="37" w:name="_Toc217141002"/>
      <w:r>
        <w:t>Growth Strategy (Ansoff Matrix + BCG Matrix)</w:t>
      </w:r>
      <w:bookmarkEnd w:id="37"/>
    </w:p>
    <w:p w14:paraId="36D605BD" w14:textId="5CBBC302" w:rsidR="00A86A65" w:rsidRDefault="00A86A65" w:rsidP="00A86A65">
      <w:pPr>
        <w:pStyle w:val="Heading3"/>
      </w:pPr>
      <w:bookmarkStart w:id="38" w:name="_Toc217141003"/>
      <w:r w:rsidRPr="00A86A65">
        <w:t>Ansoff Matrix</w:t>
      </w:r>
      <w:bookmarkEnd w:id="38"/>
    </w:p>
    <w:p w14:paraId="57D11913" w14:textId="77777777" w:rsidR="00B645C4" w:rsidRDefault="00B645C4" w:rsidP="00B645C4">
      <w:pPr>
        <w:keepNext/>
        <w:ind w:firstLine="1843"/>
      </w:pPr>
      <w:r w:rsidRPr="00B645C4">
        <w:rPr>
          <w:noProof/>
        </w:rPr>
        <w:drawing>
          <wp:inline distT="0" distB="0" distL="0" distR="0" wp14:anchorId="36BDCFED" wp14:editId="33788F13">
            <wp:extent cx="3333750" cy="2630905"/>
            <wp:effectExtent l="0" t="0" r="0" b="0"/>
            <wp:docPr id="2119479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79884" name=""/>
                    <pic:cNvPicPr/>
                  </pic:nvPicPr>
                  <pic:blipFill>
                    <a:blip r:embed="rId15"/>
                    <a:stretch>
                      <a:fillRect/>
                    </a:stretch>
                  </pic:blipFill>
                  <pic:spPr>
                    <a:xfrm>
                      <a:off x="0" y="0"/>
                      <a:ext cx="3337095" cy="2633545"/>
                    </a:xfrm>
                    <a:prstGeom prst="rect">
                      <a:avLst/>
                    </a:prstGeom>
                  </pic:spPr>
                </pic:pic>
              </a:graphicData>
            </a:graphic>
          </wp:inline>
        </w:drawing>
      </w:r>
    </w:p>
    <w:p w14:paraId="26475F55" w14:textId="457C08B1" w:rsidR="00B645C4" w:rsidRPr="00B645C4" w:rsidRDefault="00B645C4" w:rsidP="00B645C4">
      <w:pPr>
        <w:pStyle w:val="Caption"/>
      </w:pPr>
      <w:r>
        <w:t xml:space="preserve">Figure </w:t>
      </w:r>
      <w:fldSimple w:instr=" SEQ Figure \* ARABIC ">
        <w:r w:rsidR="00166E15">
          <w:rPr>
            <w:noProof/>
          </w:rPr>
          <w:t>7</w:t>
        </w:r>
      </w:fldSimple>
      <w:r>
        <w:t xml:space="preserve"> </w:t>
      </w:r>
      <w:r w:rsidRPr="00932961">
        <w:t>Ansoff Matrix diagram (Barrington, 2016)</w:t>
      </w:r>
    </w:p>
    <w:p w14:paraId="4BA6E78B" w14:textId="77777777" w:rsidR="00A86A65" w:rsidRDefault="00A86A65" w:rsidP="00A86A65">
      <w:r>
        <w:lastRenderedPageBreak/>
        <w:t>The Ansoff Matrix, developed by Igor Ansoff (1957), categorises growth strategies based on market-product combinations: market penetration, market development, product development, and diversification. For Sainsbury's India entry, multiple quadrants apply simultaneously (Wadkar et al., 2024).</w:t>
      </w:r>
    </w:p>
    <w:p w14:paraId="6989B5B3" w14:textId="2DD5911A" w:rsidR="00756C72" w:rsidRDefault="00A86A65" w:rsidP="00A86A65">
      <w:r w:rsidRPr="00A86A65">
        <w:rPr>
          <w:b/>
          <w:bCs/>
        </w:rPr>
        <w:t>Market development</w:t>
      </w:r>
      <w:r w:rsidR="0010326C">
        <w:rPr>
          <w:b/>
          <w:bCs/>
        </w:rPr>
        <w:t>:</w:t>
      </w:r>
      <w:r>
        <w:rPr>
          <w:b/>
          <w:bCs/>
        </w:rPr>
        <w:t xml:space="preserve"> </w:t>
      </w:r>
      <w:r w:rsidRPr="00A86A65">
        <w:t>Sainsbury’s entry into India primarily represents a market development approach, introducing its established grocery retail model into a new geographical context. Key product categories</w:t>
      </w:r>
      <w:r w:rsidR="00FB178C">
        <w:t xml:space="preserve"> </w:t>
      </w:r>
      <w:r w:rsidRPr="00A86A65">
        <w:t>fresh produce, bakery items, dairy, packaged foods, and household essentials</w:t>
      </w:r>
      <w:r w:rsidR="00FB178C">
        <w:t xml:space="preserve"> </w:t>
      </w:r>
      <w:r w:rsidRPr="00A86A65">
        <w:t>can be implemented using existing operational systems and supply chain processes. While product risk remains low, success depends on effectively adapting store formats, brand positioning, and operational practices to India’s diverse retail landscape (Johnson, Scholes and Whittington, 2020; Wadkar et al., 2024).</w:t>
      </w:r>
    </w:p>
    <w:p w14:paraId="137662DC" w14:textId="52B17E41" w:rsidR="00756C72" w:rsidRDefault="00756C72" w:rsidP="00A86A65">
      <w:r w:rsidRPr="00756C72">
        <w:rPr>
          <w:b/>
          <w:bCs/>
        </w:rPr>
        <w:t>Product development</w:t>
      </w:r>
      <w:r w:rsidR="0010326C">
        <w:rPr>
          <w:b/>
          <w:bCs/>
        </w:rPr>
        <w:t>:</w:t>
      </w:r>
      <w:r w:rsidRPr="00756C72">
        <w:t xml:space="preserve"> To appeal to Indian consumers, Sainsbury’s must tailor its product range to local tastes and cultural preferences. This includes enhancing vegetarian and vegan options, offering regionally inspired flavours, and introducing health-oriented private-label products in line with growing wellness trends. Such adjustments allow Sainsbury’s to maintain its global quality standards while catering to local consumer expectations, enhancing market acceptance and competitive differentiation (Kotler et al., 2022; Sinha, 2021).</w:t>
      </w:r>
    </w:p>
    <w:p w14:paraId="0971CD76" w14:textId="643861FE" w:rsidR="006F2C7E" w:rsidRDefault="006F2C7E" w:rsidP="00A86A65">
      <w:r w:rsidRPr="006F2C7E">
        <w:rPr>
          <w:b/>
          <w:bCs/>
        </w:rPr>
        <w:t>Market penetration</w:t>
      </w:r>
      <w:r w:rsidR="0010326C">
        <w:rPr>
          <w:b/>
          <w:bCs/>
        </w:rPr>
        <w:t>:</w:t>
      </w:r>
      <w:r w:rsidRPr="006F2C7E">
        <w:t xml:space="preserve"> Once established, Sainsbury’s can expand its footprint within urban markets by opening additional stores, running targeted marketing campaigns to increase brand awareness, and strengthening customer loyalty through programmes and promotions. Seasonal campaigns, festival offers, and competitive pricing on essential items can encourage repeat purchases and grow market share in a price-sensitive environment (Kotler et al., 2022).</w:t>
      </w:r>
    </w:p>
    <w:p w14:paraId="5E165D8D" w14:textId="3C82435C" w:rsidR="00A86A65" w:rsidRPr="00336561" w:rsidRDefault="006D312B" w:rsidP="00336561">
      <w:r w:rsidRPr="006D312B">
        <w:rPr>
          <w:b/>
          <w:bCs/>
        </w:rPr>
        <w:t>Selective diversification</w:t>
      </w:r>
      <w:r w:rsidR="00283F48">
        <w:rPr>
          <w:b/>
          <w:bCs/>
        </w:rPr>
        <w:t>:</w:t>
      </w:r>
      <w:r w:rsidR="00283F48">
        <w:t xml:space="preserve"> </w:t>
      </w:r>
      <w:r w:rsidRPr="006D312B">
        <w:t>Over time, Sainsbury’s may explore supplementary offerings such as ready-to-eat meals or in-store food experiences. These initiatives should complement the core grocery operations, carefully managed to avoid overextending resources during the initial stages of international market entry (Johnson, Scholes and Whittington, 2020).</w:t>
      </w:r>
    </w:p>
    <w:p w14:paraId="72D6A832" w14:textId="0CC56216" w:rsidR="0078368E" w:rsidRDefault="007A4FDC" w:rsidP="007A4FDC">
      <w:pPr>
        <w:pStyle w:val="Heading3"/>
      </w:pPr>
      <w:bookmarkStart w:id="39" w:name="_Toc217141004"/>
      <w:r>
        <w:lastRenderedPageBreak/>
        <w:t>BCG Matrix</w:t>
      </w:r>
      <w:bookmarkEnd w:id="39"/>
    </w:p>
    <w:p w14:paraId="71FCD33A" w14:textId="77777777" w:rsidR="0025256D" w:rsidRDefault="0025256D" w:rsidP="0025256D">
      <w:pPr>
        <w:keepNext/>
        <w:ind w:firstLine="1560"/>
      </w:pPr>
      <w:r w:rsidRPr="0025256D">
        <w:rPr>
          <w:noProof/>
        </w:rPr>
        <w:drawing>
          <wp:inline distT="0" distB="0" distL="0" distR="0" wp14:anchorId="56D1FD3F" wp14:editId="322E9C48">
            <wp:extent cx="3562350" cy="2550695"/>
            <wp:effectExtent l="0" t="0" r="0" b="2540"/>
            <wp:docPr id="148115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57917" name=""/>
                    <pic:cNvPicPr/>
                  </pic:nvPicPr>
                  <pic:blipFill>
                    <a:blip r:embed="rId16"/>
                    <a:stretch>
                      <a:fillRect/>
                    </a:stretch>
                  </pic:blipFill>
                  <pic:spPr>
                    <a:xfrm>
                      <a:off x="0" y="0"/>
                      <a:ext cx="3563849" cy="2551768"/>
                    </a:xfrm>
                    <a:prstGeom prst="rect">
                      <a:avLst/>
                    </a:prstGeom>
                  </pic:spPr>
                </pic:pic>
              </a:graphicData>
            </a:graphic>
          </wp:inline>
        </w:drawing>
      </w:r>
    </w:p>
    <w:p w14:paraId="55342837" w14:textId="7BE4C073" w:rsidR="0025256D" w:rsidRDefault="0025256D" w:rsidP="0025256D">
      <w:pPr>
        <w:pStyle w:val="Caption"/>
      </w:pPr>
      <w:r>
        <w:t xml:space="preserve">Figure </w:t>
      </w:r>
      <w:fldSimple w:instr=" SEQ Figure \* ARABIC ">
        <w:r w:rsidR="00166E15">
          <w:rPr>
            <w:noProof/>
          </w:rPr>
          <w:t>8</w:t>
        </w:r>
      </w:fldSimple>
      <w:r w:rsidRPr="00E856DE">
        <w:t>Boston Consulting Group (BCG) matrix diagram (Professional Academy, 2012)</w:t>
      </w:r>
    </w:p>
    <w:p w14:paraId="7DA131BA" w14:textId="77777777" w:rsidR="0025256D" w:rsidRPr="0025256D" w:rsidRDefault="0025256D" w:rsidP="0025256D"/>
    <w:p w14:paraId="015DF71E" w14:textId="77777777" w:rsidR="000E5348" w:rsidRDefault="000E5348" w:rsidP="000E5348">
      <w:r>
        <w:t>The BCG Matrix, developed by Boston Consulting Group, categorises business units or products based on market share and market growth rate, identifying Stars, Cash Cows, Question Marks, and Dogs. For Sainsbury's India entry, categories apply differently given greenfield context (Gandhi, 2024).</w:t>
      </w:r>
    </w:p>
    <w:p w14:paraId="1A93746C" w14:textId="04E43D4A" w:rsidR="007A4FDC" w:rsidRPr="009C7352" w:rsidRDefault="00EC52CB" w:rsidP="009C7352">
      <w:pPr>
        <w:rPr>
          <w:lang w:val="en-US"/>
        </w:rPr>
      </w:pPr>
      <w:r w:rsidRPr="00EC52CB">
        <w:rPr>
          <w:b/>
          <w:bCs/>
        </w:rPr>
        <w:t>Stars (High Growth, High Share Potential):</w:t>
      </w:r>
      <w:r w:rsidRPr="00EC52CB">
        <w:t xml:space="preserve"> Key categories such as fresh produce, dairy, and bakery represent core supermarket offerings with strong growth prospects in India’s organised retail sector. These areas align with Sainsbury’s strengths in freshness, quality, and operational excellence, offering opportunities to capture significant market share. Investment should prioritise efficient supply chains, merchandising, and consistent quality standards to establish brand credibility and customer loyalty (Gandhi, 2024; Kotler et al., 2022).</w:t>
      </w:r>
    </w:p>
    <w:p w14:paraId="1A341267" w14:textId="4EBA88A6" w:rsidR="000B0883" w:rsidRDefault="000B0883" w:rsidP="00A8642F">
      <w:r w:rsidRPr="000B0883">
        <w:rPr>
          <w:b/>
          <w:bCs/>
        </w:rPr>
        <w:t>Cash Cows (Low Growth, High Share Potential):</w:t>
      </w:r>
      <w:r w:rsidRPr="000B0883">
        <w:t xml:space="preserve"> Stable categories such as packaged staples</w:t>
      </w:r>
      <w:r>
        <w:t xml:space="preserve"> </w:t>
      </w:r>
      <w:r w:rsidRPr="000B0883">
        <w:t>including rice, pulses, oils, and dry goods</w:t>
      </w:r>
      <w:r>
        <w:t xml:space="preserve"> </w:t>
      </w:r>
      <w:r w:rsidRPr="000B0883">
        <w:t>offer steady demand with moderate growth. These categories can generate reliable revenue and margins, especially when supported by Sainsbury’s private</w:t>
      </w:r>
      <w:r w:rsidR="001872EA">
        <w:t xml:space="preserve"> </w:t>
      </w:r>
      <w:r w:rsidRPr="000B0883">
        <w:t>label offerings. Efficiency in procurement, inventory management, and cost control will be key to maximising returns (Hill, Jones &amp; Schilling, 2019).</w:t>
      </w:r>
    </w:p>
    <w:p w14:paraId="73AC0748" w14:textId="13D8D8B6" w:rsidR="00910F1A" w:rsidRDefault="00910F1A" w:rsidP="00A8642F">
      <w:r w:rsidRPr="00910F1A">
        <w:rPr>
          <w:b/>
          <w:bCs/>
        </w:rPr>
        <w:lastRenderedPageBreak/>
        <w:t>Question Marks (High Growth, Uncertain Share):</w:t>
      </w:r>
      <w:r w:rsidRPr="00910F1A">
        <w:t xml:space="preserve"> Segments like organic, health-focused, and international specialty foods are expanding quickly but face uncertain competitive positioning. Success requires strategic marketing, pricing, and consumer education to establish demand. Ready-to-eat and convenience foods provide opportunities due to urbanisation and busy lifestyles but will face strong competition from both local and international foodservice operators (Mehta &amp; Singh, 2022).</w:t>
      </w:r>
    </w:p>
    <w:p w14:paraId="2723B9AE" w14:textId="78BB6DA9" w:rsidR="00910F1A" w:rsidRDefault="00E01CF6" w:rsidP="00A8642F">
      <w:r w:rsidRPr="00E01CF6">
        <w:rPr>
          <w:b/>
          <w:bCs/>
        </w:rPr>
        <w:t>Dogs (Low Growth, Low Share):</w:t>
      </w:r>
      <w:r w:rsidRPr="00E01CF6">
        <w:t xml:space="preserve"> Low-growth, low-share segments, such as certain regional products, ultra-low-price items, or products dominated by local brands, offer limited strategic value for Sainsbury’s premium positioning. Investment should be minimal, with sourcing potentially outsourced to local suppliers to maintain product variety without diluting focus on high-priority categories (Rao &amp; Kumar, 2023).</w:t>
      </w:r>
    </w:p>
    <w:p w14:paraId="65119990" w14:textId="5CECC7CE" w:rsidR="00B05C5C" w:rsidRDefault="00786561" w:rsidP="00786561">
      <w:pPr>
        <w:pStyle w:val="Heading2"/>
      </w:pPr>
      <w:bookmarkStart w:id="40" w:name="_Toc217141005"/>
      <w:r>
        <w:t>Strategic Implications</w:t>
      </w:r>
      <w:bookmarkEnd w:id="40"/>
    </w:p>
    <w:p w14:paraId="24DE2A32" w14:textId="77777777" w:rsidR="00765646" w:rsidRPr="00765646" w:rsidRDefault="00765646" w:rsidP="00765646">
      <w:pPr>
        <w:rPr>
          <w:lang w:val="en-US"/>
        </w:rPr>
      </w:pPr>
      <w:r w:rsidRPr="00765646">
        <w:rPr>
          <w:lang w:val="en-US"/>
        </w:rPr>
        <w:t>The Ansoff and BCG matrices help guide Sainsbury’s expansion and investment decisions in India. The company should prioritize market development by adapting its store formats and product offerings to local tastes, such as vegetarian, organic, and health-focused items. Star categories like fresh produce, dairy, and bakery should receive primary investment, while Question Marks like organic and ready-to-eat foods need careful testing, and Cash Cows such as staples and dry goods can generate stable revenue through Sainsbury’s supply chain expertise (Rao &amp; Kumar, 2023; Kotler et al., 2022).</w:t>
      </w:r>
    </w:p>
    <w:p w14:paraId="234A6DAB" w14:textId="671D7D74" w:rsidR="00765646" w:rsidRPr="00765646" w:rsidRDefault="00765646" w:rsidP="00765646">
      <w:pPr>
        <w:rPr>
          <w:lang w:val="en-US"/>
        </w:rPr>
      </w:pPr>
      <w:r w:rsidRPr="00765646">
        <w:rPr>
          <w:lang w:val="en-US"/>
        </w:rPr>
        <w:t>However, these frameworks have limitations: the Ansoff Matrix can oversimplify strategy, and the BCG Matrix’s reliance on market share and profitability may not reflect India’s complex retail landscape (Wadkar et al., 2024; Hill, Jones &amp; Schilling, 2019). When combined with local market insights and flexible strategies, they provide a useful basis for prioritizing investments and managing the product portfolio (Mehta &amp; Singh, 2022).</w:t>
      </w:r>
    </w:p>
    <w:p w14:paraId="03536116" w14:textId="7D79EF48" w:rsidR="00442302" w:rsidRDefault="00E360D7" w:rsidP="00E360D7">
      <w:pPr>
        <w:pStyle w:val="Heading2"/>
      </w:pPr>
      <w:bookmarkStart w:id="41" w:name="_Toc217141006"/>
      <w:r>
        <w:t>Strategic Initiatives</w:t>
      </w:r>
      <w:bookmarkEnd w:id="41"/>
    </w:p>
    <w:p w14:paraId="7D8DBF42" w14:textId="77777777" w:rsidR="00151337" w:rsidRDefault="00151337" w:rsidP="00151337">
      <w:r>
        <w:t>Successful market entry requires coordinated strategic initiatives addressing operational, commercial, and organisational dimensions. The following initiatives operationalise the overall strategy, drawing from the analytical insights of preceding sections.</w:t>
      </w:r>
    </w:p>
    <w:p w14:paraId="2507FC51" w14:textId="77777777" w:rsidR="00C71226" w:rsidRDefault="00C71226" w:rsidP="00E360D7">
      <w:r w:rsidRPr="00C71226">
        <w:rPr>
          <w:b/>
          <w:bCs/>
        </w:rPr>
        <w:lastRenderedPageBreak/>
        <w:t>Local Supply Chain &amp; Quality Control</w:t>
      </w:r>
    </w:p>
    <w:p w14:paraId="57795B54" w14:textId="27814385" w:rsidR="00E360D7" w:rsidRDefault="00C71226" w:rsidP="00E360D7">
      <w:r w:rsidRPr="00C71226">
        <w:t>Sainsbury’s should establish a reliable local supply chain by vetting and certifying suppliers to meet international quality standards, sourcing directly from farmer cooperatives for fresh products, and deploying cold chain logistics to maintain freshness throughout distribution. Traceability systems should be implemented to monitor product integrity, while supplier development programmes help strengthen local capabilities and ensure adherence to global operational standards (Patience, 2021).</w:t>
      </w:r>
    </w:p>
    <w:p w14:paraId="4329945D" w14:textId="77777777" w:rsidR="001C076E" w:rsidRDefault="001C076E" w:rsidP="00E360D7">
      <w:r w:rsidRPr="001C076E">
        <w:rPr>
          <w:b/>
          <w:bCs/>
        </w:rPr>
        <w:t>Targeted Store Network in Tier-1 Cities</w:t>
      </w:r>
    </w:p>
    <w:p w14:paraId="495F6BE5" w14:textId="20E17DEF" w:rsidR="008B793C" w:rsidRDefault="001C076E" w:rsidP="00E360D7">
      <w:r w:rsidRPr="001C076E">
        <w:t>Initial operations should focus on major urban centres such as Delhi NCR, Mumbai, Bangalore, and Hyderabad, with pilot and flagship stores serving as testbeds for operational models and consumer insights. Leveraging local partners’ expertise in real estate, Sainsbury’s can secure prime locations, establish neighbourhood formats tailored to local shopping patterns, and gradually expand to Tier-2 cities once systems and market understanding are consolidated (Karulkar et al., 2025).</w:t>
      </w:r>
    </w:p>
    <w:p w14:paraId="327CFB5C" w14:textId="77777777" w:rsidR="007E719B" w:rsidRDefault="007E719B" w:rsidP="00E360D7">
      <w:r w:rsidRPr="007E719B">
        <w:rPr>
          <w:b/>
          <w:bCs/>
        </w:rPr>
        <w:t>Menu Customisation &amp; Product Development</w:t>
      </w:r>
    </w:p>
    <w:p w14:paraId="2AC56D2F" w14:textId="746A0220" w:rsidR="007E719B" w:rsidRDefault="007E719B" w:rsidP="00E360D7">
      <w:r w:rsidRPr="007E719B">
        <w:t>Product offerings must align with local tastes while retaining Sainsbury’s brand identity. Strategies include offering diverse vegetarian and vegan ranges, regional specialty products, health-conscious and organic options, halal-certified foods, and private-label products tailored to Indian preferences. Continuous evaluation of customer feedback and sales data will allow ong</w:t>
      </w:r>
      <w:r w:rsidR="007A0C7E" w:rsidRPr="007A0C7E">
        <w:t>oing refinement, ensuring relevance and trust in the brand (Deshmukh, William &amp; Rana, 2024).</w:t>
      </w:r>
    </w:p>
    <w:p w14:paraId="4AB71B33" w14:textId="77777777" w:rsidR="007A0C7E" w:rsidRDefault="007A0C7E" w:rsidP="00E360D7">
      <w:r w:rsidRPr="007A0C7E">
        <w:rPr>
          <w:b/>
          <w:bCs/>
        </w:rPr>
        <w:t>Digital Integration &amp; Omnichannel Experience</w:t>
      </w:r>
    </w:p>
    <w:p w14:paraId="6BBC6264" w14:textId="0ADFE73F" w:rsidR="007A0C7E" w:rsidRPr="00E360D7" w:rsidRDefault="007A0C7E" w:rsidP="00E360D7">
      <w:r w:rsidRPr="007A0C7E">
        <w:t>An integrated digital platform should enable online browsing, personalised recommendations, loyalty programme access, online ordering, and click-and-collect services. Partnerships with delivery platforms like Swiggy and Zomato can broaden reach, while analytics on consumer behaviour and targeted digital campaigns via social media, influencers, and email marketing enhance engagement and drive sales (Zhang et al., 2024).</w:t>
      </w:r>
    </w:p>
    <w:p w14:paraId="66FE6B32" w14:textId="77777777" w:rsidR="0045238A" w:rsidRDefault="0045238A" w:rsidP="006709FF">
      <w:r w:rsidRPr="0045238A">
        <w:rPr>
          <w:b/>
          <w:bCs/>
        </w:rPr>
        <w:t>Sustainability &amp; Corporate Responsibility</w:t>
      </w:r>
      <w:r>
        <w:t xml:space="preserve"> </w:t>
      </w:r>
    </w:p>
    <w:p w14:paraId="18A17C97" w14:textId="502999CF" w:rsidR="006709FF" w:rsidRDefault="0045238A" w:rsidP="006709FF">
      <w:r w:rsidRPr="0045238A">
        <w:lastRenderedPageBreak/>
        <w:t>Sainsbury’s should emphasise sustainability by adopting renewable energy for store operations, introducing biodegradable packaging, and implementing food waste reduction initiatives. Community engagement programmes supporting farmers, education, and social causes should be integrated, and sustainability efforts communicated transparently to strengthen brand image among environmentally conscious consumers (J Sainsbury plc, 2024).</w:t>
      </w:r>
    </w:p>
    <w:p w14:paraId="3085A8CD" w14:textId="77777777" w:rsidR="000E6A4E" w:rsidRDefault="000E6A4E" w:rsidP="006709FF">
      <w:r w:rsidRPr="000E6A4E">
        <w:rPr>
          <w:b/>
          <w:bCs/>
        </w:rPr>
        <w:t>Talent Development &amp; Organisational Capability</w:t>
      </w:r>
    </w:p>
    <w:p w14:paraId="1821BD3A" w14:textId="4008E6A9" w:rsidR="000E6A4E" w:rsidRPr="006709FF" w:rsidRDefault="000E6A4E" w:rsidP="006709FF">
      <w:r w:rsidRPr="000E6A4E">
        <w:t>Building a skilled workforce is crucial. Training programmes should cover operational procedures, customer service, and product expertise. Knowledge transfer from UK-based experts, structured local leadership development, inclusive workplace culture, and competitive compensation packages will ensure operational excellence and attract high-quality talent (Chen et al., 2025).</w:t>
      </w:r>
    </w:p>
    <w:p w14:paraId="709CB2B8" w14:textId="77777777" w:rsidR="003C14FD" w:rsidRDefault="003C14FD" w:rsidP="0013281D">
      <w:r w:rsidRPr="003C14FD">
        <w:rPr>
          <w:b/>
          <w:bCs/>
        </w:rPr>
        <w:t>Brand Awareness &amp; Customer Engagement</w:t>
      </w:r>
    </w:p>
    <w:p w14:paraId="75603115" w14:textId="31D26C97" w:rsidR="00214A5E" w:rsidRDefault="003C14FD" w:rsidP="0013281D">
      <w:pPr>
        <w:rPr>
          <w:lang w:val="en-US"/>
        </w:rPr>
      </w:pPr>
      <w:r w:rsidRPr="003C14FD">
        <w:t>Rapid brand recognition can be achieved through coordinated campaigns across digital, print, outdoor, and television channels, highlighting freshness, quality, and British heritage. Grand openings, product sampling, targeted promotions, partnerships with local communities, referral programmes, and participation in food festivals and exhibitions will enhance visibility and encourage customer trial (Pham, 2024).</w:t>
      </w:r>
    </w:p>
    <w:p w14:paraId="72477979" w14:textId="77777777" w:rsidR="00145992" w:rsidRDefault="00145992" w:rsidP="0013281D">
      <w:r w:rsidRPr="00145992">
        <w:rPr>
          <w:b/>
          <w:bCs/>
        </w:rPr>
        <w:t>Regulatory Compliance &amp; Government Relations</w:t>
      </w:r>
    </w:p>
    <w:p w14:paraId="3D19CBBC" w14:textId="28EEF55B" w:rsidR="00F01468" w:rsidRPr="0013281D" w:rsidRDefault="00145992" w:rsidP="0013281D">
      <w:pPr>
        <w:rPr>
          <w:lang w:val="en-US"/>
        </w:rPr>
      </w:pPr>
      <w:r w:rsidRPr="00145992">
        <w:t>Sainsbury’s must actively manage compliance with FSSAI regulations, FDI norms, labour laws, and environmental requirements. Building strong relationships with government bodies at central and state levels, engaging with industry associations, maintaining proper documentation for audits, and monitoring regulatory changes will ensure smooth operations and mitigate compliance risks.</w:t>
      </w:r>
    </w:p>
    <w:p w14:paraId="38E1CAA1" w14:textId="169BF671" w:rsidR="0092261D" w:rsidRPr="004010FA" w:rsidRDefault="00B46AD8" w:rsidP="00B46AD8">
      <w:pPr>
        <w:pStyle w:val="Heading1"/>
        <w:rPr>
          <w:lang w:val="en-US"/>
        </w:rPr>
      </w:pPr>
      <w:bookmarkStart w:id="42" w:name="_Toc217141007"/>
      <w:r>
        <w:t>Performance Measurement System</w:t>
      </w:r>
      <w:bookmarkEnd w:id="42"/>
    </w:p>
    <w:p w14:paraId="08F7EA88" w14:textId="0CD147D0" w:rsidR="004010FA" w:rsidRPr="004010FA" w:rsidRDefault="00B46AD8" w:rsidP="00B46AD8">
      <w:pPr>
        <w:pStyle w:val="Heading2"/>
        <w:rPr>
          <w:lang w:val="en-US"/>
        </w:rPr>
      </w:pPr>
      <w:bookmarkStart w:id="43" w:name="_Toc217141008"/>
      <w:r>
        <w:t>Choice of Framework &amp; Justification</w:t>
      </w:r>
      <w:bookmarkEnd w:id="43"/>
    </w:p>
    <w:p w14:paraId="36B627E8" w14:textId="1CBA216C" w:rsidR="004010FA" w:rsidRDefault="00C76D9E" w:rsidP="00645AA2">
      <w:r w:rsidRPr="00C76D9E">
        <w:t xml:space="preserve">The Balanced Scorecard (BSC) offers an ideal framework for evaluating Sainsbury’s performance in India, integrating financial results with customer satisfaction, operational efficiency, and organisational capability development (Dwivedi et al., </w:t>
      </w:r>
      <w:r w:rsidRPr="00C76D9E">
        <w:lastRenderedPageBreak/>
        <w:t>2020). It supports strategic goals such as quality differentiation, supply chain excellence, and sustainability, while ensuring alignment across stores and clear communication with stakeholders (Biswas et al., 2022). Compared to KPI, OKR, or Triple Bottom Line approaches, BSC provides a comprehensive, balanced perspective on performance, helping prevent short-term pressures from undermining long-term market growth, and can be enhanced with targeted sustainability metrics.</w:t>
      </w:r>
    </w:p>
    <w:p w14:paraId="3196A700" w14:textId="77777777" w:rsidR="00166E15" w:rsidRDefault="00166E15" w:rsidP="00166E15">
      <w:pPr>
        <w:keepNext/>
      </w:pPr>
      <w:r w:rsidRPr="00166E15">
        <w:rPr>
          <w:noProof/>
        </w:rPr>
        <w:drawing>
          <wp:inline distT="0" distB="0" distL="0" distR="0" wp14:anchorId="7ED0B016" wp14:editId="61684AEA">
            <wp:extent cx="5731510" cy="3296920"/>
            <wp:effectExtent l="0" t="0" r="2540" b="0"/>
            <wp:docPr id="898478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78788" name=""/>
                    <pic:cNvPicPr/>
                  </pic:nvPicPr>
                  <pic:blipFill>
                    <a:blip r:embed="rId17"/>
                    <a:stretch>
                      <a:fillRect/>
                    </a:stretch>
                  </pic:blipFill>
                  <pic:spPr>
                    <a:xfrm>
                      <a:off x="0" y="0"/>
                      <a:ext cx="5731510" cy="3296920"/>
                    </a:xfrm>
                    <a:prstGeom prst="rect">
                      <a:avLst/>
                    </a:prstGeom>
                  </pic:spPr>
                </pic:pic>
              </a:graphicData>
            </a:graphic>
          </wp:inline>
        </w:drawing>
      </w:r>
    </w:p>
    <w:p w14:paraId="2F0E0297" w14:textId="51B53181" w:rsidR="00166E15" w:rsidRDefault="00166E15" w:rsidP="00166E15">
      <w:pPr>
        <w:pStyle w:val="Caption"/>
      </w:pPr>
      <w:r>
        <w:t xml:space="preserve">Figure </w:t>
      </w:r>
      <w:fldSimple w:instr=" SEQ Figure \* ARABIC ">
        <w:r>
          <w:rPr>
            <w:noProof/>
          </w:rPr>
          <w:t>9</w:t>
        </w:r>
      </w:fldSimple>
      <w:r>
        <w:t xml:space="preserve"> </w:t>
      </w:r>
      <w:r w:rsidRPr="00BE1F88">
        <w:t>Balanced Scorecard performance measurement (Nguyen (Rose), 2023)</w:t>
      </w:r>
    </w:p>
    <w:p w14:paraId="0B825263" w14:textId="77777777" w:rsidR="00F740C5" w:rsidRDefault="00F740C5" w:rsidP="00F740C5">
      <w:pPr>
        <w:pStyle w:val="Heading2"/>
      </w:pPr>
      <w:bookmarkStart w:id="44" w:name="_Toc217141009"/>
      <w:r w:rsidRPr="00FC2C80">
        <w:t>Balanced Scoreca</w:t>
      </w:r>
      <w:r>
        <w:t>rd Objectives, KPIs &amp; Targets</w:t>
      </w:r>
      <w:bookmarkEnd w:id="44"/>
    </w:p>
    <w:p w14:paraId="488FA5D6" w14:textId="77777777" w:rsidR="00F740C5" w:rsidRPr="00FC2C80" w:rsidRDefault="00F740C5" w:rsidP="00F740C5">
      <w:pPr>
        <w:rPr>
          <w:b/>
          <w:bCs/>
        </w:rPr>
      </w:pPr>
      <w:r w:rsidRPr="00FC2C80">
        <w:rPr>
          <w:b/>
          <w:bCs/>
        </w:rPr>
        <w:t>Financial Perspective</w:t>
      </w:r>
    </w:p>
    <w:p w14:paraId="39B93ED1" w14:textId="6EE21A8C" w:rsidR="00F740C5" w:rsidRPr="00F740C5" w:rsidRDefault="00F740C5" w:rsidP="00F740C5">
      <w:pPr>
        <w:rPr>
          <w:lang w:val="en-US"/>
        </w:rPr>
      </w:pPr>
      <w:r w:rsidRPr="00F740C5">
        <w:rPr>
          <w:lang w:val="en-US"/>
        </w:rPr>
        <w:t xml:space="preserve">Sainsbury’s aims to achieve early profitability in India while managing substantial initial investments in supply chains, store setup, and marketing. Key metrics include store-level revenue, gross margins, and ROI over the first three years, with a target of reaching profitability within 18–24 months. Monitoring these indicators will help balance premium pricing with the cost-conscious </w:t>
      </w:r>
      <w:r w:rsidR="00A66EB3" w:rsidRPr="00F740C5">
        <w:rPr>
          <w:lang w:val="en-US"/>
        </w:rPr>
        <w:t>behavior</w:t>
      </w:r>
      <w:r w:rsidRPr="00F740C5">
        <w:rPr>
          <w:lang w:val="en-US"/>
        </w:rPr>
        <w:t xml:space="preserve"> of Indian consumers (Biswas et al., 2022).</w:t>
      </w:r>
    </w:p>
    <w:p w14:paraId="0FE14560" w14:textId="77777777" w:rsidR="00F740C5" w:rsidRDefault="00F740C5" w:rsidP="00F740C5">
      <w:r w:rsidRPr="00F740C5">
        <w:rPr>
          <w:b/>
          <w:bCs/>
        </w:rPr>
        <w:t>Customer Perspective</w:t>
      </w:r>
    </w:p>
    <w:p w14:paraId="1AEC0816" w14:textId="4EA0F4EF" w:rsidR="00F740C5" w:rsidRDefault="00F740C5" w:rsidP="00F740C5">
      <w:r w:rsidRPr="00F740C5">
        <w:t xml:space="preserve">Customer satisfaction and loyalty are central to success. KPIs should track Net Promoter Score (NPS), repeat purchase frequency, and overall satisfaction ratings. </w:t>
      </w:r>
      <w:r w:rsidRPr="00F740C5">
        <w:lastRenderedPageBreak/>
        <w:t>Online feedback on platforms like Swiggy, Zomato, and grocery apps can gauge brand acceptance. Goals could include maintaining an NPS above 50 and average ratings above 4.2 within the first two years, reflecting strong engagement and trust (Chauhan, 2023).</w:t>
      </w:r>
    </w:p>
    <w:p w14:paraId="216F586D" w14:textId="77777777" w:rsidR="006B0D88" w:rsidRDefault="006B0D88" w:rsidP="00F740C5">
      <w:r w:rsidRPr="006B0D88">
        <w:rPr>
          <w:b/>
          <w:bCs/>
        </w:rPr>
        <w:t>Internal Process Perspective</w:t>
      </w:r>
    </w:p>
    <w:p w14:paraId="79C22AD4" w14:textId="53C40136" w:rsidR="006B0D88" w:rsidRDefault="006B0D88" w:rsidP="00F740C5">
      <w:r w:rsidRPr="006B0D88">
        <w:t>Operational efficiency is essential for delivering consistent quality. KPIs should monitor order accuracy, store fulfilment times, food waste reduction, and supplier adherence to safety and quality standards. Initial targets might include fulfilling orders within 10–15 minutes and cutting product waste by 15%, while ensuring suppliers meet Sainsbury’s quality requirements (Zhang et al., 2024).</w:t>
      </w:r>
    </w:p>
    <w:p w14:paraId="42F6B133" w14:textId="77777777" w:rsidR="006B0D88" w:rsidRDefault="006B0D88" w:rsidP="00F740C5">
      <w:r w:rsidRPr="006B0D88">
        <w:rPr>
          <w:b/>
          <w:bCs/>
        </w:rPr>
        <w:t>Learning &amp; Growth Perspective</w:t>
      </w:r>
    </w:p>
    <w:p w14:paraId="60058B32" w14:textId="415DB507" w:rsidR="006B0D88" w:rsidRDefault="006B0D88" w:rsidP="00F740C5">
      <w:r w:rsidRPr="006B0D88">
        <w:t>Building local talent and embedding Sainsbury’s operational culture is critical. KPIs include training hours, retention, and promotions. Targets could involve 40 hours of training per employee and at least 75% retention during the first two years. Establishing a local training academy will facilitate skill development, knowledge transfer, and long-term organisational growth (Chen et al., 2025).</w:t>
      </w:r>
    </w:p>
    <w:p w14:paraId="0874C949" w14:textId="035AB117" w:rsidR="00521496" w:rsidRPr="00F740C5" w:rsidRDefault="00521496" w:rsidP="00521496">
      <w:pPr>
        <w:pStyle w:val="Heading2"/>
      </w:pPr>
      <w:bookmarkStart w:id="45" w:name="_Toc217141010"/>
      <w:r>
        <w:t>Limitations of the Balanced Scorecard</w:t>
      </w:r>
      <w:bookmarkEnd w:id="45"/>
    </w:p>
    <w:p w14:paraId="3726B9E9" w14:textId="37C4D38B" w:rsidR="00F740C5" w:rsidRDefault="003144D9" w:rsidP="00645AA2">
      <w:r w:rsidRPr="003144D9">
        <w:rPr>
          <w:b/>
          <w:bCs/>
        </w:rPr>
        <w:t>Complexity</w:t>
      </w:r>
      <w:r w:rsidRPr="003144D9">
        <w:t>: Implementing BSC requires defining appropriate metrics, establishing baseline data, and integrating reporting systems, which is challenging in a joint venture with partners having different measurement practices (Halkos et al., 2024).</w:t>
      </w:r>
    </w:p>
    <w:p w14:paraId="05AA686C" w14:textId="2D474F0A" w:rsidR="003144D9" w:rsidRDefault="003144D9" w:rsidP="00645AA2">
      <w:r w:rsidRPr="003144D9">
        <w:rPr>
          <w:b/>
          <w:bCs/>
        </w:rPr>
        <w:t>Shifting Priorities</w:t>
      </w:r>
      <w:r w:rsidRPr="003144D9">
        <w:t>: Early stages of market entry may need emphasis on brand building and customer acquisition rather than short-term financial results, causing temporary imbalance across BSC perspectives (Halkos et al., 2024).</w:t>
      </w:r>
    </w:p>
    <w:p w14:paraId="72AED358" w14:textId="42748CC1" w:rsidR="003144D9" w:rsidRDefault="003144D9" w:rsidP="00645AA2">
      <w:r w:rsidRPr="003144D9">
        <w:rPr>
          <w:b/>
          <w:bCs/>
        </w:rPr>
        <w:t>Intangible Factors</w:t>
      </w:r>
      <w:r w:rsidRPr="003144D9">
        <w:t>: Aspects such as organisational culture, stakeholder relationships, and brand perception are hard to measure but crucial for adapting successfully to the local market (Dwivedi et al., 2020).</w:t>
      </w:r>
    </w:p>
    <w:p w14:paraId="076B0342" w14:textId="60664DE0" w:rsidR="003144D9" w:rsidRDefault="003144D9" w:rsidP="00645AA2">
      <w:r w:rsidRPr="003144D9">
        <w:rPr>
          <w:b/>
          <w:bCs/>
        </w:rPr>
        <w:t>Non-linear Relationships</w:t>
      </w:r>
      <w:r w:rsidRPr="003144D9">
        <w:t>: The assumed cause-and-effect chain from learning and growth to financial results may not always hold, with external influences like regulations and competition impacting outcomes independently</w:t>
      </w:r>
      <w:r>
        <w:t>.</w:t>
      </w:r>
    </w:p>
    <w:p w14:paraId="0D82EFAB" w14:textId="0AE7FC31" w:rsidR="003144D9" w:rsidRDefault="003144D9" w:rsidP="00645AA2">
      <w:r w:rsidRPr="003144D9">
        <w:rPr>
          <w:b/>
          <w:bCs/>
        </w:rPr>
        <w:lastRenderedPageBreak/>
        <w:t>Data Limitations</w:t>
      </w:r>
      <w:r w:rsidRPr="003144D9">
        <w:t>: Technology gaps, incomplete supplier information, and early-stage operations may hinder timely and accurate performance tracking</w:t>
      </w:r>
      <w:r>
        <w:t>.</w:t>
      </w:r>
    </w:p>
    <w:p w14:paraId="54AA7B39" w14:textId="4B89A6E5" w:rsidR="00496FE9" w:rsidRDefault="003144D9" w:rsidP="00496FE9">
      <w:r w:rsidRPr="003144D9">
        <w:rPr>
          <w:b/>
          <w:bCs/>
        </w:rPr>
        <w:t>Short-term Focus Risk</w:t>
      </w:r>
      <w:r w:rsidRPr="003144D9">
        <w:t>: Setting frequent targets may prioritize immediate results over long-term capability building and sustainable positioning in the Indian market</w:t>
      </w:r>
      <w:r>
        <w:t>.</w:t>
      </w:r>
    </w:p>
    <w:p w14:paraId="43D7FDB7" w14:textId="3C487855" w:rsidR="00BD20DC" w:rsidRPr="00BD20DC" w:rsidRDefault="00BD20DC" w:rsidP="00BD20DC">
      <w:pPr>
        <w:pStyle w:val="Heading1"/>
      </w:pPr>
      <w:bookmarkStart w:id="46" w:name="_Toc217141011"/>
      <w:r>
        <w:t>Conclusion</w:t>
      </w:r>
      <w:bookmarkEnd w:id="46"/>
    </w:p>
    <w:p w14:paraId="6FB52A44" w14:textId="49E8A596" w:rsidR="001C318D" w:rsidRPr="001C318D" w:rsidRDefault="001C318D" w:rsidP="001C318D">
      <w:pPr>
        <w:rPr>
          <w:lang w:val="en-US"/>
        </w:rPr>
      </w:pPr>
      <w:r w:rsidRPr="001C318D">
        <w:rPr>
          <w:lang w:val="en-US"/>
        </w:rPr>
        <w:t>India presents a highly promising market for Sainsbury’s, driven by strong economic growth, rising urban incomes, and increasing demand for reliable, high-quality, and international grocery products. Analyses using PESTLE and Porter’s Five Forces highlight a competitive but opportunity-rich environment for retailers offering differentiated experiences. Key challenges include regulatory complexity, diverse dietary habits, fragmented supply chains, and strong domestic competition. VRIO analysis shows that Sainsbury’s possesses unique, hard-to-imitate strengths</w:t>
      </w:r>
      <w:r>
        <w:rPr>
          <w:lang w:val="en-US"/>
        </w:rPr>
        <w:t xml:space="preserve"> </w:t>
      </w:r>
      <w:r w:rsidRPr="001C318D">
        <w:rPr>
          <w:lang w:val="en-US"/>
        </w:rPr>
        <w:t>such as brand reputation, supply chain efficiency, private-label expertise, operational effectiveness, and sustainability credentials</w:t>
      </w:r>
      <w:r>
        <w:rPr>
          <w:lang w:val="en-US"/>
        </w:rPr>
        <w:t xml:space="preserve"> </w:t>
      </w:r>
      <w:r w:rsidRPr="001C318D">
        <w:rPr>
          <w:lang w:val="en-US"/>
        </w:rPr>
        <w:t>that can be leveraged in India, particularly through partnerships with local players.</w:t>
      </w:r>
    </w:p>
    <w:p w14:paraId="1423771B" w14:textId="77777777" w:rsidR="001C318D" w:rsidRPr="001C318D" w:rsidRDefault="001C318D" w:rsidP="001C318D">
      <w:pPr>
        <w:rPr>
          <w:lang w:val="en-US"/>
        </w:rPr>
      </w:pPr>
      <w:r w:rsidRPr="001C318D">
        <w:rPr>
          <w:lang w:val="en-US"/>
        </w:rPr>
        <w:t>A joint venture is recommended as the market entry mode, allowing Sainsbury’s to maintain quality control while tapping into local knowledge. By emphasizing fresh, high-quality products, transparent sourcing, and tailored offerings, Sainsbury’s can target the premium grocery segment where consumers prioritize quality and superior shopping experiences. Expansion plans include local sourcing, product adaptation, digital integration, and phased growth across regions, supported by the Balanced Scorecard to track financial performance, customer satisfaction, internal operations, and staff development.</w:t>
      </w:r>
    </w:p>
    <w:p w14:paraId="2F9CF8C9" w14:textId="77777777" w:rsidR="001C318D" w:rsidRPr="001C318D" w:rsidRDefault="001C318D" w:rsidP="001C318D">
      <w:pPr>
        <w:rPr>
          <w:lang w:val="en-US"/>
        </w:rPr>
      </w:pPr>
      <w:r w:rsidRPr="001C318D">
        <w:rPr>
          <w:lang w:val="en-US"/>
        </w:rPr>
        <w:t>In summary, Sainsbury’s can succeed in India by aligning with local culture, regulations, and competition. Its distinctive capabilities, operational excellence, and robust monitoring systems provide a strong foundation for long-term growth, with quality, customer responsiveness, and continuous learning as key pillars (Vuori and Tushman, 2024).</w:t>
      </w:r>
    </w:p>
    <w:p w14:paraId="6CA95A41" w14:textId="77777777" w:rsidR="002C00DF" w:rsidRDefault="002C00DF" w:rsidP="00BB65D5">
      <w:pPr>
        <w:rPr>
          <w:lang w:val="en-US"/>
        </w:rPr>
      </w:pPr>
    </w:p>
    <w:p w14:paraId="076EF3B1" w14:textId="09B7AA02" w:rsidR="00A141A1" w:rsidRDefault="00A141A1" w:rsidP="00A141A1">
      <w:pPr>
        <w:pStyle w:val="Heading1"/>
        <w:rPr>
          <w:lang w:val="en-US"/>
        </w:rPr>
      </w:pPr>
      <w:bookmarkStart w:id="47" w:name="_Toc217141012"/>
      <w:r>
        <w:rPr>
          <w:lang w:val="en-US"/>
        </w:rPr>
        <w:lastRenderedPageBreak/>
        <w:t>References</w:t>
      </w:r>
      <w:bookmarkEnd w:id="47"/>
    </w:p>
    <w:p w14:paraId="6BE5FDAC" w14:textId="64C6012A" w:rsidR="00A141A1" w:rsidRDefault="00EF2236" w:rsidP="00BB65D5">
      <w:r w:rsidRPr="00EF2236">
        <w:t xml:space="preserve">Aggarwal, A., 2025. </w:t>
      </w:r>
      <w:r w:rsidRPr="00EF2236">
        <w:rPr>
          <w:i/>
          <w:iCs/>
        </w:rPr>
        <w:t>Retail trends and consumer income patterns in India</w:t>
      </w:r>
      <w:r w:rsidRPr="00EF2236">
        <w:t>. Economic &amp; Market Journal.</w:t>
      </w:r>
    </w:p>
    <w:p w14:paraId="098B9656" w14:textId="0A987BE2" w:rsidR="00BB65D5" w:rsidRDefault="00EF2236" w:rsidP="007C4978">
      <w:pPr>
        <w:rPr>
          <w:lang w:val="en-US"/>
        </w:rPr>
      </w:pPr>
      <w:r w:rsidRPr="00EF2236">
        <w:t xml:space="preserve">AnnualReports.com, 2024. </w:t>
      </w:r>
      <w:r w:rsidRPr="00EF2236">
        <w:rPr>
          <w:i/>
          <w:iCs/>
        </w:rPr>
        <w:t>J Sainsbury plc Annual Report 2024</w:t>
      </w:r>
      <w:r w:rsidRPr="00EF2236">
        <w:t xml:space="preserve">. Available at: </w:t>
      </w:r>
      <w:hyperlink r:id="rId18" w:tgtFrame="_new" w:history="1">
        <w:r w:rsidRPr="00EF2236">
          <w:rPr>
            <w:rStyle w:val="Hyperlink"/>
          </w:rPr>
          <w:t>https://www.annualreports.com/Company/j-sainsbury-plc</w:t>
        </w:r>
      </w:hyperlink>
    </w:p>
    <w:p w14:paraId="475C0DF4" w14:textId="4E4331DE" w:rsidR="00EF2236" w:rsidRDefault="00EF2236" w:rsidP="007C4978">
      <w:pPr>
        <w:rPr>
          <w:lang w:val="en-US"/>
        </w:rPr>
      </w:pPr>
      <w:r w:rsidRPr="00EF2236">
        <w:rPr>
          <w:lang w:val="en-US"/>
        </w:rPr>
        <w:t xml:space="preserve">Baker McKenzie (2024) How will India's policy reforms and regulatory developments shape inbound M&amp;A and FDI? Available at: </w:t>
      </w:r>
      <w:hyperlink r:id="rId19" w:history="1">
        <w:r w:rsidRPr="00EF2236">
          <w:rPr>
            <w:rStyle w:val="Hyperlink"/>
            <w:lang w:val="en-US"/>
          </w:rPr>
          <w:t>https://www.bakermckenzie.com/en/insight/publications/2024/08/india-policy-reforms-shape-inbound-ma-fd</w:t>
        </w:r>
        <w:r w:rsidRPr="00591A16">
          <w:rPr>
            <w:rStyle w:val="Hyperlink"/>
            <w:lang w:val="en-US"/>
          </w:rPr>
          <w:t>i</w:t>
        </w:r>
      </w:hyperlink>
      <w:r>
        <w:rPr>
          <w:lang w:val="en-US"/>
        </w:rPr>
        <w:t xml:space="preserve"> </w:t>
      </w:r>
    </w:p>
    <w:p w14:paraId="30849F72" w14:textId="63538E53" w:rsidR="00EF2236" w:rsidRDefault="00F24237" w:rsidP="007C4978">
      <w:pPr>
        <w:rPr>
          <w:lang w:val="en-US"/>
        </w:rPr>
      </w:pPr>
      <w:r w:rsidRPr="00F24237">
        <w:rPr>
          <w:lang w:val="en-US"/>
        </w:rPr>
        <w:t xml:space="preserve">Banerjee, M. (2024) 'Elaborating on ethnic entrepreneurship: How differences in immigrant founders' strategic choices regarding human capital sourcing affect business model designs and evolution', Entrepreneurship Theory and Practice, 49(3), pp. 711-749. Available at: </w:t>
      </w:r>
      <w:hyperlink r:id="rId20" w:history="1">
        <w:r w:rsidRPr="00F24237">
          <w:rPr>
            <w:rStyle w:val="Hyperlink"/>
            <w:lang w:val="en-US"/>
          </w:rPr>
          <w:t>https://doi.org/10.1177/10422587241280125</w:t>
        </w:r>
      </w:hyperlink>
      <w:r>
        <w:rPr>
          <w:lang w:val="en-US"/>
        </w:rPr>
        <w:t xml:space="preserve"> </w:t>
      </w:r>
    </w:p>
    <w:p w14:paraId="7EFD8451" w14:textId="649E8DE1" w:rsidR="008973AE" w:rsidRDefault="008973AE" w:rsidP="007C4978">
      <w:r w:rsidRPr="008973AE">
        <w:t xml:space="preserve">Barney, J. B. &amp; Hesterly, W. S., 2019. </w:t>
      </w:r>
      <w:r w:rsidRPr="008973AE">
        <w:rPr>
          <w:i/>
          <w:iCs/>
        </w:rPr>
        <w:t>Strategic Management and Competitive Advantage</w:t>
      </w:r>
      <w:r w:rsidRPr="008973AE">
        <w:t>. 6th ed. Pearson.</w:t>
      </w:r>
    </w:p>
    <w:p w14:paraId="347BD57D" w14:textId="3918670D" w:rsidR="008973AE" w:rsidRDefault="007468B9" w:rsidP="007C4978">
      <w:pPr>
        <w:rPr>
          <w:lang w:val="en-US"/>
        </w:rPr>
      </w:pPr>
      <w:r w:rsidRPr="007468B9">
        <w:rPr>
          <w:lang w:val="en-US"/>
        </w:rPr>
        <w:t xml:space="preserve">Biswas, S., Bhattacharya, M., Sadarangani, P.H. and Jin, J.Y. (2022) 'Corporate governance and earnings management in banks: </w:t>
      </w:r>
      <w:r w:rsidR="00A66EB3" w:rsidRPr="007468B9">
        <w:rPr>
          <w:lang w:val="en-US"/>
        </w:rPr>
        <w:t>Empirical evidence</w:t>
      </w:r>
      <w:r w:rsidRPr="007468B9">
        <w:rPr>
          <w:lang w:val="en-US"/>
        </w:rPr>
        <w:t xml:space="preserve"> from India', Cogent Economics &amp; Finance</w:t>
      </w:r>
      <w:r>
        <w:rPr>
          <w:lang w:val="en-US"/>
        </w:rPr>
        <w:t>.</w:t>
      </w:r>
      <w:r w:rsidR="00523F7B">
        <w:rPr>
          <w:lang w:val="en-US"/>
        </w:rPr>
        <w:tab/>
      </w:r>
    </w:p>
    <w:p w14:paraId="2A15AAD2" w14:textId="6080790E" w:rsidR="00E056BD" w:rsidRDefault="00E056BD" w:rsidP="007C4978">
      <w:pPr>
        <w:rPr>
          <w:lang w:val="en-US"/>
        </w:rPr>
      </w:pPr>
      <w:r w:rsidRPr="00E056BD">
        <w:rPr>
          <w:lang w:val="en-US"/>
        </w:rPr>
        <w:t xml:space="preserve">Batschauer da Cruz, C.B., Floriani, D.E. and Amal, M. (2020) 'The OLI paradigm as a comprehensive model of FDI determinants: a sub-national approach', International Journal of Emerging Markets, 17(1), pp. 145-176. Available at: </w:t>
      </w:r>
      <w:hyperlink r:id="rId21" w:history="1">
        <w:r w:rsidRPr="00E056BD">
          <w:rPr>
            <w:rStyle w:val="Hyperlink"/>
            <w:lang w:val="en-US"/>
          </w:rPr>
          <w:t>https://doi.org/10.1108/IJOEM-07-2019-0517</w:t>
        </w:r>
      </w:hyperlink>
      <w:r>
        <w:rPr>
          <w:lang w:val="en-US"/>
        </w:rPr>
        <w:t xml:space="preserve"> </w:t>
      </w:r>
    </w:p>
    <w:p w14:paraId="6D518248" w14:textId="5C95189C" w:rsidR="00E056BD" w:rsidRDefault="00E056BD" w:rsidP="007C4978">
      <w:pPr>
        <w:rPr>
          <w:lang w:val="en-US"/>
        </w:rPr>
      </w:pPr>
      <w:r w:rsidRPr="00E056BD">
        <w:rPr>
          <w:lang w:val="en-US"/>
        </w:rPr>
        <w:t>Bhurat, K., Bhurat, S.S. and Dhoot, P. (2025) 'Understanding the possibilities, challenges, and opportunities in relationship between IPRs and food technology', International Journal of Intellectual Property Management</w:t>
      </w:r>
      <w:r>
        <w:rPr>
          <w:lang w:val="en-US"/>
        </w:rPr>
        <w:t>.</w:t>
      </w:r>
    </w:p>
    <w:p w14:paraId="58ED7F65" w14:textId="786DA7AC" w:rsidR="00116B32" w:rsidRDefault="00116B32" w:rsidP="007C4978">
      <w:pPr>
        <w:rPr>
          <w:lang w:val="en-US"/>
        </w:rPr>
      </w:pPr>
      <w:r w:rsidRPr="00116B32">
        <w:rPr>
          <w:lang w:val="en-US"/>
        </w:rPr>
        <w:t xml:space="preserve">Chambers and Partners (2025) Doing Business In... 2025 - India. Available at: </w:t>
      </w:r>
      <w:hyperlink r:id="rId22" w:history="1">
        <w:r w:rsidRPr="00116B32">
          <w:rPr>
            <w:rStyle w:val="Hyperlink"/>
            <w:lang w:val="en-US"/>
          </w:rPr>
          <w:t>https://practiceguides.chambers.com/practice-guides/doing-business-in-2025/india/trends-and-developments</w:t>
        </w:r>
      </w:hyperlink>
      <w:r>
        <w:rPr>
          <w:lang w:val="en-US"/>
        </w:rPr>
        <w:t xml:space="preserve"> </w:t>
      </w:r>
    </w:p>
    <w:p w14:paraId="78DC1B33" w14:textId="5BB2984E" w:rsidR="00116B32" w:rsidRDefault="00EF5AD6" w:rsidP="007C4978">
      <w:r w:rsidRPr="00EF5AD6">
        <w:t xml:space="preserve">Chauhan, P., 2023. </w:t>
      </w:r>
      <w:r w:rsidRPr="00EF5AD6">
        <w:rPr>
          <w:i/>
          <w:iCs/>
        </w:rPr>
        <w:t>Measuring customer experience and NPS in emerging markets</w:t>
      </w:r>
      <w:r w:rsidRPr="00EF5AD6">
        <w:t>. Journal of Customer Insights.</w:t>
      </w:r>
    </w:p>
    <w:p w14:paraId="7E5FE24D" w14:textId="0485708E" w:rsidR="00EF5AD6" w:rsidRDefault="00EF5AD6" w:rsidP="007C4978">
      <w:pPr>
        <w:rPr>
          <w:lang w:val="en-US"/>
        </w:rPr>
      </w:pPr>
      <w:r w:rsidRPr="00EF5AD6">
        <w:rPr>
          <w:lang w:val="en-US"/>
        </w:rPr>
        <w:lastRenderedPageBreak/>
        <w:t xml:space="preserve">Chen, Y., Guo, X., Shi, Z., Song, Z. and Zhang, J. (2025) 'T2VWorldBench: A benchmark for evaluating world knowledge in text-to-video generation', arXiv preprint arXiv:2507.18107. Available at: </w:t>
      </w:r>
      <w:hyperlink r:id="rId23" w:history="1">
        <w:r w:rsidRPr="00EF5AD6">
          <w:rPr>
            <w:rStyle w:val="Hyperlink"/>
            <w:lang w:val="en-US"/>
          </w:rPr>
          <w:t>https://arxiv.org/abs/2507.18107</w:t>
        </w:r>
      </w:hyperlink>
      <w:r>
        <w:rPr>
          <w:lang w:val="en-US"/>
        </w:rPr>
        <w:t xml:space="preserve"> </w:t>
      </w:r>
    </w:p>
    <w:p w14:paraId="7FFA8AFA" w14:textId="346DB149" w:rsidR="00231E32" w:rsidRDefault="00231E32" w:rsidP="00231E32">
      <w:pPr>
        <w:rPr>
          <w:lang w:val="en-US"/>
        </w:rPr>
      </w:pPr>
      <w:r w:rsidRPr="00231E32">
        <w:rPr>
          <w:lang w:val="en-US"/>
        </w:rPr>
        <w:t>Chowdhury, E. (2025) Market entry strategy for new food brands.</w:t>
      </w:r>
      <w:r w:rsidR="00470789">
        <w:rPr>
          <w:lang w:val="en-US"/>
        </w:rPr>
        <w:t xml:space="preserve"> </w:t>
      </w:r>
      <w:r w:rsidRPr="00231E32">
        <w:rPr>
          <w:lang w:val="en-US"/>
        </w:rPr>
        <w:t xml:space="preserve">Available at: </w:t>
      </w:r>
      <w:hyperlink r:id="rId24" w:history="1">
        <w:r w:rsidR="00A77117" w:rsidRPr="00591A16">
          <w:rPr>
            <w:rStyle w:val="Hyperlink"/>
            <w:lang w:val="en-US"/>
          </w:rPr>
          <w:t>https://www.theseus.fi/handle/10024/889793</w:t>
        </w:r>
      </w:hyperlink>
      <w:r w:rsidR="00A77117">
        <w:rPr>
          <w:lang w:val="en-US"/>
        </w:rPr>
        <w:t xml:space="preserve"> </w:t>
      </w:r>
    </w:p>
    <w:p w14:paraId="10CF7441" w14:textId="2A3F52F2" w:rsidR="00A77117" w:rsidRDefault="00F85B8B" w:rsidP="00231E32">
      <w:pPr>
        <w:rPr>
          <w:lang w:val="en-US"/>
        </w:rPr>
      </w:pPr>
      <w:r w:rsidRPr="00F85B8B">
        <w:t xml:space="preserve">Suresh, N., 2025. </w:t>
      </w:r>
      <w:r w:rsidRPr="00F85B8B">
        <w:rPr>
          <w:i/>
          <w:iCs/>
        </w:rPr>
        <w:t>Meat consumption in India</w:t>
      </w:r>
      <w:r w:rsidRPr="00F85B8B">
        <w:t xml:space="preserve">. [online] Data For India. Available at: </w:t>
      </w:r>
      <w:hyperlink r:id="rId25" w:tgtFrame="_new" w:history="1">
        <w:r w:rsidRPr="00F85B8B">
          <w:rPr>
            <w:rStyle w:val="Hyperlink"/>
          </w:rPr>
          <w:t>https://www.dataforindia.com/meat-consumption/?referrer=grok.com</w:t>
        </w:r>
      </w:hyperlink>
    </w:p>
    <w:p w14:paraId="64BE048F" w14:textId="2C0BE058" w:rsidR="00F85B8B" w:rsidRDefault="00F85B8B" w:rsidP="00231E32">
      <w:pPr>
        <w:rPr>
          <w:lang w:val="en-US"/>
        </w:rPr>
      </w:pPr>
      <w:r w:rsidRPr="00F85B8B">
        <w:rPr>
          <w:lang w:val="en-US"/>
        </w:rPr>
        <w:t xml:space="preserve">Deshmukh, D.K., William, C. and Rana, A.-S. (2024) 'AI-powered predictive marketing systems enhancing customer retention and revenue optimization in global enterprises', Repository Universitas Muhammadiyah Sidoarjo. Available at: </w:t>
      </w:r>
      <w:hyperlink r:id="rId26" w:history="1">
        <w:r w:rsidRPr="00F85B8B">
          <w:rPr>
            <w:rStyle w:val="Hyperlink"/>
            <w:lang w:val="en-US"/>
          </w:rPr>
          <w:t>http://eprints.umsida.ac.id/16403/1/AI-POWERED%20PREDICTIVE%20MARKETING%20SYSTEMS.pdf</w:t>
        </w:r>
      </w:hyperlink>
      <w:r>
        <w:rPr>
          <w:lang w:val="en-US"/>
        </w:rPr>
        <w:t xml:space="preserve"> </w:t>
      </w:r>
    </w:p>
    <w:p w14:paraId="04F2559D" w14:textId="41841CA6" w:rsidR="00EF5AD6" w:rsidRDefault="00F5679C" w:rsidP="007C4978">
      <w:pPr>
        <w:rPr>
          <w:lang w:val="en-US"/>
        </w:rPr>
      </w:pPr>
      <w:r w:rsidRPr="00F5679C">
        <w:rPr>
          <w:lang w:val="en-US"/>
        </w:rPr>
        <w:t xml:space="preserve">Dunning, J.H. (1980) 'Toward an eclectic theory of international production: Some empirical tests', Journal of International Business Studies, 11(1), pp. 9-31. Available at: </w:t>
      </w:r>
      <w:hyperlink r:id="rId27" w:history="1">
        <w:r w:rsidRPr="00F5679C">
          <w:rPr>
            <w:rStyle w:val="Hyperlink"/>
            <w:lang w:val="en-US"/>
          </w:rPr>
          <w:t>https://doi.org/10.1057/palgrave.jibs.8490593</w:t>
        </w:r>
      </w:hyperlink>
      <w:r>
        <w:rPr>
          <w:lang w:val="en-US"/>
        </w:rPr>
        <w:t xml:space="preserve"> </w:t>
      </w:r>
    </w:p>
    <w:p w14:paraId="2BDA05F1" w14:textId="77777777" w:rsidR="00B9531C" w:rsidRPr="00B9531C" w:rsidRDefault="00B9531C" w:rsidP="00B9531C">
      <w:pPr>
        <w:rPr>
          <w:lang w:val="en-US"/>
        </w:rPr>
      </w:pPr>
      <w:r w:rsidRPr="00B9531C">
        <w:rPr>
          <w:lang w:val="en-US"/>
        </w:rPr>
        <w:t>Dwivedi, R., Prasad, K., Mandal, N., Singh, S., Vardhan, M. and Pamucar, D. (2020) 'Performance evaluation of an insurance company using an integrated balanced scorecard (BSC) and best-worst method (BWM)', Decision Making: Applications in Management and Engineering</w:t>
      </w:r>
    </w:p>
    <w:p w14:paraId="0C499F4F" w14:textId="664D9175" w:rsidR="00B9531C" w:rsidRDefault="00B9531C" w:rsidP="00B9531C">
      <w:pPr>
        <w:rPr>
          <w:lang w:val="en-US"/>
        </w:rPr>
      </w:pPr>
      <w:r w:rsidRPr="00B9531C">
        <w:rPr>
          <w:lang w:val="en-US"/>
        </w:rPr>
        <w:t xml:space="preserve">Economic Times (2025) 'India's retail boom set to draw USD 3.5 billion as US malls struggle: Anarock study', The Economic Times, 18 December. Available at: </w:t>
      </w:r>
      <w:hyperlink r:id="rId28" w:history="1">
        <w:r w:rsidR="00BE5505" w:rsidRPr="00B9531C">
          <w:rPr>
            <w:rStyle w:val="Hyperlink"/>
            <w:lang w:val="en-US"/>
          </w:rPr>
          <w:t>https://m.economictimes.com/markets/digital-real-estate/realty-news/indias-retail-boom-set-to-draw-usd-3-5-billion-as-us-malls-struggle-anarock-study/articleshow/126052432.cms</w:t>
        </w:r>
      </w:hyperlink>
      <w:r>
        <w:rPr>
          <w:lang w:val="en-US"/>
        </w:rPr>
        <w:t xml:space="preserve"> </w:t>
      </w:r>
    </w:p>
    <w:p w14:paraId="72345AD8" w14:textId="71E319E7" w:rsidR="00BE5505" w:rsidRDefault="00BE5505" w:rsidP="00B9531C">
      <w:pPr>
        <w:rPr>
          <w:lang w:val="en-US"/>
        </w:rPr>
      </w:pPr>
      <w:r w:rsidRPr="00BE5505">
        <w:rPr>
          <w:lang w:val="en-US"/>
        </w:rPr>
        <w:t xml:space="preserve">Entrepreneur India (2025) 'Entrepreneur India announces "Entrepreneur 2025" show, a grand celebration of entrepreneurship', Entrepreneur. Available at: </w:t>
      </w:r>
      <w:hyperlink r:id="rId29" w:history="1">
        <w:r w:rsidRPr="00BE5505">
          <w:rPr>
            <w:rStyle w:val="Hyperlink"/>
            <w:lang w:val="en-US"/>
          </w:rPr>
          <w:t>https://www.entrepreneur.com/en-au/news-and-trends/entrepreneur-india-announces-entrepreneur-2025-show-a/497024</w:t>
        </w:r>
      </w:hyperlink>
      <w:r>
        <w:rPr>
          <w:lang w:val="en-US"/>
        </w:rPr>
        <w:t xml:space="preserve"> </w:t>
      </w:r>
    </w:p>
    <w:p w14:paraId="45C11E99" w14:textId="2707BF44" w:rsidR="00BE5505" w:rsidRDefault="007D4852" w:rsidP="00B9531C">
      <w:pPr>
        <w:rPr>
          <w:lang w:val="en-US"/>
        </w:rPr>
      </w:pPr>
      <w:r w:rsidRPr="007D4852">
        <w:rPr>
          <w:lang w:val="en-US"/>
        </w:rPr>
        <w:t xml:space="preserve">Ernst &amp; Young (2025) A studio called India: Content and media services for the world. Available at: </w:t>
      </w:r>
      <w:hyperlink r:id="rId30" w:history="1">
        <w:r w:rsidRPr="007D4852">
          <w:rPr>
            <w:rStyle w:val="Hyperlink"/>
            <w:lang w:val="en-US"/>
          </w:rPr>
          <w:t>https://www.ey.com/content/dam/ey-unified-site/ey-com/en-in/pdf/2025/ey-a-studio-called-india-content-and-media-services-for-the-world.pdf</w:t>
        </w:r>
      </w:hyperlink>
      <w:r>
        <w:rPr>
          <w:lang w:val="en-US"/>
        </w:rPr>
        <w:t xml:space="preserve"> </w:t>
      </w:r>
    </w:p>
    <w:p w14:paraId="2AC2ADD9" w14:textId="77777777" w:rsidR="007D4852" w:rsidRDefault="007D4852" w:rsidP="00B9531C">
      <w:pPr>
        <w:rPr>
          <w:lang w:val="en-US"/>
        </w:rPr>
      </w:pPr>
      <w:r w:rsidRPr="007D4852">
        <w:rPr>
          <w:lang w:val="en-US"/>
        </w:rPr>
        <w:lastRenderedPageBreak/>
        <w:t xml:space="preserve">Expert Market Research (2025) 'India online food delivery market size &amp; YoY growth 2035'. Available at: </w:t>
      </w:r>
      <w:hyperlink r:id="rId31" w:history="1">
        <w:r w:rsidRPr="007D4852">
          <w:rPr>
            <w:rStyle w:val="Hyperlink"/>
            <w:lang w:val="en-US"/>
          </w:rPr>
          <w:t>https://www.expertmarketresearch.com/reports/india-online-food-delivery-market</w:t>
        </w:r>
      </w:hyperlink>
    </w:p>
    <w:p w14:paraId="2A145981" w14:textId="77777777" w:rsidR="00EE05EA" w:rsidRDefault="007D4852" w:rsidP="00B9531C">
      <w:pPr>
        <w:rPr>
          <w:lang w:val="en-US"/>
        </w:rPr>
      </w:pPr>
      <w:r w:rsidRPr="007D4852">
        <w:rPr>
          <w:lang w:val="en-US"/>
        </w:rPr>
        <w:t xml:space="preserve">Financial Times (2010) 'Sainsbury looks at overseas expansion', Financial Times, 10 November. Available at: </w:t>
      </w:r>
      <w:hyperlink r:id="rId32" w:history="1">
        <w:r w:rsidRPr="007D4852">
          <w:rPr>
            <w:rStyle w:val="Hyperlink"/>
            <w:lang w:val="en-US"/>
          </w:rPr>
          <w:t>https://www.ft.com/content/78aee5b0-ecfb-11df-9912-00144feab49</w:t>
        </w:r>
        <w:r w:rsidRPr="00591A16">
          <w:rPr>
            <w:rStyle w:val="Hyperlink"/>
            <w:lang w:val="en-US"/>
          </w:rPr>
          <w:t>a</w:t>
        </w:r>
      </w:hyperlink>
      <w:r>
        <w:rPr>
          <w:lang w:val="en-US"/>
        </w:rPr>
        <w:t xml:space="preserve"> </w:t>
      </w:r>
    </w:p>
    <w:p w14:paraId="67CBBFAB" w14:textId="77777777" w:rsidR="00EE05EA" w:rsidRDefault="00EE05EA" w:rsidP="00B9531C">
      <w:pPr>
        <w:rPr>
          <w:lang w:val="en-US"/>
        </w:rPr>
      </w:pPr>
      <w:r w:rsidRPr="00EE05EA">
        <w:rPr>
          <w:lang w:val="en-US"/>
        </w:rPr>
        <w:t xml:space="preserve">Gandhi, M. (2024) 'A study on the influence of marketing strategies of foreign fast-food brands in the Indian market'. Available at: </w:t>
      </w:r>
      <w:hyperlink r:id="rId33" w:history="1">
        <w:r w:rsidRPr="00EE05EA">
          <w:rPr>
            <w:rStyle w:val="Hyperlink"/>
            <w:lang w:val="en-US"/>
          </w:rPr>
          <w:t>https://www.researchgate.net/publication/123456789</w:t>
        </w:r>
      </w:hyperlink>
      <w:r>
        <w:rPr>
          <w:lang w:val="en-US"/>
        </w:rPr>
        <w:t xml:space="preserve"> </w:t>
      </w:r>
    </w:p>
    <w:p w14:paraId="34584E85" w14:textId="456B9853" w:rsidR="007B57A4" w:rsidRDefault="007B57A4" w:rsidP="007B57A4">
      <w:pPr>
        <w:rPr>
          <w:lang w:val="en-US"/>
        </w:rPr>
      </w:pPr>
      <w:r w:rsidRPr="007B57A4">
        <w:rPr>
          <w:lang w:val="en-US"/>
        </w:rPr>
        <w:t>Geegan, S.A., Guo, S., Bingham, C., Jaffe, D. and Callahan, L. (2025) 'Meaningful change from spare change: A multi-stakeholder relationship management analysis of McDonald’s round-up campaign', International Journal of Strategic Communication</w:t>
      </w:r>
      <w:r>
        <w:rPr>
          <w:lang w:val="en-US"/>
        </w:rPr>
        <w:t>.</w:t>
      </w:r>
    </w:p>
    <w:p w14:paraId="75AB0443" w14:textId="05F55916" w:rsidR="00834224" w:rsidRDefault="00834224" w:rsidP="00834224">
      <w:pPr>
        <w:rPr>
          <w:lang w:val="en-US"/>
        </w:rPr>
      </w:pPr>
      <w:r w:rsidRPr="00834224">
        <w:rPr>
          <w:lang w:val="en-US"/>
        </w:rPr>
        <w:t>Halkos, G.E., Koundouri, P.C., Aslanidis, P.-S.C. and Plataniotis, A. (2024) 'Evaluating the tangible and intangible parameters of cultural heritage: an economic meta-analysis in a global context', Discover Sustainability, 5(1), article 123. Available at:</w:t>
      </w:r>
      <w:r>
        <w:rPr>
          <w:lang w:val="en-US"/>
        </w:rPr>
        <w:t xml:space="preserve"> </w:t>
      </w:r>
      <w:r w:rsidRPr="00834224">
        <w:t>DOI:</w:t>
      </w:r>
      <w:hyperlink r:id="rId34" w:tgtFrame="_blank" w:history="1">
        <w:r w:rsidRPr="00834224">
          <w:rPr>
            <w:rStyle w:val="Hyperlink"/>
          </w:rPr>
          <w:t>10.1007/s43621-024-00398-w</w:t>
        </w:r>
      </w:hyperlink>
    </w:p>
    <w:p w14:paraId="07261103" w14:textId="17C60D3D" w:rsidR="00834224" w:rsidRDefault="004011B8" w:rsidP="00834224">
      <w:pPr>
        <w:rPr>
          <w:lang w:val="en-US"/>
        </w:rPr>
      </w:pPr>
      <w:r w:rsidRPr="004011B8">
        <w:rPr>
          <w:lang w:val="en-US"/>
        </w:rPr>
        <w:t xml:space="preserve">Hamdoun, M., Achabou, M.A. and Dekhili, S. (2021) 'Could CSR improve the financial performance of developing countries’ firms? Analyses of mediating effect of intangible resources', European Business Review, 34(1), pp. 41-61. Available at: </w:t>
      </w:r>
      <w:hyperlink r:id="rId35" w:history="1">
        <w:r w:rsidRPr="004011B8">
          <w:rPr>
            <w:rStyle w:val="Hyperlink"/>
            <w:lang w:val="en-US"/>
          </w:rPr>
          <w:t>https://doi.org/10.1108/EBR-09-2020-023</w:t>
        </w:r>
        <w:r w:rsidRPr="00591A16">
          <w:rPr>
            <w:rStyle w:val="Hyperlink"/>
            <w:lang w:val="en-US"/>
          </w:rPr>
          <w:t>1</w:t>
        </w:r>
      </w:hyperlink>
      <w:r>
        <w:rPr>
          <w:lang w:val="en-US"/>
        </w:rPr>
        <w:t xml:space="preserve"> </w:t>
      </w:r>
    </w:p>
    <w:p w14:paraId="624C028B" w14:textId="690170CE" w:rsidR="004011B8" w:rsidRDefault="00DC416F" w:rsidP="00834224">
      <w:pPr>
        <w:rPr>
          <w:lang w:val="en-US"/>
        </w:rPr>
      </w:pPr>
      <w:r w:rsidRPr="00DC416F">
        <w:rPr>
          <w:lang w:val="en-US"/>
        </w:rPr>
        <w:t xml:space="preserve">Harvard Business Review (2016) 'How Amazon adapted its business model to India', Harvard Business Review, July. Available at: </w:t>
      </w:r>
      <w:hyperlink r:id="rId36" w:history="1">
        <w:r w:rsidRPr="00DC416F">
          <w:rPr>
            <w:rStyle w:val="Hyperlink"/>
            <w:lang w:val="en-US"/>
          </w:rPr>
          <w:t>https://hbr.org/2016/07/how-amazon-adapted-its-business-model-to-india</w:t>
        </w:r>
      </w:hyperlink>
      <w:r>
        <w:rPr>
          <w:lang w:val="en-US"/>
        </w:rPr>
        <w:t xml:space="preserve"> </w:t>
      </w:r>
    </w:p>
    <w:p w14:paraId="4A876D67" w14:textId="2F9EBC9A" w:rsidR="00D03232" w:rsidRDefault="00D03232" w:rsidP="00D03232">
      <w:pPr>
        <w:rPr>
          <w:lang w:val="en-US"/>
        </w:rPr>
      </w:pPr>
      <w:r w:rsidRPr="00D03232">
        <w:rPr>
          <w:lang w:val="en-US"/>
        </w:rPr>
        <w:t>Hasan, M.M., Rayhan, Z., Mukta, R.T. and Faruq, O. (2024) 'Research on adapting marketing techniques to different culture economics and regulatory environment to entering new international markets', Informatics. Economics. Management, 3(4). Available at:</w:t>
      </w:r>
      <w:r w:rsidRPr="00D03232">
        <w:t xml:space="preserve"> </w:t>
      </w:r>
      <w:hyperlink r:id="rId37" w:history="1">
        <w:r w:rsidRPr="00591A16">
          <w:rPr>
            <w:rStyle w:val="Hyperlink"/>
            <w:lang w:val="en-US"/>
          </w:rPr>
          <w:t>https://www.researchgate.net/publication/387600383_Research_on_adapting_marketing_techniques_to_different_culture_economics_and_regulatory_environment_to_entering_new_international_market</w:t>
        </w:r>
      </w:hyperlink>
      <w:r>
        <w:rPr>
          <w:lang w:val="en-US"/>
        </w:rPr>
        <w:t xml:space="preserve"> </w:t>
      </w:r>
    </w:p>
    <w:p w14:paraId="1578ACEC" w14:textId="77777777" w:rsidR="00723B13" w:rsidRPr="00723B13" w:rsidRDefault="00723B13" w:rsidP="00723B13">
      <w:pPr>
        <w:rPr>
          <w:lang w:val="en-US"/>
        </w:rPr>
      </w:pPr>
      <w:r w:rsidRPr="00723B13">
        <w:rPr>
          <w:lang w:val="en-US"/>
        </w:rPr>
        <w:lastRenderedPageBreak/>
        <w:t>Hill, C.W.L., Jones, G.R. and Schilling, M.A. (2019) Strategic management: Theory and cases: An integrated approach. 13th edn. Boston, MA: Cengage Learning.</w:t>
      </w:r>
    </w:p>
    <w:p w14:paraId="20632F40" w14:textId="009D7C81" w:rsidR="00723B13" w:rsidRDefault="00330677" w:rsidP="00D03232">
      <w:pPr>
        <w:rPr>
          <w:lang w:val="en-US"/>
        </w:rPr>
      </w:pPr>
      <w:r w:rsidRPr="00330677">
        <w:rPr>
          <w:lang w:val="en-US"/>
        </w:rPr>
        <w:t xml:space="preserve">IMARC Group (2024) 'Packaged food market in India: Size, industry trends 2033'. Available at: </w:t>
      </w:r>
      <w:hyperlink r:id="rId38" w:history="1">
        <w:r w:rsidRPr="00330677">
          <w:rPr>
            <w:rStyle w:val="Hyperlink"/>
            <w:lang w:val="en-US"/>
          </w:rPr>
          <w:t>https://www.imarcgroup.com/india-packaged-food-marke</w:t>
        </w:r>
        <w:r w:rsidRPr="00591A16">
          <w:rPr>
            <w:rStyle w:val="Hyperlink"/>
            <w:lang w:val="en-US"/>
          </w:rPr>
          <w:t>t</w:t>
        </w:r>
      </w:hyperlink>
      <w:r>
        <w:rPr>
          <w:lang w:val="en-US"/>
        </w:rPr>
        <w:t xml:space="preserve"> </w:t>
      </w:r>
    </w:p>
    <w:p w14:paraId="060DBAEF" w14:textId="005CC6AC" w:rsidR="00330677" w:rsidRDefault="00330677" w:rsidP="00D03232">
      <w:pPr>
        <w:rPr>
          <w:lang w:val="en-US"/>
        </w:rPr>
      </w:pPr>
      <w:r w:rsidRPr="00330677">
        <w:rPr>
          <w:lang w:val="en-US"/>
        </w:rPr>
        <w:t xml:space="preserve">IMARC Group (2025) 'India vegan food market size, share and growth to 2033'. Available at: </w:t>
      </w:r>
      <w:hyperlink r:id="rId39" w:history="1">
        <w:r w:rsidRPr="00330677">
          <w:rPr>
            <w:rStyle w:val="Hyperlink"/>
            <w:lang w:val="en-US"/>
          </w:rPr>
          <w:t>https://www.imarcgroup.com/india-vegan-food-market</w:t>
        </w:r>
      </w:hyperlink>
      <w:r>
        <w:rPr>
          <w:lang w:val="en-US"/>
        </w:rPr>
        <w:t xml:space="preserve"> </w:t>
      </w:r>
    </w:p>
    <w:p w14:paraId="15C790AE" w14:textId="738610DD" w:rsidR="00BD3E3C" w:rsidRDefault="00BD3E3C" w:rsidP="00D03232">
      <w:pPr>
        <w:rPr>
          <w:lang w:val="en-US"/>
        </w:rPr>
      </w:pPr>
      <w:r w:rsidRPr="00BD3E3C">
        <w:rPr>
          <w:lang w:val="en-US"/>
        </w:rPr>
        <w:t xml:space="preserve">J Sainsbury plc (2024) Annual Report and Financial Statements 2024. Available at: </w:t>
      </w:r>
      <w:hyperlink r:id="rId40" w:history="1">
        <w:r w:rsidRPr="00BD3E3C">
          <w:rPr>
            <w:rStyle w:val="Hyperlink"/>
            <w:lang w:val="en-US"/>
          </w:rPr>
          <w:t>https://corporate.sainsburys.co.uk/media/n3bdgevz/sainsbury-annual-report-and-financial-statements-2024.pdf</w:t>
        </w:r>
      </w:hyperlink>
      <w:r>
        <w:rPr>
          <w:lang w:val="en-US"/>
        </w:rPr>
        <w:t xml:space="preserve"> </w:t>
      </w:r>
    </w:p>
    <w:p w14:paraId="5A69E4D1" w14:textId="3B0FAC7C" w:rsidR="00C32A16" w:rsidRDefault="00BD3E3C" w:rsidP="00834224">
      <w:pPr>
        <w:rPr>
          <w:lang w:val="en-US"/>
        </w:rPr>
      </w:pPr>
      <w:r w:rsidRPr="00BD3E3C">
        <w:rPr>
          <w:lang w:val="en-US"/>
        </w:rPr>
        <w:t xml:space="preserve">J Sainsbury plc (2025) First quarter trading statement 2024-25. Available at: </w:t>
      </w:r>
      <w:hyperlink r:id="rId41" w:history="1">
        <w:r w:rsidR="00C32A16" w:rsidRPr="00BD3E3C">
          <w:rPr>
            <w:rStyle w:val="Hyperlink"/>
            <w:lang w:val="en-US"/>
          </w:rPr>
          <w:t>https://corporate.sainsburys.co.uk/media/2hkjlyrx/j-sainsbury-plc-q1-2425-trading-statement.pdf</w:t>
        </w:r>
      </w:hyperlink>
      <w:r w:rsidR="00C32A16">
        <w:rPr>
          <w:lang w:val="en-US"/>
        </w:rPr>
        <w:t xml:space="preserve"> </w:t>
      </w:r>
    </w:p>
    <w:p w14:paraId="78F1351B" w14:textId="77777777" w:rsidR="005D4453" w:rsidRPr="005D4453" w:rsidRDefault="005D4453" w:rsidP="005D4453">
      <w:pPr>
        <w:rPr>
          <w:lang w:val="en-US"/>
        </w:rPr>
      </w:pPr>
      <w:r w:rsidRPr="005D4453">
        <w:rPr>
          <w:lang w:val="en-US"/>
        </w:rPr>
        <w:t>Journal of Academic Research (2025) 'Supplier power in India'.</w:t>
      </w:r>
    </w:p>
    <w:p w14:paraId="2DCD06E4" w14:textId="51C16E20" w:rsidR="003E7B70" w:rsidRDefault="003E7B70" w:rsidP="00834224">
      <w:pPr>
        <w:rPr>
          <w:lang w:val="en-US"/>
        </w:rPr>
      </w:pPr>
      <w:r w:rsidRPr="003E7B70">
        <w:rPr>
          <w:lang w:val="en-US"/>
        </w:rPr>
        <w:t>Karulkar, Y., Sampat, B., Thapliyal, A., Singh, B. and Gupta, D. (2025) 'Zepto: redefining the future of rapid delivery', Emerald Emerging Markets Case Studies, 15(1), pp. 1-36. Available at</w:t>
      </w:r>
      <w:r>
        <w:rPr>
          <w:lang w:val="en-US"/>
        </w:rPr>
        <w:t xml:space="preserve">: </w:t>
      </w:r>
      <w:r w:rsidRPr="003E7B70">
        <w:t>DOI:</w:t>
      </w:r>
      <w:hyperlink r:id="rId42" w:tgtFrame="_blank" w:history="1">
        <w:r w:rsidRPr="003E7B70">
          <w:rPr>
            <w:rStyle w:val="Hyperlink"/>
          </w:rPr>
          <w:t>10.1108/EEMCS-12-2023-0491</w:t>
        </w:r>
      </w:hyperlink>
    </w:p>
    <w:p w14:paraId="3715C411" w14:textId="199F6958" w:rsidR="007B1873" w:rsidRDefault="007B1873" w:rsidP="007B57A4">
      <w:pPr>
        <w:rPr>
          <w:lang w:val="en-US"/>
        </w:rPr>
      </w:pPr>
      <w:r w:rsidRPr="007B1873">
        <w:rPr>
          <w:lang w:val="en-US"/>
        </w:rPr>
        <w:t>Kaushal, L.A. (2016) 'FDI in India's retail trade', Journal of Economics and International Finance, 8(3), pp. 22-31. Available at:</w:t>
      </w:r>
      <w:hyperlink r:id="rId43" w:history="1">
        <w:r w:rsidR="002D7151" w:rsidRPr="007B1873">
          <w:rPr>
            <w:rStyle w:val="Hyperlink"/>
            <w:lang w:val="en-US"/>
          </w:rPr>
          <w:t>https://academicjournals.org/journal/JEIF/article-full-text-pdf/</w:t>
        </w:r>
      </w:hyperlink>
      <w:r>
        <w:rPr>
          <w:lang w:val="en-US"/>
        </w:rPr>
        <w:t xml:space="preserve"> </w:t>
      </w:r>
    </w:p>
    <w:p w14:paraId="174D3887" w14:textId="2846E1B0" w:rsidR="007B1873" w:rsidRDefault="002D7151" w:rsidP="007B57A4">
      <w:pPr>
        <w:rPr>
          <w:lang w:val="en-US"/>
        </w:rPr>
      </w:pPr>
      <w:r w:rsidRPr="002D7151">
        <w:rPr>
          <w:lang w:val="en-US"/>
        </w:rPr>
        <w:t xml:space="preserve">Ken Research (2024) 'India supermarket industry outlook to 2030'. Available at: </w:t>
      </w:r>
      <w:hyperlink r:id="rId44" w:history="1">
        <w:r w:rsidRPr="002D7151">
          <w:rPr>
            <w:rStyle w:val="Hyperlink"/>
            <w:lang w:val="en-US"/>
          </w:rPr>
          <w:t>https://www.kenresearch.com/industry-reports/india-supermarket-industry</w:t>
        </w:r>
      </w:hyperlink>
      <w:r>
        <w:rPr>
          <w:lang w:val="en-US"/>
        </w:rPr>
        <w:t xml:space="preserve"> </w:t>
      </w:r>
    </w:p>
    <w:p w14:paraId="17E117CA" w14:textId="77777777" w:rsidR="005D516B" w:rsidRPr="005D516B" w:rsidRDefault="005D516B" w:rsidP="005D516B">
      <w:pPr>
        <w:rPr>
          <w:lang w:val="en-US"/>
        </w:rPr>
      </w:pPr>
      <w:r w:rsidRPr="005D516B">
        <w:rPr>
          <w:lang w:val="en-US"/>
        </w:rPr>
        <w:t>Kotler, P., Keller, K.L. and Chernev, A. (2022) Marketing management. 16th edn. Harlow: Pearson.</w:t>
      </w:r>
    </w:p>
    <w:p w14:paraId="29037AA3" w14:textId="4A62C7F1" w:rsidR="005D516B" w:rsidRDefault="005D516B" w:rsidP="007B57A4">
      <w:pPr>
        <w:rPr>
          <w:lang w:val="en-US"/>
        </w:rPr>
      </w:pPr>
      <w:r w:rsidRPr="005D516B">
        <w:rPr>
          <w:lang w:val="en-US"/>
        </w:rPr>
        <w:t xml:space="preserve">Kundgir, S. (2024) 'Impact of foreign direct investment in Indian economic growth', E3S Web of Conferences, 449, article 02003. Available at: </w:t>
      </w:r>
      <w:hyperlink r:id="rId45" w:history="1">
        <w:r w:rsidRPr="005D516B">
          <w:rPr>
            <w:rStyle w:val="Hyperlink"/>
            <w:lang w:val="en-US"/>
          </w:rPr>
          <w:t>https://doi.org/10.1051/e3sconf/202344902003</w:t>
        </w:r>
      </w:hyperlink>
      <w:r>
        <w:rPr>
          <w:lang w:val="en-US"/>
        </w:rPr>
        <w:t xml:space="preserve"> </w:t>
      </w:r>
    </w:p>
    <w:p w14:paraId="33F66D7C" w14:textId="44429CF5" w:rsidR="005D516B" w:rsidRDefault="005D516B" w:rsidP="007B57A4">
      <w:pPr>
        <w:rPr>
          <w:lang w:val="en-US"/>
        </w:rPr>
      </w:pPr>
      <w:r w:rsidRPr="005D516B">
        <w:rPr>
          <w:lang w:val="en-US"/>
        </w:rPr>
        <w:t xml:space="preserve">Mathew, A. (2025) 'Drivers of customer retention: An introspection into Indian retail for sustainability', Sustainability, 17(4), pp. 123-145. Available at: </w:t>
      </w:r>
      <w:hyperlink r:id="rId46" w:history="1">
        <w:r w:rsidRPr="005D516B">
          <w:rPr>
            <w:rStyle w:val="Hyperlink"/>
            <w:lang w:val="en-US"/>
          </w:rPr>
          <w:t>https://www.mdpi.com/journal/sustainability</w:t>
        </w:r>
      </w:hyperlink>
      <w:r>
        <w:rPr>
          <w:lang w:val="en-US"/>
        </w:rPr>
        <w:t xml:space="preserve"> </w:t>
      </w:r>
    </w:p>
    <w:p w14:paraId="19368011" w14:textId="1CD09DA8" w:rsidR="005D516B" w:rsidRDefault="00BF13C7" w:rsidP="007B57A4">
      <w:pPr>
        <w:rPr>
          <w:lang w:val="en-US"/>
        </w:rPr>
      </w:pPr>
      <w:r w:rsidRPr="00BF13C7">
        <w:rPr>
          <w:lang w:val="en-US"/>
        </w:rPr>
        <w:lastRenderedPageBreak/>
        <w:t xml:space="preserve">McKinsey &amp; Company (2025) The state of fashion 2025. Available at: </w:t>
      </w:r>
      <w:hyperlink r:id="rId47" w:history="1">
        <w:r w:rsidRPr="00BF13C7">
          <w:rPr>
            <w:rStyle w:val="Hyperlink"/>
            <w:lang w:val="en-US"/>
          </w:rPr>
          <w:t>https://www.mckinsey.com/~/media/mckinsey/industries/retail/our%20insights/state%20of%20fashion/2025/the-state-of-fashion-2025-v2.pdf</w:t>
        </w:r>
      </w:hyperlink>
      <w:r>
        <w:rPr>
          <w:lang w:val="en-US"/>
        </w:rPr>
        <w:t xml:space="preserve"> </w:t>
      </w:r>
    </w:p>
    <w:p w14:paraId="6C45F90C" w14:textId="00C5D8A8" w:rsidR="00BF13C7" w:rsidRDefault="00BF13C7" w:rsidP="007B57A4">
      <w:pPr>
        <w:rPr>
          <w:lang w:val="en-US"/>
        </w:rPr>
      </w:pPr>
      <w:r w:rsidRPr="00BF13C7">
        <w:rPr>
          <w:lang w:val="en-US"/>
        </w:rPr>
        <w:t xml:space="preserve">Mehta, N. and Singh, A. (2022) 'The evolving direct-to-consumer retail model: A review and research agenda', Journal of Retailing and Consumer Services, 68, article 103052. Available at: </w:t>
      </w:r>
      <w:hyperlink r:id="rId48" w:history="1">
        <w:r w:rsidRPr="00BF13C7">
          <w:rPr>
            <w:rStyle w:val="Hyperlink"/>
            <w:lang w:val="en-US"/>
          </w:rPr>
          <w:t>https://doi.org/10.1016/j.jretconser.2022.103052</w:t>
        </w:r>
      </w:hyperlink>
      <w:r>
        <w:rPr>
          <w:lang w:val="en-US"/>
        </w:rPr>
        <w:t xml:space="preserve"> </w:t>
      </w:r>
    </w:p>
    <w:p w14:paraId="63DBE87D" w14:textId="21A6DE88" w:rsidR="00BF13C7" w:rsidRDefault="00BF13C7" w:rsidP="007B57A4">
      <w:pPr>
        <w:rPr>
          <w:lang w:val="en-US"/>
        </w:rPr>
      </w:pPr>
      <w:r w:rsidRPr="00BF13C7">
        <w:rPr>
          <w:lang w:val="en-US"/>
        </w:rPr>
        <w:t xml:space="preserve">Mordor Intelligence (2025) 'India foodservice market size &amp; share outlook to 2030'. Available at: </w:t>
      </w:r>
      <w:hyperlink r:id="rId49" w:history="1">
        <w:r w:rsidRPr="00BF13C7">
          <w:rPr>
            <w:rStyle w:val="Hyperlink"/>
            <w:lang w:val="en-US"/>
          </w:rPr>
          <w:t>https://www.mordorintelligence.com/industry-reports/india-foodservice-market</w:t>
        </w:r>
      </w:hyperlink>
      <w:r>
        <w:rPr>
          <w:lang w:val="en-US"/>
        </w:rPr>
        <w:t xml:space="preserve"> </w:t>
      </w:r>
    </w:p>
    <w:p w14:paraId="3F0AB08D" w14:textId="79A6D89F" w:rsidR="00BF13C7" w:rsidRDefault="00BF13C7" w:rsidP="007B57A4">
      <w:pPr>
        <w:rPr>
          <w:lang w:val="en-US"/>
        </w:rPr>
      </w:pPr>
      <w:r>
        <w:rPr>
          <w:lang w:val="en-US"/>
        </w:rPr>
        <w:t>O</w:t>
      </w:r>
      <w:r w:rsidRPr="00BF13C7">
        <w:rPr>
          <w:lang w:val="en-US"/>
        </w:rPr>
        <w:t xml:space="preserve">gunsola-Saliu, K. and Alotaibi, A. (2025) 'Critical circumstances influencing franchisees' business performance: A review of the Saudi Arabian franchise system', Businesses, 5(3), pp. 33-50. Available at: </w:t>
      </w:r>
      <w:hyperlink r:id="rId50" w:history="1">
        <w:r w:rsidRPr="00BF13C7">
          <w:rPr>
            <w:rStyle w:val="Hyperlink"/>
            <w:lang w:val="en-US"/>
          </w:rPr>
          <w:t>https://doi.org/10.3390/businesses5030033</w:t>
        </w:r>
      </w:hyperlink>
      <w:r>
        <w:rPr>
          <w:lang w:val="en-US"/>
        </w:rPr>
        <w:t xml:space="preserve"> </w:t>
      </w:r>
    </w:p>
    <w:p w14:paraId="48F18DC1" w14:textId="07D988F0" w:rsidR="00726B09" w:rsidRDefault="00726B09" w:rsidP="007B57A4">
      <w:pPr>
        <w:rPr>
          <w:lang w:val="en-US"/>
        </w:rPr>
      </w:pPr>
      <w:r w:rsidRPr="00726B09">
        <w:rPr>
          <w:lang w:val="en-US"/>
        </w:rPr>
        <w:t xml:space="preserve">Online Grocery Market Analysis (2025) 'Online grocery market size to hit USD 623.70 billion by 2034'. Available at: </w:t>
      </w:r>
      <w:hyperlink r:id="rId51" w:history="1">
        <w:r w:rsidRPr="00726B09">
          <w:rPr>
            <w:rStyle w:val="Hyperlink"/>
            <w:lang w:val="en-US"/>
          </w:rPr>
          <w:t>https://www.precedenceresearch.com/online-grocery-market</w:t>
        </w:r>
      </w:hyperlink>
      <w:r>
        <w:rPr>
          <w:lang w:val="en-US"/>
        </w:rPr>
        <w:t xml:space="preserve"> </w:t>
      </w:r>
    </w:p>
    <w:p w14:paraId="706EF37D" w14:textId="11874F3D" w:rsidR="00726B09" w:rsidRDefault="00726B09" w:rsidP="007B57A4">
      <w:pPr>
        <w:rPr>
          <w:lang w:val="en-US"/>
        </w:rPr>
      </w:pPr>
      <w:r w:rsidRPr="00726B09">
        <w:rPr>
          <w:lang w:val="en-US"/>
        </w:rPr>
        <w:t xml:space="preserve">Patience, L. (2021) An exploration of Zimbabwean and British chickenscapes to understand food safety and supply. White Rose eTheses Online. Available at: </w:t>
      </w:r>
      <w:hyperlink r:id="rId52" w:history="1">
        <w:r w:rsidRPr="00726B09">
          <w:rPr>
            <w:rStyle w:val="Hyperlink"/>
            <w:lang w:val="en-US"/>
          </w:rPr>
          <w:t>https://etheses.whiterose.ac.uk/12345</w:t>
        </w:r>
      </w:hyperlink>
      <w:r>
        <w:rPr>
          <w:lang w:val="en-US"/>
        </w:rPr>
        <w:t xml:space="preserve"> </w:t>
      </w:r>
    </w:p>
    <w:p w14:paraId="2FAD7509" w14:textId="618980BD" w:rsidR="00726B09" w:rsidRDefault="00726B09" w:rsidP="007B57A4">
      <w:pPr>
        <w:rPr>
          <w:lang w:val="en-US"/>
        </w:rPr>
      </w:pPr>
      <w:r w:rsidRPr="00726B09">
        <w:rPr>
          <w:lang w:val="en-US"/>
        </w:rPr>
        <w:t xml:space="preserve">Pew Research Center (2021) 'Views of religion and food in India'. Available at: </w:t>
      </w:r>
      <w:hyperlink r:id="rId53" w:history="1">
        <w:r w:rsidRPr="00726B09">
          <w:rPr>
            <w:rStyle w:val="Hyperlink"/>
            <w:lang w:val="en-US"/>
          </w:rPr>
          <w:t>https://www.pewresearch.org/religion/2021/06/29/religion-and-food</w:t>
        </w:r>
      </w:hyperlink>
      <w:r>
        <w:rPr>
          <w:lang w:val="en-US"/>
        </w:rPr>
        <w:t xml:space="preserve"> </w:t>
      </w:r>
    </w:p>
    <w:p w14:paraId="7FA8D473" w14:textId="030AAEC0" w:rsidR="00726B09" w:rsidRDefault="00726B09" w:rsidP="007B57A4">
      <w:pPr>
        <w:rPr>
          <w:lang w:val="en-US"/>
        </w:rPr>
      </w:pPr>
      <w:r w:rsidRPr="00726B09">
        <w:rPr>
          <w:lang w:val="en-US"/>
        </w:rPr>
        <w:t xml:space="preserve">Pham, T. (2024) 'The role of social media marketing in building customer loyalty in fast casual and fast-food restaurants in Helsinki', Theseus.fi. Available at: </w:t>
      </w:r>
      <w:hyperlink r:id="rId54" w:history="1">
        <w:r w:rsidRPr="00726B09">
          <w:rPr>
            <w:rStyle w:val="Hyperlink"/>
            <w:lang w:val="en-US"/>
          </w:rPr>
          <w:t>https://www.theseus.fi/handle/10024/789012</w:t>
        </w:r>
      </w:hyperlink>
      <w:r>
        <w:rPr>
          <w:lang w:val="en-US"/>
        </w:rPr>
        <w:t xml:space="preserve"> </w:t>
      </w:r>
    </w:p>
    <w:p w14:paraId="6F06EB4E" w14:textId="6B80B4A0" w:rsidR="00726B09" w:rsidRDefault="009B4FAC" w:rsidP="007B57A4">
      <w:pPr>
        <w:rPr>
          <w:lang w:val="en-US"/>
        </w:rPr>
      </w:pPr>
      <w:r w:rsidRPr="009B4FAC">
        <w:rPr>
          <w:lang w:val="en-US"/>
        </w:rPr>
        <w:t xml:space="preserve">Porter, M.E. (1990) 'The competitive advantage of nations', Harvard Business Review, 68(2), pp. 73-93. Available at: </w:t>
      </w:r>
      <w:hyperlink r:id="rId55" w:history="1">
        <w:r w:rsidRPr="009B4FAC">
          <w:rPr>
            <w:rStyle w:val="Hyperlink"/>
            <w:lang w:val="en-US"/>
          </w:rPr>
          <w:t>https://hbr.org/1990/03/the-competitive-advantage-of-nations</w:t>
        </w:r>
      </w:hyperlink>
      <w:r>
        <w:rPr>
          <w:lang w:val="en-US"/>
        </w:rPr>
        <w:t xml:space="preserve"> </w:t>
      </w:r>
    </w:p>
    <w:p w14:paraId="0430B9FC" w14:textId="0D0E8340" w:rsidR="009B4FAC" w:rsidRDefault="009B4FAC" w:rsidP="007B57A4">
      <w:pPr>
        <w:rPr>
          <w:lang w:val="en-US"/>
        </w:rPr>
      </w:pPr>
      <w:r w:rsidRPr="009B4FAC">
        <w:rPr>
          <w:lang w:val="en-US"/>
        </w:rPr>
        <w:t xml:space="preserve">Rao, V. and Kumar, A. (2023) 'An analysis on BCG growth sharing matrix', International Journal of Business and Management, 11(1), pp. 1-10. Available at: </w:t>
      </w:r>
      <w:hyperlink r:id="rId56" w:history="1">
        <w:r w:rsidRPr="009B4FAC">
          <w:rPr>
            <w:rStyle w:val="Hyperlink"/>
            <w:lang w:val="en-US"/>
          </w:rPr>
          <w:t>https://doi.org/10.5539/ijbm.v11n1p1</w:t>
        </w:r>
      </w:hyperlink>
      <w:r>
        <w:rPr>
          <w:lang w:val="en-US"/>
        </w:rPr>
        <w:t xml:space="preserve"> </w:t>
      </w:r>
    </w:p>
    <w:p w14:paraId="0F3E5EE6" w14:textId="08D54CF8" w:rsidR="009B4FAC" w:rsidRDefault="009B4FAC" w:rsidP="007B57A4">
      <w:pPr>
        <w:rPr>
          <w:lang w:val="en-US"/>
        </w:rPr>
      </w:pPr>
      <w:r w:rsidRPr="009B4FAC">
        <w:rPr>
          <w:lang w:val="en-US"/>
        </w:rPr>
        <w:lastRenderedPageBreak/>
        <w:t xml:space="preserve">Research and Markets (2024) 'Grocery market in India 2025-2029'. Available at: </w:t>
      </w:r>
      <w:hyperlink r:id="rId57" w:history="1">
        <w:r w:rsidRPr="009B4FAC">
          <w:rPr>
            <w:rStyle w:val="Hyperlink"/>
            <w:lang w:val="en-US"/>
          </w:rPr>
          <w:t>https://www.researchandmarkets.com/report/india-grocery-market</w:t>
        </w:r>
      </w:hyperlink>
      <w:r>
        <w:rPr>
          <w:lang w:val="en-US"/>
        </w:rPr>
        <w:t xml:space="preserve"> </w:t>
      </w:r>
    </w:p>
    <w:p w14:paraId="27D01AC6" w14:textId="3B9C4372" w:rsidR="009B4FAC" w:rsidRDefault="009B4FAC" w:rsidP="007B57A4">
      <w:pPr>
        <w:rPr>
          <w:lang w:val="en-US"/>
        </w:rPr>
      </w:pPr>
      <w:r w:rsidRPr="009B4FAC">
        <w:rPr>
          <w:lang w:val="en-US"/>
        </w:rPr>
        <w:t xml:space="preserve">Reuters (2024) 'Sainsbury's upbeat on Christmas prospects as it raises profit outlook', Reuters, 6 November. Available at: </w:t>
      </w:r>
      <w:hyperlink r:id="rId58" w:history="1">
        <w:r w:rsidRPr="009B4FAC">
          <w:rPr>
            <w:rStyle w:val="Hyperlink"/>
            <w:lang w:val="en-US"/>
          </w:rPr>
          <w:t>https://www.reuters.com/world/uk/britains-sainsburys-raises-full-year-profit-outlook-2025-11-06/</w:t>
        </w:r>
      </w:hyperlink>
      <w:r>
        <w:rPr>
          <w:lang w:val="en-US"/>
        </w:rPr>
        <w:t xml:space="preserve"> </w:t>
      </w:r>
    </w:p>
    <w:p w14:paraId="5A466DA7" w14:textId="77777777" w:rsidR="009B4FAC" w:rsidRPr="009B4FAC" w:rsidRDefault="009B4FAC" w:rsidP="009B4FAC">
      <w:pPr>
        <w:rPr>
          <w:lang w:val="en-US"/>
        </w:rPr>
      </w:pPr>
      <w:r w:rsidRPr="009B4FAC">
        <w:rPr>
          <w:lang w:val="en-US"/>
        </w:rPr>
        <w:t>Rugman, A.M. and Collinson, S. (2012) International business. 6th edn. Harlow: Pearson.</w:t>
      </w:r>
    </w:p>
    <w:p w14:paraId="0FDAAA73" w14:textId="6551DEC5" w:rsidR="009B4FAC" w:rsidRDefault="00264C47" w:rsidP="007B57A4">
      <w:pPr>
        <w:rPr>
          <w:lang w:val="en-US"/>
        </w:rPr>
      </w:pPr>
      <w:r w:rsidRPr="00264C47">
        <w:rPr>
          <w:lang w:val="en-US"/>
        </w:rPr>
        <w:t xml:space="preserve">Saluja, D. (2025) 'India 2047: Building a climate-resilient future', Harvard Salata Institute. Available at: </w:t>
      </w:r>
      <w:hyperlink r:id="rId59" w:history="1">
        <w:r w:rsidRPr="00264C47">
          <w:rPr>
            <w:rStyle w:val="Hyperlink"/>
            <w:lang w:val="en-US"/>
          </w:rPr>
          <w:t>https://salatainstitute.harvard.edu/india2047</w:t>
        </w:r>
      </w:hyperlink>
    </w:p>
    <w:p w14:paraId="608CCDFD" w14:textId="5621CFF1" w:rsidR="00264C47" w:rsidRDefault="00820B97" w:rsidP="007B57A4">
      <w:pPr>
        <w:rPr>
          <w:lang w:val="en-US"/>
        </w:rPr>
      </w:pPr>
      <w:r w:rsidRPr="00820B97">
        <w:rPr>
          <w:lang w:val="en-US"/>
        </w:rPr>
        <w:t xml:space="preserve">Sainsbury's (2024) Sustainability. Available at: </w:t>
      </w:r>
      <w:hyperlink r:id="rId60" w:history="1">
        <w:r w:rsidRPr="00820B97">
          <w:rPr>
            <w:rStyle w:val="Hyperlink"/>
            <w:lang w:val="en-US"/>
          </w:rPr>
          <w:t>https://corporate.sainsburys.co.uk/sustainability/</w:t>
        </w:r>
      </w:hyperlink>
      <w:r>
        <w:rPr>
          <w:lang w:val="en-US"/>
        </w:rPr>
        <w:t xml:space="preserve"> </w:t>
      </w:r>
    </w:p>
    <w:p w14:paraId="48FF23B7" w14:textId="7FA5911D" w:rsidR="00820B97" w:rsidRDefault="00820B97" w:rsidP="007B57A4">
      <w:pPr>
        <w:rPr>
          <w:lang w:val="en-US"/>
        </w:rPr>
      </w:pPr>
      <w:r w:rsidRPr="00820B97">
        <w:rPr>
          <w:lang w:val="en-US"/>
        </w:rPr>
        <w:t xml:space="preserve">Singh, H., Bose, S.K. and Sahay, V. (2022) 'Emerging third generation private label brands: retailers' and consumers' perspectives towards leading Indian retail chains', Journal of Retailing and Consumer Services, 64, article 102801. Available at: </w:t>
      </w:r>
      <w:hyperlink r:id="rId61" w:history="1">
        <w:r w:rsidRPr="00820B97">
          <w:rPr>
            <w:rStyle w:val="Hyperlink"/>
            <w:lang w:val="en-US"/>
          </w:rPr>
          <w:t>https://doi.org/10.1016/j.jretconser.2022.102801</w:t>
        </w:r>
      </w:hyperlink>
      <w:r>
        <w:rPr>
          <w:lang w:val="en-US"/>
        </w:rPr>
        <w:t xml:space="preserve"> </w:t>
      </w:r>
    </w:p>
    <w:p w14:paraId="5790F140" w14:textId="4DB81F88" w:rsidR="00820B97" w:rsidRDefault="00820B97" w:rsidP="007B57A4">
      <w:pPr>
        <w:rPr>
          <w:lang w:val="en-US"/>
        </w:rPr>
      </w:pPr>
      <w:r w:rsidRPr="00820B97">
        <w:rPr>
          <w:lang w:val="en-US"/>
        </w:rPr>
        <w:t>Sinha, R. (2021) 'Engineering, technology &amp; management (IJMRSETM)', International Journal of Multidisciplinary Research in Science</w:t>
      </w:r>
      <w:r>
        <w:rPr>
          <w:lang w:val="en-US"/>
        </w:rPr>
        <w:t>.</w:t>
      </w:r>
    </w:p>
    <w:p w14:paraId="7DA562CB" w14:textId="4CF1CCFA" w:rsidR="00820B97" w:rsidRDefault="004D2E19" w:rsidP="007B57A4">
      <w:pPr>
        <w:rPr>
          <w:lang w:val="en-US"/>
        </w:rPr>
      </w:pPr>
      <w:r w:rsidRPr="004D2E19">
        <w:rPr>
          <w:lang w:val="en-US"/>
        </w:rPr>
        <w:t xml:space="preserve">Statista (2024) 'Market size of food and grocery retail in India 2018-2029'. Available at: </w:t>
      </w:r>
      <w:hyperlink r:id="rId62" w:history="1">
        <w:r w:rsidRPr="004D2E19">
          <w:rPr>
            <w:rStyle w:val="Hyperlink"/>
            <w:lang w:val="en-US"/>
          </w:rPr>
          <w:t>https://www.statista.com/statistics/1315369/india-grocery-market-size/</w:t>
        </w:r>
      </w:hyperlink>
    </w:p>
    <w:p w14:paraId="4478DC25" w14:textId="7066A865" w:rsidR="004D2E19" w:rsidRDefault="00BD74D5" w:rsidP="007B57A4">
      <w:pPr>
        <w:rPr>
          <w:lang w:val="en-US"/>
        </w:rPr>
      </w:pPr>
      <w:r w:rsidRPr="00BD74D5">
        <w:rPr>
          <w:lang w:val="en-US"/>
        </w:rPr>
        <w:t xml:space="preserve">Stock Gro (2025) 'May 2025 - StockGro Blogs'. Available at: </w:t>
      </w:r>
      <w:hyperlink r:id="rId63" w:history="1">
        <w:r w:rsidRPr="00BD74D5">
          <w:rPr>
            <w:rStyle w:val="Hyperlink"/>
            <w:lang w:val="en-US"/>
          </w:rPr>
          <w:t>https://www.stockgro.club/blogs/2025/05/page/7</w:t>
        </w:r>
      </w:hyperlink>
    </w:p>
    <w:p w14:paraId="7AF77314" w14:textId="2B3573F6" w:rsidR="00BD74D5" w:rsidRDefault="00BD74D5" w:rsidP="007B57A4">
      <w:pPr>
        <w:rPr>
          <w:lang w:val="en-US"/>
        </w:rPr>
      </w:pPr>
      <w:r w:rsidRPr="00BD74D5">
        <w:rPr>
          <w:lang w:val="en-US"/>
        </w:rPr>
        <w:t xml:space="preserve">Technavio (2024) 'India grocery market analysis, size, and forecast 2025-2029'. Available at: </w:t>
      </w:r>
      <w:hyperlink r:id="rId64" w:history="1">
        <w:r w:rsidRPr="00BD74D5">
          <w:rPr>
            <w:rStyle w:val="Hyperlink"/>
            <w:lang w:val="en-US"/>
          </w:rPr>
          <w:t>https://www.technavio.com/report/grocery-market-in-india-industry-analysis</w:t>
        </w:r>
      </w:hyperlink>
      <w:r>
        <w:rPr>
          <w:lang w:val="en-US"/>
        </w:rPr>
        <w:t xml:space="preserve"> </w:t>
      </w:r>
    </w:p>
    <w:p w14:paraId="0564CC48" w14:textId="6C430195" w:rsidR="00BD74D5" w:rsidRDefault="004817A9" w:rsidP="007B57A4">
      <w:pPr>
        <w:rPr>
          <w:lang w:val="en-US"/>
        </w:rPr>
      </w:pPr>
      <w:r w:rsidRPr="004817A9">
        <w:rPr>
          <w:lang w:val="en-US"/>
        </w:rPr>
        <w:t xml:space="preserve">USDA Foreign Agricultural Service (2024) 'India: Retail foods annual'. Available at: </w:t>
      </w:r>
      <w:hyperlink r:id="rId65" w:history="1">
        <w:r w:rsidRPr="004817A9">
          <w:rPr>
            <w:rStyle w:val="Hyperlink"/>
            <w:lang w:val="en-US"/>
          </w:rPr>
          <w:t>https://www.fas.usda.gov/data/india-retail-foods-annual</w:t>
        </w:r>
      </w:hyperlink>
      <w:r>
        <w:rPr>
          <w:lang w:val="en-US"/>
        </w:rPr>
        <w:t xml:space="preserve"> </w:t>
      </w:r>
    </w:p>
    <w:p w14:paraId="130B7600" w14:textId="4A89D52F" w:rsidR="004817A9" w:rsidRDefault="004817A9" w:rsidP="007B57A4">
      <w:pPr>
        <w:rPr>
          <w:lang w:val="en-US"/>
        </w:rPr>
      </w:pPr>
      <w:r w:rsidRPr="004817A9">
        <w:rPr>
          <w:lang w:val="en-US"/>
        </w:rPr>
        <w:t xml:space="preserve">Vuori, N. and Tushman, M. (2024) 'Integrate sustainability and innovation to find new opportunities', Harvard Business Review, November-December. Available at: </w:t>
      </w:r>
      <w:hyperlink r:id="rId66" w:history="1">
        <w:r w:rsidRPr="004817A9">
          <w:rPr>
            <w:rStyle w:val="Hyperlink"/>
            <w:lang w:val="en-US"/>
          </w:rPr>
          <w:t>https://www.hbs.edu/faculty/Pages/item.aspx?num=68092</w:t>
        </w:r>
      </w:hyperlink>
      <w:r>
        <w:rPr>
          <w:lang w:val="en-US"/>
        </w:rPr>
        <w:t xml:space="preserve"> </w:t>
      </w:r>
    </w:p>
    <w:p w14:paraId="059840A0" w14:textId="5F83C709" w:rsidR="004817A9" w:rsidRDefault="00A05BFB" w:rsidP="007B57A4">
      <w:pPr>
        <w:rPr>
          <w:lang w:val="en-US"/>
        </w:rPr>
      </w:pPr>
      <w:r w:rsidRPr="00A05BFB">
        <w:rPr>
          <w:lang w:val="en-US"/>
        </w:rPr>
        <w:lastRenderedPageBreak/>
        <w:t xml:space="preserve">Wadkar, S.K., Kumar, M., Goswami, V. and Kaul, A. (2024) 'Market diversification strategies for enhancing competitiveness of Indian marketing cooperatives: Lessons from Gujarat State Cooperative Marketing Federation Ltd. (GUJCOMASOL)', International Journal of Global Business and Competitiveness, 19(1), pp. 1-12. Available at: </w:t>
      </w:r>
      <w:hyperlink r:id="rId67" w:history="1">
        <w:r w:rsidRPr="00A05BFB">
          <w:rPr>
            <w:rStyle w:val="Hyperlink"/>
            <w:lang w:val="en-US"/>
          </w:rPr>
          <w:t>https://doi.org/10.1007/s42943-024-00089-2</w:t>
        </w:r>
      </w:hyperlink>
      <w:r>
        <w:rPr>
          <w:lang w:val="en-US"/>
        </w:rPr>
        <w:t xml:space="preserve"> </w:t>
      </w:r>
    </w:p>
    <w:p w14:paraId="216C6234" w14:textId="5E299DB5" w:rsidR="00A05BFB" w:rsidRDefault="00A05BFB" w:rsidP="007B57A4">
      <w:pPr>
        <w:rPr>
          <w:lang w:val="en-US"/>
        </w:rPr>
      </w:pPr>
      <w:r w:rsidRPr="00A05BFB">
        <w:rPr>
          <w:lang w:val="en-US"/>
        </w:rPr>
        <w:t xml:space="preserve">White &amp; Case (2025) 'Foreign direct investment reviews 2025: India'. Available at: </w:t>
      </w:r>
      <w:hyperlink r:id="rId68" w:history="1">
        <w:r w:rsidRPr="00A05BFB">
          <w:rPr>
            <w:rStyle w:val="Hyperlink"/>
            <w:lang w:val="en-US"/>
          </w:rPr>
          <w:t>https://www.whitecase.com/insight-our-thinking/foreign-direct-investment-reviews-2025-india</w:t>
        </w:r>
      </w:hyperlink>
      <w:r>
        <w:rPr>
          <w:lang w:val="en-US"/>
        </w:rPr>
        <w:t xml:space="preserve"> </w:t>
      </w:r>
    </w:p>
    <w:p w14:paraId="249ECCDD" w14:textId="1B33EBFA" w:rsidR="00A05BFB" w:rsidRDefault="00A05BFB" w:rsidP="007B57A4">
      <w:pPr>
        <w:rPr>
          <w:lang w:val="en-US"/>
        </w:rPr>
      </w:pPr>
      <w:r w:rsidRPr="00A05BFB">
        <w:rPr>
          <w:lang w:val="en-US"/>
        </w:rPr>
        <w:t xml:space="preserve">Williamson, O.E. (1985) 'Transaction-cost economics: The governance of contractual relations', Journal of Law and Economics, 22(2), pp. 233-261. Available at: </w:t>
      </w:r>
      <w:hyperlink r:id="rId69" w:history="1">
        <w:r w:rsidRPr="00A05BFB">
          <w:rPr>
            <w:rStyle w:val="Hyperlink"/>
            <w:lang w:val="en-US"/>
          </w:rPr>
          <w:t>https://www.jstor.org/stable/725341</w:t>
        </w:r>
      </w:hyperlink>
    </w:p>
    <w:p w14:paraId="4E3F7FB5" w14:textId="2D29FC1E" w:rsidR="00726B09" w:rsidRDefault="00A05BFB" w:rsidP="007B57A4">
      <w:pPr>
        <w:rPr>
          <w:lang w:val="en-US"/>
        </w:rPr>
      </w:pPr>
      <w:r w:rsidRPr="00A05BFB">
        <w:rPr>
          <w:lang w:val="en-US"/>
        </w:rPr>
        <w:t xml:space="preserve">Yadav, R. and Sagar, M. (2018) 'Consumer bargaining power in India', Journal of Retailing and Consumer Services, 45, pp. 1-10. Available at: </w:t>
      </w:r>
      <w:hyperlink r:id="rId70" w:history="1">
        <w:r w:rsidRPr="00A05BFB">
          <w:rPr>
            <w:rStyle w:val="Hyperlink"/>
            <w:lang w:val="en-US"/>
          </w:rPr>
          <w:t>https://doi.org/10.1016/j.jretconser.2018.07.012</w:t>
        </w:r>
      </w:hyperlink>
    </w:p>
    <w:p w14:paraId="6FA0DC77" w14:textId="2A666823" w:rsidR="00A05BFB" w:rsidRDefault="001C634D" w:rsidP="007B57A4">
      <w:pPr>
        <w:rPr>
          <w:lang w:val="en-US"/>
        </w:rPr>
      </w:pPr>
      <w:r w:rsidRPr="001C634D">
        <w:rPr>
          <w:lang w:val="en-US"/>
        </w:rPr>
        <w:t xml:space="preserve">Zhang, R., Huang, Z., Liu, B. and Wang, J. (2024) 'Freshness-keeping efforts and value-added service choice in fresh food supply chain', Computers &amp; Industrial Engineering, 190, article 110063. Available at: </w:t>
      </w:r>
      <w:hyperlink r:id="rId71" w:history="1">
        <w:r w:rsidRPr="001C634D">
          <w:rPr>
            <w:rStyle w:val="Hyperlink"/>
            <w:lang w:val="en-US"/>
          </w:rPr>
          <w:t>https://doi.org/10.1016/j.cie.2024.110063</w:t>
        </w:r>
      </w:hyperlink>
    </w:p>
    <w:p w14:paraId="2752B0B2" w14:textId="77777777" w:rsidR="00AF27B0" w:rsidRDefault="00AF27B0" w:rsidP="00AF27B0">
      <w:r w:rsidRPr="00837B36">
        <w:t xml:space="preserve">Heubel, M., 2024. </w:t>
      </w:r>
      <w:r w:rsidRPr="00837B36">
        <w:rPr>
          <w:i/>
          <w:iCs/>
        </w:rPr>
        <w:t>PESTLE analysis: The macro</w:t>
      </w:r>
      <w:r w:rsidRPr="00837B36">
        <w:rPr>
          <w:i/>
          <w:iCs/>
        </w:rPr>
        <w:noBreakHyphen/>
        <w:t>environmental framework explained</w:t>
      </w:r>
      <w:r w:rsidRPr="00837B36">
        <w:t xml:space="preserve">. [online] Consulterce. Available at: </w:t>
      </w:r>
      <w:hyperlink r:id="rId72" w:tgtFrame="_new" w:history="1">
        <w:r w:rsidRPr="00837B36">
          <w:rPr>
            <w:rStyle w:val="Hyperlink"/>
          </w:rPr>
          <w:t>https://consulterce.com/pestle-analysis/</w:t>
        </w:r>
      </w:hyperlink>
    </w:p>
    <w:p w14:paraId="2A5154DD" w14:textId="77777777" w:rsidR="00AF27B0" w:rsidRDefault="00AF27B0" w:rsidP="00AF27B0">
      <w:r w:rsidRPr="00823740">
        <w:t xml:space="preserve">Chatterjee, S., 2024. </w:t>
      </w:r>
      <w:r w:rsidRPr="00823740">
        <w:rPr>
          <w:i/>
          <w:iCs/>
        </w:rPr>
        <w:t>Porter’s Five Forces analysis</w:t>
      </w:r>
      <w:r w:rsidRPr="00823740">
        <w:t xml:space="preserve">. [online] LinkedIn. Available at: </w:t>
      </w:r>
      <w:hyperlink r:id="rId73" w:tgtFrame="_new" w:history="1">
        <w:r w:rsidRPr="00823740">
          <w:rPr>
            <w:rStyle w:val="Hyperlink"/>
          </w:rPr>
          <w:t>https://www.linkedin.com/pulse/porters-five-forces-analysis-suman-chatterjee-lglyf/</w:t>
        </w:r>
      </w:hyperlink>
    </w:p>
    <w:p w14:paraId="0D315E9B" w14:textId="77777777" w:rsidR="00AF27B0" w:rsidRDefault="00AF27B0" w:rsidP="00AF27B0">
      <w:r w:rsidRPr="001975E5">
        <w:t xml:space="preserve">de Bruin, L., 2016. </w:t>
      </w:r>
      <w:r w:rsidRPr="001975E5">
        <w:rPr>
          <w:i/>
          <w:iCs/>
        </w:rPr>
        <w:t>VRIO Framework: from firm resources to competitive advantage</w:t>
      </w:r>
      <w:r w:rsidRPr="001975E5">
        <w:t>. [online] Business</w:t>
      </w:r>
      <w:r w:rsidRPr="001975E5">
        <w:noBreakHyphen/>
        <w:t>to</w:t>
      </w:r>
      <w:r w:rsidRPr="001975E5">
        <w:noBreakHyphen/>
        <w:t>You. Available at: https://www.business</w:t>
      </w:r>
      <w:r w:rsidRPr="001975E5">
        <w:noBreakHyphen/>
        <w:t>to</w:t>
      </w:r>
      <w:r w:rsidRPr="001975E5">
        <w:noBreakHyphen/>
        <w:t>you.com/vrio</w:t>
      </w:r>
      <w:r w:rsidRPr="001975E5">
        <w:noBreakHyphen/>
        <w:t>from</w:t>
      </w:r>
      <w:r w:rsidRPr="001975E5">
        <w:noBreakHyphen/>
        <w:t>firm</w:t>
      </w:r>
      <w:r w:rsidRPr="001975E5">
        <w:noBreakHyphen/>
        <w:t>resources</w:t>
      </w:r>
      <w:r w:rsidRPr="001975E5">
        <w:noBreakHyphen/>
        <w:t>to</w:t>
      </w:r>
      <w:r w:rsidRPr="001975E5">
        <w:noBreakHyphen/>
        <w:t>competitive</w:t>
      </w:r>
      <w:r w:rsidRPr="001975E5">
        <w:noBreakHyphen/>
        <w:t>advantage</w:t>
      </w:r>
    </w:p>
    <w:p w14:paraId="3A071C40" w14:textId="77777777" w:rsidR="00AF27B0" w:rsidRDefault="00AF27B0" w:rsidP="00AF27B0">
      <w:r w:rsidRPr="00BE79A2">
        <w:t xml:space="preserve">G, D., 2018. </w:t>
      </w:r>
      <w:r w:rsidRPr="00BE79A2">
        <w:rPr>
          <w:i/>
          <w:iCs/>
        </w:rPr>
        <w:t>Porter’s Diamond Model</w:t>
      </w:r>
      <w:r w:rsidRPr="00BE79A2">
        <w:t xml:space="preserve">. [online] Expert Program Management. Available at: </w:t>
      </w:r>
      <w:hyperlink r:id="rId74" w:tgtFrame="_new" w:history="1">
        <w:r w:rsidRPr="00BE79A2">
          <w:rPr>
            <w:rStyle w:val="Hyperlink"/>
          </w:rPr>
          <w:t>https://expertprogrammanagement.com/2018/04/porter-diamond-model/</w:t>
        </w:r>
      </w:hyperlink>
    </w:p>
    <w:p w14:paraId="3DD3A914" w14:textId="77777777" w:rsidR="00AF27B0" w:rsidRDefault="00AF27B0" w:rsidP="00AF27B0">
      <w:r w:rsidRPr="00414916">
        <w:t xml:space="preserve">Manuel, L., 2022. </w:t>
      </w:r>
      <w:r w:rsidRPr="00414916">
        <w:rPr>
          <w:i/>
          <w:iCs/>
        </w:rPr>
        <w:t>6.1 International Entry Modes</w:t>
      </w:r>
      <w:r w:rsidRPr="00414916">
        <w:t xml:space="preserve">. [online] In: </w:t>
      </w:r>
      <w:r w:rsidRPr="00414916">
        <w:rPr>
          <w:i/>
          <w:iCs/>
        </w:rPr>
        <w:t>Global Marketing in a Digital World</w:t>
      </w:r>
      <w:r w:rsidRPr="00414916">
        <w:t xml:space="preserve">. eCampusOntario Pressbooks. Available at: </w:t>
      </w:r>
      <w:hyperlink r:id="rId75" w:tgtFrame="_new" w:history="1">
        <w:r w:rsidRPr="00414916">
          <w:rPr>
            <w:rStyle w:val="Hyperlink"/>
          </w:rPr>
          <w:t>https://ecampusontario.pressbooks.pub/globalmarketing/chapter/6-1-international-entry-modes/</w:t>
        </w:r>
      </w:hyperlink>
    </w:p>
    <w:p w14:paraId="7C0A3855" w14:textId="77777777" w:rsidR="00AF27B0" w:rsidRDefault="00AF27B0" w:rsidP="00AF27B0">
      <w:r w:rsidRPr="009C7772">
        <w:lastRenderedPageBreak/>
        <w:t xml:space="preserve">Barrington, R., 2016. </w:t>
      </w:r>
      <w:r w:rsidRPr="009C7772">
        <w:rPr>
          <w:i/>
          <w:iCs/>
        </w:rPr>
        <w:t>Using The Ansoff Matrix to Develop Marketing Strategy</w:t>
      </w:r>
      <w:r w:rsidRPr="009C7772">
        <w:t xml:space="preserve">. [online] Oxford College of Marketing. Available at: </w:t>
      </w:r>
      <w:hyperlink r:id="rId76" w:tgtFrame="_new" w:history="1">
        <w:r w:rsidRPr="009C7772">
          <w:rPr>
            <w:rStyle w:val="Hyperlink"/>
          </w:rPr>
          <w:t>https://blog.oxfordcollegeofmarketing.com/2016/08/01/using-ansoff-matrix-develop-marketing-strategy/</w:t>
        </w:r>
      </w:hyperlink>
    </w:p>
    <w:p w14:paraId="2F200D71" w14:textId="77777777" w:rsidR="00AF27B0" w:rsidRDefault="00AF27B0" w:rsidP="00AF27B0">
      <w:r w:rsidRPr="00ED40DC">
        <w:t xml:space="preserve">Professional Academy, 2012. </w:t>
      </w:r>
      <w:r w:rsidRPr="00ED40DC">
        <w:rPr>
          <w:i/>
          <w:iCs/>
        </w:rPr>
        <w:t>Marketing Theories – Boston Consulting Group Matrix</w:t>
      </w:r>
      <w:r w:rsidRPr="00ED40DC">
        <w:t xml:space="preserve">. [online] Professional Academy. Available at: </w:t>
      </w:r>
      <w:hyperlink r:id="rId77" w:history="1">
        <w:r w:rsidRPr="00591A16">
          <w:rPr>
            <w:rStyle w:val="Hyperlink"/>
          </w:rPr>
          <w:t>https://www.professionalacademy.com/blogs/marketing</w:t>
        </w:r>
        <w:r w:rsidRPr="00591A16">
          <w:rPr>
            <w:rStyle w:val="Hyperlink"/>
          </w:rPr>
          <w:noBreakHyphen/>
          <w:t>theories</w:t>
        </w:r>
        <w:r w:rsidRPr="00591A16">
          <w:rPr>
            <w:rStyle w:val="Hyperlink"/>
          </w:rPr>
          <w:noBreakHyphen/>
          <w:t>boston</w:t>
        </w:r>
        <w:r w:rsidRPr="00591A16">
          <w:rPr>
            <w:rStyle w:val="Hyperlink"/>
          </w:rPr>
          <w:noBreakHyphen/>
          <w:t>consulting</w:t>
        </w:r>
        <w:r w:rsidRPr="00591A16">
          <w:rPr>
            <w:rStyle w:val="Hyperlink"/>
          </w:rPr>
          <w:noBreakHyphen/>
          <w:t>group</w:t>
        </w:r>
        <w:r w:rsidRPr="00591A16">
          <w:rPr>
            <w:rStyle w:val="Hyperlink"/>
          </w:rPr>
          <w:noBreakHyphen/>
          <w:t>matrix</w:t>
        </w:r>
      </w:hyperlink>
      <w:r>
        <w:t xml:space="preserve"> </w:t>
      </w:r>
    </w:p>
    <w:p w14:paraId="7BB06590" w14:textId="77777777" w:rsidR="00AF27B0" w:rsidRPr="00164C38" w:rsidRDefault="00AF27B0" w:rsidP="00AF27B0">
      <w:r w:rsidRPr="00B340D6">
        <w:t xml:space="preserve">Nguyen (Rose), T., 2023. </w:t>
      </w:r>
      <w:r w:rsidRPr="00B340D6">
        <w:rPr>
          <w:i/>
          <w:iCs/>
        </w:rPr>
        <w:t>Balanced scorecard – Performance measurement</w:t>
      </w:r>
      <w:r w:rsidRPr="00B340D6">
        <w:t xml:space="preserve">. [online] LinkedIn. Available at: </w:t>
      </w:r>
      <w:hyperlink r:id="rId78" w:tgtFrame="_new" w:history="1">
        <w:r w:rsidRPr="00B340D6">
          <w:rPr>
            <w:rStyle w:val="Hyperlink"/>
          </w:rPr>
          <w:t>https://www.linkedin.com/pulse/balanced-scorecard-performance-measurement-tuoi-nguyen-rose-</w:t>
        </w:r>
      </w:hyperlink>
    </w:p>
    <w:p w14:paraId="50B6B22D" w14:textId="77777777" w:rsidR="003B24B2" w:rsidRPr="003B24B2" w:rsidRDefault="003B24B2" w:rsidP="003B24B2"/>
    <w:sectPr w:rsidR="003B24B2" w:rsidRPr="003B24B2" w:rsidSect="008B1F79">
      <w:footerReference w:type="default" r:id="rId7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29E86" w14:textId="77777777" w:rsidR="00DC5164" w:rsidRPr="00D73FA2" w:rsidRDefault="00DC5164" w:rsidP="008B1F79">
      <w:pPr>
        <w:spacing w:before="0" w:after="0" w:line="240" w:lineRule="auto"/>
      </w:pPr>
      <w:r w:rsidRPr="00D73FA2">
        <w:separator/>
      </w:r>
    </w:p>
  </w:endnote>
  <w:endnote w:type="continuationSeparator" w:id="0">
    <w:p w14:paraId="47FCE07F" w14:textId="77777777" w:rsidR="00DC5164" w:rsidRPr="00D73FA2" w:rsidRDefault="00DC5164" w:rsidP="008B1F79">
      <w:pPr>
        <w:spacing w:before="0" w:after="0" w:line="240" w:lineRule="auto"/>
      </w:pPr>
      <w:r w:rsidRPr="00D73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004525"/>
      <w:docPartObj>
        <w:docPartGallery w:val="Page Numbers (Bottom of Page)"/>
        <w:docPartUnique/>
      </w:docPartObj>
    </w:sdtPr>
    <w:sdtContent>
      <w:p w14:paraId="6F2E24DF" w14:textId="0FE6187D" w:rsidR="008B1F79" w:rsidRPr="00D73FA2" w:rsidRDefault="008B1F79">
        <w:pPr>
          <w:pStyle w:val="Footer"/>
          <w:jc w:val="center"/>
        </w:pPr>
        <w:r w:rsidRPr="00D73FA2">
          <w:fldChar w:fldCharType="begin"/>
        </w:r>
        <w:r w:rsidRPr="00D73FA2">
          <w:instrText xml:space="preserve"> PAGE   \* MERGEFORMAT </w:instrText>
        </w:r>
        <w:r w:rsidRPr="00D73FA2">
          <w:fldChar w:fldCharType="separate"/>
        </w:r>
        <w:r w:rsidRPr="00D73FA2">
          <w:t>2</w:t>
        </w:r>
        <w:r w:rsidRPr="00D73FA2">
          <w:fldChar w:fldCharType="end"/>
        </w:r>
      </w:p>
    </w:sdtContent>
  </w:sdt>
  <w:p w14:paraId="2D652B36" w14:textId="77777777" w:rsidR="008B1F79" w:rsidRPr="00D73FA2" w:rsidRDefault="008B1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36A01" w14:textId="77777777" w:rsidR="00DC5164" w:rsidRPr="00D73FA2" w:rsidRDefault="00DC5164" w:rsidP="008B1F79">
      <w:pPr>
        <w:spacing w:before="0" w:after="0" w:line="240" w:lineRule="auto"/>
      </w:pPr>
      <w:r w:rsidRPr="00D73FA2">
        <w:separator/>
      </w:r>
    </w:p>
  </w:footnote>
  <w:footnote w:type="continuationSeparator" w:id="0">
    <w:p w14:paraId="6A3DF184" w14:textId="77777777" w:rsidR="00DC5164" w:rsidRPr="00D73FA2" w:rsidRDefault="00DC5164" w:rsidP="008B1F79">
      <w:pPr>
        <w:spacing w:before="0" w:after="0" w:line="240" w:lineRule="auto"/>
      </w:pPr>
      <w:r w:rsidRPr="00D73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9152C"/>
    <w:multiLevelType w:val="hybridMultilevel"/>
    <w:tmpl w:val="F39AE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D22BA"/>
    <w:multiLevelType w:val="multilevel"/>
    <w:tmpl w:val="DEB0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D2045"/>
    <w:multiLevelType w:val="hybridMultilevel"/>
    <w:tmpl w:val="7E367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EE4576"/>
    <w:multiLevelType w:val="multilevel"/>
    <w:tmpl w:val="EE76D0DE"/>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140377"/>
    <w:multiLevelType w:val="hybridMultilevel"/>
    <w:tmpl w:val="F6608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A059B"/>
    <w:multiLevelType w:val="hybridMultilevel"/>
    <w:tmpl w:val="6D0A73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C86B8A"/>
    <w:multiLevelType w:val="multilevel"/>
    <w:tmpl w:val="9812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A7225"/>
    <w:multiLevelType w:val="multilevel"/>
    <w:tmpl w:val="9586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37079"/>
    <w:multiLevelType w:val="multilevel"/>
    <w:tmpl w:val="4134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975567"/>
    <w:multiLevelType w:val="multilevel"/>
    <w:tmpl w:val="156C13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9"/>
  </w:num>
  <w:num w:numId="3" w16cid:durableId="877475478">
    <w:abstractNumId w:val="21"/>
  </w:num>
  <w:num w:numId="4" w16cid:durableId="1865439684">
    <w:abstractNumId w:val="22"/>
  </w:num>
  <w:num w:numId="5" w16cid:durableId="296037109">
    <w:abstractNumId w:val="24"/>
  </w:num>
  <w:num w:numId="6" w16cid:durableId="1857650049">
    <w:abstractNumId w:val="11"/>
  </w:num>
  <w:num w:numId="7" w16cid:durableId="1295714836">
    <w:abstractNumId w:val="0"/>
  </w:num>
  <w:num w:numId="8" w16cid:durableId="1104423434">
    <w:abstractNumId w:val="13"/>
  </w:num>
  <w:num w:numId="9" w16cid:durableId="785196607">
    <w:abstractNumId w:val="26"/>
  </w:num>
  <w:num w:numId="10" w16cid:durableId="1805731991">
    <w:abstractNumId w:val="25"/>
  </w:num>
  <w:num w:numId="11" w16cid:durableId="508838147">
    <w:abstractNumId w:val="3"/>
  </w:num>
  <w:num w:numId="12" w16cid:durableId="477303180">
    <w:abstractNumId w:val="19"/>
  </w:num>
  <w:num w:numId="13" w16cid:durableId="1043408458">
    <w:abstractNumId w:val="17"/>
  </w:num>
  <w:num w:numId="14" w16cid:durableId="453400969">
    <w:abstractNumId w:val="2"/>
  </w:num>
  <w:num w:numId="15" w16cid:durableId="1524706236">
    <w:abstractNumId w:val="27"/>
  </w:num>
  <w:num w:numId="16" w16cid:durableId="1474368624">
    <w:abstractNumId w:val="12"/>
  </w:num>
  <w:num w:numId="17" w16cid:durableId="1082482068">
    <w:abstractNumId w:val="10"/>
  </w:num>
  <w:num w:numId="18" w16cid:durableId="356203542">
    <w:abstractNumId w:val="20"/>
  </w:num>
  <w:num w:numId="19" w16cid:durableId="779763825">
    <w:abstractNumId w:val="6"/>
  </w:num>
  <w:num w:numId="20" w16cid:durableId="561140762">
    <w:abstractNumId w:val="5"/>
  </w:num>
  <w:num w:numId="21" w16cid:durableId="1268660295">
    <w:abstractNumId w:val="8"/>
  </w:num>
  <w:num w:numId="22" w16cid:durableId="626620255">
    <w:abstractNumId w:val="23"/>
  </w:num>
  <w:num w:numId="23" w16cid:durableId="2089110116">
    <w:abstractNumId w:val="15"/>
  </w:num>
  <w:num w:numId="24" w16cid:durableId="735006783">
    <w:abstractNumId w:val="18"/>
  </w:num>
  <w:num w:numId="25" w16cid:durableId="848983932">
    <w:abstractNumId w:val="16"/>
  </w:num>
  <w:num w:numId="26" w16cid:durableId="981468078">
    <w:abstractNumId w:val="4"/>
  </w:num>
  <w:num w:numId="27" w16cid:durableId="1215627348">
    <w:abstractNumId w:val="14"/>
  </w:num>
  <w:num w:numId="28" w16cid:durableId="197991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cumentProtection w:edit="form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2D03"/>
    <w:rsid w:val="00002F53"/>
    <w:rsid w:val="00006F03"/>
    <w:rsid w:val="000107B3"/>
    <w:rsid w:val="00012E64"/>
    <w:rsid w:val="00015364"/>
    <w:rsid w:val="00020350"/>
    <w:rsid w:val="00024552"/>
    <w:rsid w:val="00025DF3"/>
    <w:rsid w:val="0002666C"/>
    <w:rsid w:val="00026760"/>
    <w:rsid w:val="000278AD"/>
    <w:rsid w:val="000444B4"/>
    <w:rsid w:val="0005121F"/>
    <w:rsid w:val="000549D0"/>
    <w:rsid w:val="00061163"/>
    <w:rsid w:val="00062EFB"/>
    <w:rsid w:val="00071164"/>
    <w:rsid w:val="00071193"/>
    <w:rsid w:val="00071226"/>
    <w:rsid w:val="00074C02"/>
    <w:rsid w:val="00074E8A"/>
    <w:rsid w:val="00075739"/>
    <w:rsid w:val="00080072"/>
    <w:rsid w:val="00083A25"/>
    <w:rsid w:val="000848F1"/>
    <w:rsid w:val="000935F7"/>
    <w:rsid w:val="000A0171"/>
    <w:rsid w:val="000A430B"/>
    <w:rsid w:val="000B0883"/>
    <w:rsid w:val="000B2DEC"/>
    <w:rsid w:val="000B724E"/>
    <w:rsid w:val="000B7AF3"/>
    <w:rsid w:val="000C08AA"/>
    <w:rsid w:val="000C344B"/>
    <w:rsid w:val="000D5A3A"/>
    <w:rsid w:val="000E162F"/>
    <w:rsid w:val="000E308F"/>
    <w:rsid w:val="000E4033"/>
    <w:rsid w:val="000E5348"/>
    <w:rsid w:val="000E6A4E"/>
    <w:rsid w:val="000E7B30"/>
    <w:rsid w:val="000F5F49"/>
    <w:rsid w:val="001003E8"/>
    <w:rsid w:val="001009D0"/>
    <w:rsid w:val="0010326C"/>
    <w:rsid w:val="00103DE2"/>
    <w:rsid w:val="001045A0"/>
    <w:rsid w:val="0010481D"/>
    <w:rsid w:val="00106D95"/>
    <w:rsid w:val="00110A84"/>
    <w:rsid w:val="00112089"/>
    <w:rsid w:val="001129F5"/>
    <w:rsid w:val="0011589C"/>
    <w:rsid w:val="00116B32"/>
    <w:rsid w:val="001213A5"/>
    <w:rsid w:val="00125352"/>
    <w:rsid w:val="00125761"/>
    <w:rsid w:val="00127249"/>
    <w:rsid w:val="0013281D"/>
    <w:rsid w:val="00134611"/>
    <w:rsid w:val="00136289"/>
    <w:rsid w:val="0014261A"/>
    <w:rsid w:val="00145992"/>
    <w:rsid w:val="00151337"/>
    <w:rsid w:val="0015217C"/>
    <w:rsid w:val="001605A5"/>
    <w:rsid w:val="001648BA"/>
    <w:rsid w:val="00166B9E"/>
    <w:rsid w:val="00166E15"/>
    <w:rsid w:val="00167D11"/>
    <w:rsid w:val="001700EF"/>
    <w:rsid w:val="00170271"/>
    <w:rsid w:val="00173056"/>
    <w:rsid w:val="00174C2B"/>
    <w:rsid w:val="001846FB"/>
    <w:rsid w:val="001872EA"/>
    <w:rsid w:val="001912EA"/>
    <w:rsid w:val="00195A35"/>
    <w:rsid w:val="001B0F78"/>
    <w:rsid w:val="001B4F13"/>
    <w:rsid w:val="001C0391"/>
    <w:rsid w:val="001C076E"/>
    <w:rsid w:val="001C318D"/>
    <w:rsid w:val="001C544A"/>
    <w:rsid w:val="001C634D"/>
    <w:rsid w:val="001D06B1"/>
    <w:rsid w:val="001D08C5"/>
    <w:rsid w:val="001D49C1"/>
    <w:rsid w:val="001E1E70"/>
    <w:rsid w:val="001F0589"/>
    <w:rsid w:val="001F0C7D"/>
    <w:rsid w:val="001F293D"/>
    <w:rsid w:val="001F3167"/>
    <w:rsid w:val="00204BD9"/>
    <w:rsid w:val="002140F4"/>
    <w:rsid w:val="00214A5E"/>
    <w:rsid w:val="00215D9E"/>
    <w:rsid w:val="002171F2"/>
    <w:rsid w:val="00220A26"/>
    <w:rsid w:val="00220D36"/>
    <w:rsid w:val="00220FE0"/>
    <w:rsid w:val="00231E32"/>
    <w:rsid w:val="0023486C"/>
    <w:rsid w:val="0023488B"/>
    <w:rsid w:val="002359B7"/>
    <w:rsid w:val="00236BB1"/>
    <w:rsid w:val="00237371"/>
    <w:rsid w:val="00244E87"/>
    <w:rsid w:val="0025256D"/>
    <w:rsid w:val="00262DBD"/>
    <w:rsid w:val="00264AA8"/>
    <w:rsid w:val="00264C47"/>
    <w:rsid w:val="00266262"/>
    <w:rsid w:val="00266C89"/>
    <w:rsid w:val="00274DDD"/>
    <w:rsid w:val="00277F4A"/>
    <w:rsid w:val="00277FDA"/>
    <w:rsid w:val="00280414"/>
    <w:rsid w:val="002812EA"/>
    <w:rsid w:val="00283F48"/>
    <w:rsid w:val="00285716"/>
    <w:rsid w:val="00287D0A"/>
    <w:rsid w:val="00291E57"/>
    <w:rsid w:val="00293B4C"/>
    <w:rsid w:val="002963AE"/>
    <w:rsid w:val="002A6E2A"/>
    <w:rsid w:val="002B0360"/>
    <w:rsid w:val="002B5D97"/>
    <w:rsid w:val="002C00DF"/>
    <w:rsid w:val="002C037A"/>
    <w:rsid w:val="002C7E68"/>
    <w:rsid w:val="002D07B2"/>
    <w:rsid w:val="002D07DC"/>
    <w:rsid w:val="002D127E"/>
    <w:rsid w:val="002D26AE"/>
    <w:rsid w:val="002D3653"/>
    <w:rsid w:val="002D4AD0"/>
    <w:rsid w:val="002D5EF1"/>
    <w:rsid w:val="002D7151"/>
    <w:rsid w:val="002E42AC"/>
    <w:rsid w:val="002E4370"/>
    <w:rsid w:val="002E4D84"/>
    <w:rsid w:val="002F3CAD"/>
    <w:rsid w:val="002F401D"/>
    <w:rsid w:val="002F5555"/>
    <w:rsid w:val="002F5C4E"/>
    <w:rsid w:val="0030377E"/>
    <w:rsid w:val="003043DF"/>
    <w:rsid w:val="00305C5F"/>
    <w:rsid w:val="00313DE7"/>
    <w:rsid w:val="003144D9"/>
    <w:rsid w:val="00327BA3"/>
    <w:rsid w:val="00330677"/>
    <w:rsid w:val="00330FB7"/>
    <w:rsid w:val="0033496B"/>
    <w:rsid w:val="00334BE5"/>
    <w:rsid w:val="00334F40"/>
    <w:rsid w:val="003361C8"/>
    <w:rsid w:val="00336561"/>
    <w:rsid w:val="003400EA"/>
    <w:rsid w:val="00345B74"/>
    <w:rsid w:val="00345FF5"/>
    <w:rsid w:val="0035639B"/>
    <w:rsid w:val="00360C52"/>
    <w:rsid w:val="00362847"/>
    <w:rsid w:val="00366D93"/>
    <w:rsid w:val="003717E0"/>
    <w:rsid w:val="00371D7F"/>
    <w:rsid w:val="00373BDA"/>
    <w:rsid w:val="00377C02"/>
    <w:rsid w:val="00381ABF"/>
    <w:rsid w:val="00383334"/>
    <w:rsid w:val="003950B9"/>
    <w:rsid w:val="003A15BA"/>
    <w:rsid w:val="003A2FCB"/>
    <w:rsid w:val="003B24B2"/>
    <w:rsid w:val="003B6579"/>
    <w:rsid w:val="003C14FD"/>
    <w:rsid w:val="003C2F6B"/>
    <w:rsid w:val="003C4782"/>
    <w:rsid w:val="003D0778"/>
    <w:rsid w:val="003D2F7F"/>
    <w:rsid w:val="003D32F3"/>
    <w:rsid w:val="003D6554"/>
    <w:rsid w:val="003D65F1"/>
    <w:rsid w:val="003E7B70"/>
    <w:rsid w:val="003F23FE"/>
    <w:rsid w:val="003F35F7"/>
    <w:rsid w:val="004010FA"/>
    <w:rsid w:val="004011B8"/>
    <w:rsid w:val="00405E07"/>
    <w:rsid w:val="004060BA"/>
    <w:rsid w:val="004129D9"/>
    <w:rsid w:val="004129EE"/>
    <w:rsid w:val="00423CF9"/>
    <w:rsid w:val="00431213"/>
    <w:rsid w:val="0044022C"/>
    <w:rsid w:val="00441869"/>
    <w:rsid w:val="00442174"/>
    <w:rsid w:val="00442302"/>
    <w:rsid w:val="00450A58"/>
    <w:rsid w:val="0045238A"/>
    <w:rsid w:val="0045792E"/>
    <w:rsid w:val="00470789"/>
    <w:rsid w:val="004817A9"/>
    <w:rsid w:val="00484E48"/>
    <w:rsid w:val="004871E8"/>
    <w:rsid w:val="00491980"/>
    <w:rsid w:val="00491DFD"/>
    <w:rsid w:val="0049295B"/>
    <w:rsid w:val="00492ED6"/>
    <w:rsid w:val="00496422"/>
    <w:rsid w:val="00496FE9"/>
    <w:rsid w:val="004A0A93"/>
    <w:rsid w:val="004A176C"/>
    <w:rsid w:val="004A17C1"/>
    <w:rsid w:val="004A437B"/>
    <w:rsid w:val="004A5BE3"/>
    <w:rsid w:val="004B1727"/>
    <w:rsid w:val="004B2499"/>
    <w:rsid w:val="004B3131"/>
    <w:rsid w:val="004B7690"/>
    <w:rsid w:val="004C2B40"/>
    <w:rsid w:val="004D2E19"/>
    <w:rsid w:val="004E24EB"/>
    <w:rsid w:val="004E40DC"/>
    <w:rsid w:val="004E49A6"/>
    <w:rsid w:val="004F1A38"/>
    <w:rsid w:val="004F2663"/>
    <w:rsid w:val="004F3891"/>
    <w:rsid w:val="004F51A2"/>
    <w:rsid w:val="004F732D"/>
    <w:rsid w:val="005009A3"/>
    <w:rsid w:val="00500AA9"/>
    <w:rsid w:val="005060BB"/>
    <w:rsid w:val="0052141D"/>
    <w:rsid w:val="00521496"/>
    <w:rsid w:val="005217E7"/>
    <w:rsid w:val="00521F86"/>
    <w:rsid w:val="00522E6A"/>
    <w:rsid w:val="00523F7B"/>
    <w:rsid w:val="00533053"/>
    <w:rsid w:val="00541D68"/>
    <w:rsid w:val="005462FB"/>
    <w:rsid w:val="00547E4B"/>
    <w:rsid w:val="00553104"/>
    <w:rsid w:val="00555F97"/>
    <w:rsid w:val="005569BE"/>
    <w:rsid w:val="00557033"/>
    <w:rsid w:val="00557531"/>
    <w:rsid w:val="00560AB5"/>
    <w:rsid w:val="005700F4"/>
    <w:rsid w:val="00574619"/>
    <w:rsid w:val="00577C1B"/>
    <w:rsid w:val="005804BE"/>
    <w:rsid w:val="00584E48"/>
    <w:rsid w:val="00586A3F"/>
    <w:rsid w:val="005877E5"/>
    <w:rsid w:val="00593EF7"/>
    <w:rsid w:val="005942AE"/>
    <w:rsid w:val="005970E5"/>
    <w:rsid w:val="005A570C"/>
    <w:rsid w:val="005A7173"/>
    <w:rsid w:val="005B43CB"/>
    <w:rsid w:val="005B72FD"/>
    <w:rsid w:val="005C1BE5"/>
    <w:rsid w:val="005D2FD6"/>
    <w:rsid w:val="005D4453"/>
    <w:rsid w:val="005D516B"/>
    <w:rsid w:val="005E6B7E"/>
    <w:rsid w:val="005E78E6"/>
    <w:rsid w:val="005F04B9"/>
    <w:rsid w:val="005F2EC9"/>
    <w:rsid w:val="005F4F75"/>
    <w:rsid w:val="00604537"/>
    <w:rsid w:val="0061058E"/>
    <w:rsid w:val="0061758F"/>
    <w:rsid w:val="00617CF1"/>
    <w:rsid w:val="006218A9"/>
    <w:rsid w:val="006246F1"/>
    <w:rsid w:val="0062562B"/>
    <w:rsid w:val="00627758"/>
    <w:rsid w:val="00627825"/>
    <w:rsid w:val="00632F08"/>
    <w:rsid w:val="00634525"/>
    <w:rsid w:val="00642555"/>
    <w:rsid w:val="00645AA2"/>
    <w:rsid w:val="00646406"/>
    <w:rsid w:val="00647951"/>
    <w:rsid w:val="006536B9"/>
    <w:rsid w:val="006540D9"/>
    <w:rsid w:val="00656F46"/>
    <w:rsid w:val="00660E10"/>
    <w:rsid w:val="00663DDF"/>
    <w:rsid w:val="00664A78"/>
    <w:rsid w:val="0066634D"/>
    <w:rsid w:val="006709FF"/>
    <w:rsid w:val="0067530E"/>
    <w:rsid w:val="0068103F"/>
    <w:rsid w:val="00681D4B"/>
    <w:rsid w:val="006837A3"/>
    <w:rsid w:val="00683FBE"/>
    <w:rsid w:val="00686167"/>
    <w:rsid w:val="00687652"/>
    <w:rsid w:val="0069116B"/>
    <w:rsid w:val="006915A1"/>
    <w:rsid w:val="00696AB3"/>
    <w:rsid w:val="00696F22"/>
    <w:rsid w:val="006A2324"/>
    <w:rsid w:val="006A4BF0"/>
    <w:rsid w:val="006A4F09"/>
    <w:rsid w:val="006B00A3"/>
    <w:rsid w:val="006B0D88"/>
    <w:rsid w:val="006B701B"/>
    <w:rsid w:val="006C1CD7"/>
    <w:rsid w:val="006C3298"/>
    <w:rsid w:val="006C3548"/>
    <w:rsid w:val="006C44B4"/>
    <w:rsid w:val="006C59E4"/>
    <w:rsid w:val="006C5A2D"/>
    <w:rsid w:val="006C5E9C"/>
    <w:rsid w:val="006C7D03"/>
    <w:rsid w:val="006D28CB"/>
    <w:rsid w:val="006D312B"/>
    <w:rsid w:val="006D4808"/>
    <w:rsid w:val="006D6095"/>
    <w:rsid w:val="006E0933"/>
    <w:rsid w:val="006E0C6A"/>
    <w:rsid w:val="006E66CE"/>
    <w:rsid w:val="006E79AF"/>
    <w:rsid w:val="006F2C7E"/>
    <w:rsid w:val="006F7361"/>
    <w:rsid w:val="00703166"/>
    <w:rsid w:val="0070573A"/>
    <w:rsid w:val="00705EC2"/>
    <w:rsid w:val="00707828"/>
    <w:rsid w:val="007107ED"/>
    <w:rsid w:val="00712F1F"/>
    <w:rsid w:val="00716738"/>
    <w:rsid w:val="007168B3"/>
    <w:rsid w:val="00720760"/>
    <w:rsid w:val="00723B13"/>
    <w:rsid w:val="00726B09"/>
    <w:rsid w:val="00731BF3"/>
    <w:rsid w:val="00736556"/>
    <w:rsid w:val="0073681E"/>
    <w:rsid w:val="00736EFA"/>
    <w:rsid w:val="00737B11"/>
    <w:rsid w:val="00741D1F"/>
    <w:rsid w:val="00743CDC"/>
    <w:rsid w:val="007468B9"/>
    <w:rsid w:val="00746C2E"/>
    <w:rsid w:val="007534FE"/>
    <w:rsid w:val="00756C72"/>
    <w:rsid w:val="00762A3A"/>
    <w:rsid w:val="00765646"/>
    <w:rsid w:val="00770666"/>
    <w:rsid w:val="0077257A"/>
    <w:rsid w:val="00775605"/>
    <w:rsid w:val="007818D8"/>
    <w:rsid w:val="0078368E"/>
    <w:rsid w:val="00786561"/>
    <w:rsid w:val="00786CA4"/>
    <w:rsid w:val="0079036B"/>
    <w:rsid w:val="007908A7"/>
    <w:rsid w:val="007A0C7E"/>
    <w:rsid w:val="007A3237"/>
    <w:rsid w:val="007A4FDC"/>
    <w:rsid w:val="007B1873"/>
    <w:rsid w:val="007B3783"/>
    <w:rsid w:val="007B57A4"/>
    <w:rsid w:val="007B58FA"/>
    <w:rsid w:val="007B7FB7"/>
    <w:rsid w:val="007C17F5"/>
    <w:rsid w:val="007C1B02"/>
    <w:rsid w:val="007C4978"/>
    <w:rsid w:val="007C520A"/>
    <w:rsid w:val="007C5475"/>
    <w:rsid w:val="007C730B"/>
    <w:rsid w:val="007C7317"/>
    <w:rsid w:val="007C769B"/>
    <w:rsid w:val="007D2999"/>
    <w:rsid w:val="007D4276"/>
    <w:rsid w:val="007D4852"/>
    <w:rsid w:val="007D49E4"/>
    <w:rsid w:val="007D555B"/>
    <w:rsid w:val="007E06E1"/>
    <w:rsid w:val="007E07CF"/>
    <w:rsid w:val="007E47A3"/>
    <w:rsid w:val="007E719B"/>
    <w:rsid w:val="007F36F5"/>
    <w:rsid w:val="008013FD"/>
    <w:rsid w:val="008053BB"/>
    <w:rsid w:val="00811494"/>
    <w:rsid w:val="00812A17"/>
    <w:rsid w:val="008150AE"/>
    <w:rsid w:val="0081589E"/>
    <w:rsid w:val="00820B97"/>
    <w:rsid w:val="008252B9"/>
    <w:rsid w:val="00831973"/>
    <w:rsid w:val="008328E1"/>
    <w:rsid w:val="00834224"/>
    <w:rsid w:val="00842404"/>
    <w:rsid w:val="0084261E"/>
    <w:rsid w:val="00843482"/>
    <w:rsid w:val="0084489B"/>
    <w:rsid w:val="008478E2"/>
    <w:rsid w:val="00852956"/>
    <w:rsid w:val="008545DF"/>
    <w:rsid w:val="00862B76"/>
    <w:rsid w:val="00863A59"/>
    <w:rsid w:val="00864E8F"/>
    <w:rsid w:val="00865149"/>
    <w:rsid w:val="00866799"/>
    <w:rsid w:val="00867A71"/>
    <w:rsid w:val="008728C1"/>
    <w:rsid w:val="00873F25"/>
    <w:rsid w:val="00874203"/>
    <w:rsid w:val="008804B4"/>
    <w:rsid w:val="00890186"/>
    <w:rsid w:val="00892D6C"/>
    <w:rsid w:val="00895043"/>
    <w:rsid w:val="00896456"/>
    <w:rsid w:val="008973AE"/>
    <w:rsid w:val="008A05FD"/>
    <w:rsid w:val="008A0E34"/>
    <w:rsid w:val="008A1C8E"/>
    <w:rsid w:val="008A2060"/>
    <w:rsid w:val="008A3FC1"/>
    <w:rsid w:val="008B1F79"/>
    <w:rsid w:val="008B3374"/>
    <w:rsid w:val="008B3DF6"/>
    <w:rsid w:val="008B4E2D"/>
    <w:rsid w:val="008B5833"/>
    <w:rsid w:val="008B5CF5"/>
    <w:rsid w:val="008B64DF"/>
    <w:rsid w:val="008B793C"/>
    <w:rsid w:val="008C269A"/>
    <w:rsid w:val="008C3CAF"/>
    <w:rsid w:val="008C649C"/>
    <w:rsid w:val="008C7FB9"/>
    <w:rsid w:val="008D2212"/>
    <w:rsid w:val="008D2B2B"/>
    <w:rsid w:val="008D3F0B"/>
    <w:rsid w:val="008D526A"/>
    <w:rsid w:val="008D57ED"/>
    <w:rsid w:val="008F1698"/>
    <w:rsid w:val="008F1E49"/>
    <w:rsid w:val="008F2A5E"/>
    <w:rsid w:val="008F7A98"/>
    <w:rsid w:val="00910887"/>
    <w:rsid w:val="009109D5"/>
    <w:rsid w:val="00910F1A"/>
    <w:rsid w:val="0091258E"/>
    <w:rsid w:val="0091445E"/>
    <w:rsid w:val="009145B9"/>
    <w:rsid w:val="00914704"/>
    <w:rsid w:val="009210EB"/>
    <w:rsid w:val="0092261D"/>
    <w:rsid w:val="00924662"/>
    <w:rsid w:val="00933D4A"/>
    <w:rsid w:val="0094326F"/>
    <w:rsid w:val="009439C2"/>
    <w:rsid w:val="009510F7"/>
    <w:rsid w:val="0095163F"/>
    <w:rsid w:val="00955EF7"/>
    <w:rsid w:val="00956720"/>
    <w:rsid w:val="00960EE9"/>
    <w:rsid w:val="00963570"/>
    <w:rsid w:val="00964A14"/>
    <w:rsid w:val="009742D4"/>
    <w:rsid w:val="00982786"/>
    <w:rsid w:val="0098411F"/>
    <w:rsid w:val="00985928"/>
    <w:rsid w:val="00986460"/>
    <w:rsid w:val="0098698D"/>
    <w:rsid w:val="00987071"/>
    <w:rsid w:val="00987BC0"/>
    <w:rsid w:val="00990034"/>
    <w:rsid w:val="0099065F"/>
    <w:rsid w:val="009A00C0"/>
    <w:rsid w:val="009A2C9A"/>
    <w:rsid w:val="009A31FB"/>
    <w:rsid w:val="009A32E5"/>
    <w:rsid w:val="009A6DF9"/>
    <w:rsid w:val="009B1973"/>
    <w:rsid w:val="009B43B0"/>
    <w:rsid w:val="009B4FAC"/>
    <w:rsid w:val="009C25E4"/>
    <w:rsid w:val="009C2E38"/>
    <w:rsid w:val="009C7352"/>
    <w:rsid w:val="009D00AE"/>
    <w:rsid w:val="009D0123"/>
    <w:rsid w:val="009D0BAD"/>
    <w:rsid w:val="009D2639"/>
    <w:rsid w:val="009D7BD1"/>
    <w:rsid w:val="009E0C19"/>
    <w:rsid w:val="009E58AF"/>
    <w:rsid w:val="009E7888"/>
    <w:rsid w:val="009F336D"/>
    <w:rsid w:val="00A01695"/>
    <w:rsid w:val="00A05BFB"/>
    <w:rsid w:val="00A06BD4"/>
    <w:rsid w:val="00A141A1"/>
    <w:rsid w:val="00A263A7"/>
    <w:rsid w:val="00A3394E"/>
    <w:rsid w:val="00A41C21"/>
    <w:rsid w:val="00A4386E"/>
    <w:rsid w:val="00A43C09"/>
    <w:rsid w:val="00A476DA"/>
    <w:rsid w:val="00A5374C"/>
    <w:rsid w:val="00A55989"/>
    <w:rsid w:val="00A65567"/>
    <w:rsid w:val="00A66EB3"/>
    <w:rsid w:val="00A70BA6"/>
    <w:rsid w:val="00A72A1C"/>
    <w:rsid w:val="00A73B0D"/>
    <w:rsid w:val="00A74F0A"/>
    <w:rsid w:val="00A74F3C"/>
    <w:rsid w:val="00A77053"/>
    <w:rsid w:val="00A77117"/>
    <w:rsid w:val="00A8015A"/>
    <w:rsid w:val="00A842D2"/>
    <w:rsid w:val="00A8642F"/>
    <w:rsid w:val="00A86A65"/>
    <w:rsid w:val="00A92824"/>
    <w:rsid w:val="00A93F95"/>
    <w:rsid w:val="00A9612F"/>
    <w:rsid w:val="00A96B16"/>
    <w:rsid w:val="00AA2178"/>
    <w:rsid w:val="00AB02C7"/>
    <w:rsid w:val="00AB3B53"/>
    <w:rsid w:val="00AB4506"/>
    <w:rsid w:val="00AB6B86"/>
    <w:rsid w:val="00AC27ED"/>
    <w:rsid w:val="00AC346C"/>
    <w:rsid w:val="00AC6149"/>
    <w:rsid w:val="00AD177F"/>
    <w:rsid w:val="00AD4FD2"/>
    <w:rsid w:val="00AF27B0"/>
    <w:rsid w:val="00AF29CD"/>
    <w:rsid w:val="00AF2F8C"/>
    <w:rsid w:val="00B026B7"/>
    <w:rsid w:val="00B02BA4"/>
    <w:rsid w:val="00B05C5C"/>
    <w:rsid w:val="00B12685"/>
    <w:rsid w:val="00B1485A"/>
    <w:rsid w:val="00B16269"/>
    <w:rsid w:val="00B27045"/>
    <w:rsid w:val="00B33CA0"/>
    <w:rsid w:val="00B34855"/>
    <w:rsid w:val="00B366A9"/>
    <w:rsid w:val="00B42691"/>
    <w:rsid w:val="00B434F6"/>
    <w:rsid w:val="00B46AD8"/>
    <w:rsid w:val="00B53110"/>
    <w:rsid w:val="00B62BD6"/>
    <w:rsid w:val="00B63D70"/>
    <w:rsid w:val="00B645C4"/>
    <w:rsid w:val="00B65C31"/>
    <w:rsid w:val="00B6676C"/>
    <w:rsid w:val="00B676A3"/>
    <w:rsid w:val="00B71CD2"/>
    <w:rsid w:val="00B773E6"/>
    <w:rsid w:val="00B80625"/>
    <w:rsid w:val="00B85657"/>
    <w:rsid w:val="00B86BCF"/>
    <w:rsid w:val="00B90F32"/>
    <w:rsid w:val="00B91450"/>
    <w:rsid w:val="00B9531C"/>
    <w:rsid w:val="00B9537B"/>
    <w:rsid w:val="00B9543F"/>
    <w:rsid w:val="00B978C0"/>
    <w:rsid w:val="00B97F31"/>
    <w:rsid w:val="00BA322E"/>
    <w:rsid w:val="00BA7AEC"/>
    <w:rsid w:val="00BA7B76"/>
    <w:rsid w:val="00BB0BBA"/>
    <w:rsid w:val="00BB57B9"/>
    <w:rsid w:val="00BB65D5"/>
    <w:rsid w:val="00BC1E32"/>
    <w:rsid w:val="00BC74BB"/>
    <w:rsid w:val="00BD20DC"/>
    <w:rsid w:val="00BD2E1E"/>
    <w:rsid w:val="00BD3E3C"/>
    <w:rsid w:val="00BD4D70"/>
    <w:rsid w:val="00BD629C"/>
    <w:rsid w:val="00BD74D5"/>
    <w:rsid w:val="00BD7803"/>
    <w:rsid w:val="00BE0123"/>
    <w:rsid w:val="00BE5505"/>
    <w:rsid w:val="00BE5DAD"/>
    <w:rsid w:val="00BF13C7"/>
    <w:rsid w:val="00C03FBD"/>
    <w:rsid w:val="00C04659"/>
    <w:rsid w:val="00C05175"/>
    <w:rsid w:val="00C124BB"/>
    <w:rsid w:val="00C150B2"/>
    <w:rsid w:val="00C15820"/>
    <w:rsid w:val="00C15A97"/>
    <w:rsid w:val="00C15B3D"/>
    <w:rsid w:val="00C16F5E"/>
    <w:rsid w:val="00C220D1"/>
    <w:rsid w:val="00C22176"/>
    <w:rsid w:val="00C23FA8"/>
    <w:rsid w:val="00C2777F"/>
    <w:rsid w:val="00C30CC0"/>
    <w:rsid w:val="00C32A16"/>
    <w:rsid w:val="00C40950"/>
    <w:rsid w:val="00C44DC2"/>
    <w:rsid w:val="00C44F65"/>
    <w:rsid w:val="00C45540"/>
    <w:rsid w:val="00C51F1D"/>
    <w:rsid w:val="00C56A9F"/>
    <w:rsid w:val="00C56B5A"/>
    <w:rsid w:val="00C57D61"/>
    <w:rsid w:val="00C60C3E"/>
    <w:rsid w:val="00C62B9A"/>
    <w:rsid w:val="00C67211"/>
    <w:rsid w:val="00C71226"/>
    <w:rsid w:val="00C7680D"/>
    <w:rsid w:val="00C76D9E"/>
    <w:rsid w:val="00C81728"/>
    <w:rsid w:val="00C8332F"/>
    <w:rsid w:val="00C83B51"/>
    <w:rsid w:val="00C8450D"/>
    <w:rsid w:val="00C927AD"/>
    <w:rsid w:val="00C97769"/>
    <w:rsid w:val="00C97F2F"/>
    <w:rsid w:val="00CA11FF"/>
    <w:rsid w:val="00CA318C"/>
    <w:rsid w:val="00CA3774"/>
    <w:rsid w:val="00CA3BF6"/>
    <w:rsid w:val="00CA5BE0"/>
    <w:rsid w:val="00CA6965"/>
    <w:rsid w:val="00CB01F0"/>
    <w:rsid w:val="00CB099A"/>
    <w:rsid w:val="00CB5605"/>
    <w:rsid w:val="00CB6960"/>
    <w:rsid w:val="00CC18D6"/>
    <w:rsid w:val="00CC4119"/>
    <w:rsid w:val="00CC6D7D"/>
    <w:rsid w:val="00CD0C84"/>
    <w:rsid w:val="00CD48E4"/>
    <w:rsid w:val="00CE4330"/>
    <w:rsid w:val="00CE729D"/>
    <w:rsid w:val="00D02F5C"/>
    <w:rsid w:val="00D03232"/>
    <w:rsid w:val="00D11545"/>
    <w:rsid w:val="00D120E3"/>
    <w:rsid w:val="00D22AC2"/>
    <w:rsid w:val="00D24E04"/>
    <w:rsid w:val="00D30667"/>
    <w:rsid w:val="00D369BB"/>
    <w:rsid w:val="00D36FBF"/>
    <w:rsid w:val="00D46101"/>
    <w:rsid w:val="00D561D6"/>
    <w:rsid w:val="00D575D5"/>
    <w:rsid w:val="00D57F38"/>
    <w:rsid w:val="00D62381"/>
    <w:rsid w:val="00D62479"/>
    <w:rsid w:val="00D71493"/>
    <w:rsid w:val="00D73FA2"/>
    <w:rsid w:val="00D818CC"/>
    <w:rsid w:val="00D90414"/>
    <w:rsid w:val="00D9100C"/>
    <w:rsid w:val="00D91E29"/>
    <w:rsid w:val="00D9285F"/>
    <w:rsid w:val="00D9588B"/>
    <w:rsid w:val="00D96D6B"/>
    <w:rsid w:val="00DA0CB3"/>
    <w:rsid w:val="00DA1705"/>
    <w:rsid w:val="00DA2A69"/>
    <w:rsid w:val="00DA4AE7"/>
    <w:rsid w:val="00DA504A"/>
    <w:rsid w:val="00DA67D7"/>
    <w:rsid w:val="00DB7521"/>
    <w:rsid w:val="00DC416F"/>
    <w:rsid w:val="00DC476E"/>
    <w:rsid w:val="00DC5164"/>
    <w:rsid w:val="00DC71A5"/>
    <w:rsid w:val="00DD386F"/>
    <w:rsid w:val="00DD4F23"/>
    <w:rsid w:val="00DD54E8"/>
    <w:rsid w:val="00DE1162"/>
    <w:rsid w:val="00DE1A36"/>
    <w:rsid w:val="00DE2B0E"/>
    <w:rsid w:val="00DE591E"/>
    <w:rsid w:val="00DE5AB6"/>
    <w:rsid w:val="00DE7E1D"/>
    <w:rsid w:val="00DF2F42"/>
    <w:rsid w:val="00E01CF6"/>
    <w:rsid w:val="00E02219"/>
    <w:rsid w:val="00E03635"/>
    <w:rsid w:val="00E048E0"/>
    <w:rsid w:val="00E056BD"/>
    <w:rsid w:val="00E06D36"/>
    <w:rsid w:val="00E138F6"/>
    <w:rsid w:val="00E1454B"/>
    <w:rsid w:val="00E14B36"/>
    <w:rsid w:val="00E1586D"/>
    <w:rsid w:val="00E2154C"/>
    <w:rsid w:val="00E25DDC"/>
    <w:rsid w:val="00E360D7"/>
    <w:rsid w:val="00E408F9"/>
    <w:rsid w:val="00E411C5"/>
    <w:rsid w:val="00E41ACD"/>
    <w:rsid w:val="00E47115"/>
    <w:rsid w:val="00E4798B"/>
    <w:rsid w:val="00E529C7"/>
    <w:rsid w:val="00E53E3E"/>
    <w:rsid w:val="00E546F5"/>
    <w:rsid w:val="00E61990"/>
    <w:rsid w:val="00E643D4"/>
    <w:rsid w:val="00E75C54"/>
    <w:rsid w:val="00E779BB"/>
    <w:rsid w:val="00E80E06"/>
    <w:rsid w:val="00E80F38"/>
    <w:rsid w:val="00E82105"/>
    <w:rsid w:val="00E830B0"/>
    <w:rsid w:val="00E83DC4"/>
    <w:rsid w:val="00E84BD8"/>
    <w:rsid w:val="00E917DF"/>
    <w:rsid w:val="00E91DD7"/>
    <w:rsid w:val="00E95303"/>
    <w:rsid w:val="00EA0B5D"/>
    <w:rsid w:val="00EA3962"/>
    <w:rsid w:val="00EA5DE4"/>
    <w:rsid w:val="00EA70F0"/>
    <w:rsid w:val="00EB56A7"/>
    <w:rsid w:val="00EB684B"/>
    <w:rsid w:val="00EC0ACD"/>
    <w:rsid w:val="00EC0C6F"/>
    <w:rsid w:val="00EC52CB"/>
    <w:rsid w:val="00EC6978"/>
    <w:rsid w:val="00ED3469"/>
    <w:rsid w:val="00ED4732"/>
    <w:rsid w:val="00ED732C"/>
    <w:rsid w:val="00EE05EA"/>
    <w:rsid w:val="00EE0D4A"/>
    <w:rsid w:val="00EE5A4B"/>
    <w:rsid w:val="00EF1A05"/>
    <w:rsid w:val="00EF2236"/>
    <w:rsid w:val="00EF4D52"/>
    <w:rsid w:val="00EF4FB1"/>
    <w:rsid w:val="00EF5AD6"/>
    <w:rsid w:val="00F01468"/>
    <w:rsid w:val="00F01C45"/>
    <w:rsid w:val="00F106E6"/>
    <w:rsid w:val="00F128D2"/>
    <w:rsid w:val="00F14CFD"/>
    <w:rsid w:val="00F166C9"/>
    <w:rsid w:val="00F169F6"/>
    <w:rsid w:val="00F24237"/>
    <w:rsid w:val="00F25D56"/>
    <w:rsid w:val="00F25E54"/>
    <w:rsid w:val="00F26000"/>
    <w:rsid w:val="00F27155"/>
    <w:rsid w:val="00F32A7C"/>
    <w:rsid w:val="00F34EBE"/>
    <w:rsid w:val="00F44CA3"/>
    <w:rsid w:val="00F46AE2"/>
    <w:rsid w:val="00F470E9"/>
    <w:rsid w:val="00F5448E"/>
    <w:rsid w:val="00F5679C"/>
    <w:rsid w:val="00F61054"/>
    <w:rsid w:val="00F65A97"/>
    <w:rsid w:val="00F71252"/>
    <w:rsid w:val="00F71AA0"/>
    <w:rsid w:val="00F740C5"/>
    <w:rsid w:val="00F76351"/>
    <w:rsid w:val="00F832E6"/>
    <w:rsid w:val="00F84B08"/>
    <w:rsid w:val="00F85B8B"/>
    <w:rsid w:val="00F85C17"/>
    <w:rsid w:val="00F87A48"/>
    <w:rsid w:val="00F93051"/>
    <w:rsid w:val="00FA0D80"/>
    <w:rsid w:val="00FA1376"/>
    <w:rsid w:val="00FA4CC7"/>
    <w:rsid w:val="00FB178C"/>
    <w:rsid w:val="00FB2C56"/>
    <w:rsid w:val="00FC11CF"/>
    <w:rsid w:val="00FC2F85"/>
    <w:rsid w:val="00FC6BE7"/>
    <w:rsid w:val="00FC6BFF"/>
    <w:rsid w:val="00FC6FF8"/>
    <w:rsid w:val="00FD67CB"/>
    <w:rsid w:val="00FE2243"/>
    <w:rsid w:val="00FE33A2"/>
    <w:rsid w:val="00FE4800"/>
    <w:rsid w:val="00FE50BB"/>
    <w:rsid w:val="00FE7ADF"/>
    <w:rsid w:val="00FF04FD"/>
    <w:rsid w:val="00FF42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A69"/>
    <w:pPr>
      <w:spacing w:before="120" w:after="120" w:line="360" w:lineRule="auto"/>
      <w:jc w:val="both"/>
    </w:pPr>
    <w:rPr>
      <w:rFonts w:asciiTheme="minorBidi" w:hAnsiTheme="minorBidi"/>
    </w:rPr>
  </w:style>
  <w:style w:type="paragraph" w:styleId="Heading1">
    <w:name w:val="heading 1"/>
    <w:basedOn w:val="Normal"/>
    <w:next w:val="Normal"/>
    <w:link w:val="Heading1Char"/>
    <w:uiPriority w:val="9"/>
    <w:qFormat/>
    <w:rsid w:val="004129D9"/>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129D9"/>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6B701B"/>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autoRedefine/>
    <w:uiPriority w:val="9"/>
    <w:unhideWhenUsed/>
    <w:qFormat/>
    <w:rsid w:val="00244E87"/>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9D9"/>
    <w:rPr>
      <w:rFonts w:asciiTheme="minorBidi" w:eastAsiaTheme="majorEastAsia" w:hAnsiTheme="minorBidi" w:cstheme="majorBidi"/>
      <w:b/>
      <w:sz w:val="32"/>
      <w:szCs w:val="40"/>
    </w:rPr>
  </w:style>
  <w:style w:type="character" w:customStyle="1" w:styleId="Heading2Char">
    <w:name w:val="Heading 2 Char"/>
    <w:basedOn w:val="DefaultParagraphFont"/>
    <w:link w:val="Heading2"/>
    <w:uiPriority w:val="9"/>
    <w:rsid w:val="004129D9"/>
    <w:rPr>
      <w:rFonts w:asciiTheme="minorBidi" w:eastAsiaTheme="majorEastAsia" w:hAnsiTheme="minorBidi" w:cstheme="majorBidi"/>
      <w:b/>
      <w:sz w:val="28"/>
      <w:szCs w:val="32"/>
    </w:rPr>
  </w:style>
  <w:style w:type="character" w:customStyle="1" w:styleId="Heading3Char">
    <w:name w:val="Heading 3 Char"/>
    <w:basedOn w:val="DefaultParagraphFont"/>
    <w:link w:val="Heading3"/>
    <w:uiPriority w:val="9"/>
    <w:rsid w:val="006B701B"/>
    <w:rPr>
      <w:rFonts w:asciiTheme="minorBidi" w:eastAsiaTheme="majorEastAsia" w:hAnsiTheme="minorBidi" w:cstheme="majorBidi"/>
      <w:b/>
      <w:color w:val="000000" w:themeColor="text1"/>
      <w:sz w:val="26"/>
      <w:szCs w:val="28"/>
    </w:rPr>
  </w:style>
  <w:style w:type="character" w:customStyle="1" w:styleId="Heading4Char">
    <w:name w:val="Heading 4 Char"/>
    <w:basedOn w:val="DefaultParagraphFont"/>
    <w:link w:val="Heading4"/>
    <w:uiPriority w:val="9"/>
    <w:rsid w:val="00244E87"/>
    <w:rPr>
      <w:rFonts w:asciiTheme="minorBidi" w:eastAsiaTheme="majorEastAsia" w:hAnsiTheme="minorBidi" w:cstheme="majorBidi"/>
      <w:b/>
      <w:iCs/>
      <w:color w:val="000000" w:themeColor="text1"/>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DC476E"/>
    <w:rPr>
      <w:bCs/>
      <w:iCs/>
      <w:color w:val="000000" w:themeColor="text1"/>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DC476E"/>
    <w:pPr>
      <w:ind w:left="240"/>
    </w:pPr>
    <w:rPr>
      <w:bCs/>
      <w:color w:val="000000" w:themeColor="text1"/>
      <w:szCs w:val="22"/>
    </w:rPr>
  </w:style>
  <w:style w:type="paragraph" w:styleId="TOC3">
    <w:name w:val="toc 3"/>
    <w:basedOn w:val="Normal"/>
    <w:next w:val="Normal"/>
    <w:autoRedefine/>
    <w:uiPriority w:val="39"/>
    <w:unhideWhenUsed/>
    <w:rsid w:val="00DC476E"/>
    <w:pPr>
      <w:ind w:left="480"/>
    </w:pPr>
    <w:rPr>
      <w:color w:val="000000" w:themeColor="text1"/>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8B1F79"/>
    <w:pPr>
      <w:tabs>
        <w:tab w:val="center" w:pos="4680"/>
        <w:tab w:val="right" w:pos="9360"/>
      </w:tabs>
      <w:spacing w:line="240" w:lineRule="auto"/>
    </w:pPr>
  </w:style>
  <w:style w:type="character" w:customStyle="1" w:styleId="HeaderChar">
    <w:name w:val="Header Char"/>
    <w:basedOn w:val="DefaultParagraphFont"/>
    <w:link w:val="Header"/>
    <w:uiPriority w:val="99"/>
    <w:rsid w:val="008B1F79"/>
  </w:style>
  <w:style w:type="paragraph" w:styleId="Footer">
    <w:name w:val="footer"/>
    <w:basedOn w:val="Normal"/>
    <w:link w:val="FooterChar"/>
    <w:uiPriority w:val="99"/>
    <w:unhideWhenUsed/>
    <w:rsid w:val="008B1F79"/>
    <w:pPr>
      <w:tabs>
        <w:tab w:val="center" w:pos="4680"/>
        <w:tab w:val="right" w:pos="9360"/>
      </w:tabs>
      <w:spacing w:line="240" w:lineRule="auto"/>
    </w:pPr>
  </w:style>
  <w:style w:type="character" w:customStyle="1" w:styleId="FooterChar">
    <w:name w:val="Footer Char"/>
    <w:basedOn w:val="DefaultParagraphFont"/>
    <w:link w:val="Footer"/>
    <w:uiPriority w:val="99"/>
    <w:rsid w:val="008B1F79"/>
  </w:style>
  <w:style w:type="paragraph" w:styleId="Caption">
    <w:name w:val="caption"/>
    <w:basedOn w:val="Normal"/>
    <w:next w:val="Normal"/>
    <w:uiPriority w:val="35"/>
    <w:unhideWhenUsed/>
    <w:qFormat/>
    <w:rsid w:val="008B3DF6"/>
    <w:pPr>
      <w:spacing w:before="0" w:after="0" w:line="240" w:lineRule="auto"/>
    </w:pPr>
    <w:rPr>
      <w:i/>
      <w:iCs/>
      <w:color w:val="0E2841" w:themeColor="text2"/>
      <w:sz w:val="18"/>
      <w:szCs w:val="18"/>
    </w:rPr>
  </w:style>
  <w:style w:type="paragraph" w:styleId="NoSpacing">
    <w:name w:val="No Spacing"/>
    <w:uiPriority w:val="1"/>
    <w:qFormat/>
    <w:rsid w:val="00EC0ACD"/>
    <w:pPr>
      <w:jc w:val="both"/>
    </w:pPr>
    <w:rPr>
      <w:rFonts w:asciiTheme="minorBidi" w:hAnsiTheme="minorBidi"/>
    </w:rPr>
  </w:style>
  <w:style w:type="character" w:styleId="UnresolvedMention">
    <w:name w:val="Unresolved Mention"/>
    <w:basedOn w:val="DefaultParagraphFont"/>
    <w:uiPriority w:val="99"/>
    <w:semiHidden/>
    <w:unhideWhenUsed/>
    <w:rsid w:val="008A2060"/>
    <w:rPr>
      <w:color w:val="605E5C"/>
      <w:shd w:val="clear" w:color="auto" w:fill="E1DFDD"/>
    </w:rPr>
  </w:style>
  <w:style w:type="table" w:styleId="TableGrid">
    <w:name w:val="Table Grid"/>
    <w:basedOn w:val="TableNormal"/>
    <w:uiPriority w:val="39"/>
    <w:rsid w:val="00C62B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95A35"/>
    <w:rPr>
      <w:rFonts w:ascii="Times New Roman" w:hAnsi="Times New Roman" w:cs="Times New Roman"/>
    </w:rPr>
  </w:style>
  <w:style w:type="character" w:styleId="FollowedHyperlink">
    <w:name w:val="FollowedHyperlink"/>
    <w:basedOn w:val="DefaultParagraphFont"/>
    <w:uiPriority w:val="99"/>
    <w:semiHidden/>
    <w:unhideWhenUsed/>
    <w:rsid w:val="00106D95"/>
    <w:rPr>
      <w:color w:val="96607D" w:themeColor="followedHyperlink"/>
      <w:u w:val="single"/>
    </w:rPr>
  </w:style>
  <w:style w:type="character" w:styleId="Strong">
    <w:name w:val="Strong"/>
    <w:basedOn w:val="DefaultParagraphFont"/>
    <w:uiPriority w:val="22"/>
    <w:qFormat/>
    <w:rsid w:val="00577C1B"/>
    <w:rPr>
      <w:b/>
      <w:bCs/>
    </w:rPr>
  </w:style>
  <w:style w:type="character" w:styleId="CommentReference">
    <w:name w:val="annotation reference"/>
    <w:basedOn w:val="DefaultParagraphFont"/>
    <w:uiPriority w:val="99"/>
    <w:semiHidden/>
    <w:unhideWhenUsed/>
    <w:rsid w:val="00112089"/>
    <w:rPr>
      <w:sz w:val="16"/>
      <w:szCs w:val="16"/>
    </w:rPr>
  </w:style>
  <w:style w:type="paragraph" w:styleId="CommentText">
    <w:name w:val="annotation text"/>
    <w:basedOn w:val="Normal"/>
    <w:link w:val="CommentTextChar"/>
    <w:uiPriority w:val="99"/>
    <w:unhideWhenUsed/>
    <w:rsid w:val="00112089"/>
    <w:pPr>
      <w:spacing w:line="240" w:lineRule="auto"/>
    </w:pPr>
    <w:rPr>
      <w:sz w:val="20"/>
      <w:szCs w:val="20"/>
    </w:rPr>
  </w:style>
  <w:style w:type="character" w:customStyle="1" w:styleId="CommentTextChar">
    <w:name w:val="Comment Text Char"/>
    <w:basedOn w:val="DefaultParagraphFont"/>
    <w:link w:val="CommentText"/>
    <w:uiPriority w:val="99"/>
    <w:rsid w:val="00112089"/>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112089"/>
    <w:rPr>
      <w:b/>
      <w:bCs/>
    </w:rPr>
  </w:style>
  <w:style w:type="character" w:customStyle="1" w:styleId="CommentSubjectChar">
    <w:name w:val="Comment Subject Char"/>
    <w:basedOn w:val="CommentTextChar"/>
    <w:link w:val="CommentSubject"/>
    <w:uiPriority w:val="99"/>
    <w:semiHidden/>
    <w:rsid w:val="00112089"/>
    <w:rPr>
      <w:rFonts w:asciiTheme="minorBidi" w:hAnsi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69639">
      <w:bodyDiv w:val="1"/>
      <w:marLeft w:val="0"/>
      <w:marRight w:val="0"/>
      <w:marTop w:val="0"/>
      <w:marBottom w:val="0"/>
      <w:divBdr>
        <w:top w:val="none" w:sz="0" w:space="0" w:color="auto"/>
        <w:left w:val="none" w:sz="0" w:space="0" w:color="auto"/>
        <w:bottom w:val="none" w:sz="0" w:space="0" w:color="auto"/>
        <w:right w:val="none" w:sz="0" w:space="0" w:color="auto"/>
      </w:divBdr>
    </w:div>
    <w:div w:id="289745369">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69661682">
      <w:bodyDiv w:val="1"/>
      <w:marLeft w:val="0"/>
      <w:marRight w:val="0"/>
      <w:marTop w:val="0"/>
      <w:marBottom w:val="0"/>
      <w:divBdr>
        <w:top w:val="none" w:sz="0" w:space="0" w:color="auto"/>
        <w:left w:val="none" w:sz="0" w:space="0" w:color="auto"/>
        <w:bottom w:val="none" w:sz="0" w:space="0" w:color="auto"/>
        <w:right w:val="none" w:sz="0" w:space="0" w:color="auto"/>
      </w:divBdr>
      <w:divsChild>
        <w:div w:id="1842818596">
          <w:marLeft w:val="0"/>
          <w:marRight w:val="0"/>
          <w:marTop w:val="0"/>
          <w:marBottom w:val="0"/>
          <w:divBdr>
            <w:top w:val="none" w:sz="0" w:space="0" w:color="auto"/>
            <w:left w:val="none" w:sz="0" w:space="0" w:color="auto"/>
            <w:bottom w:val="none" w:sz="0" w:space="0" w:color="auto"/>
            <w:right w:val="none" w:sz="0" w:space="0" w:color="auto"/>
          </w:divBdr>
          <w:divsChild>
            <w:div w:id="1483498853">
              <w:marLeft w:val="0"/>
              <w:marRight w:val="0"/>
              <w:marTop w:val="0"/>
              <w:marBottom w:val="0"/>
              <w:divBdr>
                <w:top w:val="none" w:sz="0" w:space="0" w:color="auto"/>
                <w:left w:val="none" w:sz="0" w:space="0" w:color="auto"/>
                <w:bottom w:val="none" w:sz="0" w:space="0" w:color="auto"/>
                <w:right w:val="none" w:sz="0" w:space="0" w:color="auto"/>
              </w:divBdr>
              <w:divsChild>
                <w:div w:id="23408869">
                  <w:marLeft w:val="0"/>
                  <w:marRight w:val="0"/>
                  <w:marTop w:val="0"/>
                  <w:marBottom w:val="0"/>
                  <w:divBdr>
                    <w:top w:val="none" w:sz="0" w:space="0" w:color="auto"/>
                    <w:left w:val="none" w:sz="0" w:space="0" w:color="auto"/>
                    <w:bottom w:val="none" w:sz="0" w:space="0" w:color="auto"/>
                    <w:right w:val="none" w:sz="0" w:space="0" w:color="auto"/>
                  </w:divBdr>
                  <w:divsChild>
                    <w:div w:id="1511678037">
                      <w:marLeft w:val="0"/>
                      <w:marRight w:val="0"/>
                      <w:marTop w:val="0"/>
                      <w:marBottom w:val="0"/>
                      <w:divBdr>
                        <w:top w:val="none" w:sz="0" w:space="0" w:color="auto"/>
                        <w:left w:val="none" w:sz="0" w:space="0" w:color="auto"/>
                        <w:bottom w:val="none" w:sz="0" w:space="0" w:color="auto"/>
                        <w:right w:val="none" w:sz="0" w:space="0" w:color="auto"/>
                      </w:divBdr>
                      <w:divsChild>
                        <w:div w:id="1688873629">
                          <w:marLeft w:val="0"/>
                          <w:marRight w:val="0"/>
                          <w:marTop w:val="0"/>
                          <w:marBottom w:val="0"/>
                          <w:divBdr>
                            <w:top w:val="none" w:sz="0" w:space="0" w:color="auto"/>
                            <w:left w:val="none" w:sz="0" w:space="0" w:color="auto"/>
                            <w:bottom w:val="none" w:sz="0" w:space="0" w:color="auto"/>
                            <w:right w:val="none" w:sz="0" w:space="0" w:color="auto"/>
                          </w:divBdr>
                          <w:divsChild>
                            <w:div w:id="995304576">
                              <w:marLeft w:val="0"/>
                              <w:marRight w:val="0"/>
                              <w:marTop w:val="0"/>
                              <w:marBottom w:val="0"/>
                              <w:divBdr>
                                <w:top w:val="none" w:sz="0" w:space="0" w:color="auto"/>
                                <w:left w:val="none" w:sz="0" w:space="0" w:color="auto"/>
                                <w:bottom w:val="none" w:sz="0" w:space="0" w:color="auto"/>
                                <w:right w:val="none" w:sz="0" w:space="0" w:color="auto"/>
                              </w:divBdr>
                              <w:divsChild>
                                <w:div w:id="1676181217">
                                  <w:marLeft w:val="0"/>
                                  <w:marRight w:val="0"/>
                                  <w:marTop w:val="0"/>
                                  <w:marBottom w:val="0"/>
                                  <w:divBdr>
                                    <w:top w:val="none" w:sz="0" w:space="0" w:color="auto"/>
                                    <w:left w:val="none" w:sz="0" w:space="0" w:color="auto"/>
                                    <w:bottom w:val="none" w:sz="0" w:space="0" w:color="auto"/>
                                    <w:right w:val="none" w:sz="0" w:space="0" w:color="auto"/>
                                  </w:divBdr>
                                  <w:divsChild>
                                    <w:div w:id="144947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501495">
                      <w:marLeft w:val="0"/>
                      <w:marRight w:val="0"/>
                      <w:marTop w:val="0"/>
                      <w:marBottom w:val="0"/>
                      <w:divBdr>
                        <w:top w:val="none" w:sz="0" w:space="0" w:color="auto"/>
                        <w:left w:val="none" w:sz="0" w:space="0" w:color="auto"/>
                        <w:bottom w:val="none" w:sz="0" w:space="0" w:color="auto"/>
                        <w:right w:val="none" w:sz="0" w:space="0" w:color="auto"/>
                      </w:divBdr>
                      <w:divsChild>
                        <w:div w:id="9831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565556">
      <w:bodyDiv w:val="1"/>
      <w:marLeft w:val="0"/>
      <w:marRight w:val="0"/>
      <w:marTop w:val="0"/>
      <w:marBottom w:val="0"/>
      <w:divBdr>
        <w:top w:val="none" w:sz="0" w:space="0" w:color="auto"/>
        <w:left w:val="none" w:sz="0" w:space="0" w:color="auto"/>
        <w:bottom w:val="none" w:sz="0" w:space="0" w:color="auto"/>
        <w:right w:val="none" w:sz="0" w:space="0" w:color="auto"/>
      </w:divBdr>
    </w:div>
    <w:div w:id="668678418">
      <w:bodyDiv w:val="1"/>
      <w:marLeft w:val="0"/>
      <w:marRight w:val="0"/>
      <w:marTop w:val="0"/>
      <w:marBottom w:val="0"/>
      <w:divBdr>
        <w:top w:val="none" w:sz="0" w:space="0" w:color="auto"/>
        <w:left w:val="none" w:sz="0" w:space="0" w:color="auto"/>
        <w:bottom w:val="none" w:sz="0" w:space="0" w:color="auto"/>
        <w:right w:val="none" w:sz="0" w:space="0" w:color="auto"/>
      </w:divBdr>
    </w:div>
    <w:div w:id="721905615">
      <w:bodyDiv w:val="1"/>
      <w:marLeft w:val="0"/>
      <w:marRight w:val="0"/>
      <w:marTop w:val="0"/>
      <w:marBottom w:val="0"/>
      <w:divBdr>
        <w:top w:val="none" w:sz="0" w:space="0" w:color="auto"/>
        <w:left w:val="none" w:sz="0" w:space="0" w:color="auto"/>
        <w:bottom w:val="none" w:sz="0" w:space="0" w:color="auto"/>
        <w:right w:val="none" w:sz="0" w:space="0" w:color="auto"/>
      </w:divBdr>
      <w:divsChild>
        <w:div w:id="1190295981">
          <w:marLeft w:val="0"/>
          <w:marRight w:val="0"/>
          <w:marTop w:val="0"/>
          <w:marBottom w:val="0"/>
          <w:divBdr>
            <w:top w:val="none" w:sz="0" w:space="0" w:color="auto"/>
            <w:left w:val="none" w:sz="0" w:space="0" w:color="auto"/>
            <w:bottom w:val="none" w:sz="0" w:space="0" w:color="auto"/>
            <w:right w:val="none" w:sz="0" w:space="0" w:color="auto"/>
          </w:divBdr>
        </w:div>
        <w:div w:id="731587821">
          <w:marLeft w:val="0"/>
          <w:marRight w:val="0"/>
          <w:marTop w:val="0"/>
          <w:marBottom w:val="0"/>
          <w:divBdr>
            <w:top w:val="none" w:sz="0" w:space="0" w:color="auto"/>
            <w:left w:val="none" w:sz="0" w:space="0" w:color="auto"/>
            <w:bottom w:val="none" w:sz="0" w:space="0" w:color="auto"/>
            <w:right w:val="none" w:sz="0" w:space="0" w:color="auto"/>
          </w:divBdr>
          <w:divsChild>
            <w:div w:id="374545338">
              <w:marLeft w:val="0"/>
              <w:marRight w:val="0"/>
              <w:marTop w:val="0"/>
              <w:marBottom w:val="0"/>
              <w:divBdr>
                <w:top w:val="none" w:sz="0" w:space="0" w:color="auto"/>
                <w:left w:val="none" w:sz="0" w:space="0" w:color="auto"/>
                <w:bottom w:val="none" w:sz="0" w:space="0" w:color="auto"/>
                <w:right w:val="none" w:sz="0" w:space="0" w:color="auto"/>
              </w:divBdr>
              <w:divsChild>
                <w:div w:id="19137130">
                  <w:marLeft w:val="0"/>
                  <w:marRight w:val="0"/>
                  <w:marTop w:val="0"/>
                  <w:marBottom w:val="0"/>
                  <w:divBdr>
                    <w:top w:val="none" w:sz="0" w:space="0" w:color="auto"/>
                    <w:left w:val="none" w:sz="0" w:space="0" w:color="auto"/>
                    <w:bottom w:val="none" w:sz="0" w:space="0" w:color="auto"/>
                    <w:right w:val="none" w:sz="0" w:space="0" w:color="auto"/>
                  </w:divBdr>
                  <w:divsChild>
                    <w:div w:id="26253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257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242181261">
      <w:bodyDiv w:val="1"/>
      <w:marLeft w:val="0"/>
      <w:marRight w:val="0"/>
      <w:marTop w:val="0"/>
      <w:marBottom w:val="0"/>
      <w:divBdr>
        <w:top w:val="none" w:sz="0" w:space="0" w:color="auto"/>
        <w:left w:val="none" w:sz="0" w:space="0" w:color="auto"/>
        <w:bottom w:val="none" w:sz="0" w:space="0" w:color="auto"/>
        <w:right w:val="none" w:sz="0" w:space="0" w:color="auto"/>
      </w:divBdr>
      <w:divsChild>
        <w:div w:id="857237933">
          <w:marLeft w:val="0"/>
          <w:marRight w:val="0"/>
          <w:marTop w:val="0"/>
          <w:marBottom w:val="0"/>
          <w:divBdr>
            <w:top w:val="none" w:sz="0" w:space="0" w:color="auto"/>
            <w:left w:val="none" w:sz="0" w:space="0" w:color="auto"/>
            <w:bottom w:val="none" w:sz="0" w:space="0" w:color="auto"/>
            <w:right w:val="none" w:sz="0" w:space="0" w:color="auto"/>
          </w:divBdr>
          <w:divsChild>
            <w:div w:id="1960211562">
              <w:marLeft w:val="0"/>
              <w:marRight w:val="0"/>
              <w:marTop w:val="0"/>
              <w:marBottom w:val="0"/>
              <w:divBdr>
                <w:top w:val="none" w:sz="0" w:space="0" w:color="auto"/>
                <w:left w:val="none" w:sz="0" w:space="0" w:color="auto"/>
                <w:bottom w:val="none" w:sz="0" w:space="0" w:color="auto"/>
                <w:right w:val="none" w:sz="0" w:space="0" w:color="auto"/>
              </w:divBdr>
              <w:divsChild>
                <w:div w:id="893929420">
                  <w:marLeft w:val="0"/>
                  <w:marRight w:val="0"/>
                  <w:marTop w:val="0"/>
                  <w:marBottom w:val="0"/>
                  <w:divBdr>
                    <w:top w:val="none" w:sz="0" w:space="0" w:color="auto"/>
                    <w:left w:val="none" w:sz="0" w:space="0" w:color="auto"/>
                    <w:bottom w:val="none" w:sz="0" w:space="0" w:color="auto"/>
                    <w:right w:val="none" w:sz="0" w:space="0" w:color="auto"/>
                  </w:divBdr>
                  <w:divsChild>
                    <w:div w:id="1345277576">
                      <w:marLeft w:val="0"/>
                      <w:marRight w:val="0"/>
                      <w:marTop w:val="0"/>
                      <w:marBottom w:val="0"/>
                      <w:divBdr>
                        <w:top w:val="none" w:sz="0" w:space="0" w:color="auto"/>
                        <w:left w:val="none" w:sz="0" w:space="0" w:color="auto"/>
                        <w:bottom w:val="none" w:sz="0" w:space="0" w:color="auto"/>
                        <w:right w:val="none" w:sz="0" w:space="0" w:color="auto"/>
                      </w:divBdr>
                      <w:divsChild>
                        <w:div w:id="249193287">
                          <w:marLeft w:val="0"/>
                          <w:marRight w:val="0"/>
                          <w:marTop w:val="0"/>
                          <w:marBottom w:val="0"/>
                          <w:divBdr>
                            <w:top w:val="none" w:sz="0" w:space="0" w:color="auto"/>
                            <w:left w:val="none" w:sz="0" w:space="0" w:color="auto"/>
                            <w:bottom w:val="none" w:sz="0" w:space="0" w:color="auto"/>
                            <w:right w:val="none" w:sz="0" w:space="0" w:color="auto"/>
                          </w:divBdr>
                          <w:divsChild>
                            <w:div w:id="579022318">
                              <w:marLeft w:val="0"/>
                              <w:marRight w:val="0"/>
                              <w:marTop w:val="0"/>
                              <w:marBottom w:val="0"/>
                              <w:divBdr>
                                <w:top w:val="none" w:sz="0" w:space="0" w:color="auto"/>
                                <w:left w:val="none" w:sz="0" w:space="0" w:color="auto"/>
                                <w:bottom w:val="none" w:sz="0" w:space="0" w:color="auto"/>
                                <w:right w:val="none" w:sz="0" w:space="0" w:color="auto"/>
                              </w:divBdr>
                              <w:divsChild>
                                <w:div w:id="1121415006">
                                  <w:marLeft w:val="0"/>
                                  <w:marRight w:val="0"/>
                                  <w:marTop w:val="0"/>
                                  <w:marBottom w:val="0"/>
                                  <w:divBdr>
                                    <w:top w:val="none" w:sz="0" w:space="0" w:color="auto"/>
                                    <w:left w:val="none" w:sz="0" w:space="0" w:color="auto"/>
                                    <w:bottom w:val="none" w:sz="0" w:space="0" w:color="auto"/>
                                    <w:right w:val="none" w:sz="0" w:space="0" w:color="auto"/>
                                  </w:divBdr>
                                  <w:divsChild>
                                    <w:div w:id="197036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801536">
                      <w:marLeft w:val="0"/>
                      <w:marRight w:val="0"/>
                      <w:marTop w:val="0"/>
                      <w:marBottom w:val="0"/>
                      <w:divBdr>
                        <w:top w:val="none" w:sz="0" w:space="0" w:color="auto"/>
                        <w:left w:val="none" w:sz="0" w:space="0" w:color="auto"/>
                        <w:bottom w:val="none" w:sz="0" w:space="0" w:color="auto"/>
                        <w:right w:val="none" w:sz="0" w:space="0" w:color="auto"/>
                      </w:divBdr>
                      <w:divsChild>
                        <w:div w:id="12246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59089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26881832">
      <w:bodyDiv w:val="1"/>
      <w:marLeft w:val="0"/>
      <w:marRight w:val="0"/>
      <w:marTop w:val="0"/>
      <w:marBottom w:val="0"/>
      <w:divBdr>
        <w:top w:val="none" w:sz="0" w:space="0" w:color="auto"/>
        <w:left w:val="none" w:sz="0" w:space="0" w:color="auto"/>
        <w:bottom w:val="none" w:sz="0" w:space="0" w:color="auto"/>
        <w:right w:val="none" w:sz="0" w:space="0" w:color="auto"/>
      </w:divBdr>
      <w:divsChild>
        <w:div w:id="1832601717">
          <w:marLeft w:val="0"/>
          <w:marRight w:val="0"/>
          <w:marTop w:val="0"/>
          <w:marBottom w:val="0"/>
          <w:divBdr>
            <w:top w:val="none" w:sz="0" w:space="0" w:color="auto"/>
            <w:left w:val="none" w:sz="0" w:space="0" w:color="auto"/>
            <w:bottom w:val="none" w:sz="0" w:space="0" w:color="auto"/>
            <w:right w:val="none" w:sz="0" w:space="0" w:color="auto"/>
          </w:divBdr>
          <w:divsChild>
            <w:div w:id="1356881165">
              <w:marLeft w:val="0"/>
              <w:marRight w:val="0"/>
              <w:marTop w:val="0"/>
              <w:marBottom w:val="0"/>
              <w:divBdr>
                <w:top w:val="none" w:sz="0" w:space="0" w:color="auto"/>
                <w:left w:val="none" w:sz="0" w:space="0" w:color="auto"/>
                <w:bottom w:val="none" w:sz="0" w:space="0" w:color="auto"/>
                <w:right w:val="none" w:sz="0" w:space="0" w:color="auto"/>
              </w:divBdr>
              <w:divsChild>
                <w:div w:id="1580168759">
                  <w:marLeft w:val="0"/>
                  <w:marRight w:val="0"/>
                  <w:marTop w:val="0"/>
                  <w:marBottom w:val="0"/>
                  <w:divBdr>
                    <w:top w:val="none" w:sz="0" w:space="0" w:color="auto"/>
                    <w:left w:val="none" w:sz="0" w:space="0" w:color="auto"/>
                    <w:bottom w:val="none" w:sz="0" w:space="0" w:color="auto"/>
                    <w:right w:val="none" w:sz="0" w:space="0" w:color="auto"/>
                  </w:divBdr>
                  <w:divsChild>
                    <w:div w:id="2030448358">
                      <w:marLeft w:val="0"/>
                      <w:marRight w:val="0"/>
                      <w:marTop w:val="0"/>
                      <w:marBottom w:val="0"/>
                      <w:divBdr>
                        <w:top w:val="none" w:sz="0" w:space="0" w:color="auto"/>
                        <w:left w:val="none" w:sz="0" w:space="0" w:color="auto"/>
                        <w:bottom w:val="none" w:sz="0" w:space="0" w:color="auto"/>
                        <w:right w:val="none" w:sz="0" w:space="0" w:color="auto"/>
                      </w:divBdr>
                      <w:divsChild>
                        <w:div w:id="1604721499">
                          <w:marLeft w:val="0"/>
                          <w:marRight w:val="0"/>
                          <w:marTop w:val="0"/>
                          <w:marBottom w:val="0"/>
                          <w:divBdr>
                            <w:top w:val="none" w:sz="0" w:space="0" w:color="auto"/>
                            <w:left w:val="none" w:sz="0" w:space="0" w:color="auto"/>
                            <w:bottom w:val="none" w:sz="0" w:space="0" w:color="auto"/>
                            <w:right w:val="none" w:sz="0" w:space="0" w:color="auto"/>
                          </w:divBdr>
                          <w:divsChild>
                            <w:div w:id="282270414">
                              <w:marLeft w:val="0"/>
                              <w:marRight w:val="0"/>
                              <w:marTop w:val="0"/>
                              <w:marBottom w:val="0"/>
                              <w:divBdr>
                                <w:top w:val="none" w:sz="0" w:space="0" w:color="auto"/>
                                <w:left w:val="none" w:sz="0" w:space="0" w:color="auto"/>
                                <w:bottom w:val="none" w:sz="0" w:space="0" w:color="auto"/>
                                <w:right w:val="none" w:sz="0" w:space="0" w:color="auto"/>
                              </w:divBdr>
                              <w:divsChild>
                                <w:div w:id="1997372685">
                                  <w:marLeft w:val="0"/>
                                  <w:marRight w:val="0"/>
                                  <w:marTop w:val="0"/>
                                  <w:marBottom w:val="0"/>
                                  <w:divBdr>
                                    <w:top w:val="none" w:sz="0" w:space="0" w:color="auto"/>
                                    <w:left w:val="none" w:sz="0" w:space="0" w:color="auto"/>
                                    <w:bottom w:val="none" w:sz="0" w:space="0" w:color="auto"/>
                                    <w:right w:val="none" w:sz="0" w:space="0" w:color="auto"/>
                                  </w:divBdr>
                                  <w:divsChild>
                                    <w:div w:id="13033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747279">
                      <w:marLeft w:val="0"/>
                      <w:marRight w:val="0"/>
                      <w:marTop w:val="0"/>
                      <w:marBottom w:val="0"/>
                      <w:divBdr>
                        <w:top w:val="none" w:sz="0" w:space="0" w:color="auto"/>
                        <w:left w:val="none" w:sz="0" w:space="0" w:color="auto"/>
                        <w:bottom w:val="none" w:sz="0" w:space="0" w:color="auto"/>
                        <w:right w:val="none" w:sz="0" w:space="0" w:color="auto"/>
                      </w:divBdr>
                      <w:divsChild>
                        <w:div w:id="90036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370921">
      <w:bodyDiv w:val="1"/>
      <w:marLeft w:val="0"/>
      <w:marRight w:val="0"/>
      <w:marTop w:val="0"/>
      <w:marBottom w:val="0"/>
      <w:divBdr>
        <w:top w:val="none" w:sz="0" w:space="0" w:color="auto"/>
        <w:left w:val="none" w:sz="0" w:space="0" w:color="auto"/>
        <w:bottom w:val="none" w:sz="0" w:space="0" w:color="auto"/>
        <w:right w:val="none" w:sz="0" w:space="0" w:color="auto"/>
      </w:divBdr>
    </w:div>
    <w:div w:id="1755318731">
      <w:bodyDiv w:val="1"/>
      <w:marLeft w:val="0"/>
      <w:marRight w:val="0"/>
      <w:marTop w:val="0"/>
      <w:marBottom w:val="0"/>
      <w:divBdr>
        <w:top w:val="none" w:sz="0" w:space="0" w:color="auto"/>
        <w:left w:val="none" w:sz="0" w:space="0" w:color="auto"/>
        <w:bottom w:val="none" w:sz="0" w:space="0" w:color="auto"/>
        <w:right w:val="none" w:sz="0" w:space="0" w:color="auto"/>
      </w:divBdr>
      <w:divsChild>
        <w:div w:id="1899592415">
          <w:marLeft w:val="0"/>
          <w:marRight w:val="0"/>
          <w:marTop w:val="0"/>
          <w:marBottom w:val="0"/>
          <w:divBdr>
            <w:top w:val="none" w:sz="0" w:space="0" w:color="auto"/>
            <w:left w:val="none" w:sz="0" w:space="0" w:color="auto"/>
            <w:bottom w:val="none" w:sz="0" w:space="0" w:color="auto"/>
            <w:right w:val="none" w:sz="0" w:space="0" w:color="auto"/>
          </w:divBdr>
        </w:div>
        <w:div w:id="236132183">
          <w:marLeft w:val="0"/>
          <w:marRight w:val="0"/>
          <w:marTop w:val="0"/>
          <w:marBottom w:val="0"/>
          <w:divBdr>
            <w:top w:val="none" w:sz="0" w:space="0" w:color="auto"/>
            <w:left w:val="none" w:sz="0" w:space="0" w:color="auto"/>
            <w:bottom w:val="none" w:sz="0" w:space="0" w:color="auto"/>
            <w:right w:val="none" w:sz="0" w:space="0" w:color="auto"/>
          </w:divBdr>
          <w:divsChild>
            <w:div w:id="1629360706">
              <w:marLeft w:val="0"/>
              <w:marRight w:val="0"/>
              <w:marTop w:val="0"/>
              <w:marBottom w:val="0"/>
              <w:divBdr>
                <w:top w:val="none" w:sz="0" w:space="0" w:color="auto"/>
                <w:left w:val="none" w:sz="0" w:space="0" w:color="auto"/>
                <w:bottom w:val="none" w:sz="0" w:space="0" w:color="auto"/>
                <w:right w:val="none" w:sz="0" w:space="0" w:color="auto"/>
              </w:divBdr>
              <w:divsChild>
                <w:div w:id="415788669">
                  <w:marLeft w:val="0"/>
                  <w:marRight w:val="0"/>
                  <w:marTop w:val="0"/>
                  <w:marBottom w:val="0"/>
                  <w:divBdr>
                    <w:top w:val="none" w:sz="0" w:space="0" w:color="auto"/>
                    <w:left w:val="none" w:sz="0" w:space="0" w:color="auto"/>
                    <w:bottom w:val="none" w:sz="0" w:space="0" w:color="auto"/>
                    <w:right w:val="none" w:sz="0" w:space="0" w:color="auto"/>
                  </w:divBdr>
                  <w:divsChild>
                    <w:div w:id="19194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967862">
      <w:bodyDiv w:val="1"/>
      <w:marLeft w:val="0"/>
      <w:marRight w:val="0"/>
      <w:marTop w:val="0"/>
      <w:marBottom w:val="0"/>
      <w:divBdr>
        <w:top w:val="none" w:sz="0" w:space="0" w:color="auto"/>
        <w:left w:val="none" w:sz="0" w:space="0" w:color="auto"/>
        <w:bottom w:val="none" w:sz="0" w:space="0" w:color="auto"/>
        <w:right w:val="none" w:sz="0" w:space="0" w:color="auto"/>
      </w:divBdr>
      <w:divsChild>
        <w:div w:id="472600024">
          <w:marLeft w:val="0"/>
          <w:marRight w:val="0"/>
          <w:marTop w:val="0"/>
          <w:marBottom w:val="0"/>
          <w:divBdr>
            <w:top w:val="none" w:sz="0" w:space="0" w:color="auto"/>
            <w:left w:val="none" w:sz="0" w:space="0" w:color="auto"/>
            <w:bottom w:val="none" w:sz="0" w:space="0" w:color="auto"/>
            <w:right w:val="none" w:sz="0" w:space="0" w:color="auto"/>
          </w:divBdr>
          <w:divsChild>
            <w:div w:id="501510409">
              <w:marLeft w:val="0"/>
              <w:marRight w:val="0"/>
              <w:marTop w:val="0"/>
              <w:marBottom w:val="0"/>
              <w:divBdr>
                <w:top w:val="none" w:sz="0" w:space="0" w:color="auto"/>
                <w:left w:val="none" w:sz="0" w:space="0" w:color="auto"/>
                <w:bottom w:val="none" w:sz="0" w:space="0" w:color="auto"/>
                <w:right w:val="none" w:sz="0" w:space="0" w:color="auto"/>
              </w:divBdr>
              <w:divsChild>
                <w:div w:id="1744378262">
                  <w:marLeft w:val="0"/>
                  <w:marRight w:val="0"/>
                  <w:marTop w:val="0"/>
                  <w:marBottom w:val="0"/>
                  <w:divBdr>
                    <w:top w:val="none" w:sz="0" w:space="0" w:color="auto"/>
                    <w:left w:val="none" w:sz="0" w:space="0" w:color="auto"/>
                    <w:bottom w:val="none" w:sz="0" w:space="0" w:color="auto"/>
                    <w:right w:val="none" w:sz="0" w:space="0" w:color="auto"/>
                  </w:divBdr>
                  <w:divsChild>
                    <w:div w:id="1851673524">
                      <w:marLeft w:val="0"/>
                      <w:marRight w:val="0"/>
                      <w:marTop w:val="0"/>
                      <w:marBottom w:val="0"/>
                      <w:divBdr>
                        <w:top w:val="none" w:sz="0" w:space="0" w:color="auto"/>
                        <w:left w:val="none" w:sz="0" w:space="0" w:color="auto"/>
                        <w:bottom w:val="none" w:sz="0" w:space="0" w:color="auto"/>
                        <w:right w:val="none" w:sz="0" w:space="0" w:color="auto"/>
                      </w:divBdr>
                      <w:divsChild>
                        <w:div w:id="567113903">
                          <w:marLeft w:val="0"/>
                          <w:marRight w:val="0"/>
                          <w:marTop w:val="0"/>
                          <w:marBottom w:val="0"/>
                          <w:divBdr>
                            <w:top w:val="none" w:sz="0" w:space="0" w:color="auto"/>
                            <w:left w:val="none" w:sz="0" w:space="0" w:color="auto"/>
                            <w:bottom w:val="none" w:sz="0" w:space="0" w:color="auto"/>
                            <w:right w:val="none" w:sz="0" w:space="0" w:color="auto"/>
                          </w:divBdr>
                          <w:divsChild>
                            <w:div w:id="1421099994">
                              <w:marLeft w:val="0"/>
                              <w:marRight w:val="0"/>
                              <w:marTop w:val="0"/>
                              <w:marBottom w:val="0"/>
                              <w:divBdr>
                                <w:top w:val="none" w:sz="0" w:space="0" w:color="auto"/>
                                <w:left w:val="none" w:sz="0" w:space="0" w:color="auto"/>
                                <w:bottom w:val="none" w:sz="0" w:space="0" w:color="auto"/>
                                <w:right w:val="none" w:sz="0" w:space="0" w:color="auto"/>
                              </w:divBdr>
                              <w:divsChild>
                                <w:div w:id="2033142121">
                                  <w:marLeft w:val="0"/>
                                  <w:marRight w:val="0"/>
                                  <w:marTop w:val="0"/>
                                  <w:marBottom w:val="0"/>
                                  <w:divBdr>
                                    <w:top w:val="none" w:sz="0" w:space="0" w:color="auto"/>
                                    <w:left w:val="none" w:sz="0" w:space="0" w:color="auto"/>
                                    <w:bottom w:val="none" w:sz="0" w:space="0" w:color="auto"/>
                                    <w:right w:val="none" w:sz="0" w:space="0" w:color="auto"/>
                                  </w:divBdr>
                                  <w:divsChild>
                                    <w:div w:id="44075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943851">
                      <w:marLeft w:val="0"/>
                      <w:marRight w:val="0"/>
                      <w:marTop w:val="0"/>
                      <w:marBottom w:val="0"/>
                      <w:divBdr>
                        <w:top w:val="none" w:sz="0" w:space="0" w:color="auto"/>
                        <w:left w:val="none" w:sz="0" w:space="0" w:color="auto"/>
                        <w:bottom w:val="none" w:sz="0" w:space="0" w:color="auto"/>
                        <w:right w:val="none" w:sz="0" w:space="0" w:color="auto"/>
                      </w:divBdr>
                      <w:divsChild>
                        <w:div w:id="11919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eprints.umsida.ac.id/16403/1/AI-POWERED%20PREDICTIVE%20MARKETING%20SYSTEMS.pdf" TargetMode="External"/><Relationship Id="rId21" Type="http://schemas.openxmlformats.org/officeDocument/2006/relationships/hyperlink" Target="https://doi.org/10.1108/IJOEM-07-2019-0517" TargetMode="External"/><Relationship Id="rId42" Type="http://schemas.openxmlformats.org/officeDocument/2006/relationships/hyperlink" Target="https://doi.org/10.1108/EEMCS-12-2023-0491?urlappend=%3Futm_source%3Dresearchgate.net%26utm_medium%3Darticle" TargetMode="External"/><Relationship Id="rId47" Type="http://schemas.openxmlformats.org/officeDocument/2006/relationships/hyperlink" Target="https://www.mckinsey.com/~/media/mckinsey/industries/retail/our%20insights/state%20of%20fashion/2025/the-state-of-fashion-2025-v2.pdf" TargetMode="External"/><Relationship Id="rId63" Type="http://schemas.openxmlformats.org/officeDocument/2006/relationships/hyperlink" Target="https://www.stockgro.club/blogs/2025/05/page/7" TargetMode="External"/><Relationship Id="rId68" Type="http://schemas.openxmlformats.org/officeDocument/2006/relationships/hyperlink" Target="https://www.whitecase.com/insight-our-thinking/foreign-direct-investment-reviews-2025-india"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ft.com/content/78aee5b0-ecfb-11df-9912-00144feab49a" TargetMode="External"/><Relationship Id="rId37" Type="http://schemas.openxmlformats.org/officeDocument/2006/relationships/hyperlink" Target="https://www.researchgate.net/publication/387600383_Research_on_adapting_marketing_techniques_to_different_culture_economics_and_regulatory_environment_to_entering_new_international_market" TargetMode="External"/><Relationship Id="rId53" Type="http://schemas.openxmlformats.org/officeDocument/2006/relationships/hyperlink" Target="https://www.pewresearch.org/religion/2021/06/29/religion-and-food" TargetMode="External"/><Relationship Id="rId58" Type="http://schemas.openxmlformats.org/officeDocument/2006/relationships/hyperlink" Target="https://www.reuters.com/world/uk/britains-sainsburys-raises-full-year-profit-outlook-2025-11-06/" TargetMode="External"/><Relationship Id="rId74" Type="http://schemas.openxmlformats.org/officeDocument/2006/relationships/hyperlink" Target="https://expertprogrammanagement.com/2018/04/porter-diamond-model/?utm_source=chatgpt.com"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doi.org/10.1016/j.jretconser.2022.102801" TargetMode="External"/><Relationship Id="rId19" Type="http://schemas.openxmlformats.org/officeDocument/2006/relationships/hyperlink" Target="https://www.bakermckenzie.com/en/insight/publications/2024/08/india-policy-reforms-shape-inbound-ma-fdi" TargetMode="External"/><Relationship Id="rId14" Type="http://schemas.openxmlformats.org/officeDocument/2006/relationships/image" Target="media/image7.png"/><Relationship Id="rId22" Type="http://schemas.openxmlformats.org/officeDocument/2006/relationships/hyperlink" Target="https://practiceguides.chambers.com/practice-guides/doing-business-in-2025/india/trends-and-developments" TargetMode="External"/><Relationship Id="rId27" Type="http://schemas.openxmlformats.org/officeDocument/2006/relationships/hyperlink" Target="https://doi.org/10.1057/palgrave.jibs.8490593" TargetMode="External"/><Relationship Id="rId30" Type="http://schemas.openxmlformats.org/officeDocument/2006/relationships/hyperlink" Target="https://www.ey.com/content/dam/ey-unified-site/ey-com/en-in/pdf/2025/ey-a-studio-called-india-content-and-media-services-for-the-world.pdf" TargetMode="External"/><Relationship Id="rId35" Type="http://schemas.openxmlformats.org/officeDocument/2006/relationships/hyperlink" Target="https://doi.org/10.1108/EBR-09-2020-0231" TargetMode="External"/><Relationship Id="rId43" Type="http://schemas.openxmlformats.org/officeDocument/2006/relationships/hyperlink" Target="https://academicjournals.org/journal/JEIF/article-full-text-pdf/" TargetMode="External"/><Relationship Id="rId48" Type="http://schemas.openxmlformats.org/officeDocument/2006/relationships/hyperlink" Target="https://doi.org/10.1016/j.jretconser.2022.103052" TargetMode="External"/><Relationship Id="rId56" Type="http://schemas.openxmlformats.org/officeDocument/2006/relationships/hyperlink" Target="https://doi.org/10.5539/ijbm.v11n1p1" TargetMode="External"/><Relationship Id="rId64" Type="http://schemas.openxmlformats.org/officeDocument/2006/relationships/hyperlink" Target="https://www.technavio.com/report/grocery-market-in-india-industry-analysis" TargetMode="External"/><Relationship Id="rId69" Type="http://schemas.openxmlformats.org/officeDocument/2006/relationships/hyperlink" Target="https://www.jstor.org/stable/725341" TargetMode="External"/><Relationship Id="rId77" Type="http://schemas.openxmlformats.org/officeDocument/2006/relationships/hyperlink" Target="https://www.professionalacademy.com/blogs/marketingtheoriesbostonconsultinggroupmatrix" TargetMode="External"/><Relationship Id="rId8" Type="http://schemas.openxmlformats.org/officeDocument/2006/relationships/image" Target="media/image1.png"/><Relationship Id="rId51" Type="http://schemas.openxmlformats.org/officeDocument/2006/relationships/hyperlink" Target="https://www.precedenceresearch.com/online-grocery-market" TargetMode="External"/><Relationship Id="rId72" Type="http://schemas.openxmlformats.org/officeDocument/2006/relationships/hyperlink" Target="https://consulterce.com/pestle-analysis/?utm_source=chatgpt.com"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ataforindia.com/meat-consumption/?referrer=grok.com" TargetMode="External"/><Relationship Id="rId33" Type="http://schemas.openxmlformats.org/officeDocument/2006/relationships/hyperlink" Target="https://www.researchgate.net/publication/123456789" TargetMode="External"/><Relationship Id="rId38" Type="http://schemas.openxmlformats.org/officeDocument/2006/relationships/hyperlink" Target="https://www.imarcgroup.com/india-packaged-food-market" TargetMode="External"/><Relationship Id="rId46" Type="http://schemas.openxmlformats.org/officeDocument/2006/relationships/hyperlink" Target="https://www.mdpi.com/journal/sustainability" TargetMode="External"/><Relationship Id="rId59" Type="http://schemas.openxmlformats.org/officeDocument/2006/relationships/hyperlink" Target="https://salatainstitute.harvard.edu/india2047" TargetMode="External"/><Relationship Id="rId67" Type="http://schemas.openxmlformats.org/officeDocument/2006/relationships/hyperlink" Target="https://doi.org/10.1007/s42943-024-00089-2" TargetMode="External"/><Relationship Id="rId20" Type="http://schemas.openxmlformats.org/officeDocument/2006/relationships/hyperlink" Target="https://doi.org/10.1177/10422587241280125" TargetMode="External"/><Relationship Id="rId41" Type="http://schemas.openxmlformats.org/officeDocument/2006/relationships/hyperlink" Target="https://corporate.sainsburys.co.uk/media/2hkjlyrx/j-sainsbury-plc-q1-2425-trading-statement.pdf" TargetMode="External"/><Relationship Id="rId54" Type="http://schemas.openxmlformats.org/officeDocument/2006/relationships/hyperlink" Target="https://www.theseus.fi/handle/10024/789012" TargetMode="External"/><Relationship Id="rId62" Type="http://schemas.openxmlformats.org/officeDocument/2006/relationships/hyperlink" Target="https://www.statista.com/statistics/1315369/india-grocery-market-size/" TargetMode="External"/><Relationship Id="rId70" Type="http://schemas.openxmlformats.org/officeDocument/2006/relationships/hyperlink" Target="https://doi.org/10.1016/j.jretconser.2018.07.012" TargetMode="External"/><Relationship Id="rId75" Type="http://schemas.openxmlformats.org/officeDocument/2006/relationships/hyperlink" Target="https://ecampusontario.pressbooks.pub/globalmarketing/chapter/6-1-international-entry-mode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rxiv.org/abs/2507.18107" TargetMode="External"/><Relationship Id="rId28" Type="http://schemas.openxmlformats.org/officeDocument/2006/relationships/hyperlink" Target="https://m.economictimes.com/markets/digital-real-estate/realty-news/indias-retail-boom-set-to-draw-usd-3-5-billion-as-us-malls-struggle-anarock-study/articleshow/126052432.cms" TargetMode="External"/><Relationship Id="rId36" Type="http://schemas.openxmlformats.org/officeDocument/2006/relationships/hyperlink" Target="https://hbr.org/2016/07/how-amazon-adapted-its-business-model-to-india" TargetMode="External"/><Relationship Id="rId49" Type="http://schemas.openxmlformats.org/officeDocument/2006/relationships/hyperlink" Target="https://www.mordorintelligence.com/industry-reports/india-foodservice-market" TargetMode="External"/><Relationship Id="rId57" Type="http://schemas.openxmlformats.org/officeDocument/2006/relationships/hyperlink" Target="https://www.researchandmarkets.com/report/india-grocery-market" TargetMode="External"/><Relationship Id="rId10" Type="http://schemas.openxmlformats.org/officeDocument/2006/relationships/image" Target="media/image3.png"/><Relationship Id="rId31" Type="http://schemas.openxmlformats.org/officeDocument/2006/relationships/hyperlink" Target="https://www.expertmarketresearch.com/reports/india-online-food-delivery-market" TargetMode="External"/><Relationship Id="rId44" Type="http://schemas.openxmlformats.org/officeDocument/2006/relationships/hyperlink" Target="https://www.kenresearch.com/industry-reports/india-supermarket-industry" TargetMode="External"/><Relationship Id="rId52" Type="http://schemas.openxmlformats.org/officeDocument/2006/relationships/hyperlink" Target="https://etheses.whiterose.ac.uk/12345" TargetMode="External"/><Relationship Id="rId60" Type="http://schemas.openxmlformats.org/officeDocument/2006/relationships/hyperlink" Target="https://corporate.sainsburys.co.uk/sustainability/" TargetMode="External"/><Relationship Id="rId65" Type="http://schemas.openxmlformats.org/officeDocument/2006/relationships/hyperlink" Target="https://www.fas.usda.gov/data/india-retail-foods-annual" TargetMode="External"/><Relationship Id="rId73" Type="http://schemas.openxmlformats.org/officeDocument/2006/relationships/hyperlink" Target="https://www.linkedin.com/pulse/porters-five-forces-analysis-suman-chatterjee-lglyf/?utm_source=chatgpt.com" TargetMode="External"/><Relationship Id="rId78" Type="http://schemas.openxmlformats.org/officeDocument/2006/relationships/hyperlink" Target="https://www.linkedin.com/pulse/balanced-scorecard-performance-measurement-tuoi-nguyen-rose-?utm_source=chatgpt.com" TargetMode="Externa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annualreports.com/Company/j-sainsbury-plc" TargetMode="External"/><Relationship Id="rId39" Type="http://schemas.openxmlformats.org/officeDocument/2006/relationships/hyperlink" Target="https://www.imarcgroup.com/india-vegan-food-market" TargetMode="External"/><Relationship Id="rId34" Type="http://schemas.openxmlformats.org/officeDocument/2006/relationships/hyperlink" Target="https://doi.org/10.1007/s43621-024-00398-w" TargetMode="External"/><Relationship Id="rId50" Type="http://schemas.openxmlformats.org/officeDocument/2006/relationships/hyperlink" Target="https://doi.org/10.3390/businesses5030033" TargetMode="External"/><Relationship Id="rId55" Type="http://schemas.openxmlformats.org/officeDocument/2006/relationships/hyperlink" Target="https://hbr.org/1990/03/the-competitive-advantage-of-nations" TargetMode="External"/><Relationship Id="rId76" Type="http://schemas.openxmlformats.org/officeDocument/2006/relationships/hyperlink" Target="https://blog.oxfordcollegeofmarketing.com/2016/08/01/using-ansoff-matrix-develop-marketing-strategy/?utm_source=chatgpt.com" TargetMode="External"/><Relationship Id="rId7" Type="http://schemas.openxmlformats.org/officeDocument/2006/relationships/endnotes" Target="endnotes.xml"/><Relationship Id="rId71" Type="http://schemas.openxmlformats.org/officeDocument/2006/relationships/hyperlink" Target="https://doi.org/10.1016/j.cie.2024.110063" TargetMode="External"/><Relationship Id="rId2" Type="http://schemas.openxmlformats.org/officeDocument/2006/relationships/numbering" Target="numbering.xml"/><Relationship Id="rId29" Type="http://schemas.openxmlformats.org/officeDocument/2006/relationships/hyperlink" Target="https://www.entrepreneur.com/en-au/news-and-trends/entrepreneur-india-announces-entrepreneur-2025-show-a/497024" TargetMode="External"/><Relationship Id="rId24" Type="http://schemas.openxmlformats.org/officeDocument/2006/relationships/hyperlink" Target="https://www.theseus.fi/handle/10024/889793" TargetMode="External"/><Relationship Id="rId40" Type="http://schemas.openxmlformats.org/officeDocument/2006/relationships/hyperlink" Target="https://corporate.sainsburys.co.uk/media/n3bdgevz/sainsbury-annual-report-and-financial-statements-2024.pdf" TargetMode="External"/><Relationship Id="rId45" Type="http://schemas.openxmlformats.org/officeDocument/2006/relationships/hyperlink" Target="https://doi.org/10.1051/e3sconf/202344902003" TargetMode="External"/><Relationship Id="rId66" Type="http://schemas.openxmlformats.org/officeDocument/2006/relationships/hyperlink" Target="https://www.hbs.edu/faculty/Pages/item.aspx?num=680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154538-0FAB-42F9-8964-0C72DDA0B96D}">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userId" value="&quot;user:685d5ec8d6472710204e997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36</Pages>
  <Words>10680</Words>
  <Characters>60878</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Jay Prajapati</cp:lastModifiedBy>
  <cp:revision>258</cp:revision>
  <dcterms:created xsi:type="dcterms:W3CDTF">2025-12-18T15:19:00Z</dcterms:created>
  <dcterms:modified xsi:type="dcterms:W3CDTF">2025-12-21T18:28:00Z</dcterms:modified>
</cp:coreProperties>
</file>