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BB7" w:rsidRDefault="001134EF">
      <w:pPr>
        <w:spacing w:line="240" w:lineRule="auto"/>
        <w:rPr>
          <w:rFonts w:ascii="Calibri" w:eastAsia="Calibri" w:hAnsi="Calibri" w:cs="Calibri"/>
          <w:b/>
          <w:sz w:val="36"/>
          <w:szCs w:val="36"/>
        </w:rPr>
      </w:pPr>
      <w:r>
        <w:rPr>
          <w:rFonts w:ascii="Calibri" w:eastAsia="Calibri" w:hAnsi="Calibri" w:cs="Calibri"/>
          <w:b/>
          <w:sz w:val="36"/>
          <w:szCs w:val="36"/>
        </w:rPr>
        <w:t>Closing the Attainment Gap at Key Stage Four in Wales: Strengthening future prospects through pedagogy</w:t>
      </w:r>
    </w:p>
    <w:p w:rsidR="003E3BB7" w:rsidRDefault="003E3BB7">
      <w:pPr>
        <w:rPr>
          <w:rFonts w:ascii="Calibri" w:eastAsia="Calibri" w:hAnsi="Calibri" w:cs="Calibri"/>
        </w:rPr>
      </w:pPr>
    </w:p>
    <w:p w:rsidR="003E3BB7" w:rsidRDefault="001134EF">
      <w:pPr>
        <w:rPr>
          <w:rFonts w:ascii="Calibri" w:eastAsia="Calibri" w:hAnsi="Calibri" w:cs="Calibri"/>
          <w:b/>
          <w:sz w:val="24"/>
          <w:szCs w:val="24"/>
        </w:rPr>
      </w:pPr>
      <w:r>
        <w:rPr>
          <w:rFonts w:ascii="Calibri" w:eastAsia="Calibri" w:hAnsi="Calibri" w:cs="Calibri"/>
          <w:b/>
          <w:sz w:val="24"/>
          <w:szCs w:val="24"/>
        </w:rPr>
        <w:t>ABSTRACT</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 xml:space="preserve">This article examines the ongoing and complex relationship between poverty and underachievement in Wales and recommends a pedagogy focussed approach to help secure better outcomes for disadvantaged learners. The attainment gap, although detectable from an </w:t>
      </w:r>
      <w:r>
        <w:rPr>
          <w:rFonts w:ascii="Calibri" w:eastAsia="Calibri" w:hAnsi="Calibri" w:cs="Calibri"/>
          <w:sz w:val="24"/>
          <w:szCs w:val="24"/>
        </w:rPr>
        <w:t>early stage, is more prevalent at key stage four. In fact, the disparity between the attainment of key stage four children living in poverty in Wales and their more affluent peers is still too great, despite attempts to minimise it. Free school meal entitl</w:t>
      </w:r>
      <w:r>
        <w:rPr>
          <w:rFonts w:ascii="Calibri" w:eastAsia="Calibri" w:hAnsi="Calibri" w:cs="Calibri"/>
          <w:sz w:val="24"/>
          <w:szCs w:val="24"/>
        </w:rPr>
        <w:t>ement is still the best available proxy for schools and evidence shows that children in receipt of free school meals are susceptible to a host of enduring and wide-ranging impacts of poverty. This paper highlights that a disadvantaged child who underperfor</w:t>
      </w:r>
      <w:r>
        <w:rPr>
          <w:rFonts w:ascii="Calibri" w:eastAsia="Calibri" w:hAnsi="Calibri" w:cs="Calibri"/>
          <w:sz w:val="24"/>
          <w:szCs w:val="24"/>
        </w:rPr>
        <w:t>ms at GCSE may have limited future prospects and will be less likely to escape poverty as an adult. This cycle is problematic but can, argue some, be addressed by schools. A review of the literature pertaining to the impact of poverty on attainment has hig</w:t>
      </w:r>
      <w:r>
        <w:rPr>
          <w:rFonts w:ascii="Calibri" w:eastAsia="Calibri" w:hAnsi="Calibri" w:cs="Calibri"/>
          <w:sz w:val="24"/>
          <w:szCs w:val="24"/>
        </w:rPr>
        <w:t>hlighted that classroom practice and the professional or pedagogical development of teachers are key to closing the attainment gap. In particular, explicit vocabulary instruction is recognised by leading educationalists and academics as having a significan</w:t>
      </w:r>
      <w:r>
        <w:rPr>
          <w:rFonts w:ascii="Calibri" w:eastAsia="Calibri" w:hAnsi="Calibri" w:cs="Calibri"/>
          <w:sz w:val="24"/>
          <w:szCs w:val="24"/>
        </w:rPr>
        <w:t>t impact on attainment. This paper seeks to address the potential challenges facing schools in light of ongoing curriculum reform, and also puts forward the argument that schools can and must increase their capacity to better support children living in pov</w:t>
      </w:r>
      <w:r>
        <w:rPr>
          <w:rFonts w:ascii="Calibri" w:eastAsia="Calibri" w:hAnsi="Calibri" w:cs="Calibri"/>
          <w:sz w:val="24"/>
          <w:szCs w:val="24"/>
        </w:rPr>
        <w:t>erty in Wales at a classroom level. This paper argues that schools therefore should invest in opportunities for teachers to engage in professional development that clearly and explicitly focuss</w:t>
      </w:r>
      <w:r>
        <w:rPr>
          <w:rFonts w:ascii="Calibri" w:eastAsia="Calibri" w:hAnsi="Calibri" w:cs="Calibri"/>
          <w:sz w:val="24"/>
          <w:szCs w:val="24"/>
        </w:rPr>
        <w:t>es on enhancing their understanding of classroom strategies - su</w:t>
      </w:r>
      <w:r>
        <w:rPr>
          <w:rFonts w:ascii="Calibri" w:eastAsia="Calibri" w:hAnsi="Calibri" w:cs="Calibri"/>
          <w:sz w:val="24"/>
          <w:szCs w:val="24"/>
        </w:rPr>
        <w:t>ch as explicit vocabulary instruction. This will help to ensure that teachers know how best to support disadvantaged learners but are also purposeful in their attempts to mitigate the impact that poverty can have on educational achievement.</w:t>
      </w:r>
    </w:p>
    <w:p w:rsidR="003E3BB7" w:rsidRDefault="003E3BB7">
      <w:pPr>
        <w:jc w:val="both"/>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b/>
          <w:sz w:val="24"/>
          <w:szCs w:val="24"/>
        </w:rPr>
        <w:t xml:space="preserve">Keywords: </w:t>
      </w:r>
      <w:r>
        <w:rPr>
          <w:rFonts w:ascii="Calibri" w:eastAsia="Calibri" w:hAnsi="Calibri" w:cs="Calibri"/>
          <w:sz w:val="24"/>
          <w:szCs w:val="24"/>
        </w:rPr>
        <w:t>achi</w:t>
      </w:r>
      <w:r>
        <w:rPr>
          <w:rFonts w:ascii="Calibri" w:eastAsia="Calibri" w:hAnsi="Calibri" w:cs="Calibri"/>
          <w:sz w:val="24"/>
          <w:szCs w:val="24"/>
        </w:rPr>
        <w:t xml:space="preserve">evement, attainment, advantage, disadvantage, free school meals, pedagogy, </w:t>
      </w:r>
      <w:r>
        <w:rPr>
          <w:rFonts w:ascii="Calibri" w:eastAsia="Calibri" w:hAnsi="Calibri" w:cs="Calibri"/>
          <w:sz w:val="24"/>
          <w:szCs w:val="24"/>
        </w:rPr>
        <w:t xml:space="preserve">vocabulary instruction, teaching, explicit vocabulary, future, prospects, lifelong </w:t>
      </w:r>
      <w:bookmarkStart w:id="0" w:name="_GoBack"/>
      <w:bookmarkEnd w:id="0"/>
      <w:r>
        <w:rPr>
          <w:rFonts w:ascii="Calibri" w:eastAsia="Calibri" w:hAnsi="Calibri" w:cs="Calibri"/>
          <w:sz w:val="24"/>
          <w:szCs w:val="24"/>
        </w:rPr>
        <w:t>learning</w:t>
      </w:r>
    </w:p>
    <w:p w:rsidR="003E3BB7" w:rsidRDefault="003E3BB7">
      <w:pPr>
        <w:spacing w:line="360" w:lineRule="auto"/>
        <w:jc w:val="both"/>
        <w:rPr>
          <w:rFonts w:ascii="Calibri" w:eastAsia="Calibri" w:hAnsi="Calibri" w:cs="Calibri"/>
          <w:b/>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lastRenderedPageBreak/>
        <w:t>Introduction</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According to the OECD (2012), equity in education is “when personal or soc</w:t>
      </w:r>
      <w:r>
        <w:rPr>
          <w:rFonts w:ascii="Calibri" w:eastAsia="Calibri" w:hAnsi="Calibri" w:cs="Calibri"/>
          <w:sz w:val="24"/>
          <w:szCs w:val="24"/>
        </w:rPr>
        <w:t>ial circumstances such as gender, ethnic origin or family background, are not obstacles to achieving educational potential” (p. 9). Equity in education in Wales is still an ideological aspiration; unfortunately, too many children in Wales underachieve beca</w:t>
      </w:r>
      <w:r>
        <w:rPr>
          <w:rFonts w:ascii="Calibri" w:eastAsia="Calibri" w:hAnsi="Calibri" w:cs="Calibri"/>
          <w:sz w:val="24"/>
          <w:szCs w:val="24"/>
        </w:rPr>
        <w:t>use their potential is too often dictated by their socioeconomic status. The impact of poverty on attainment is a well established, highly researched and perennial issue in education. In fact, over 50 years ago, scholars in the United States were commissio</w:t>
      </w:r>
      <w:r>
        <w:rPr>
          <w:rFonts w:ascii="Calibri" w:eastAsia="Calibri" w:hAnsi="Calibri" w:cs="Calibri"/>
          <w:sz w:val="24"/>
          <w:szCs w:val="24"/>
        </w:rPr>
        <w:t>ned to conduct a report on equality in education. With a sample of over 650,000, the Coleman Report (1966) - as it was to become widely known - was one the largest educational research studies carried out at that time and “famously highlighted the relation</w:t>
      </w:r>
      <w:r>
        <w:rPr>
          <w:rFonts w:ascii="Calibri" w:eastAsia="Calibri" w:hAnsi="Calibri" w:cs="Calibri"/>
          <w:sz w:val="24"/>
          <w:szCs w:val="24"/>
        </w:rPr>
        <w:t>ship between family socioeconomic status and academic achievement” (Reardon, 2011). Ultimately, the Coleman Report (1966) prompted the widespread realisation in education that family background, or socioeconomic status, can and does act as a predictor of a</w:t>
      </w:r>
      <w:r>
        <w:rPr>
          <w:rFonts w:ascii="Calibri" w:eastAsia="Calibri" w:hAnsi="Calibri" w:cs="Calibri"/>
          <w:sz w:val="24"/>
          <w:szCs w:val="24"/>
        </w:rPr>
        <w:t xml:space="preserve"> child’s academic ability or achievement. Following this report, it became widely accepted that pupils from low socioeconomic backgrounds, or those living in poverty, are much less likely to achieve their academic potential than their more affluent peers. </w:t>
      </w:r>
      <w:r>
        <w:rPr>
          <w:rFonts w:ascii="Calibri" w:eastAsia="Calibri" w:hAnsi="Calibri" w:cs="Calibri"/>
          <w:sz w:val="24"/>
          <w:szCs w:val="24"/>
        </w:rPr>
        <w:t>Reducing the impact of poverty on attainment has been a priority for schools, local authorities and governmental organisations for a considerable length of time; however, despite the availability of decades of subsequent international and national research</w:t>
      </w:r>
      <w:r>
        <w:rPr>
          <w:rFonts w:ascii="Calibri" w:eastAsia="Calibri" w:hAnsi="Calibri" w:cs="Calibri"/>
          <w:sz w:val="24"/>
          <w:szCs w:val="24"/>
        </w:rPr>
        <w:t>, and innumerable initiatives - including “a series of far-reaching reforms” (OECD, 2014, p. 30) - schools in Wales have failed to eliminate the link between poverty and attainment. That is not to say that schools in Wales have yet to make any progress wha</w:t>
      </w:r>
      <w:r>
        <w:rPr>
          <w:rFonts w:ascii="Calibri" w:eastAsia="Calibri" w:hAnsi="Calibri" w:cs="Calibri"/>
          <w:sz w:val="24"/>
          <w:szCs w:val="24"/>
        </w:rPr>
        <w:t xml:space="preserve">tsoever. On the contrary, in their report ‘Poverty in Wales’, The Joseph Rowntree Foundation (2018) analyse trends in poverty in the UK and highlight that Wales has been efficacious in reducing the gap in attainment between children from richer and poorer </w:t>
      </w:r>
      <w:r>
        <w:rPr>
          <w:rFonts w:ascii="Calibri" w:eastAsia="Calibri" w:hAnsi="Calibri" w:cs="Calibri"/>
          <w:sz w:val="24"/>
          <w:szCs w:val="24"/>
        </w:rPr>
        <w:t xml:space="preserve">backgrounds at age 11. Critically, however, children receiving free school meals (FSM) are still substantially less likely to gain five or more good GCSEs than those who do not (p. 32). </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It is widely acknowledged that FSM entitlement is commonly used as a</w:t>
      </w:r>
      <w:r>
        <w:rPr>
          <w:rFonts w:ascii="Calibri" w:eastAsia="Calibri" w:hAnsi="Calibri" w:cs="Calibri"/>
          <w:sz w:val="24"/>
          <w:szCs w:val="24"/>
        </w:rPr>
        <w:t xml:space="preserve"> predictor of a school’s potential GCSE success (Shuttleworth, 2006). In fact, in their review of the impact of poverty on attainment in Cardiff, Cardiff Council (2013) assert that “free school meal eligibility is widely accepted as the best available prox</w:t>
      </w:r>
      <w:r>
        <w:rPr>
          <w:rFonts w:ascii="Calibri" w:eastAsia="Calibri" w:hAnsi="Calibri" w:cs="Calibri"/>
          <w:sz w:val="24"/>
          <w:szCs w:val="24"/>
        </w:rPr>
        <w:t xml:space="preserve">y indicator for young people who live </w:t>
      </w:r>
      <w:r>
        <w:rPr>
          <w:rFonts w:ascii="Calibri" w:eastAsia="Calibri" w:hAnsi="Calibri" w:cs="Calibri"/>
          <w:sz w:val="24"/>
          <w:szCs w:val="24"/>
        </w:rPr>
        <w:lastRenderedPageBreak/>
        <w:t xml:space="preserve">in poverty” (p. 9). Fundamentally, however, as ubiquitous as the link between FSM eligibility and poverty may be, it is important to recognise that underachievement at GCSE can have potentially long-lasting and severe </w:t>
      </w:r>
      <w:r>
        <w:rPr>
          <w:rFonts w:ascii="Calibri" w:eastAsia="Calibri" w:hAnsi="Calibri" w:cs="Calibri"/>
          <w:sz w:val="24"/>
          <w:szCs w:val="24"/>
        </w:rPr>
        <w:t>implications. Therefore, it is important to attempt to better understand the complex and indeed interminable relationship between attainment and poverty.</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t xml:space="preserve">The Enduring Impact of Poverty </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The dictionary definition of poverty is “the state of being extremely</w:t>
      </w:r>
      <w:r>
        <w:rPr>
          <w:rFonts w:ascii="Calibri" w:eastAsia="Calibri" w:hAnsi="Calibri" w:cs="Calibri"/>
          <w:sz w:val="24"/>
          <w:szCs w:val="24"/>
        </w:rPr>
        <w:t xml:space="preserve"> poor” (Merriam Webster Online, 2019). It could be argued that this definition is insufficient when discussing the impact of poverty on children in education. In their report, the Joseph Rowntree Foundation (2018) describe poverty as “when someone lives in</w:t>
      </w:r>
      <w:r>
        <w:rPr>
          <w:rFonts w:ascii="Calibri" w:eastAsia="Calibri" w:hAnsi="Calibri" w:cs="Calibri"/>
          <w:sz w:val="24"/>
          <w:szCs w:val="24"/>
        </w:rPr>
        <w:t xml:space="preserve"> a household whose income is less than 60% of the median income, adjusted for their household size and type, and after housing costs (AHC)” (p. 2). This definition could indicate that financial resources or a lack thereof is the key to determining whether </w:t>
      </w:r>
      <w:r>
        <w:rPr>
          <w:rFonts w:ascii="Calibri" w:eastAsia="Calibri" w:hAnsi="Calibri" w:cs="Calibri"/>
          <w:sz w:val="24"/>
          <w:szCs w:val="24"/>
        </w:rPr>
        <w:t>or not someone is living in poverty. Cardiff Council (2013), in their report ‘The Impact of Poverty on Educational Attainment’, opt for a more detailed examination of the word ‘poverty’. Cardiff Council (2013) assert that poverty “is more than a lack of fi</w:t>
      </w:r>
      <w:r>
        <w:rPr>
          <w:rFonts w:ascii="Calibri" w:eastAsia="Calibri" w:hAnsi="Calibri" w:cs="Calibri"/>
          <w:sz w:val="24"/>
          <w:szCs w:val="24"/>
        </w:rPr>
        <w:t>nancial resources and income; it can also mean a lack of material, cultural and social resources which affect the aspirations, experiences and life opportunities of individuals” (p. 8). This definition of poverty is in line with the Child Poverty Act (2010</w:t>
      </w:r>
      <w:r>
        <w:rPr>
          <w:rFonts w:ascii="Calibri" w:eastAsia="Calibri" w:hAnsi="Calibri" w:cs="Calibri"/>
          <w:sz w:val="24"/>
          <w:szCs w:val="24"/>
        </w:rPr>
        <w:t>), which clearly identifies four measures of poverty, including: relative poverty; absolute poverty; persistent poverty; and material deprivation. There appears to be a degree of unanimity in the literature pertaining to the impact of poverty in that it ca</w:t>
      </w:r>
      <w:r>
        <w:rPr>
          <w:rFonts w:ascii="Calibri" w:eastAsia="Calibri" w:hAnsi="Calibri" w:cs="Calibri"/>
          <w:sz w:val="24"/>
          <w:szCs w:val="24"/>
        </w:rPr>
        <w:t>n lead to an extensive array of undesirable outcomes - many of which transcend a child’s education or schooling. The European Union, in the Joint Report by the Commission and the Council on Social Inclusion (2014), for example, describe the severe possible</w:t>
      </w:r>
      <w:r>
        <w:rPr>
          <w:rFonts w:ascii="Calibri" w:eastAsia="Calibri" w:hAnsi="Calibri" w:cs="Calibri"/>
          <w:sz w:val="24"/>
          <w:szCs w:val="24"/>
        </w:rPr>
        <w:t xml:space="preserve"> outcomes of poverty, including: “disadvantages through unemployment, low income, poor housing, inadequate healthcare and barriers to lifelong learning, culture, sport and recreation.” (In Cardiff Council, 2013, p. 8). Moreover, the Joseph Rowntree Foundat</w:t>
      </w:r>
      <w:r>
        <w:rPr>
          <w:rFonts w:ascii="Calibri" w:eastAsia="Calibri" w:hAnsi="Calibri" w:cs="Calibri"/>
          <w:sz w:val="24"/>
          <w:szCs w:val="24"/>
        </w:rPr>
        <w:t>ion (2018) highlight that poverty is closely linked to physical and mental ill health among both adults and children (p. 32). The OECD (2012), in their report ‘Equity and Quality in Education’ also warn about the enduring effects of poverty, declaring that</w:t>
      </w:r>
      <w:r>
        <w:rPr>
          <w:rFonts w:ascii="Calibri" w:eastAsia="Calibri" w:hAnsi="Calibri" w:cs="Calibri"/>
          <w:sz w:val="24"/>
          <w:szCs w:val="24"/>
        </w:rPr>
        <w:t xml:space="preserve"> “school failure penalises a child for life” (p.2). It is tempting to doubt the veracity of this particular statement due to its somewhat hyperbolic tone; however, the stark reality of the situation is that children who academically underachieve are likely</w:t>
      </w:r>
      <w:r>
        <w:rPr>
          <w:rFonts w:ascii="Calibri" w:eastAsia="Calibri" w:hAnsi="Calibri" w:cs="Calibri"/>
          <w:sz w:val="24"/>
          <w:szCs w:val="24"/>
        </w:rPr>
        <w:t xml:space="preserve"> to experience long-lasting ramifications that may affect them for the rest of their lives. Estyn (2012) clearly echo this; they highlight that children living in poverty: </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more likely to have a poor attendance record;</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 xml:space="preserve">often perceive the curriculum as </w:t>
      </w:r>
      <w:r>
        <w:rPr>
          <w:rFonts w:ascii="Calibri" w:eastAsia="Calibri" w:hAnsi="Calibri" w:cs="Calibri"/>
          <w:sz w:val="24"/>
          <w:szCs w:val="24"/>
        </w:rPr>
        <w:t>irrelevant;</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less likely to accept the school culture;</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more likely to have additional learning needs;</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have parents who are less likely to be involved in their children’s education;</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have parents who are more likely to have a negative perception and e</w:t>
      </w:r>
      <w:r>
        <w:rPr>
          <w:rFonts w:ascii="Calibri" w:eastAsia="Calibri" w:hAnsi="Calibri" w:cs="Calibri"/>
          <w:sz w:val="24"/>
          <w:szCs w:val="24"/>
        </w:rPr>
        <w:t>xperience of school and education;</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less healthy;</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more likely to be not in employment, education or training;</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are more likely to have a child in their teenage years; and</w:t>
      </w:r>
    </w:p>
    <w:p w:rsidR="003E3BB7" w:rsidRDefault="001134EF">
      <w:pPr>
        <w:numPr>
          <w:ilvl w:val="0"/>
          <w:numId w:val="1"/>
        </w:numPr>
        <w:spacing w:line="240" w:lineRule="auto"/>
        <w:ind w:right="1700"/>
        <w:jc w:val="both"/>
        <w:rPr>
          <w:rFonts w:ascii="Calibri" w:eastAsia="Calibri" w:hAnsi="Calibri" w:cs="Calibri"/>
          <w:sz w:val="24"/>
          <w:szCs w:val="24"/>
        </w:rPr>
      </w:pPr>
      <w:r>
        <w:rPr>
          <w:rFonts w:ascii="Calibri" w:eastAsia="Calibri" w:hAnsi="Calibri" w:cs="Calibri"/>
          <w:sz w:val="24"/>
          <w:szCs w:val="24"/>
        </w:rPr>
        <w:t>in the case of white working class boys, are less likely to achieve their poten</w:t>
      </w:r>
      <w:r>
        <w:rPr>
          <w:rFonts w:ascii="Calibri" w:eastAsia="Calibri" w:hAnsi="Calibri" w:cs="Calibri"/>
          <w:sz w:val="24"/>
          <w:szCs w:val="24"/>
        </w:rPr>
        <w:t>tial than any other group.</w:t>
      </w:r>
    </w:p>
    <w:p w:rsidR="003E3BB7" w:rsidRDefault="001134EF">
      <w:pPr>
        <w:spacing w:line="240" w:lineRule="auto"/>
        <w:jc w:val="right"/>
        <w:rPr>
          <w:rFonts w:ascii="Calibri" w:eastAsia="Calibri" w:hAnsi="Calibri" w:cs="Calibri"/>
          <w:sz w:val="24"/>
          <w:szCs w:val="24"/>
        </w:rPr>
      </w:pPr>
      <w:r>
        <w:rPr>
          <w:rFonts w:ascii="Calibri" w:eastAsia="Calibri" w:hAnsi="Calibri" w:cs="Calibri"/>
          <w:sz w:val="24"/>
          <w:szCs w:val="24"/>
        </w:rPr>
        <w:t>(Estyn, 2014, p. 1)</w:t>
      </w:r>
    </w:p>
    <w:p w:rsidR="003E3BB7" w:rsidRDefault="003E3BB7">
      <w:pPr>
        <w:spacing w:line="240" w:lineRule="auto"/>
        <w:jc w:val="right"/>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Clearly, poverty can and does impact upon children in multitudinous ways; yet, again, children born in Wales are particularly vulnerable because “poverty rates in Wales have generally been higher than England, Scotland and Wales for 20 years” (The Joseph R</w:t>
      </w:r>
      <w:r>
        <w:rPr>
          <w:rFonts w:ascii="Calibri" w:eastAsia="Calibri" w:hAnsi="Calibri" w:cs="Calibri"/>
          <w:sz w:val="24"/>
          <w:szCs w:val="24"/>
        </w:rPr>
        <w:t>owntree Foundation, 2018, pp. 2). In ‘State of the Nation 2017: Social Mobility in Great Britain’, an annual report which assesses social mobility in the UK, Andy Milburn (2017) refers to a “stark social mobility postcode lottery” (p. 4) and although Milbu</w:t>
      </w:r>
      <w:r>
        <w:rPr>
          <w:rFonts w:ascii="Calibri" w:eastAsia="Calibri" w:hAnsi="Calibri" w:cs="Calibri"/>
          <w:sz w:val="24"/>
          <w:szCs w:val="24"/>
        </w:rPr>
        <w:t xml:space="preserve">rn (2017) does not provide any comparative judgements between Wales and the rest of the UK, he does state that “the chances of someone from a disadvantaged background getting on in life is closely linked to where they grow up and choose to make a life for </w:t>
      </w:r>
      <w:r>
        <w:rPr>
          <w:rFonts w:ascii="Calibri" w:eastAsia="Calibri" w:hAnsi="Calibri" w:cs="Calibri"/>
          <w:sz w:val="24"/>
          <w:szCs w:val="24"/>
        </w:rPr>
        <w:t xml:space="preserve">themselves” (p.4). Unfortunately, children do not ‘choose’ where to make a life for themselves and the fact that children born in Wales are at a disproportionately higher risk of being affected by poverty and therefore academic underachievement - and even </w:t>
      </w:r>
      <w:r>
        <w:rPr>
          <w:rFonts w:ascii="Calibri" w:eastAsia="Calibri" w:hAnsi="Calibri" w:cs="Calibri"/>
          <w:sz w:val="24"/>
          <w:szCs w:val="24"/>
        </w:rPr>
        <w:t>a lifetime of challenges - is harrowing.</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t xml:space="preserve">The Persistent Attainment Gap in Wales </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 xml:space="preserve">Firstly, it is important to note that the impact of poverty on attainment is internationally recognised and certainly not unique to Wales or the UK. In fact, across all OECD </w:t>
      </w:r>
      <w:r>
        <w:rPr>
          <w:rFonts w:ascii="Calibri" w:eastAsia="Calibri" w:hAnsi="Calibri" w:cs="Calibri"/>
          <w:sz w:val="24"/>
          <w:szCs w:val="24"/>
        </w:rPr>
        <w:t>countries, students from low socioeconomic backgrounds are twice as likely to be low performers in school (OECD, 2012, p. 9). The situation in Wales, however, is of a particular cause for concern. Wales’ education system has been under intense scrutiny sin</w:t>
      </w:r>
      <w:r>
        <w:rPr>
          <w:rFonts w:ascii="Calibri" w:eastAsia="Calibri" w:hAnsi="Calibri" w:cs="Calibri"/>
          <w:sz w:val="24"/>
          <w:szCs w:val="24"/>
        </w:rPr>
        <w:t>ce the publication of the 2009 round of extremely disappointing PISA results. The OECD report ‘Improving Schools in Wales: An OECD Perspective’ (2014) captures the significance of this period in Welsh education history by highlighting that the 2009 PISA re</w:t>
      </w:r>
      <w:r>
        <w:rPr>
          <w:rFonts w:ascii="Calibri" w:eastAsia="Calibri" w:hAnsi="Calibri" w:cs="Calibri"/>
          <w:sz w:val="24"/>
          <w:szCs w:val="24"/>
        </w:rPr>
        <w:t xml:space="preserve">sults sparked a national concord for a “need for change” (p. 3). Wales’ performance was among the worst in OECD countries and the Welsh Government’s palpable desire to improve prompted the launch of a range of policies - such as the Child Poverty Strategy </w:t>
      </w:r>
      <w:r>
        <w:rPr>
          <w:rFonts w:ascii="Calibri" w:eastAsia="Calibri" w:hAnsi="Calibri" w:cs="Calibri"/>
          <w:sz w:val="24"/>
          <w:szCs w:val="24"/>
        </w:rPr>
        <w:t xml:space="preserve">for Wales -  to improve not only the “quality” but the “equity” of the schooling system (OECD, 2014, p. 3). The emphasis the Welsh Government has placed on reducing the impact of poverty on attainment is pleasing </w:t>
      </w:r>
      <w:r>
        <w:rPr>
          <w:rFonts w:ascii="Calibri" w:eastAsia="Calibri" w:hAnsi="Calibri" w:cs="Calibri"/>
          <w:sz w:val="24"/>
          <w:szCs w:val="24"/>
        </w:rPr>
        <w:t>and certainly evident in its key objecti</w:t>
      </w:r>
      <w:r>
        <w:rPr>
          <w:rFonts w:ascii="Calibri" w:eastAsia="Calibri" w:hAnsi="Calibri" w:cs="Calibri"/>
          <w:sz w:val="24"/>
          <w:szCs w:val="24"/>
        </w:rPr>
        <w:t xml:space="preserve">ves, which are “to improve students’ performance in literacy and numeracy” and “to reduce the impact of deprivation on student performance (OECD, 2014, p. 3). Andreas Schnieder, the Director of Education and Skills for the OECD, begins the foreword of the </w:t>
      </w:r>
      <w:r>
        <w:rPr>
          <w:rFonts w:ascii="Calibri" w:eastAsia="Calibri" w:hAnsi="Calibri" w:cs="Calibri"/>
          <w:sz w:val="24"/>
          <w:szCs w:val="24"/>
        </w:rPr>
        <w:t>2014 OECD report with an ideological message of hope: “Addressing the quality and equity of a country’s education system can help shape its future,” he claims. However, recent data and reports on Wales’ schooling system reveal an altogether more sobering r</w:t>
      </w:r>
      <w:r>
        <w:rPr>
          <w:rFonts w:ascii="Calibri" w:eastAsia="Calibri" w:hAnsi="Calibri" w:cs="Calibri"/>
          <w:sz w:val="24"/>
          <w:szCs w:val="24"/>
        </w:rPr>
        <w:t>eality. It would appear that the</w:t>
      </w:r>
      <w:r>
        <w:rPr>
          <w:rFonts w:ascii="Calibri" w:eastAsia="Calibri" w:hAnsi="Calibri" w:cs="Calibri"/>
          <w:sz w:val="24"/>
          <w:szCs w:val="24"/>
        </w:rPr>
        <w:t xml:space="preserve"> Welsh Government’s Child Poverty Strategy to “eradicate child poverty in Wales by 2020” (Estyn, 2012) is failing to do just that. Unfortunately, in 2019, poverty is still affecting the lives many, many children born in </w:t>
      </w:r>
      <w:r>
        <w:rPr>
          <w:rFonts w:ascii="Calibri" w:eastAsia="Calibri" w:hAnsi="Calibri" w:cs="Calibri"/>
          <w:sz w:val="24"/>
          <w:szCs w:val="24"/>
        </w:rPr>
        <w:t>Wales and is far from total eradication. In fact, the Joseph Rowntree Foundation (2018) recently revealed that 710,000 people in Wales live in poverty, and that this number consists of 185,000 children (p.4). Worryingly, the Joseph Rowntree Foundation (201</w:t>
      </w:r>
      <w:r>
        <w:rPr>
          <w:rFonts w:ascii="Calibri" w:eastAsia="Calibri" w:hAnsi="Calibri" w:cs="Calibri"/>
          <w:sz w:val="24"/>
          <w:szCs w:val="24"/>
        </w:rPr>
        <w:t>8) claim that “poverty is highest among families with children” and that “nearly half of lone parents live in poverty” (p. 4).</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As previously noted, marginal improvements have been realised in Wales since 2010 and it has been highlighted that “children fro</w:t>
      </w:r>
      <w:r>
        <w:rPr>
          <w:rFonts w:ascii="Calibri" w:eastAsia="Calibri" w:hAnsi="Calibri" w:cs="Calibri"/>
          <w:sz w:val="24"/>
          <w:szCs w:val="24"/>
        </w:rPr>
        <w:t>m lower-income backgrounds have been catching up with those from better-off backgrounds on educational attainment” (Joseph Rowntree Foundation, 2018, p.1). However, Milburn (2017) argues that “people growing up poor in Wales have a significant disadvantage</w:t>
      </w:r>
      <w:r>
        <w:rPr>
          <w:rFonts w:ascii="Calibri" w:eastAsia="Calibri" w:hAnsi="Calibri" w:cs="Calibri"/>
          <w:sz w:val="24"/>
          <w:szCs w:val="24"/>
        </w:rPr>
        <w:t xml:space="preserve"> in attainment at key stage 4” (pp.141) citing a drastic</w:t>
      </w:r>
      <w:r>
        <w:rPr>
          <w:rFonts w:ascii="Calibri" w:eastAsia="Calibri" w:hAnsi="Calibri" w:cs="Calibri"/>
          <w:sz w:val="24"/>
          <w:szCs w:val="24"/>
        </w:rPr>
        <w:t xml:space="preserve"> 30 percentage point difference between pupils receiving free school meals (FSM) and those who do not. Clearly, the attainment gap is particularly problematic for 15 and 16 year olds receiving FSMs. </w:t>
      </w:r>
      <w:r>
        <w:rPr>
          <w:rFonts w:ascii="Calibri" w:eastAsia="Calibri" w:hAnsi="Calibri" w:cs="Calibri"/>
          <w:sz w:val="24"/>
          <w:szCs w:val="24"/>
        </w:rPr>
        <w:t>In their report, ‘Deprivation in the UK’, the NFER (2014) highlight that, although the attainment gap is detectable when children are in the Foundation Phase, the gap persists until key stage 2 and widens even further during secondary education (pp. 24). A</w:t>
      </w:r>
      <w:r>
        <w:rPr>
          <w:rFonts w:ascii="Calibri" w:eastAsia="Calibri" w:hAnsi="Calibri" w:cs="Calibri"/>
          <w:sz w:val="24"/>
          <w:szCs w:val="24"/>
        </w:rPr>
        <w:t>gain, this gap is particularly significant at key stage four. The EEF (2018) have produced a summary of the attainment gap in terms of relative age difference, which again highlights the severity of the problem at key stage four. According to the EEF (2018</w:t>
      </w:r>
      <w:r>
        <w:rPr>
          <w:rFonts w:ascii="Calibri" w:eastAsia="Calibri" w:hAnsi="Calibri" w:cs="Calibri"/>
          <w:sz w:val="24"/>
          <w:szCs w:val="24"/>
        </w:rPr>
        <w:t>) the gap between those living in poverty and their more affluent peers is 9.5 months by the end of primary school, but this figure, they claim, more than doubles again to 19.3 months by the time they reach the end of secondary school (p. 2). The NFER (201</w:t>
      </w:r>
      <w:r>
        <w:rPr>
          <w:rFonts w:ascii="Calibri" w:eastAsia="Calibri" w:hAnsi="Calibri" w:cs="Calibri"/>
          <w:sz w:val="24"/>
          <w:szCs w:val="24"/>
        </w:rPr>
        <w:t>4) also analysed data for schools in Wales and reported that a non-FSM pupil is four times more likely to achieve the Level 2 threshold at GCSE (which is five or more A*-C grades including English/Welsh and mathematics) compared to a pupil in receipt of FSM</w:t>
      </w:r>
      <w:r>
        <w:rPr>
          <w:rFonts w:ascii="Calibri" w:eastAsia="Calibri" w:hAnsi="Calibri" w:cs="Calibri"/>
          <w:sz w:val="24"/>
          <w:szCs w:val="24"/>
        </w:rPr>
        <w:t xml:space="preserve"> pupil (pp.24). So, it appears that key stage four children are particularly susceptible to the inhibiting impact that poverty can have on educational attainment. </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The long-lasting and potentially cyclical implications of the attainment gap must be re-e</w:t>
      </w:r>
      <w:r>
        <w:rPr>
          <w:rFonts w:ascii="Calibri" w:eastAsia="Calibri" w:hAnsi="Calibri" w:cs="Calibri"/>
          <w:sz w:val="24"/>
          <w:szCs w:val="24"/>
        </w:rPr>
        <w:t>mphasised here. The Joseph Rowntree Foundation (2018) argue that FSM pupils who underachieve at key stage four have less future prospects and therefore may be unable to avoid poverty as adults (p.32). Milburn’s (2017) view is also that disadvantaged childr</w:t>
      </w:r>
      <w:r>
        <w:rPr>
          <w:rFonts w:ascii="Calibri" w:eastAsia="Calibri" w:hAnsi="Calibri" w:cs="Calibri"/>
          <w:sz w:val="24"/>
          <w:szCs w:val="24"/>
        </w:rPr>
        <w:t xml:space="preserve">en may be affected later on in their lives. He suggests that children’s post-16 choices could be impacted upon and this may also eventually prevent them from getting good jobs (Milburn, 2017, p.141). If we reflect on these findings in conjunction with the </w:t>
      </w:r>
      <w:r>
        <w:rPr>
          <w:rFonts w:ascii="Calibri" w:eastAsia="Calibri" w:hAnsi="Calibri" w:cs="Calibri"/>
          <w:sz w:val="24"/>
          <w:szCs w:val="24"/>
        </w:rPr>
        <w:t>findings that underachievement at key stage four has the potential to impact upon a young person’s life and future prospects, we come to the realisation that 15 and 16 year olds with low socioeconomic status are among the most vulnerable in our society and</w:t>
      </w:r>
      <w:r>
        <w:rPr>
          <w:rFonts w:ascii="Calibri" w:eastAsia="Calibri" w:hAnsi="Calibri" w:cs="Calibri"/>
          <w:sz w:val="24"/>
          <w:szCs w:val="24"/>
        </w:rPr>
        <w:t xml:space="preserve"> are at risk of experiencing the enduring and significantly detrimental impacts of poverty. Policies and Welsh Government initiatives will always be crucial for driving change, particularly where funding such as the free school meal entitlement or Pupil De</w:t>
      </w:r>
      <w:r>
        <w:rPr>
          <w:rFonts w:ascii="Calibri" w:eastAsia="Calibri" w:hAnsi="Calibri" w:cs="Calibri"/>
          <w:sz w:val="24"/>
          <w:szCs w:val="24"/>
        </w:rPr>
        <w:t>privation Grant are concerned.  However, it could be argued that now is the time for schools to fully realise the potential they have to ensure underachievement is not the most probable outcome for children living in poverty - particularly at key stage fou</w:t>
      </w:r>
      <w:r>
        <w:rPr>
          <w:rFonts w:ascii="Calibri" w:eastAsia="Calibri" w:hAnsi="Calibri" w:cs="Calibri"/>
          <w:sz w:val="24"/>
          <w:szCs w:val="24"/>
        </w:rPr>
        <w:t>r. It could be argued that now is the time for school leaders to seize the opportunity to ensure teachers fully understand the pivotal role that they can play in breaking the poverty-underachievement cycle.</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t>Improving Pedagogy; Improving Chances</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Schools ha</w:t>
      </w:r>
      <w:r>
        <w:rPr>
          <w:rFonts w:ascii="Calibri" w:eastAsia="Calibri" w:hAnsi="Calibri" w:cs="Calibri"/>
          <w:sz w:val="24"/>
          <w:szCs w:val="24"/>
        </w:rPr>
        <w:t>ve total autonomy over the strategies they employ or the ethos they collectively adopt in order to reduce the impact that socioeconomic status can have on pupil achievement. E.D. Hirsch, Jr. (2017), in his latest and recent evaluation of education: ‘Why Kn</w:t>
      </w:r>
      <w:r>
        <w:rPr>
          <w:rFonts w:ascii="Calibri" w:eastAsia="Calibri" w:hAnsi="Calibri" w:cs="Calibri"/>
          <w:sz w:val="24"/>
          <w:szCs w:val="24"/>
        </w:rPr>
        <w:t xml:space="preserve">owledge Matters: Rescuing Our Children from Failed Educational Theories’ asserts that schools are not the “sole agents of education” (p.91) and this is undeniably true. As already discussed, there are a multitude of complex societal, familial and economic </w:t>
      </w:r>
      <w:r>
        <w:rPr>
          <w:rFonts w:ascii="Calibri" w:eastAsia="Calibri" w:hAnsi="Calibri" w:cs="Calibri"/>
          <w:sz w:val="24"/>
          <w:szCs w:val="24"/>
        </w:rPr>
        <w:t>factors which may influence a child’s education and beyond. However, it is important that schools envisage themselves as proponents of change. It is fundamental that schools realise that they can make a positive difference to the lives of those living in p</w:t>
      </w:r>
      <w:r>
        <w:rPr>
          <w:rFonts w:ascii="Calibri" w:eastAsia="Calibri" w:hAnsi="Calibri" w:cs="Calibri"/>
          <w:sz w:val="24"/>
          <w:szCs w:val="24"/>
        </w:rPr>
        <w:t>overty. Hirsch (2017), for example, goes on to argue that ‘[b]etter schools could greatly ameliorate educational disadvantage (p.96) and this is altogether a more promising assertion; one that cannot</w:t>
      </w:r>
      <w:r>
        <w:rPr>
          <w:rFonts w:ascii="Calibri" w:eastAsia="Calibri" w:hAnsi="Calibri" w:cs="Calibri"/>
          <w:sz w:val="24"/>
          <w:szCs w:val="24"/>
        </w:rPr>
        <w:t xml:space="preserve"> and should not be ignored; one that necessitates greate</w:t>
      </w:r>
      <w:r>
        <w:rPr>
          <w:rFonts w:ascii="Calibri" w:eastAsia="Calibri" w:hAnsi="Calibri" w:cs="Calibri"/>
          <w:sz w:val="24"/>
          <w:szCs w:val="24"/>
        </w:rPr>
        <w:t>r exploration.</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Literature published by the Welsh Government or closely allied organisations make it abundantly clear that schools can have a positive influence - they can close the attainment gap. However, turning the rhetoric into a reality and realising the aims propos</w:t>
      </w:r>
      <w:r>
        <w:rPr>
          <w:rFonts w:ascii="Calibri" w:eastAsia="Calibri" w:hAnsi="Calibri" w:cs="Calibri"/>
          <w:sz w:val="24"/>
          <w:szCs w:val="24"/>
        </w:rPr>
        <w:t xml:space="preserve">ed is challenging for schools. The OECD (2014) suggests that Welsh schools face some challenges in implementing numerous policies and reforms when there are so many” (p. 42). Too often, Welsh Government recommendations are broad and many policies </w:t>
      </w:r>
      <w:r>
        <w:rPr>
          <w:rFonts w:ascii="Calibri" w:eastAsia="Calibri" w:hAnsi="Calibri" w:cs="Calibri"/>
          <w:sz w:val="24"/>
          <w:szCs w:val="24"/>
        </w:rPr>
        <w:t>are open to subjective interpretation. It could be argued that a lack of specificity may have a detrimental impact on a school’s ability to realise the full potential of recommendations. Interestingly, Estyn (2011) believe that the most effective sch</w:t>
      </w:r>
      <w:r>
        <w:rPr>
          <w:rFonts w:ascii="Calibri" w:eastAsia="Calibri" w:hAnsi="Calibri" w:cs="Calibri"/>
          <w:sz w:val="24"/>
          <w:szCs w:val="24"/>
        </w:rPr>
        <w:t>ools tackle poverty explicitly, with “focused and quantifiable targets for achievement” and “detailed proposals” (p. 3). Unfortunately, Graham Donaldson’s report: ‘Successful Futures: An Independent Review of Curriculum and Assessment Arrangements in Wales</w:t>
      </w:r>
      <w:r>
        <w:rPr>
          <w:rFonts w:ascii="Calibri" w:eastAsia="Calibri" w:hAnsi="Calibri" w:cs="Calibri"/>
          <w:sz w:val="24"/>
          <w:szCs w:val="24"/>
        </w:rPr>
        <w:t>’ (2015), which outlines recommendations for the future of education in Wales, does little to mitigate ambiguity. Those concerned with reducing the impact of poverty on attainment are unlikely to dispute the goals outlined in the Review - the hope to reduc</w:t>
      </w:r>
      <w:r>
        <w:rPr>
          <w:rFonts w:ascii="Calibri" w:eastAsia="Calibri" w:hAnsi="Calibri" w:cs="Calibri"/>
          <w:sz w:val="24"/>
          <w:szCs w:val="24"/>
        </w:rPr>
        <w:t xml:space="preserve">e the “pernicious effect” (p. 10) that disadvantage has on educational achievement is clearly communicated. Nor would they contend the notions put forth by Donaldson (2015) that all children and young people should achieve their potential or that a school </w:t>
      </w:r>
      <w:r>
        <w:rPr>
          <w:rFonts w:ascii="Calibri" w:eastAsia="Calibri" w:hAnsi="Calibri" w:cs="Calibri"/>
          <w:sz w:val="24"/>
          <w:szCs w:val="24"/>
        </w:rPr>
        <w:t>curriculum should promote high expectations for all (p. 10). Ultimately, however, the Donaldson Review has called for a complete overhaul of the curriculum in Wales but this may not be the most effective approach to bettering the chances of those living in</w:t>
      </w:r>
      <w:r>
        <w:rPr>
          <w:rFonts w:ascii="Calibri" w:eastAsia="Calibri" w:hAnsi="Calibri" w:cs="Calibri"/>
          <w:sz w:val="24"/>
          <w:szCs w:val="24"/>
        </w:rPr>
        <w:t xml:space="preserve"> poverty in Wales. The Centre for Excellence and Outcomes in</w:t>
      </w:r>
      <w:r>
        <w:rPr>
          <w:rFonts w:ascii="Calibri" w:eastAsia="Calibri" w:hAnsi="Calibri" w:cs="Calibri"/>
          <w:sz w:val="24"/>
          <w:szCs w:val="24"/>
        </w:rPr>
        <w:t xml:space="preserve"> Children’s and Young People’s Services, or C4EO (2011) published a report outlining effective strategies and came to the conclusion that innovations focused on improving curriculum materials are</w:t>
      </w:r>
      <w:r>
        <w:rPr>
          <w:rFonts w:ascii="Calibri" w:eastAsia="Calibri" w:hAnsi="Calibri" w:cs="Calibri"/>
          <w:sz w:val="24"/>
          <w:szCs w:val="24"/>
        </w:rPr>
        <w:t xml:space="preserve"> unlikely to make a significant difference for schools in deprived areas (p. 39). Moreover, the C4EO (2011) assert that changing curriculum content will not likely lead to improved outcomes and, instead, propose that “changing teaching practices, through e</w:t>
      </w:r>
      <w:r>
        <w:rPr>
          <w:rFonts w:ascii="Calibri" w:eastAsia="Calibri" w:hAnsi="Calibri" w:cs="Calibri"/>
          <w:sz w:val="24"/>
          <w:szCs w:val="24"/>
        </w:rPr>
        <w:t>xtensive continuing professional development, is a key way of closing attainment gaps” (p. 42). Thus, in failing to pinpoint precise strategies, it could have argued</w:t>
      </w:r>
      <w:r>
        <w:rPr>
          <w:rFonts w:ascii="Calibri" w:eastAsia="Calibri" w:hAnsi="Calibri" w:cs="Calibri"/>
          <w:sz w:val="24"/>
          <w:szCs w:val="24"/>
        </w:rPr>
        <w:t xml:space="preserve"> that Donaldson (2015) has not capitalised on a crucial opportunity to highlight teaching practi</w:t>
      </w:r>
      <w:r>
        <w:rPr>
          <w:rFonts w:ascii="Calibri" w:eastAsia="Calibri" w:hAnsi="Calibri" w:cs="Calibri"/>
          <w:sz w:val="24"/>
          <w:szCs w:val="24"/>
        </w:rPr>
        <w:t>ces that have been recognised as benefiting those living in poverty. This is concerning for two reasons. Firstly, we know from Esteem</w:t>
      </w:r>
      <w:r>
        <w:rPr>
          <w:rFonts w:ascii="Calibri" w:eastAsia="Calibri" w:hAnsi="Calibri" w:cs="Calibri"/>
          <w:sz w:val="24"/>
          <w:szCs w:val="24"/>
        </w:rPr>
        <w:t xml:space="preserve"> (2011) that explicit strategies used to combat the educational underachievement of disadvantaged children are most efficaci</w:t>
      </w:r>
      <w:r>
        <w:rPr>
          <w:rFonts w:ascii="Calibri" w:eastAsia="Calibri" w:hAnsi="Calibri" w:cs="Calibri"/>
          <w:sz w:val="24"/>
          <w:szCs w:val="24"/>
        </w:rPr>
        <w:t>ous. Secondly, schools are potentially left in the dark, without precise guidance, when rewriting their curricula - and herein lies a significant problem for the people in schools who have the strongest potential to make a substantial difference: the teach</w:t>
      </w:r>
      <w:r>
        <w:rPr>
          <w:rFonts w:ascii="Calibri" w:eastAsia="Calibri" w:hAnsi="Calibri" w:cs="Calibri"/>
          <w:sz w:val="24"/>
          <w:szCs w:val="24"/>
        </w:rPr>
        <w:t>ers.</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 xml:space="preserve">There is a broad consensus that classroom teachers have the strongest influence on pupils’ learning (Esyn, 2018). It could be argued, therefore, that in order to close the attainment gap, it is necessary to focus on closing the pedagogical knowledge </w:t>
      </w:r>
      <w:r>
        <w:rPr>
          <w:rFonts w:ascii="Calibri" w:eastAsia="Calibri" w:hAnsi="Calibri" w:cs="Calibri"/>
          <w:sz w:val="24"/>
          <w:szCs w:val="24"/>
        </w:rPr>
        <w:t>gap first. Teachers need to be educated and informed about the most recent, up-to-date and robust evidence on what works. The importance of teaching cannot</w:t>
      </w:r>
      <w:r>
        <w:rPr>
          <w:rFonts w:ascii="Calibri" w:eastAsia="Calibri" w:hAnsi="Calibri" w:cs="Calibri"/>
          <w:sz w:val="24"/>
          <w:szCs w:val="24"/>
        </w:rPr>
        <w:t xml:space="preserve"> and should not be understated. In their report, C4EO (2011) go on to claim that “the quality of tea</w:t>
      </w:r>
      <w:r>
        <w:rPr>
          <w:rFonts w:ascii="Calibri" w:eastAsia="Calibri" w:hAnsi="Calibri" w:cs="Calibri"/>
          <w:sz w:val="24"/>
          <w:szCs w:val="24"/>
        </w:rPr>
        <w:t>ching” matters the most and that “teaching methods deliver the greatest improvements in learning outcomes for children from deprived backgrounds” (p. 42). These findings corroborate with the OECD (2012) who have previously declared that there is evidence t</w:t>
      </w:r>
      <w:r>
        <w:rPr>
          <w:rFonts w:ascii="Calibri" w:eastAsia="Calibri" w:hAnsi="Calibri" w:cs="Calibri"/>
          <w:sz w:val="24"/>
          <w:szCs w:val="24"/>
        </w:rPr>
        <w:t>hat certain pedagogical practices can make a difference for low performing students.  Cleary, then, schools and teachers ought to be provided with opportunities to get into the “pedagogical weeds” because, according to Hirsch (2017), “that is where gap clo</w:t>
      </w:r>
      <w:r>
        <w:rPr>
          <w:rFonts w:ascii="Calibri" w:eastAsia="Calibri" w:hAnsi="Calibri" w:cs="Calibri"/>
          <w:sz w:val="24"/>
          <w:szCs w:val="24"/>
        </w:rPr>
        <w:t>sing occurs” (p. 98). For Hirsch (2017) gap closing occurs with explicit vocabulary instruction.</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In his book, ‘Why Knowledge Matters’, (Hirsch</w:t>
      </w:r>
      <w:r>
        <w:rPr>
          <w:rFonts w:ascii="Calibri" w:eastAsia="Calibri" w:hAnsi="Calibri" w:cs="Calibri"/>
          <w:sz w:val="24"/>
          <w:szCs w:val="24"/>
        </w:rPr>
        <w:t xml:space="preserve">, 2017) revisits the Coleman Report of the 1960s and re-examines its findings in light of recent developments and </w:t>
      </w:r>
      <w:r>
        <w:rPr>
          <w:rFonts w:ascii="Calibri" w:eastAsia="Calibri" w:hAnsi="Calibri" w:cs="Calibri"/>
          <w:sz w:val="24"/>
          <w:szCs w:val="24"/>
        </w:rPr>
        <w:t>research. Interestingly, Hirsch (2017) argues that initial interpretations of it - such as “it’s not the schools” - were flawed (p. 96). Hirsch (2017) clearly believes that schools can be agents of change; he states: “An inferior school widens the achievem</w:t>
      </w:r>
      <w:r>
        <w:rPr>
          <w:rFonts w:ascii="Calibri" w:eastAsia="Calibri" w:hAnsi="Calibri" w:cs="Calibri"/>
          <w:sz w:val="24"/>
          <w:szCs w:val="24"/>
        </w:rPr>
        <w:t>ent gap because it harms poor children more than it harms rich ones. A good school narrows the achievement gap because it benefits poor children more than the rich ones” (p. 97).  Although Hirsch (2017) recognises that schools cannot</w:t>
      </w:r>
      <w:r>
        <w:rPr>
          <w:rFonts w:ascii="Calibri" w:eastAsia="Calibri" w:hAnsi="Calibri" w:cs="Calibri"/>
          <w:sz w:val="24"/>
          <w:szCs w:val="24"/>
        </w:rPr>
        <w:t xml:space="preserve"> overcome every obstac</w:t>
      </w:r>
      <w:r>
        <w:rPr>
          <w:rFonts w:ascii="Calibri" w:eastAsia="Calibri" w:hAnsi="Calibri" w:cs="Calibri"/>
          <w:sz w:val="24"/>
          <w:szCs w:val="24"/>
        </w:rPr>
        <w:t>le, he emphasises that schools can set about improving and enhancing pupils’ vocabulary size which is proven to have a beneficial impact on attainment (Hirsch, 2017; Hirsch, 2013). In fact, Hirsch (2013) declares that correlations between vocabulary size a</w:t>
      </w:r>
      <w:r>
        <w:rPr>
          <w:rFonts w:ascii="Calibri" w:eastAsia="Calibri" w:hAnsi="Calibri" w:cs="Calibri"/>
          <w:sz w:val="24"/>
          <w:szCs w:val="24"/>
        </w:rPr>
        <w:t>nd life chances are strong. Alex Quigley, a prominent blogger within the field of education, has recently published ‘Closing the Vocabulary Gap’ (2018). Quigley (2018) fully supports Hirsch (2017) and proposes an educational shift which focuses more on tea</w:t>
      </w:r>
      <w:r>
        <w:rPr>
          <w:rFonts w:ascii="Calibri" w:eastAsia="Calibri" w:hAnsi="Calibri" w:cs="Calibri"/>
          <w:sz w:val="24"/>
          <w:szCs w:val="24"/>
        </w:rPr>
        <w:t>ching vocabulary explicitly. That being: planning for vocabulary to be learnt as opposed to teaching new vocabulary incidentally. Quigley (2018) promotes vocabulary development through explicit instructional activities, such as the ‘SEEC Model’ which break</w:t>
      </w:r>
      <w:r>
        <w:rPr>
          <w:rFonts w:ascii="Calibri" w:eastAsia="Calibri" w:hAnsi="Calibri" w:cs="Calibri"/>
          <w:sz w:val="24"/>
          <w:szCs w:val="24"/>
        </w:rPr>
        <w:t>s vocabulary development down into four steps: select, explain, explore and consolidate. This is just one example of many explicit approaches in order for children to develop the “word-hoard” they need to thrive in school and beyond, which is approximately</w:t>
      </w:r>
      <w:r>
        <w:rPr>
          <w:rFonts w:ascii="Calibri" w:eastAsia="Calibri" w:hAnsi="Calibri" w:cs="Calibri"/>
          <w:sz w:val="24"/>
          <w:szCs w:val="24"/>
        </w:rPr>
        <w:t xml:space="preserve"> 50, 000 (Quigley, 2018, p. 2). Quigley (2018) warns that many children from low socioeconomic families lose out, emphasising the potential for vocabulary development to help mitigate disadvantage. In fact, Quigley (2018) emphatically states:</w:t>
      </w:r>
    </w:p>
    <w:p w:rsidR="003E3BB7" w:rsidRDefault="001134EF">
      <w:pPr>
        <w:spacing w:line="240" w:lineRule="auto"/>
        <w:ind w:left="1133" w:right="1133"/>
        <w:jc w:val="both"/>
        <w:rPr>
          <w:rFonts w:ascii="Calibri" w:eastAsia="Calibri" w:hAnsi="Calibri" w:cs="Calibri"/>
          <w:sz w:val="24"/>
          <w:szCs w:val="24"/>
        </w:rPr>
      </w:pPr>
      <w:r>
        <w:rPr>
          <w:rFonts w:ascii="Calibri" w:eastAsia="Calibri" w:hAnsi="Calibri" w:cs="Calibri"/>
          <w:sz w:val="24"/>
          <w:szCs w:val="24"/>
        </w:rPr>
        <w:t xml:space="preserve">“In schools, </w:t>
      </w:r>
      <w:r>
        <w:rPr>
          <w:rFonts w:ascii="Calibri" w:eastAsia="Calibri" w:hAnsi="Calibri" w:cs="Calibri"/>
          <w:sz w:val="24"/>
          <w:szCs w:val="24"/>
        </w:rPr>
        <w:t>we cannot bring an end to poverty, we cannot wait for poverty to end either. Instead, we can shrink the complex issues that beset the most vulnerable children in our care and share something that would appear to be insignificant, but what can prove ultimat</w:t>
      </w:r>
      <w:r>
        <w:rPr>
          <w:rFonts w:ascii="Calibri" w:eastAsia="Calibri" w:hAnsi="Calibri" w:cs="Calibri"/>
          <w:sz w:val="24"/>
          <w:szCs w:val="24"/>
        </w:rPr>
        <w:t>ely transformative for them. We can share with them a wealth of words.”</w:t>
      </w:r>
    </w:p>
    <w:p w:rsidR="003E3BB7" w:rsidRDefault="001134EF">
      <w:pPr>
        <w:spacing w:line="240" w:lineRule="auto"/>
        <w:ind w:left="1133" w:right="1133"/>
        <w:jc w:val="right"/>
        <w:rPr>
          <w:rFonts w:ascii="Calibri" w:eastAsia="Calibri" w:hAnsi="Calibri" w:cs="Calibri"/>
          <w:sz w:val="24"/>
          <w:szCs w:val="24"/>
        </w:rPr>
      </w:pPr>
      <w:r>
        <w:rPr>
          <w:rFonts w:ascii="Calibri" w:eastAsia="Calibri" w:hAnsi="Calibri" w:cs="Calibri"/>
          <w:sz w:val="24"/>
          <w:szCs w:val="24"/>
        </w:rPr>
        <w:t>(p. 2)</w:t>
      </w:r>
    </w:p>
    <w:p w:rsidR="003E3BB7" w:rsidRDefault="003E3BB7">
      <w:pPr>
        <w:spacing w:line="240" w:lineRule="auto"/>
        <w:ind w:left="1133" w:right="1133"/>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A previously discussed, the attainment gap is detectable from very early age and disparities in vocabulary size are equally detectable. Quigley highlights a number of pertinent</w:t>
      </w:r>
      <w:r>
        <w:rPr>
          <w:rFonts w:ascii="Calibri" w:eastAsia="Calibri" w:hAnsi="Calibri" w:cs="Calibri"/>
          <w:sz w:val="24"/>
          <w:szCs w:val="24"/>
        </w:rPr>
        <w:t xml:space="preserve"> findings. Firstly, a study conducted in the 1990s (Hart and Risely, 1995) found that parents in professional families spoke 32 million more words to their children than parents in welfare families (p. 4). Secondly, it has been found that vocabulary size a</w:t>
      </w:r>
      <w:r>
        <w:rPr>
          <w:rFonts w:ascii="Calibri" w:eastAsia="Calibri" w:hAnsi="Calibri" w:cs="Calibri"/>
          <w:sz w:val="24"/>
          <w:szCs w:val="24"/>
        </w:rPr>
        <w:t>t 35 months can account for linguistic skills at age 8 (p. 5). There is, undoubtedly, a correlation between socioeconomic status and vocabulary size. Cardiff Council (2013) also reported that young people from a poor background are more likely to have non-</w:t>
      </w:r>
      <w:r>
        <w:rPr>
          <w:rFonts w:ascii="Calibri" w:eastAsia="Calibri" w:hAnsi="Calibri" w:cs="Calibri"/>
          <w:sz w:val="24"/>
          <w:szCs w:val="24"/>
        </w:rPr>
        <w:t xml:space="preserve">functionally literate parents, which will impact on their attitude to reading and their own literacy (p. 18). Hirsch (2013) also supports the notion that there is a correlation between attainment and vocabulary and attributes this to a lack of exposure to </w:t>
      </w:r>
      <w:r>
        <w:rPr>
          <w:rFonts w:ascii="Calibri" w:eastAsia="Calibri" w:hAnsi="Calibri" w:cs="Calibri"/>
          <w:sz w:val="24"/>
          <w:szCs w:val="24"/>
        </w:rPr>
        <w:t>adult conversation in low-income households. Quigley (2018) strongly makes the case for vocabulary instruction, claiming that “robust evidence” in the field proves that “children with reading difficulties who were exposed to explicit vocabulary teaching be</w:t>
      </w:r>
      <w:r>
        <w:rPr>
          <w:rFonts w:ascii="Calibri" w:eastAsia="Calibri" w:hAnsi="Calibri" w:cs="Calibri"/>
          <w:sz w:val="24"/>
          <w:szCs w:val="24"/>
        </w:rPr>
        <w:t xml:space="preserve">nefitted three times as much as those who were not” (p. 12). In ‘Bringing Words to Life’ (2013) written by Isobel Beck </w:t>
      </w:r>
      <w:r>
        <w:rPr>
          <w:rFonts w:ascii="Calibri" w:eastAsia="Calibri" w:hAnsi="Calibri" w:cs="Calibri"/>
          <w:i/>
          <w:sz w:val="24"/>
          <w:szCs w:val="24"/>
        </w:rPr>
        <w:t xml:space="preserve">et al., </w:t>
      </w:r>
      <w:r>
        <w:rPr>
          <w:rFonts w:ascii="Calibri" w:eastAsia="Calibri" w:hAnsi="Calibri" w:cs="Calibri"/>
          <w:sz w:val="24"/>
          <w:szCs w:val="24"/>
        </w:rPr>
        <w:t>there is no dispute about the “profound differences” in vocabulary knowledge among learners of different abilities (p. 1). Beck e</w:t>
      </w:r>
      <w:r>
        <w:rPr>
          <w:rFonts w:ascii="Calibri" w:eastAsia="Calibri" w:hAnsi="Calibri" w:cs="Calibri"/>
          <w:sz w:val="24"/>
          <w:szCs w:val="24"/>
        </w:rPr>
        <w:t>t al. (2013) focus on explaining the crucial role that vocabulary size or vocabulary knowledge has on a child’s potential to achieve academic success (p. 1) and this is significant given that FSM pupils’ underachievement at key stage four -</w:t>
      </w:r>
      <w:r>
        <w:rPr>
          <w:rFonts w:ascii="Calibri" w:eastAsia="Calibri" w:hAnsi="Calibri" w:cs="Calibri"/>
          <w:sz w:val="24"/>
          <w:szCs w:val="24"/>
        </w:rPr>
        <w:t xml:space="preserve"> and potential </w:t>
      </w:r>
      <w:r>
        <w:rPr>
          <w:rFonts w:ascii="Calibri" w:eastAsia="Calibri" w:hAnsi="Calibri" w:cs="Calibri"/>
          <w:sz w:val="24"/>
          <w:szCs w:val="24"/>
        </w:rPr>
        <w:t>ramifications thereafter - in Wales is a grave concern for the government, local authorities and schools. Evidently, explicit vocabulary instruction has the potential to completely transform a disadvantaged child’s education and potential future prospects.</w:t>
      </w:r>
      <w:r>
        <w:rPr>
          <w:rFonts w:ascii="Calibri" w:eastAsia="Calibri" w:hAnsi="Calibri" w:cs="Calibri"/>
          <w:sz w:val="24"/>
          <w:szCs w:val="24"/>
        </w:rPr>
        <w:t xml:space="preserve"> Surely, then, this is a teaching practice worthy of dissemination and certainly worthy of a specific mention in the single most important policy document to be published in Wales in recent years: Successful Futures. Unfortunately not. Donaldson (2015) adv</w:t>
      </w:r>
      <w:r>
        <w:rPr>
          <w:rFonts w:ascii="Calibri" w:eastAsia="Calibri" w:hAnsi="Calibri" w:cs="Calibri"/>
          <w:sz w:val="24"/>
          <w:szCs w:val="24"/>
        </w:rPr>
        <w:t>ises on twelve principles of good teaching but explicit vocabulary teaching is excluded. Whatever the reason for this, the challenge remains the same. If we recognise as a nation that teaching practices can have a significant impact on the outcomes of chil</w:t>
      </w:r>
      <w:r>
        <w:rPr>
          <w:rFonts w:ascii="Calibri" w:eastAsia="Calibri" w:hAnsi="Calibri" w:cs="Calibri"/>
          <w:sz w:val="24"/>
          <w:szCs w:val="24"/>
        </w:rPr>
        <w:t>dren living in poverty, then the challenge facing schools in Wales is in ensuring that teachers gain access to the most recent, robust evidence and strategies to support them in their plight to eradicate the underachievement of children from low-socioecono</w:t>
      </w:r>
      <w:r>
        <w:rPr>
          <w:rFonts w:ascii="Calibri" w:eastAsia="Calibri" w:hAnsi="Calibri" w:cs="Calibri"/>
          <w:sz w:val="24"/>
          <w:szCs w:val="24"/>
        </w:rPr>
        <w:t>mic families.</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This may sound deceptively simple, however. The C4EO (2011) report that “fundamental change in teaching practice is difficult” (p. 42). They argue that teachers need “extensive, engaging workshops to learn new strategies and then coaching to successfully i</w:t>
      </w:r>
      <w:r>
        <w:rPr>
          <w:rFonts w:ascii="Calibri" w:eastAsia="Calibri" w:hAnsi="Calibri" w:cs="Calibri"/>
          <w:sz w:val="24"/>
          <w:szCs w:val="24"/>
        </w:rPr>
        <w:t>mplement and maintain them” (p. 42). In their report on the development of Wales’ education system, the OECD (2014) also clearly underline the sheer importance of professional development for teachers: they discuss the need for a “high-quality provision of</w:t>
      </w:r>
      <w:r>
        <w:rPr>
          <w:rFonts w:ascii="Calibri" w:eastAsia="Calibri" w:hAnsi="Calibri" w:cs="Calibri"/>
          <w:sz w:val="24"/>
          <w:szCs w:val="24"/>
        </w:rPr>
        <w:t xml:space="preserve"> continuous professional development to keep adding to teachers’ knowledge and skills” (p. 75). Schools in Wales could learn from countries who are recognised as having made “noteworthy strides towards high and equitable achievement” in recent years, such </w:t>
      </w:r>
      <w:r>
        <w:rPr>
          <w:rFonts w:ascii="Calibri" w:eastAsia="Calibri" w:hAnsi="Calibri" w:cs="Calibri"/>
          <w:sz w:val="24"/>
          <w:szCs w:val="24"/>
        </w:rPr>
        <w:t>as Finland, South Korea and Singapore</w:t>
      </w:r>
      <w:r>
        <w:rPr>
          <w:rFonts w:ascii="Calibri" w:eastAsia="Calibri" w:hAnsi="Calibri" w:cs="Calibri"/>
          <w:sz w:val="24"/>
          <w:szCs w:val="24"/>
        </w:rPr>
        <w:t xml:space="preserve"> (Darling-Hammond, 2014, p.10). It has been reported that these three nations have all made a positive impact, in part, through overhauling teacher education programs to increase teachers’ pedagogical knowledge and skil</w:t>
      </w:r>
      <w:r>
        <w:rPr>
          <w:rFonts w:ascii="Calibri" w:eastAsia="Calibri" w:hAnsi="Calibri" w:cs="Calibri"/>
          <w:sz w:val="24"/>
          <w:szCs w:val="24"/>
        </w:rPr>
        <w:t>ls (Darling-Hammond, 2014, p. 10). Moreover, it is abundantly clear that these three nations bestow importance on teacher development and teacher effectiveness: “all three nations have incentives for teachers to engage in research on practice, and all thre</w:t>
      </w:r>
      <w:r>
        <w:rPr>
          <w:rFonts w:ascii="Calibri" w:eastAsia="Calibri" w:hAnsi="Calibri" w:cs="Calibri"/>
          <w:sz w:val="24"/>
          <w:szCs w:val="24"/>
        </w:rPr>
        <w:t>e fund ongoing professional development opportunities in collaboration with universities and other schools” (Darling-Hammond, 2014, p. 14). Seemingly, teachers in schools in Wales need to be given the time and space to develop and refine their practice, in</w:t>
      </w:r>
      <w:r>
        <w:rPr>
          <w:rFonts w:ascii="Calibri" w:eastAsia="Calibri" w:hAnsi="Calibri" w:cs="Calibri"/>
          <w:sz w:val="24"/>
          <w:szCs w:val="24"/>
        </w:rPr>
        <w:t xml:space="preserve"> light of the most recent evidence. Moreover, senior leaders need to ensure that they are not solely relying on policy or funding streams to close the gap. Conversely, they need to ensure that closing the gap takes place very much at classroom and pedagogi</w:t>
      </w:r>
      <w:r>
        <w:rPr>
          <w:rFonts w:ascii="Calibri" w:eastAsia="Calibri" w:hAnsi="Calibri" w:cs="Calibri"/>
          <w:sz w:val="24"/>
          <w:szCs w:val="24"/>
        </w:rPr>
        <w:t>cal level.</w:t>
      </w:r>
    </w:p>
    <w:p w:rsidR="003E3BB7" w:rsidRDefault="003E3BB7">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t>Conclusion</w:t>
      </w:r>
    </w:p>
    <w:p w:rsidR="003E3BB7" w:rsidRDefault="001134EF">
      <w:pPr>
        <w:spacing w:line="360" w:lineRule="auto"/>
        <w:jc w:val="both"/>
        <w:rPr>
          <w:rFonts w:ascii="Calibri" w:eastAsia="Calibri" w:hAnsi="Calibri" w:cs="Calibri"/>
          <w:sz w:val="24"/>
          <w:szCs w:val="24"/>
        </w:rPr>
      </w:pPr>
      <w:r>
        <w:rPr>
          <w:rFonts w:ascii="Calibri" w:eastAsia="Calibri" w:hAnsi="Calibri" w:cs="Calibri"/>
          <w:sz w:val="24"/>
          <w:szCs w:val="24"/>
        </w:rPr>
        <w:t>Poverty is a perennial, complex and multifactorial issue which impacts upon hundreds of thousands of people in Wales. Poverty is unlikely to be eradicated - despite grandiose claims by Welsh Government - in the foreseeable future. Wh</w:t>
      </w:r>
      <w:r>
        <w:rPr>
          <w:rFonts w:ascii="Calibri" w:eastAsia="Calibri" w:hAnsi="Calibri" w:cs="Calibri"/>
          <w:sz w:val="24"/>
          <w:szCs w:val="24"/>
        </w:rPr>
        <w:t>at we unequivocally know is that “the biggest driver of future poverty is the educational attainment of children when they leave full-time education” (Joseph Rowntree Foundation, 2018, p. 25). Those who underachieve at key stage four are much less likely t</w:t>
      </w:r>
      <w:r>
        <w:rPr>
          <w:rFonts w:ascii="Calibri" w:eastAsia="Calibri" w:hAnsi="Calibri" w:cs="Calibri"/>
          <w:sz w:val="24"/>
          <w:szCs w:val="24"/>
        </w:rPr>
        <w:t>o fulfil their lifelong potential and are particularly susceptible to poverty in adulthood. This poverty-underachievement-poverty cycle has become somewhat ingrained in our society, so much so that it would unsurprising if teachers reported feeling powerle</w:t>
      </w:r>
      <w:r>
        <w:rPr>
          <w:rFonts w:ascii="Calibri" w:eastAsia="Calibri" w:hAnsi="Calibri" w:cs="Calibri"/>
          <w:sz w:val="24"/>
          <w:szCs w:val="24"/>
        </w:rPr>
        <w:t>ss or incapable</w:t>
      </w:r>
      <w:r>
        <w:rPr>
          <w:rFonts w:ascii="Calibri" w:eastAsia="Calibri" w:hAnsi="Calibri" w:cs="Calibri"/>
          <w:sz w:val="24"/>
          <w:szCs w:val="24"/>
        </w:rPr>
        <w:t xml:space="preserve"> of making a difference. Here, professional development and disseminating pedagogical knowledge matters the most. Hirsch (2013) argues that changes in social and education policies will help over time but, considering the fact that is</w:t>
      </w:r>
      <w:r>
        <w:rPr>
          <w:rFonts w:ascii="Calibri" w:eastAsia="Calibri" w:hAnsi="Calibri" w:cs="Calibri"/>
          <w:sz w:val="24"/>
          <w:szCs w:val="24"/>
        </w:rPr>
        <w:t xml:space="preserve"> l</w:t>
      </w:r>
      <w:r>
        <w:rPr>
          <w:rFonts w:ascii="Calibri" w:eastAsia="Calibri" w:hAnsi="Calibri" w:cs="Calibri"/>
          <w:sz w:val="24"/>
          <w:szCs w:val="24"/>
        </w:rPr>
        <w:t>ikely to take more than 50 years for the disadvantage gap to close (Quigley, 2018, p. 176), we cannot</w:t>
      </w:r>
      <w:r>
        <w:rPr>
          <w:rFonts w:ascii="Calibri" w:eastAsia="Calibri" w:hAnsi="Calibri" w:cs="Calibri"/>
          <w:sz w:val="24"/>
          <w:szCs w:val="24"/>
        </w:rPr>
        <w:t xml:space="preserve"> simply wait. On the contrary, in the meantime, as Quigley describes: “We can make the word poor grow word</w:t>
      </w:r>
      <w:r>
        <w:rPr>
          <w:rFonts w:ascii="Calibri" w:eastAsia="Calibri" w:hAnsi="Calibri" w:cs="Calibri"/>
          <w:sz w:val="24"/>
          <w:szCs w:val="24"/>
        </w:rPr>
        <w:t xml:space="preserve"> rich (p. 176). Teaching vocabulary explici</w:t>
      </w:r>
      <w:r>
        <w:rPr>
          <w:rFonts w:ascii="Calibri" w:eastAsia="Calibri" w:hAnsi="Calibri" w:cs="Calibri"/>
          <w:sz w:val="24"/>
          <w:szCs w:val="24"/>
        </w:rPr>
        <w:t xml:space="preserve">tly may not be the only way of helping disadvantaged children to break beyond the postcode lottery (Quigley, 2018; Milburn, 2018) but is a way in which we can help today. </w:t>
      </w: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3E3BB7" w:rsidRDefault="003E3BB7">
      <w:pPr>
        <w:spacing w:line="360" w:lineRule="auto"/>
        <w:jc w:val="both"/>
        <w:rPr>
          <w:rFonts w:ascii="Calibri" w:eastAsia="Calibri" w:hAnsi="Calibri" w:cs="Calibri"/>
          <w:sz w:val="24"/>
          <w:szCs w:val="24"/>
        </w:rPr>
      </w:pPr>
    </w:p>
    <w:p w:rsidR="001134EF" w:rsidRDefault="001134EF">
      <w:pPr>
        <w:spacing w:line="360" w:lineRule="auto"/>
        <w:jc w:val="both"/>
        <w:rPr>
          <w:rFonts w:ascii="Calibri" w:eastAsia="Calibri" w:hAnsi="Calibri" w:cs="Calibri"/>
          <w:sz w:val="24"/>
          <w:szCs w:val="24"/>
        </w:rPr>
      </w:pPr>
    </w:p>
    <w:p w:rsidR="003E3BB7" w:rsidRDefault="001134EF">
      <w:pPr>
        <w:spacing w:line="360" w:lineRule="auto"/>
        <w:jc w:val="both"/>
        <w:rPr>
          <w:rFonts w:ascii="Calibri" w:eastAsia="Calibri" w:hAnsi="Calibri" w:cs="Calibri"/>
          <w:b/>
          <w:sz w:val="24"/>
          <w:szCs w:val="24"/>
        </w:rPr>
      </w:pPr>
      <w:r>
        <w:rPr>
          <w:rFonts w:ascii="Calibri" w:eastAsia="Calibri" w:hAnsi="Calibri" w:cs="Calibri"/>
          <w:b/>
          <w:sz w:val="24"/>
          <w:szCs w:val="24"/>
        </w:rPr>
        <w:t>References</w:t>
      </w:r>
    </w:p>
    <w:p w:rsidR="003E3BB7" w:rsidRDefault="001134EF">
      <w:pPr>
        <w:rPr>
          <w:rFonts w:ascii="Calibri" w:eastAsia="Calibri" w:hAnsi="Calibri" w:cs="Calibri"/>
          <w:sz w:val="24"/>
          <w:szCs w:val="24"/>
        </w:rPr>
      </w:pPr>
      <w:r>
        <w:rPr>
          <w:rFonts w:ascii="Calibri" w:eastAsia="Calibri" w:hAnsi="Calibri" w:cs="Calibri"/>
          <w:sz w:val="24"/>
          <w:szCs w:val="24"/>
        </w:rPr>
        <w:t xml:space="preserve">Beck, Isabel., </w:t>
      </w:r>
      <w:proofErr w:type="spellStart"/>
      <w:r>
        <w:rPr>
          <w:rFonts w:ascii="Calibri" w:eastAsia="Calibri" w:hAnsi="Calibri" w:cs="Calibri"/>
          <w:sz w:val="24"/>
          <w:szCs w:val="24"/>
        </w:rPr>
        <w:t>McKeown</w:t>
      </w:r>
      <w:proofErr w:type="spellEnd"/>
      <w:r>
        <w:rPr>
          <w:rFonts w:ascii="Calibri" w:eastAsia="Calibri" w:hAnsi="Calibri" w:cs="Calibri"/>
          <w:sz w:val="24"/>
          <w:szCs w:val="24"/>
        </w:rPr>
        <w:t xml:space="preserve">, M., and </w:t>
      </w:r>
      <w:proofErr w:type="spellStart"/>
      <w:r>
        <w:rPr>
          <w:rFonts w:ascii="Calibri" w:eastAsia="Calibri" w:hAnsi="Calibri" w:cs="Calibri"/>
          <w:sz w:val="24"/>
          <w:szCs w:val="24"/>
        </w:rPr>
        <w:t>Kucan</w:t>
      </w:r>
      <w:proofErr w:type="spellEnd"/>
      <w:r>
        <w:rPr>
          <w:rFonts w:ascii="Calibri" w:eastAsia="Calibri" w:hAnsi="Calibri" w:cs="Calibri"/>
          <w:sz w:val="24"/>
          <w:szCs w:val="24"/>
        </w:rPr>
        <w:t xml:space="preserve">, L. (2013) </w:t>
      </w:r>
      <w:r>
        <w:rPr>
          <w:rFonts w:ascii="Calibri" w:eastAsia="Calibri" w:hAnsi="Calibri" w:cs="Calibri"/>
          <w:i/>
          <w:sz w:val="24"/>
          <w:szCs w:val="24"/>
        </w:rPr>
        <w:t>Bringing Words to Life: Robust Vocabulary Instruction.</w:t>
      </w:r>
      <w:r>
        <w:rPr>
          <w:rFonts w:ascii="Calibri" w:eastAsia="Calibri" w:hAnsi="Calibri" w:cs="Calibri"/>
          <w:sz w:val="24"/>
          <w:szCs w:val="24"/>
        </w:rPr>
        <w:t xml:space="preserve"> London: The Guilford Press.</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Cardiff Council (2013) </w:t>
      </w:r>
      <w:r>
        <w:rPr>
          <w:rFonts w:ascii="Calibri" w:eastAsia="Calibri" w:hAnsi="Calibri" w:cs="Calibri"/>
          <w:i/>
          <w:sz w:val="24"/>
          <w:szCs w:val="24"/>
        </w:rPr>
        <w:t>The Impact of Poverty on Educational Attainment in Cardiff</w:t>
      </w:r>
      <w:r>
        <w:rPr>
          <w:rFonts w:ascii="Calibri" w:eastAsia="Calibri" w:hAnsi="Calibri" w:cs="Calibri"/>
          <w:sz w:val="24"/>
          <w:szCs w:val="24"/>
        </w:rPr>
        <w:t>. Cardiff: Children and Young People Scrut</w:t>
      </w:r>
      <w:r>
        <w:rPr>
          <w:rFonts w:ascii="Calibri" w:eastAsia="Calibri" w:hAnsi="Calibri" w:cs="Calibri"/>
          <w:sz w:val="24"/>
          <w:szCs w:val="24"/>
        </w:rPr>
        <w:t>iny Committee.</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Cook, R., </w:t>
      </w:r>
      <w:proofErr w:type="spellStart"/>
      <w:r>
        <w:rPr>
          <w:rFonts w:ascii="Calibri" w:eastAsia="Calibri" w:hAnsi="Calibri" w:cs="Calibri"/>
          <w:sz w:val="24"/>
          <w:szCs w:val="24"/>
        </w:rPr>
        <w:t>Rutt</w:t>
      </w:r>
      <w:proofErr w:type="spellEnd"/>
      <w:r>
        <w:rPr>
          <w:rFonts w:ascii="Calibri" w:eastAsia="Calibri" w:hAnsi="Calibri" w:cs="Calibri"/>
          <w:sz w:val="24"/>
          <w:szCs w:val="24"/>
        </w:rPr>
        <w:t xml:space="preserve">, S., and Sims, D. (2014) </w:t>
      </w:r>
      <w:r>
        <w:rPr>
          <w:rFonts w:ascii="Calibri" w:eastAsia="Calibri" w:hAnsi="Calibri" w:cs="Calibri"/>
          <w:i/>
          <w:sz w:val="24"/>
          <w:szCs w:val="24"/>
        </w:rPr>
        <w:t>Deprivation in Education.</w:t>
      </w:r>
      <w:r>
        <w:rPr>
          <w:rFonts w:ascii="Calibri" w:eastAsia="Calibri" w:hAnsi="Calibri" w:cs="Calibri"/>
          <w:sz w:val="24"/>
          <w:szCs w:val="24"/>
        </w:rPr>
        <w:t xml:space="preserve"> Slough: NFER.</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Darling-Hammond, L. (2014) Closing the Attainment Gap: A Systemic View. In Closing the Achievement Gap from an International Perspective. Ed. Clarke, J. New Yo</w:t>
      </w:r>
      <w:r>
        <w:rPr>
          <w:rFonts w:ascii="Calibri" w:eastAsia="Calibri" w:hAnsi="Calibri" w:cs="Calibri"/>
          <w:sz w:val="24"/>
          <w:szCs w:val="24"/>
        </w:rPr>
        <w:t>rk: Springer.</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Education Endowment Foundation (2017) </w:t>
      </w:r>
      <w:r>
        <w:rPr>
          <w:rFonts w:ascii="Calibri" w:eastAsia="Calibri" w:hAnsi="Calibri" w:cs="Calibri"/>
          <w:i/>
          <w:sz w:val="24"/>
          <w:szCs w:val="24"/>
        </w:rPr>
        <w:t>The Attainment Gap.</w:t>
      </w:r>
      <w:r>
        <w:rPr>
          <w:rFonts w:ascii="Calibri" w:eastAsia="Calibri" w:hAnsi="Calibri" w:cs="Calibri"/>
          <w:sz w:val="24"/>
          <w:szCs w:val="24"/>
        </w:rPr>
        <w:t xml:space="preserve"> Available at: </w:t>
      </w:r>
      <w:hyperlink r:id="rId7">
        <w:r>
          <w:rPr>
            <w:rFonts w:ascii="Calibri" w:eastAsia="Calibri" w:hAnsi="Calibri" w:cs="Calibri"/>
            <w:color w:val="1155CC"/>
            <w:sz w:val="24"/>
            <w:szCs w:val="24"/>
            <w:u w:val="single"/>
          </w:rPr>
          <w:t>https://educationendowmentfoundation.org.uk</w:t>
        </w:r>
        <w:r>
          <w:rPr>
            <w:rFonts w:ascii="Calibri" w:eastAsia="Calibri" w:hAnsi="Calibri" w:cs="Calibri"/>
            <w:color w:val="1155CC"/>
            <w:sz w:val="24"/>
            <w:szCs w:val="24"/>
            <w:u w:val="single"/>
          </w:rPr>
          <w:t>/public/files/Annual_Reports/EEF_Attainment_Gap_Report_2018.pdf</w:t>
        </w:r>
      </w:hyperlink>
      <w:r>
        <w:rPr>
          <w:rFonts w:ascii="Calibri" w:eastAsia="Calibri" w:hAnsi="Calibri" w:cs="Calibri"/>
          <w:sz w:val="24"/>
          <w:szCs w:val="24"/>
        </w:rPr>
        <w:t xml:space="preserve"> (Accessed 28th January 2018).</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proofErr w:type="spellStart"/>
      <w:r>
        <w:rPr>
          <w:rFonts w:ascii="Calibri" w:eastAsia="Calibri" w:hAnsi="Calibri" w:cs="Calibri"/>
          <w:sz w:val="24"/>
          <w:szCs w:val="24"/>
        </w:rPr>
        <w:t>Estyn</w:t>
      </w:r>
      <w:proofErr w:type="spellEnd"/>
      <w:r>
        <w:rPr>
          <w:rFonts w:ascii="Calibri" w:eastAsia="Calibri" w:hAnsi="Calibri" w:cs="Calibri"/>
          <w:sz w:val="24"/>
          <w:szCs w:val="24"/>
        </w:rPr>
        <w:t xml:space="preserve"> (2012) </w:t>
      </w:r>
      <w:r>
        <w:rPr>
          <w:rFonts w:ascii="Calibri" w:eastAsia="Calibri" w:hAnsi="Calibri" w:cs="Calibri"/>
          <w:i/>
          <w:sz w:val="24"/>
          <w:szCs w:val="24"/>
        </w:rPr>
        <w:t>Effective practice in tackling poverty and disadvantage in schools</w:t>
      </w:r>
      <w:r>
        <w:rPr>
          <w:rFonts w:ascii="Calibri" w:eastAsia="Calibri" w:hAnsi="Calibri" w:cs="Calibri"/>
          <w:sz w:val="24"/>
          <w:szCs w:val="24"/>
        </w:rPr>
        <w:t>. Wales.</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Hart, B. and </w:t>
      </w:r>
      <w:proofErr w:type="spellStart"/>
      <w:r>
        <w:rPr>
          <w:rFonts w:ascii="Calibri" w:eastAsia="Calibri" w:hAnsi="Calibri" w:cs="Calibri"/>
          <w:sz w:val="24"/>
          <w:szCs w:val="24"/>
        </w:rPr>
        <w:t>Risely</w:t>
      </w:r>
      <w:proofErr w:type="spellEnd"/>
      <w:r>
        <w:rPr>
          <w:rFonts w:ascii="Calibri" w:eastAsia="Calibri" w:hAnsi="Calibri" w:cs="Calibri"/>
          <w:sz w:val="24"/>
          <w:szCs w:val="24"/>
        </w:rPr>
        <w:t xml:space="preserve">, T. (1995) </w:t>
      </w:r>
      <w:r>
        <w:rPr>
          <w:rFonts w:ascii="Calibri" w:eastAsia="Calibri" w:hAnsi="Calibri" w:cs="Calibri"/>
          <w:i/>
          <w:sz w:val="24"/>
          <w:szCs w:val="24"/>
        </w:rPr>
        <w:t>Meaningful differences in the everyday ex</w:t>
      </w:r>
      <w:r>
        <w:rPr>
          <w:rFonts w:ascii="Calibri" w:eastAsia="Calibri" w:hAnsi="Calibri" w:cs="Calibri"/>
          <w:i/>
          <w:sz w:val="24"/>
          <w:szCs w:val="24"/>
        </w:rPr>
        <w:t>perience of young American children.</w:t>
      </w:r>
      <w:r>
        <w:rPr>
          <w:rFonts w:ascii="Calibri" w:eastAsia="Calibri" w:hAnsi="Calibri" w:cs="Calibri"/>
          <w:sz w:val="24"/>
          <w:szCs w:val="24"/>
        </w:rPr>
        <w:t xml:space="preserve"> Baltimore, MD: Paul H. Brookes Publishing.</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Hirsch, E. D. (2013) </w:t>
      </w:r>
      <w:r>
        <w:rPr>
          <w:rFonts w:ascii="Calibri" w:eastAsia="Calibri" w:hAnsi="Calibri" w:cs="Calibri"/>
          <w:i/>
          <w:sz w:val="24"/>
          <w:szCs w:val="24"/>
        </w:rPr>
        <w:t>A Wealth of Words: The key increasing upward mobility is expanding vocabulary.</w:t>
      </w:r>
      <w:r>
        <w:rPr>
          <w:rFonts w:ascii="Calibri" w:eastAsia="Calibri" w:hAnsi="Calibri" w:cs="Calibri"/>
          <w:sz w:val="24"/>
          <w:szCs w:val="24"/>
        </w:rPr>
        <w:t xml:space="preserve"> Available at: </w:t>
      </w:r>
      <w:hyperlink r:id="rId8">
        <w:r>
          <w:rPr>
            <w:rFonts w:ascii="Calibri" w:eastAsia="Calibri" w:hAnsi="Calibri" w:cs="Calibri"/>
            <w:color w:val="1155CC"/>
            <w:sz w:val="24"/>
            <w:szCs w:val="24"/>
            <w:u w:val="single"/>
          </w:rPr>
          <w:t>https://www.city-journal.org/html/wealth-words-13523.html</w:t>
        </w:r>
      </w:hyperlink>
      <w:r>
        <w:rPr>
          <w:rFonts w:ascii="Calibri" w:eastAsia="Calibri" w:hAnsi="Calibri" w:cs="Calibri"/>
          <w:sz w:val="24"/>
          <w:szCs w:val="24"/>
        </w:rPr>
        <w:t xml:space="preserve"> (Accessed: 28th January 2018).</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Hirsch, E. D. (2017) </w:t>
      </w:r>
      <w:r>
        <w:rPr>
          <w:rFonts w:ascii="Calibri" w:eastAsia="Calibri" w:hAnsi="Calibri" w:cs="Calibri"/>
          <w:i/>
          <w:sz w:val="24"/>
          <w:szCs w:val="24"/>
        </w:rPr>
        <w:t>Why Knowledge Matters: Rescuing our children from failed educational t</w:t>
      </w:r>
      <w:r>
        <w:rPr>
          <w:rFonts w:ascii="Calibri" w:eastAsia="Calibri" w:hAnsi="Calibri" w:cs="Calibri"/>
          <w:i/>
          <w:sz w:val="24"/>
          <w:szCs w:val="24"/>
        </w:rPr>
        <w:t>heories.</w:t>
      </w:r>
      <w:r>
        <w:rPr>
          <w:rFonts w:ascii="Calibri" w:eastAsia="Calibri" w:hAnsi="Calibri" w:cs="Calibri"/>
          <w:sz w:val="24"/>
          <w:szCs w:val="24"/>
        </w:rPr>
        <w:t xml:space="preserve"> Cambridge: Harvard Education Press.</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Milburn, A. (2017) </w:t>
      </w:r>
      <w:r>
        <w:rPr>
          <w:rFonts w:ascii="Calibri" w:eastAsia="Calibri" w:hAnsi="Calibri" w:cs="Calibri"/>
          <w:i/>
          <w:sz w:val="24"/>
          <w:szCs w:val="24"/>
        </w:rPr>
        <w:t>State of the Nation 2017: Social mobility in Great Britain.</w:t>
      </w:r>
      <w:r>
        <w:rPr>
          <w:rFonts w:ascii="Calibri" w:eastAsia="Calibri" w:hAnsi="Calibri" w:cs="Calibri"/>
          <w:sz w:val="24"/>
          <w:szCs w:val="24"/>
        </w:rPr>
        <w:t xml:space="preserve"> London: APS Group.</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OECD (2012) </w:t>
      </w:r>
      <w:r>
        <w:rPr>
          <w:rFonts w:ascii="Calibri" w:eastAsia="Calibri" w:hAnsi="Calibri" w:cs="Calibri"/>
          <w:i/>
          <w:sz w:val="24"/>
          <w:szCs w:val="24"/>
        </w:rPr>
        <w:t>Equity and Quality in Education: Supporting Disadvantaged Students and Schools.</w:t>
      </w:r>
      <w:r>
        <w:rPr>
          <w:rFonts w:ascii="Calibri" w:eastAsia="Calibri" w:hAnsi="Calibri" w:cs="Calibri"/>
          <w:sz w:val="24"/>
          <w:szCs w:val="24"/>
        </w:rPr>
        <w:t xml:space="preserve"> OECD Publishing.</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OECD (2018) </w:t>
      </w:r>
      <w:r>
        <w:rPr>
          <w:rFonts w:ascii="Calibri" w:eastAsia="Calibri" w:hAnsi="Calibri" w:cs="Calibri"/>
          <w:i/>
          <w:sz w:val="24"/>
          <w:szCs w:val="24"/>
        </w:rPr>
        <w:t>Poor Children in Rich Countries: Why we need policy action.</w:t>
      </w:r>
      <w:r>
        <w:rPr>
          <w:rFonts w:ascii="Calibri" w:eastAsia="Calibri" w:hAnsi="Calibri" w:cs="Calibri"/>
          <w:sz w:val="24"/>
          <w:szCs w:val="24"/>
        </w:rPr>
        <w:t xml:space="preserve"> Policy Brief on Child Wellbeing. Oxford: OECD Publishing.</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OECD (2014) Improving Schools in Wales: An OECD Perspective. OECD Publishing.</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Reardon, S. (2011) The Widening Academic Achie</w:t>
      </w:r>
      <w:r>
        <w:rPr>
          <w:rFonts w:ascii="Calibri" w:eastAsia="Calibri" w:hAnsi="Calibri" w:cs="Calibri"/>
          <w:sz w:val="24"/>
          <w:szCs w:val="24"/>
        </w:rPr>
        <w:t>vement Gap Between the Rich and Poor: New Evidence and Possible Explanations.</w:t>
      </w:r>
    </w:p>
    <w:p w:rsidR="003E3BB7" w:rsidRDefault="003E3BB7">
      <w:pPr>
        <w:rPr>
          <w:rFonts w:ascii="Calibri" w:eastAsia="Calibri" w:hAnsi="Calibri" w:cs="Calibri"/>
          <w:sz w:val="24"/>
          <w:szCs w:val="24"/>
        </w:rPr>
      </w:pPr>
    </w:p>
    <w:p w:rsidR="003E3BB7" w:rsidRDefault="001134EF">
      <w:pPr>
        <w:rPr>
          <w:rFonts w:ascii="Calibri" w:eastAsia="Calibri" w:hAnsi="Calibri" w:cs="Calibri"/>
          <w:i/>
          <w:sz w:val="24"/>
          <w:szCs w:val="24"/>
        </w:rPr>
      </w:pPr>
      <w:proofErr w:type="spellStart"/>
      <w:r>
        <w:rPr>
          <w:rFonts w:ascii="Calibri" w:eastAsia="Calibri" w:hAnsi="Calibri" w:cs="Calibri"/>
          <w:sz w:val="24"/>
          <w:szCs w:val="24"/>
        </w:rPr>
        <w:t>Sharples</w:t>
      </w:r>
      <w:proofErr w:type="spellEnd"/>
      <w:r>
        <w:rPr>
          <w:rFonts w:ascii="Calibri" w:eastAsia="Calibri" w:hAnsi="Calibri" w:cs="Calibri"/>
          <w:sz w:val="24"/>
          <w:szCs w:val="24"/>
        </w:rPr>
        <w:t xml:space="preserve">, J., </w:t>
      </w:r>
      <w:proofErr w:type="spellStart"/>
      <w:r>
        <w:rPr>
          <w:rFonts w:ascii="Calibri" w:eastAsia="Calibri" w:hAnsi="Calibri" w:cs="Calibri"/>
          <w:sz w:val="24"/>
          <w:szCs w:val="24"/>
        </w:rPr>
        <w:t>Slavin</w:t>
      </w:r>
      <w:proofErr w:type="spellEnd"/>
      <w:r>
        <w:rPr>
          <w:rFonts w:ascii="Calibri" w:eastAsia="Calibri" w:hAnsi="Calibri" w:cs="Calibri"/>
          <w:sz w:val="24"/>
          <w:szCs w:val="24"/>
        </w:rPr>
        <w:t xml:space="preserve">, R., and Chambers, B. (2011) </w:t>
      </w:r>
      <w:r>
        <w:rPr>
          <w:rFonts w:ascii="Calibri" w:eastAsia="Calibri" w:hAnsi="Calibri" w:cs="Calibri"/>
          <w:i/>
          <w:sz w:val="24"/>
          <w:szCs w:val="24"/>
        </w:rPr>
        <w:t>Effective classroom strategies for</w:t>
      </w:r>
    </w:p>
    <w:p w:rsidR="003E3BB7" w:rsidRDefault="001134EF">
      <w:pPr>
        <w:rPr>
          <w:rFonts w:ascii="Calibri" w:eastAsia="Calibri" w:hAnsi="Calibri" w:cs="Calibri"/>
          <w:sz w:val="24"/>
          <w:szCs w:val="24"/>
        </w:rPr>
      </w:pPr>
      <w:r>
        <w:rPr>
          <w:rFonts w:ascii="Calibri" w:eastAsia="Calibri" w:hAnsi="Calibri" w:cs="Calibri"/>
          <w:i/>
          <w:sz w:val="24"/>
          <w:szCs w:val="24"/>
        </w:rPr>
        <w:t xml:space="preserve">closing the gap in educational achievement for children and young people living in poverty, </w:t>
      </w:r>
      <w:r>
        <w:rPr>
          <w:rFonts w:ascii="Calibri" w:eastAsia="Calibri" w:hAnsi="Calibri" w:cs="Calibri"/>
          <w:i/>
          <w:sz w:val="24"/>
          <w:szCs w:val="24"/>
        </w:rPr>
        <w:t xml:space="preserve">including white working-class boys. </w:t>
      </w:r>
      <w:r>
        <w:rPr>
          <w:rFonts w:ascii="Calibri" w:eastAsia="Calibri" w:hAnsi="Calibri" w:cs="Calibri"/>
          <w:sz w:val="24"/>
          <w:szCs w:val="24"/>
        </w:rPr>
        <w:t xml:space="preserve">London: C4EO. </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The Child Poverty Act (2010) Available at: </w:t>
      </w:r>
      <w:hyperlink r:id="rId9">
        <w:r>
          <w:rPr>
            <w:rFonts w:ascii="Calibri" w:eastAsia="Calibri" w:hAnsi="Calibri" w:cs="Calibri"/>
            <w:color w:val="1155CC"/>
            <w:sz w:val="24"/>
            <w:szCs w:val="24"/>
            <w:u w:val="single"/>
          </w:rPr>
          <w:t>https://www.gov.uk/government/groups/the-child-poverty-unit</w:t>
        </w:r>
      </w:hyperlink>
      <w:r>
        <w:rPr>
          <w:rFonts w:ascii="Calibri" w:eastAsia="Calibri" w:hAnsi="Calibri" w:cs="Calibri"/>
          <w:sz w:val="24"/>
          <w:szCs w:val="24"/>
        </w:rPr>
        <w:t xml:space="preserve"> (Accessed on: 28th Jan</w:t>
      </w:r>
      <w:r>
        <w:rPr>
          <w:rFonts w:ascii="Calibri" w:eastAsia="Calibri" w:hAnsi="Calibri" w:cs="Calibri"/>
          <w:sz w:val="24"/>
          <w:szCs w:val="24"/>
        </w:rPr>
        <w:t>uary 2018).</w:t>
      </w:r>
    </w:p>
    <w:p w:rsidR="003E3BB7" w:rsidRDefault="003E3BB7">
      <w:pPr>
        <w:rPr>
          <w:rFonts w:ascii="Calibri" w:eastAsia="Calibri" w:hAnsi="Calibri" w:cs="Calibri"/>
          <w:sz w:val="24"/>
          <w:szCs w:val="24"/>
        </w:rPr>
      </w:pPr>
    </w:p>
    <w:p w:rsidR="003E3BB7" w:rsidRDefault="001134EF">
      <w:pPr>
        <w:rPr>
          <w:rFonts w:ascii="Calibri" w:eastAsia="Calibri" w:hAnsi="Calibri" w:cs="Calibri"/>
          <w:sz w:val="24"/>
          <w:szCs w:val="24"/>
        </w:rPr>
      </w:pPr>
      <w:r>
        <w:rPr>
          <w:rFonts w:ascii="Calibri" w:eastAsia="Calibri" w:hAnsi="Calibri" w:cs="Calibri"/>
          <w:sz w:val="24"/>
          <w:szCs w:val="24"/>
        </w:rPr>
        <w:t xml:space="preserve">The Joseph Rowntree Foundation (2018) </w:t>
      </w:r>
      <w:r>
        <w:rPr>
          <w:rFonts w:ascii="Calibri" w:eastAsia="Calibri" w:hAnsi="Calibri" w:cs="Calibri"/>
          <w:i/>
          <w:sz w:val="24"/>
          <w:szCs w:val="24"/>
        </w:rPr>
        <w:t>Poverty in Wales 2018</w:t>
      </w:r>
      <w:r>
        <w:rPr>
          <w:rFonts w:ascii="Calibri" w:eastAsia="Calibri" w:hAnsi="Calibri" w:cs="Calibri"/>
          <w:sz w:val="24"/>
          <w:szCs w:val="24"/>
        </w:rPr>
        <w:t>. York: JRF.</w:t>
      </w:r>
    </w:p>
    <w:p w:rsidR="003E3BB7" w:rsidRDefault="003E3BB7">
      <w:pPr>
        <w:rPr>
          <w:rFonts w:ascii="Calibri" w:eastAsia="Calibri" w:hAnsi="Calibri" w:cs="Calibri"/>
          <w:sz w:val="24"/>
          <w:szCs w:val="24"/>
        </w:rPr>
      </w:pPr>
    </w:p>
    <w:p w:rsidR="003E3BB7" w:rsidRDefault="001134EF">
      <w:pPr>
        <w:rPr>
          <w:rFonts w:ascii="Calibri" w:eastAsia="Calibri" w:hAnsi="Calibri" w:cs="Calibri"/>
          <w:i/>
          <w:sz w:val="24"/>
          <w:szCs w:val="24"/>
        </w:rPr>
      </w:pPr>
      <w:r>
        <w:rPr>
          <w:rFonts w:ascii="Calibri" w:eastAsia="Calibri" w:hAnsi="Calibri" w:cs="Calibri"/>
          <w:sz w:val="24"/>
          <w:szCs w:val="24"/>
        </w:rPr>
        <w:t xml:space="preserve">Welsh Government (2017) </w:t>
      </w:r>
      <w:r>
        <w:rPr>
          <w:rFonts w:ascii="Calibri" w:eastAsia="Calibri" w:hAnsi="Calibri" w:cs="Calibri"/>
          <w:i/>
          <w:sz w:val="24"/>
          <w:szCs w:val="24"/>
        </w:rPr>
        <w:t>Evaluation of the Pupil Deprivation Grant.</w:t>
      </w:r>
    </w:p>
    <w:p w:rsidR="003E3BB7" w:rsidRDefault="003E3BB7">
      <w:pPr>
        <w:rPr>
          <w:rFonts w:ascii="Calibri" w:eastAsia="Calibri" w:hAnsi="Calibri" w:cs="Calibri"/>
          <w:sz w:val="24"/>
          <w:szCs w:val="24"/>
        </w:rPr>
      </w:pPr>
    </w:p>
    <w:p w:rsidR="003E3BB7" w:rsidRDefault="001134EF">
      <w:pPr>
        <w:rPr>
          <w:rFonts w:ascii="Calibri" w:eastAsia="Calibri" w:hAnsi="Calibri" w:cs="Calibri"/>
          <w:i/>
          <w:sz w:val="24"/>
          <w:szCs w:val="24"/>
        </w:rPr>
      </w:pPr>
      <w:r>
        <w:rPr>
          <w:rFonts w:ascii="Calibri" w:eastAsia="Calibri" w:hAnsi="Calibri" w:cs="Calibri"/>
          <w:sz w:val="24"/>
          <w:szCs w:val="24"/>
        </w:rPr>
        <w:t xml:space="preserve">Welsh Government (2017) </w:t>
      </w:r>
      <w:r>
        <w:rPr>
          <w:rFonts w:ascii="Calibri" w:eastAsia="Calibri" w:hAnsi="Calibri" w:cs="Calibri"/>
          <w:i/>
          <w:sz w:val="24"/>
          <w:szCs w:val="24"/>
        </w:rPr>
        <w:t>Education in Wales: Our National Mission</w:t>
      </w:r>
      <w:r>
        <w:rPr>
          <w:rFonts w:ascii="Calibri" w:eastAsia="Calibri" w:hAnsi="Calibri" w:cs="Calibri"/>
          <w:sz w:val="24"/>
          <w:szCs w:val="24"/>
        </w:rPr>
        <w:t>, Action Plan 2017 - 2022. Cardiff: Th</w:t>
      </w:r>
      <w:r>
        <w:rPr>
          <w:rFonts w:ascii="Calibri" w:eastAsia="Calibri" w:hAnsi="Calibri" w:cs="Calibri"/>
          <w:sz w:val="24"/>
          <w:szCs w:val="24"/>
        </w:rPr>
        <w:t>e Education Directorate.</w:t>
      </w:r>
    </w:p>
    <w:p w:rsidR="003E3BB7" w:rsidRDefault="003E3BB7">
      <w:pPr>
        <w:rPr>
          <w:rFonts w:ascii="Calibri" w:eastAsia="Calibri" w:hAnsi="Calibri" w:cs="Calibri"/>
          <w:i/>
          <w:sz w:val="24"/>
          <w:szCs w:val="24"/>
        </w:rPr>
      </w:pPr>
    </w:p>
    <w:p w:rsidR="003E3BB7" w:rsidRDefault="001134EF">
      <w:pPr>
        <w:rPr>
          <w:rFonts w:ascii="Calibri" w:eastAsia="Calibri" w:hAnsi="Calibri" w:cs="Calibri"/>
          <w:i/>
          <w:sz w:val="24"/>
          <w:szCs w:val="24"/>
        </w:rPr>
      </w:pPr>
      <w:r>
        <w:rPr>
          <w:rFonts w:ascii="Calibri" w:eastAsia="Calibri" w:hAnsi="Calibri" w:cs="Calibri"/>
          <w:sz w:val="24"/>
          <w:szCs w:val="24"/>
        </w:rPr>
        <w:t xml:space="preserve">Quigley, A. (2018) </w:t>
      </w:r>
      <w:r>
        <w:rPr>
          <w:rFonts w:ascii="Calibri" w:eastAsia="Calibri" w:hAnsi="Calibri" w:cs="Calibri"/>
          <w:i/>
          <w:sz w:val="24"/>
          <w:szCs w:val="24"/>
        </w:rPr>
        <w:t>Closing the Vocabulary Gap.</w:t>
      </w:r>
      <w:r>
        <w:rPr>
          <w:rFonts w:ascii="Calibri" w:eastAsia="Calibri" w:hAnsi="Calibri" w:cs="Calibri"/>
          <w:sz w:val="24"/>
          <w:szCs w:val="24"/>
        </w:rPr>
        <w:t xml:space="preserve"> London: Routledge.</w:t>
      </w:r>
    </w:p>
    <w:sectPr w:rsidR="003E3BB7">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134EF">
      <w:pPr>
        <w:spacing w:line="240" w:lineRule="auto"/>
      </w:pPr>
      <w:r>
        <w:separator/>
      </w:r>
    </w:p>
  </w:endnote>
  <w:endnote w:type="continuationSeparator" w:id="0">
    <w:p w:rsidR="00000000" w:rsidRDefault="001134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134EF">
      <w:pPr>
        <w:spacing w:line="240" w:lineRule="auto"/>
      </w:pPr>
      <w:r>
        <w:separator/>
      </w:r>
    </w:p>
  </w:footnote>
  <w:footnote w:type="continuationSeparator" w:id="0">
    <w:p w:rsidR="00000000" w:rsidRDefault="001134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B7" w:rsidRDefault="001134EF">
    <w:r>
      <w:t>Word count: 4,496</w:t>
    </w:r>
    <w:r>
      <w:tab/>
    </w:r>
    <w:r>
      <w:tab/>
    </w:r>
    <w:r>
      <w:tab/>
    </w:r>
    <w:r>
      <w:tab/>
    </w:r>
    <w:r>
      <w:tab/>
    </w:r>
    <w:r>
      <w:tab/>
    </w:r>
    <w:r>
      <w:tab/>
    </w:r>
    <w:r>
      <w:tab/>
    </w:r>
    <w:r>
      <w:tab/>
      <w:t xml:space="preserve">    1810930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B13B47"/>
    <w:multiLevelType w:val="multilevel"/>
    <w:tmpl w:val="88DC080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BB7"/>
    <w:rsid w:val="001134EF"/>
    <w:rsid w:val="003E3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2C23C"/>
  <w15:docId w15:val="{CB473603-387E-4CF8-8AF4-E4576484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134EF"/>
    <w:pPr>
      <w:tabs>
        <w:tab w:val="center" w:pos="4513"/>
        <w:tab w:val="right" w:pos="9026"/>
      </w:tabs>
      <w:spacing w:line="240" w:lineRule="auto"/>
    </w:pPr>
  </w:style>
  <w:style w:type="character" w:customStyle="1" w:styleId="HeaderChar">
    <w:name w:val="Header Char"/>
    <w:basedOn w:val="DefaultParagraphFont"/>
    <w:link w:val="Header"/>
    <w:uiPriority w:val="99"/>
    <w:rsid w:val="001134EF"/>
  </w:style>
  <w:style w:type="paragraph" w:styleId="Footer">
    <w:name w:val="footer"/>
    <w:basedOn w:val="Normal"/>
    <w:link w:val="FooterChar"/>
    <w:uiPriority w:val="99"/>
    <w:unhideWhenUsed/>
    <w:rsid w:val="001134EF"/>
    <w:pPr>
      <w:tabs>
        <w:tab w:val="center" w:pos="4513"/>
        <w:tab w:val="right" w:pos="9026"/>
      </w:tabs>
      <w:spacing w:line="240" w:lineRule="auto"/>
    </w:pPr>
  </w:style>
  <w:style w:type="character" w:customStyle="1" w:styleId="FooterChar">
    <w:name w:val="Footer Char"/>
    <w:basedOn w:val="DefaultParagraphFont"/>
    <w:link w:val="Footer"/>
    <w:uiPriority w:val="99"/>
    <w:rsid w:val="00113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ity-journal.org/html/wealth-words-13523.html" TargetMode="External"/><Relationship Id="rId3" Type="http://schemas.openxmlformats.org/officeDocument/2006/relationships/settings" Target="settings.xml"/><Relationship Id="rId7" Type="http://schemas.openxmlformats.org/officeDocument/2006/relationships/hyperlink" Target="https://educationendowmentfoundation.org.uk/public/files/Annual_Reports/EEF_Attainment_Gap_Report_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groups/the-child-poverty-un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4759</Words>
  <Characters>27128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Olchfa Comprehensive School</Company>
  <LinksUpToDate>false</LinksUpToDate>
  <CharactersWithSpaces>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Jabarian</dc:creator>
  <cp:lastModifiedBy>ol-profile</cp:lastModifiedBy>
  <cp:revision>2</cp:revision>
  <dcterms:created xsi:type="dcterms:W3CDTF">2019-01-30T16:25:00Z</dcterms:created>
  <dcterms:modified xsi:type="dcterms:W3CDTF">2019-01-30T16:25:00Z</dcterms:modified>
</cp:coreProperties>
</file>